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60"/>
        <w:spacing w:after="0"/>
        <w:tabs>
          <w:tab w:leader="none" w:pos="67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jc w:val="center"/>
              <w:ind w:left="1556"/>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00" w:type="dxa"/>
            <w:vAlign w:val="bottom"/>
          </w:tcPr>
          <w:p>
            <w:pPr>
              <w:jc w:val="right"/>
              <w:ind w:right="2336"/>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080" w:type="dxa"/>
            <w:vAlign w:val="bottom"/>
          </w:tcPr>
          <w:p>
            <w:pPr>
              <w:jc w:val="center"/>
              <w:ind w:left="1556"/>
              <w:spacing w:after="0"/>
              <w:rPr>
                <w:sz w:val="20"/>
                <w:szCs w:val="20"/>
                <w:color w:val="auto"/>
              </w:rPr>
            </w:pPr>
            <w:r>
              <w:rPr>
                <w:rFonts w:ascii="Arial" w:cs="Arial" w:eastAsia="Arial" w:hAnsi="Arial"/>
                <w:sz w:val="18"/>
                <w:szCs w:val="18"/>
                <w:b w:val="1"/>
                <w:bCs w:val="1"/>
                <w:color w:val="auto"/>
                <w:w w:val="90"/>
              </w:rPr>
              <w:t>(State or other jurisdiction of</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00" w:type="dxa"/>
            <w:vAlign w:val="bottom"/>
          </w:tcPr>
          <w:p>
            <w:pPr>
              <w:jc w:val="center"/>
              <w:ind w:right="1916"/>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080" w:type="dxa"/>
            <w:vAlign w:val="bottom"/>
          </w:tcPr>
          <w:p>
            <w:pPr>
              <w:jc w:val="center"/>
              <w:ind w:left="1556"/>
              <w:spacing w:after="0"/>
              <w:rPr>
                <w:sz w:val="20"/>
                <w:szCs w:val="20"/>
                <w:color w:val="auto"/>
              </w:rPr>
            </w:pPr>
            <w:r>
              <w:rPr>
                <w:rFonts w:ascii="Arial" w:cs="Arial" w:eastAsia="Arial" w:hAnsi="Arial"/>
                <w:sz w:val="18"/>
                <w:szCs w:val="18"/>
                <w:b w:val="1"/>
                <w:bCs w:val="1"/>
                <w:color w:val="auto"/>
                <w:w w:val="91"/>
              </w:rPr>
              <w:t>incorporation or organization)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700" w:type="dxa"/>
            <w:vAlign w:val="bottom"/>
          </w:tcPr>
          <w:p>
            <w:pPr>
              <w:jc w:val="center"/>
              <w:ind w:right="1916"/>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92"/>
        </w:trPr>
        <w:tc>
          <w:tcPr>
            <w:tcW w:w="77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w w:val="89"/>
              </w:rPr>
              <w:t>30930 Russell Ranch Road, Suite 300</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80" w:type="dxa"/>
            <w:vAlign w:val="bottom"/>
          </w:tcPr>
          <w:p>
            <w:pPr>
              <w:jc w:val="center"/>
              <w:ind w:left="1556"/>
              <w:spacing w:after="0"/>
              <w:rPr>
                <w:sz w:val="20"/>
                <w:szCs w:val="20"/>
                <w:color w:val="auto"/>
              </w:rPr>
            </w:pPr>
            <w:r>
              <w:rPr>
                <w:rFonts w:ascii="Arial" w:cs="Arial" w:eastAsia="Arial" w:hAnsi="Arial"/>
                <w:sz w:val="18"/>
                <w:szCs w:val="18"/>
                <w:b w:val="1"/>
                <w:bCs w:val="1"/>
                <w:color w:val="auto"/>
                <w:w w:val="92"/>
              </w:rPr>
              <w:t>Westlake Village, California</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00" w:type="dxa"/>
            <w:vAlign w:val="bottom"/>
          </w:tcPr>
          <w:p>
            <w:pPr>
              <w:jc w:val="right"/>
              <w:ind w:right="2536"/>
              <w:spacing w:after="0"/>
              <w:rPr>
                <w:sz w:val="20"/>
                <w:szCs w:val="20"/>
                <w:color w:val="auto"/>
              </w:rPr>
            </w:pPr>
            <w:r>
              <w:rPr>
                <w:rFonts w:ascii="Arial" w:cs="Arial" w:eastAsia="Arial" w:hAnsi="Arial"/>
                <w:sz w:val="18"/>
                <w:szCs w:val="18"/>
                <w:b w:val="1"/>
                <w:bCs w:val="1"/>
                <w:color w:val="auto"/>
              </w:rPr>
              <w:t>91362</w:t>
            </w:r>
          </w:p>
        </w:tc>
        <w:tc>
          <w:tcPr>
            <w:tcW w:w="0" w:type="dxa"/>
            <w:vAlign w:val="bottom"/>
          </w:tcPr>
          <w:p>
            <w:pPr>
              <w:spacing w:after="0"/>
              <w:rPr>
                <w:sz w:val="1"/>
                <w:szCs w:val="1"/>
                <w:color w:val="auto"/>
              </w:rPr>
            </w:pPr>
          </w:p>
        </w:tc>
      </w:tr>
      <w:tr>
        <w:trPr>
          <w:trHeight w:val="186"/>
        </w:trPr>
        <w:tc>
          <w:tcPr>
            <w:tcW w:w="4080" w:type="dxa"/>
            <w:vAlign w:val="bottom"/>
          </w:tcPr>
          <w:p>
            <w:pPr>
              <w:jc w:val="center"/>
              <w:ind w:left="157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00" w:type="dxa"/>
            <w:vAlign w:val="bottom"/>
          </w:tcPr>
          <w:p>
            <w:pPr>
              <w:jc w:val="center"/>
              <w:ind w:right="191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4080" w:type="dxa"/>
            <w:vAlign w:val="bottom"/>
          </w:tcPr>
          <w:p>
            <w:pPr>
              <w:spacing w:after="0"/>
              <w:rPr>
                <w:sz w:val="22"/>
                <w:szCs w:val="22"/>
                <w:color w:val="auto"/>
              </w:rPr>
            </w:pPr>
          </w:p>
        </w:tc>
        <w:tc>
          <w:tcPr>
            <w:tcW w:w="2780" w:type="dxa"/>
            <w:vAlign w:val="bottom"/>
            <w:gridSpan w:val="4"/>
          </w:tcPr>
          <w:p>
            <w:pPr>
              <w:jc w:val="center"/>
              <w:ind w:left="419"/>
              <w:spacing w:after="0"/>
              <w:rPr>
                <w:sz w:val="20"/>
                <w:szCs w:val="20"/>
                <w:color w:val="auto"/>
              </w:rPr>
            </w:pPr>
            <w:r>
              <w:rPr>
                <w:rFonts w:ascii="Arial" w:cs="Arial" w:eastAsia="Arial" w:hAnsi="Arial"/>
                <w:sz w:val="18"/>
                <w:szCs w:val="18"/>
                <w:b w:val="1"/>
                <w:bCs w:val="1"/>
                <w:color w:val="auto"/>
                <w:w w:val="90"/>
              </w:rPr>
              <w:t>(818) 661-5000</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6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3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720" w:type="dxa"/>
            <w:vAlign w:val="bottom"/>
            <w:gridSpan w:val="7"/>
          </w:tcPr>
          <w:p>
            <w:pPr>
              <w:jc w:val="center"/>
              <w:ind w:left="3616"/>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080" w:type="dxa"/>
            <w:vAlign w:val="bottom"/>
            <w:vMerge w:val="restart"/>
          </w:tcPr>
          <w:p>
            <w:pPr>
              <w:jc w:val="center"/>
              <w:ind w:left="196"/>
              <w:spacing w:after="0"/>
              <w:rPr>
                <w:sz w:val="20"/>
                <w:szCs w:val="20"/>
                <w:color w:val="auto"/>
              </w:rPr>
            </w:pPr>
            <w:r>
              <w:rPr>
                <w:rFonts w:ascii="Arial" w:cs="Arial" w:eastAsia="Arial" w:hAnsi="Arial"/>
                <w:sz w:val="14"/>
                <w:szCs w:val="14"/>
                <w:b w:val="1"/>
                <w:bCs w:val="1"/>
                <w:color w:val="auto"/>
                <w:w w:val="89"/>
              </w:rPr>
              <w:t>Title of each class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7"/>
              </w:rPr>
              <w:t>Trading</w:t>
            </w:r>
          </w:p>
        </w:tc>
        <w:tc>
          <w:tcPr>
            <w:tcW w:w="3700" w:type="dxa"/>
            <w:vAlign w:val="bottom"/>
            <w:vMerge w:val="restart"/>
          </w:tcPr>
          <w:p>
            <w:pPr>
              <w:jc w:val="center"/>
              <w:ind w:right="556"/>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80" w:type="dxa"/>
            <w:vAlign w:val="bottom"/>
            <w:tcBorders>
              <w:top w:val="single" w:sz="8" w:color="auto"/>
            </w:tcBorders>
          </w:tcPr>
          <w:p>
            <w:pPr>
              <w:jc w:val="center"/>
              <w:ind w:left="196"/>
              <w:spacing w:after="0"/>
              <w:rPr>
                <w:sz w:val="20"/>
                <w:szCs w:val="20"/>
                <w:color w:val="auto"/>
              </w:rPr>
            </w:pPr>
            <w:r>
              <w:rPr>
                <w:rFonts w:ascii="Arial" w:cs="Arial" w:eastAsia="Arial" w:hAnsi="Arial"/>
                <w:sz w:val="16"/>
                <w:szCs w:val="16"/>
                <w:color w:val="auto"/>
                <w:w w:val="90"/>
              </w:rPr>
              <w:t>Common Stock, par value $0.01 per share</w:t>
            </w: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MNKD</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right="53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2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2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60" w:type="dxa"/>
            <w:vAlign w:val="bottom"/>
          </w:tcPr>
          <w:p>
            <w:pPr>
              <w:ind w:left="32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2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2019, there were 206,408,240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064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640" w:type="dxa"/>
            <w:vAlign w:val="bottom"/>
            <w:gridSpan w:val="21"/>
            <w:vMerge w:val="continue"/>
          </w:tcPr>
          <w:p>
            <w:pPr>
              <w:spacing w:after="0"/>
              <w:rPr>
                <w:sz w:val="14"/>
                <w:szCs w:val="14"/>
                <w:color w:val="auto"/>
              </w:rPr>
            </w:pPr>
          </w:p>
        </w:tc>
        <w:tc>
          <w:tcPr>
            <w:tcW w:w="6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September 30, 2019 and December 31, 2018</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1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nine months ended September 30, 2019 and 2018</w:t>
              </w:r>
            </w:hyperlink>
          </w:p>
        </w:tc>
        <w:tc>
          <w:tcPr>
            <w:tcW w:w="2540" w:type="dxa"/>
            <w:vAlign w:val="bottom"/>
            <w:gridSpan w:val="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8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Three and nine months ended September 30, 2019 and 2018</w:t>
              </w:r>
            </w:hyperlink>
          </w:p>
        </w:tc>
        <w:tc>
          <w:tcPr>
            <w:tcW w:w="1820" w:type="dxa"/>
            <w:vAlign w:val="bottom"/>
            <w:gridSpan w:val="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Deficit: Three and nine months ended September 30, 2019 and 2018</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 Nine months ended September 30, 2019 and 2018</w:t>
              </w:r>
            </w:hyperlink>
          </w:p>
        </w:tc>
        <w:tc>
          <w:tcPr>
            <w:tcW w:w="1420" w:type="dxa"/>
            <w:vAlign w:val="bottom"/>
            <w:tcBorders>
              <w:top w:val="single" w:sz="8" w:color="0000EE"/>
            </w:tcBorders>
            <w:gridSpan w:val="3"/>
          </w:tcPr>
          <w:p>
            <w:pPr>
              <w:spacing w:after="0"/>
              <w:rPr>
                <w:sz w:val="17"/>
                <w:szCs w:val="17"/>
                <w:color w:val="auto"/>
              </w:rPr>
            </w:pPr>
          </w:p>
        </w:tc>
        <w:tc>
          <w:tcPr>
            <w:tcW w:w="180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620" w:type="dxa"/>
            <w:vAlign w:val="bottom"/>
            <w:gridSpan w:val="5"/>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 Controls and Procedures</w:t>
              </w:r>
            </w:hyperlink>
          </w:p>
        </w:tc>
        <w:tc>
          <w:tcPr>
            <w:tcW w:w="8280" w:type="dxa"/>
            <w:vAlign w:val="bottom"/>
            <w:gridSpan w:val="1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60" w:type="dxa"/>
            <w:vAlign w:val="bottom"/>
            <w:gridSpan w:val="12"/>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9040" w:type="dxa"/>
            <w:vAlign w:val="bottom"/>
            <w:gridSpan w:val="17"/>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Item 2. Unregistered Sales of Equity Securities and Use of Proceeds</w:t>
              </w:r>
            </w:hyperlink>
          </w:p>
        </w:tc>
        <w:tc>
          <w:tcPr>
            <w:tcW w:w="5720" w:type="dxa"/>
            <w:vAlign w:val="bottom"/>
            <w:gridSpan w:val="8"/>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3. Defaults Upon Senior Securities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Item 4. Mine Safety Disclosures</w:t>
              </w:r>
            </w:hyperlink>
          </w:p>
        </w:tc>
        <w:tc>
          <w:tcPr>
            <w:tcW w:w="560" w:type="dxa"/>
            <w:vAlign w:val="bottom"/>
            <w:tcBorders>
              <w:top w:val="single" w:sz="8" w:color="0000EE"/>
            </w:tcBorders>
            <w:gridSpan w:val="3"/>
          </w:tcPr>
          <w:p>
            <w:pPr>
              <w:spacing w:after="0"/>
              <w:rPr>
                <w:sz w:val="17"/>
                <w:szCs w:val="17"/>
                <w:color w:val="auto"/>
              </w:rPr>
            </w:pPr>
          </w:p>
        </w:tc>
        <w:tc>
          <w:tcPr>
            <w:tcW w:w="7740" w:type="dxa"/>
            <w:vAlign w:val="bottom"/>
            <w:gridSpan w:val="11"/>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5. Other Information</w:t>
              </w:r>
            </w:hyperlink>
          </w:p>
        </w:tc>
        <w:tc>
          <w:tcPr>
            <w:tcW w:w="8760" w:type="dxa"/>
            <w:vAlign w:val="bottom"/>
            <w:gridSpan w:val="16"/>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6. Exhibits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SIGNATURES</w:t>
              </w:r>
            </w:hyperlink>
          </w:p>
        </w:tc>
        <w:tc>
          <w:tcPr>
            <w:tcW w:w="9480" w:type="dxa"/>
            <w:vAlign w:val="bottom"/>
            <w:gridSpan w:val="18"/>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69"/>
        </w:trPr>
        <w:tc>
          <w:tcPr>
            <w:tcW w:w="100" w:type="dxa"/>
            <w:vAlign w:val="bottom"/>
            <w:gridSpan w:val="2"/>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5140" w:type="dxa"/>
            <w:vAlign w:val="bottom"/>
            <w:gridSpan w:val="13"/>
          </w:tcPr>
          <w:p>
            <w:pPr>
              <w:jc w:val="right"/>
              <w:ind w:right="56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September 30,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786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30,173</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81,854</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27,126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25,602</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Right-of-use and 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r>
      <w:tr>
        <w:trPr>
          <w:trHeight w:val="26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107,705</w:t>
            </w:r>
          </w:p>
        </w:tc>
        <w:tc>
          <w:tcPr>
            <w:tcW w:w="100" w:type="dxa"/>
            <w:vAlign w:val="bottom"/>
            <w:tcBorders>
              <w:bottom w:val="single" w:sz="8" w:color="CFF0FC"/>
            </w:tcBorders>
          </w:tcPr>
          <w:p>
            <w:pPr>
              <w:spacing w:after="0"/>
              <w:rPr>
                <w:sz w:val="22"/>
                <w:szCs w:val="22"/>
                <w:color w:val="auto"/>
              </w:rPr>
            </w:pPr>
          </w:p>
        </w:tc>
      </w:tr>
      <w:tr>
        <w:trPr>
          <w:trHeight w:val="210"/>
        </w:trPr>
        <w:tc>
          <w:tcPr>
            <w:tcW w:w="7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60" w:type="dxa"/>
            <w:vAlign w:val="bottom"/>
          </w:tcPr>
          <w:p>
            <w:pPr>
              <w:ind w:left="1860"/>
              <w:spacing w:after="0"/>
              <w:rPr>
                <w:sz w:val="20"/>
                <w:szCs w:val="20"/>
                <w:color w:val="auto"/>
              </w:rPr>
            </w:pPr>
            <w:r>
              <w:rPr>
                <w:rFonts w:ascii="Arial" w:cs="Arial" w:eastAsia="Arial" w:hAnsi="Arial"/>
                <w:sz w:val="18"/>
                <w:szCs w:val="18"/>
                <w:b w:val="1"/>
                <w:bCs w:val="1"/>
                <w:color w:val="auto"/>
              </w:rPr>
              <w:t>LIABILITIES AND STOCKHOLDERS' DEFICIT</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11,664</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15,022</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Facility financing obligation</w:t>
            </w: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convertible notes - current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Deferred revenue - current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32,212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36,885</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75,241</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19,099</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Credit facility</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38,798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Promissory notes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72,089</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Accrued interest - promissory notes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91,642</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Deferred revenue - long term</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Milestone rights liability</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7,201</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279,846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Common stock, $0.01 par value - 280,000,000 shares authorized,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tcPr>
          <w:p>
            <w:pPr>
              <w:ind w:left="140"/>
              <w:spacing w:after="0"/>
              <w:rPr>
                <w:sz w:val="20"/>
                <w:szCs w:val="20"/>
                <w:color w:val="auto"/>
              </w:rPr>
            </w:pPr>
            <w:r>
              <w:rPr>
                <w:rFonts w:ascii="Arial" w:cs="Arial" w:eastAsia="Arial" w:hAnsi="Arial"/>
                <w:sz w:val="18"/>
                <w:szCs w:val="18"/>
                <w:color w:val="auto"/>
              </w:rPr>
              <w:t>206,407,551 and 187,029,967 shares issued and outstanding at</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September 30, 2019 and December 31, 2018,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2,064</w:t>
            </w:r>
          </w:p>
        </w:tc>
        <w:tc>
          <w:tcPr>
            <w:tcW w:w="1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2,790,890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2,763,067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(2,977,640)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(2,940,000)</w:t>
            </w:r>
          </w:p>
        </w:tc>
      </w:tr>
      <w:tr>
        <w:trPr>
          <w:trHeight w:val="22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(184,706)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(175,082)</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6,402</w:t>
            </w:r>
          </w:p>
        </w:tc>
        <w:tc>
          <w:tcPr>
            <w:tcW w:w="160" w:type="dxa"/>
            <w:vAlign w:val="bottom"/>
          </w:tcPr>
          <w:p>
            <w:pPr>
              <w:spacing w:after="0"/>
              <w:rPr>
                <w:sz w:val="19"/>
                <w:szCs w:val="19"/>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4,387</w:t>
            </w:r>
          </w:p>
        </w:tc>
        <w:tc>
          <w:tcPr>
            <w:tcW w:w="14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17,543</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Revenue - other</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6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47,045</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Expenses: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foreign currency translation</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(4,495)</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6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80,290</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Other (expense) income: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Interest expense on notes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(5,283)</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promissory notes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(3,351)</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Gain (loss) on extinguishment of debt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6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FF0FC"/>
            </w:tcBorders>
            <w:vMerge w:val="continue"/>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6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199,906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153,597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191,786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3"/>
        </w:trPr>
        <w:tc>
          <w:tcPr>
            <w:tcW w:w="55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(77,224)</w:t>
            </w:r>
          </w:p>
        </w:tc>
        <w:tc>
          <w:tcPr>
            <w:tcW w:w="12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gain</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(77,225)</w:t>
            </w:r>
          </w:p>
        </w:tc>
        <w:tc>
          <w:tcPr>
            <w:tcW w:w="12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780" w:type="dxa"/>
            <w:vAlign w:val="bottom"/>
          </w:tcPr>
          <w:p>
            <w:pPr>
              <w:spacing w:after="0"/>
              <w:rPr>
                <w:sz w:val="13"/>
                <w:szCs w:val="13"/>
                <w:color w:val="auto"/>
              </w:rPr>
            </w:pPr>
          </w:p>
        </w:tc>
        <w:tc>
          <w:tcPr>
            <w:tcW w:w="20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0"/>
              </w:rPr>
              <w:t>Accumulated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780" w:type="dxa"/>
            <w:vAlign w:val="bottom"/>
          </w:tcPr>
          <w:p>
            <w:pPr>
              <w:spacing w:after="0"/>
              <w:rPr>
                <w:sz w:val="12"/>
                <w:szCs w:val="12"/>
                <w:color w:val="auto"/>
              </w:rPr>
            </w:pPr>
          </w:p>
        </w:tc>
        <w:tc>
          <w:tcPr>
            <w:tcW w:w="1280" w:type="dxa"/>
            <w:vAlign w:val="bottom"/>
            <w:gridSpan w:val="2"/>
          </w:tcPr>
          <w:p>
            <w:pPr>
              <w:ind w:left="340"/>
              <w:spacing w:after="0" w:line="143" w:lineRule="exact"/>
              <w:rPr>
                <w:sz w:val="20"/>
                <w:szCs w:val="20"/>
                <w:color w:val="auto"/>
              </w:rPr>
            </w:pPr>
            <w:r>
              <w:rPr>
                <w:rFonts w:ascii="Arial" w:cs="Arial" w:eastAsia="Arial" w:hAnsi="Arial"/>
                <w:sz w:val="13"/>
                <w:szCs w:val="13"/>
                <w:b w:val="1"/>
                <w:bCs w:val="1"/>
                <w:color w:val="auto"/>
              </w:rPr>
              <w:t>Shares</w:t>
            </w:r>
          </w:p>
        </w:tc>
        <w:tc>
          <w:tcPr>
            <w:tcW w:w="74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60"/>
              <w:spacing w:after="0" w:line="143"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0"/>
              <w:spacing w:after="0" w:line="143" w:lineRule="exact"/>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2"/>
                <w:szCs w:val="12"/>
                <w:color w:val="auto"/>
              </w:rPr>
            </w:pPr>
          </w:p>
        </w:tc>
        <w:tc>
          <w:tcPr>
            <w:tcW w:w="960" w:type="dxa"/>
            <w:vAlign w:val="bottom"/>
            <w:gridSpan w:val="2"/>
          </w:tcPr>
          <w:p>
            <w:pPr>
              <w:jc w:val="right"/>
              <w:ind w:right="520"/>
              <w:spacing w:after="0" w:line="143" w:lineRule="exact"/>
              <w:rPr>
                <w:sz w:val="20"/>
                <w:szCs w:val="20"/>
                <w:color w:val="auto"/>
              </w:rPr>
            </w:pPr>
            <w:r>
              <w:rPr>
                <w:rFonts w:ascii="Arial" w:cs="Arial" w:eastAsia="Arial" w:hAnsi="Arial"/>
                <w:sz w:val="13"/>
                <w:szCs w:val="13"/>
                <w:b w:val="1"/>
                <w:bCs w:val="1"/>
                <w:color w:val="auto"/>
              </w:rPr>
              <w:t>Total</w:t>
            </w:r>
          </w:p>
        </w:tc>
      </w:tr>
      <w:tr>
        <w:trPr>
          <w:trHeight w:val="142"/>
        </w:trPr>
        <w:tc>
          <w:tcPr>
            <w:tcW w:w="37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JANUARY 1, 2018</w:t>
            </w:r>
          </w:p>
        </w:tc>
        <w:tc>
          <w:tcPr>
            <w:tcW w:w="10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119,053</w:t>
            </w:r>
          </w:p>
        </w:tc>
        <w:tc>
          <w:tcPr>
            <w:tcW w:w="24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5"/>
              </w:rPr>
              <w:t>1,191</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2,638,992</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(2,854,898)</w:t>
            </w: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(214,733)</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Adjustment to adopt ASU 2016-09</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1,873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1,873</w:t>
            </w:r>
          </w:p>
        </w:tc>
        <w:tc>
          <w:tcPr>
            <w:tcW w:w="100" w:type="dxa"/>
            <w:vAlign w:val="bottom"/>
          </w:tcPr>
          <w:p>
            <w:pPr>
              <w:spacing w:after="0"/>
              <w:rPr>
                <w:sz w:val="12"/>
                <w:szCs w:val="12"/>
                <w:color w:val="auto"/>
              </w:rPr>
            </w:pPr>
          </w:p>
        </w:tc>
      </w:tr>
      <w:tr>
        <w:trPr>
          <w:trHeight w:val="134"/>
        </w:trPr>
        <w:tc>
          <w:tcPr>
            <w:tcW w:w="37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from the release of restricted</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stock units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(81)</w:t>
            </w:r>
          </w:p>
        </w:tc>
      </w:tr>
      <w:tr>
        <w:trPr>
          <w:trHeight w:val="134"/>
        </w:trPr>
        <w:tc>
          <w:tcPr>
            <w:tcW w:w="37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under Employee Stock</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tcPr>
          <w:p>
            <w:pPr>
              <w:ind w:left="220"/>
              <w:spacing w:after="0"/>
              <w:rPr>
                <w:sz w:val="20"/>
                <w:szCs w:val="20"/>
                <w:color w:val="auto"/>
              </w:rPr>
            </w:pPr>
            <w:r>
              <w:rPr>
                <w:rFonts w:ascii="Arial" w:cs="Arial" w:eastAsia="Arial" w:hAnsi="Arial"/>
                <w:sz w:val="13"/>
                <w:szCs w:val="13"/>
                <w:color w:val="auto"/>
              </w:rPr>
              <w:t>Purchase Plan</w:t>
            </w:r>
          </w:p>
        </w:tc>
        <w:tc>
          <w:tcPr>
            <w:tcW w:w="1040" w:type="dxa"/>
            <w:vAlign w:val="bottom"/>
          </w:tcPr>
          <w:p>
            <w:pPr>
              <w:jc w:val="right"/>
              <w:spacing w:after="0"/>
              <w:rPr>
                <w:sz w:val="20"/>
                <w:szCs w:val="20"/>
                <w:color w:val="auto"/>
              </w:rPr>
            </w:pPr>
            <w:r>
              <w:rPr>
                <w:rFonts w:ascii="Arial" w:cs="Arial" w:eastAsia="Arial" w:hAnsi="Arial"/>
                <w:sz w:val="13"/>
                <w:szCs w:val="13"/>
                <w:color w:val="auto"/>
              </w:rPr>
              <w:t>137</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r>
      <w:tr>
        <w:trPr>
          <w:trHeight w:val="149"/>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w:t>
            </w:r>
          </w:p>
        </w:tc>
        <w:tc>
          <w:tcPr>
            <w:tcW w:w="100" w:type="dxa"/>
            <w:vAlign w:val="bottom"/>
            <w:shd w:val="clear" w:color="auto" w:fill="CFF0FC"/>
          </w:tcPr>
          <w:p>
            <w:pPr>
              <w:spacing w:after="0"/>
              <w:rPr>
                <w:sz w:val="12"/>
                <w:szCs w:val="12"/>
                <w:color w:val="auto"/>
              </w:rPr>
            </w:pPr>
          </w:p>
        </w:tc>
      </w:tr>
      <w:tr>
        <w:trPr>
          <w:trHeight w:val="134"/>
        </w:trPr>
        <w:tc>
          <w:tcPr>
            <w:tcW w:w="37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tcPr>
          <w:p>
            <w:pPr>
              <w:ind w:left="220"/>
              <w:spacing w:after="0"/>
              <w:rPr>
                <w:sz w:val="20"/>
                <w:szCs w:val="20"/>
                <w:color w:val="auto"/>
              </w:rPr>
            </w:pPr>
            <w:r>
              <w:rPr>
                <w:rFonts w:ascii="Arial" w:cs="Arial" w:eastAsia="Arial" w:hAnsi="Arial"/>
                <w:sz w:val="13"/>
                <w:szCs w:val="13"/>
                <w:color w:val="auto"/>
              </w:rPr>
              <w:t>Facility Financing Obligation</w:t>
            </w:r>
          </w:p>
        </w:tc>
        <w:tc>
          <w:tcPr>
            <w:tcW w:w="1040" w:type="dxa"/>
            <w:vAlign w:val="bottom"/>
          </w:tcPr>
          <w:p>
            <w:pPr>
              <w:jc w:val="right"/>
              <w:spacing w:after="0"/>
              <w:rPr>
                <w:sz w:val="20"/>
                <w:szCs w:val="20"/>
                <w:color w:val="auto"/>
              </w:rPr>
            </w:pPr>
            <w:r>
              <w:rPr>
                <w:rFonts w:ascii="Arial" w:cs="Arial" w:eastAsia="Arial" w:hAnsi="Arial"/>
                <w:sz w:val="13"/>
                <w:szCs w:val="13"/>
                <w:color w:val="auto"/>
              </w:rPr>
              <w:t>3,549</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9,407</w:t>
            </w:r>
          </w:p>
        </w:tc>
        <w:tc>
          <w:tcPr>
            <w:tcW w:w="100" w:type="dxa"/>
            <w:vAlign w:val="bottom"/>
          </w:tcPr>
          <w:p>
            <w:pPr>
              <w:spacing w:after="0"/>
              <w:rPr>
                <w:sz w:val="12"/>
                <w:szCs w:val="12"/>
                <w:color w:val="auto"/>
              </w:rPr>
            </w:pPr>
          </w:p>
        </w:tc>
      </w:tr>
      <w:tr>
        <w:trPr>
          <w:trHeight w:val="134"/>
        </w:trPr>
        <w:tc>
          <w:tcPr>
            <w:tcW w:w="37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stock pursuant to conversion of former</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Related Party Notes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8,160</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Cumulative translation gain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r>
      <w:tr>
        <w:trPr>
          <w:trHeight w:val="149"/>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Amortization of shelf fees</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w:t>
            </w: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Issuance of common stock in at-the-market offering</w:t>
            </w:r>
          </w:p>
        </w:tc>
        <w:tc>
          <w:tcPr>
            <w:tcW w:w="1040" w:type="dxa"/>
            <w:vAlign w:val="bottom"/>
          </w:tcPr>
          <w:p>
            <w:pPr>
              <w:jc w:val="right"/>
              <w:spacing w:after="0"/>
              <w:rPr>
                <w:sz w:val="20"/>
                <w:szCs w:val="20"/>
                <w:color w:val="auto"/>
              </w:rPr>
            </w:pPr>
            <w:r>
              <w:rPr>
                <w:rFonts w:ascii="Arial" w:cs="Arial" w:eastAsia="Arial" w:hAnsi="Arial"/>
                <w:sz w:val="13"/>
                <w:szCs w:val="13"/>
                <w:color w:val="auto"/>
              </w:rPr>
              <w:t>214</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2"/>
                <w:szCs w:val="12"/>
                <w:color w:val="auto"/>
              </w:rPr>
            </w:pPr>
          </w:p>
        </w:tc>
      </w:tr>
      <w:tr>
        <w:trPr>
          <w:trHeight w:val="149"/>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Issuance costs associated with at-the-market offering</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w:t>
            </w: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(30,385)</w:t>
            </w:r>
          </w:p>
        </w:tc>
        <w:tc>
          <w:tcPr>
            <w:tcW w:w="2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(30,385)</w:t>
            </w:r>
          </w:p>
        </w:tc>
      </w:tr>
      <w:tr>
        <w:trPr>
          <w:trHeight w:val="142"/>
        </w:trPr>
        <w:tc>
          <w:tcPr>
            <w:tcW w:w="37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MARCH 31, 2018</w:t>
            </w: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126,013</w:t>
            </w:r>
          </w:p>
        </w:tc>
        <w:tc>
          <w:tcPr>
            <w:tcW w:w="24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5"/>
              </w:rPr>
              <w:t>1,260</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2,658,957</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(15)</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(2,883,410)</w:t>
            </w: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(223,208)</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7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from the release of restricted</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stock units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(104)</w:t>
            </w: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r>
      <w:tr>
        <w:trPr>
          <w:trHeight w:val="149"/>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2,209</w:t>
            </w:r>
          </w:p>
        </w:tc>
        <w:tc>
          <w:tcPr>
            <w:tcW w:w="100" w:type="dxa"/>
            <w:vAlign w:val="bottom"/>
            <w:shd w:val="clear" w:color="auto" w:fill="CFF0FC"/>
          </w:tcPr>
          <w:p>
            <w:pPr>
              <w:spacing w:after="0"/>
              <w:rPr>
                <w:sz w:val="12"/>
                <w:szCs w:val="12"/>
                <w:color w:val="auto"/>
              </w:rPr>
            </w:pPr>
          </w:p>
        </w:tc>
      </w:tr>
      <w:tr>
        <w:trPr>
          <w:trHeight w:val="134"/>
        </w:trPr>
        <w:tc>
          <w:tcPr>
            <w:tcW w:w="37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tcPr>
          <w:p>
            <w:pPr>
              <w:ind w:left="220"/>
              <w:spacing w:after="0"/>
              <w:rPr>
                <w:sz w:val="20"/>
                <w:szCs w:val="20"/>
                <w:color w:val="auto"/>
              </w:rPr>
            </w:pPr>
            <w:r>
              <w:rPr>
                <w:rFonts w:ascii="Arial" w:cs="Arial" w:eastAsia="Arial" w:hAnsi="Arial"/>
                <w:sz w:val="13"/>
                <w:szCs w:val="13"/>
                <w:color w:val="auto"/>
              </w:rPr>
              <w:t>Facility Financing Obligation</w:t>
            </w:r>
          </w:p>
        </w:tc>
        <w:tc>
          <w:tcPr>
            <w:tcW w:w="1040" w:type="dxa"/>
            <w:vAlign w:val="bottom"/>
          </w:tcPr>
          <w:p>
            <w:pPr>
              <w:jc w:val="right"/>
              <w:spacing w:after="0"/>
              <w:rPr>
                <w:sz w:val="20"/>
                <w:szCs w:val="20"/>
                <w:color w:val="auto"/>
              </w:rPr>
            </w:pPr>
            <w:r>
              <w:rPr>
                <w:rFonts w:ascii="Arial" w:cs="Arial" w:eastAsia="Arial" w:hAnsi="Arial"/>
                <w:sz w:val="13"/>
                <w:szCs w:val="13"/>
                <w:color w:val="auto"/>
              </w:rPr>
              <w:t>3,061</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6,000</w:t>
            </w:r>
          </w:p>
        </w:tc>
        <w:tc>
          <w:tcPr>
            <w:tcW w:w="100" w:type="dxa"/>
            <w:vAlign w:val="bottom"/>
          </w:tcPr>
          <w:p>
            <w:pPr>
              <w:spacing w:after="0"/>
              <w:rPr>
                <w:sz w:val="12"/>
                <w:szCs w:val="12"/>
                <w:color w:val="auto"/>
              </w:rPr>
            </w:pPr>
          </w:p>
        </w:tc>
      </w:tr>
      <w:tr>
        <w:trPr>
          <w:trHeight w:val="134"/>
        </w:trPr>
        <w:tc>
          <w:tcPr>
            <w:tcW w:w="37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Senior Convertible Notes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2,250</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4,442</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Cumulative translation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r>
      <w:tr>
        <w:trPr>
          <w:trHeight w:val="149"/>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Amortization of shelf fees</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w:t>
            </w:r>
          </w:p>
        </w:tc>
      </w:tr>
      <w:tr>
        <w:trPr>
          <w:trHeight w:val="134"/>
        </w:trPr>
        <w:tc>
          <w:tcPr>
            <w:tcW w:w="37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under Market Price Stock</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tcPr>
          <w:p>
            <w:pPr>
              <w:ind w:left="220"/>
              <w:spacing w:after="0"/>
              <w:rPr>
                <w:sz w:val="20"/>
                <w:szCs w:val="20"/>
                <w:color w:val="auto"/>
              </w:rPr>
            </w:pPr>
            <w:r>
              <w:rPr>
                <w:rFonts w:ascii="Arial" w:cs="Arial" w:eastAsia="Arial" w:hAnsi="Arial"/>
                <w:sz w:val="13"/>
                <w:szCs w:val="13"/>
                <w:color w:val="auto"/>
              </w:rPr>
              <w:t>Purchase Plan</w:t>
            </w:r>
          </w:p>
        </w:tc>
        <w:tc>
          <w:tcPr>
            <w:tcW w:w="1040" w:type="dxa"/>
            <w:vAlign w:val="bottom"/>
          </w:tcPr>
          <w:p>
            <w:pPr>
              <w:jc w:val="right"/>
              <w:spacing w:after="0"/>
              <w:rPr>
                <w:sz w:val="20"/>
                <w:szCs w:val="20"/>
                <w:color w:val="auto"/>
              </w:rPr>
            </w:pPr>
            <w:r>
              <w:rPr>
                <w:rFonts w:ascii="Arial" w:cs="Arial" w:eastAsia="Arial" w:hAnsi="Arial"/>
                <w:sz w:val="13"/>
                <w:szCs w:val="13"/>
                <w:color w:val="auto"/>
              </w:rPr>
              <w:t>184</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2"/>
                <w:szCs w:val="12"/>
                <w:color w:val="auto"/>
              </w:rPr>
            </w:pPr>
          </w:p>
        </w:tc>
      </w:tr>
      <w:tr>
        <w:trPr>
          <w:trHeight w:val="149"/>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Issuance of common stock in direct placement</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27,860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27,860</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Issuance costs associated with direct placement</w:t>
            </w:r>
          </w:p>
        </w:tc>
        <w:tc>
          <w:tcPr>
            <w:tcW w:w="1040" w:type="dxa"/>
            <w:vAlign w:val="bottom"/>
          </w:tcPr>
          <w:p>
            <w:pPr>
              <w:jc w:val="right"/>
              <w:spacing w:after="0"/>
              <w:rPr>
                <w:sz w:val="20"/>
                <w:szCs w:val="20"/>
                <w:color w:val="auto"/>
              </w:rPr>
            </w:pPr>
            <w:r>
              <w:rPr>
                <w:rFonts w:ascii="Arial" w:cs="Arial" w:eastAsia="Arial" w:hAnsi="Arial"/>
                <w:sz w:val="13"/>
                <w:szCs w:val="13"/>
                <w:color w:val="auto"/>
              </w:rPr>
              <w:t>14,000</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(1,610)</w:t>
            </w: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(1,470)</w:t>
            </w:r>
          </w:p>
        </w:tc>
      </w:tr>
      <w:tr>
        <w:trPr>
          <w:trHeight w:val="149"/>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(22,675)</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(22,675)</w:t>
            </w:r>
          </w:p>
        </w:tc>
      </w:tr>
      <w:tr>
        <w:trPr>
          <w:trHeight w:val="182"/>
        </w:trPr>
        <w:tc>
          <w:tcPr>
            <w:tcW w:w="378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BALANCE, JUNE 30, 2018</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145,619</w:t>
            </w:r>
          </w:p>
        </w:tc>
        <w:tc>
          <w:tcPr>
            <w:tcW w:w="240" w:type="dxa"/>
            <w:vAlign w:val="bottom"/>
            <w:tcBorders>
              <w:bottom w:val="single" w:sz="8" w:color="CFF0FC"/>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1,456</w:t>
            </w:r>
          </w:p>
        </w:tc>
        <w:tc>
          <w:tcPr>
            <w:tcW w:w="2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2,698,028</w:t>
            </w:r>
          </w:p>
        </w:tc>
        <w:tc>
          <w:tcPr>
            <w:tcW w:w="2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(2,906,085)</w:t>
            </w:r>
          </w:p>
        </w:tc>
        <w:tc>
          <w:tcPr>
            <w:tcW w:w="24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(206,619)</w:t>
            </w:r>
          </w:p>
        </w:tc>
        <w:tc>
          <w:tcPr>
            <w:tcW w:w="100" w:type="dxa"/>
            <w:vAlign w:val="bottom"/>
            <w:tcBorders>
              <w:bottom w:val="single" w:sz="8" w:color="CFF0FC"/>
            </w:tcBorders>
          </w:tcPr>
          <w:p>
            <w:pPr>
              <w:spacing w:after="0"/>
              <w:rPr>
                <w:sz w:val="15"/>
                <w:szCs w:val="15"/>
                <w:color w:val="auto"/>
              </w:rPr>
            </w:pPr>
          </w:p>
        </w:tc>
      </w:tr>
      <w:tr>
        <w:trPr>
          <w:trHeight w:val="129"/>
        </w:trPr>
        <w:tc>
          <w:tcPr>
            <w:tcW w:w="37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r>
      <w:tr>
        <w:trPr>
          <w:trHeight w:val="134"/>
        </w:trPr>
        <w:tc>
          <w:tcPr>
            <w:tcW w:w="37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under Employee Stock</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Purchase Plan</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1,562</w:t>
            </w:r>
          </w:p>
        </w:tc>
        <w:tc>
          <w:tcPr>
            <w:tcW w:w="100" w:type="dxa"/>
            <w:vAlign w:val="bottom"/>
          </w:tcPr>
          <w:p>
            <w:pPr>
              <w:spacing w:after="0"/>
              <w:rPr>
                <w:sz w:val="12"/>
                <w:szCs w:val="12"/>
                <w:color w:val="auto"/>
              </w:rPr>
            </w:pPr>
          </w:p>
        </w:tc>
      </w:tr>
      <w:tr>
        <w:trPr>
          <w:trHeight w:val="134"/>
        </w:trPr>
        <w:tc>
          <w:tcPr>
            <w:tcW w:w="37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Facility Financing Obligation</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13,117</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22,590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22,721</w:t>
            </w:r>
          </w:p>
        </w:tc>
        <w:tc>
          <w:tcPr>
            <w:tcW w:w="100" w:type="dxa"/>
            <w:vAlign w:val="bottom"/>
            <w:shd w:val="clear" w:color="auto" w:fill="CFF0FC"/>
          </w:tcPr>
          <w:p>
            <w:pPr>
              <w:spacing w:after="0"/>
              <w:rPr>
                <w:sz w:val="12"/>
                <w:szCs w:val="12"/>
                <w:color w:val="auto"/>
              </w:rPr>
            </w:pPr>
          </w:p>
        </w:tc>
      </w:tr>
      <w:tr>
        <w:trPr>
          <w:trHeight w:val="134"/>
        </w:trPr>
        <w:tc>
          <w:tcPr>
            <w:tcW w:w="37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shares from the release of restricted</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780" w:type="dxa"/>
            <w:vAlign w:val="bottom"/>
          </w:tcPr>
          <w:p>
            <w:pPr>
              <w:ind w:left="220"/>
              <w:spacing w:after="0"/>
              <w:rPr>
                <w:sz w:val="20"/>
                <w:szCs w:val="20"/>
                <w:color w:val="auto"/>
              </w:rPr>
            </w:pPr>
            <w:r>
              <w:rPr>
                <w:rFonts w:ascii="Arial" w:cs="Arial" w:eastAsia="Arial" w:hAnsi="Arial"/>
                <w:sz w:val="13"/>
                <w:szCs w:val="13"/>
                <w:color w:val="auto"/>
              </w:rPr>
              <w:t>stock units</w:t>
            </w:r>
          </w:p>
        </w:tc>
        <w:tc>
          <w:tcPr>
            <w:tcW w:w="1040" w:type="dxa"/>
            <w:vAlign w:val="bottom"/>
          </w:tcPr>
          <w:p>
            <w:pPr>
              <w:jc w:val="right"/>
              <w:spacing w:after="0"/>
              <w:rPr>
                <w:sz w:val="20"/>
                <w:szCs w:val="20"/>
                <w:color w:val="auto"/>
              </w:rPr>
            </w:pPr>
            <w:r>
              <w:rPr>
                <w:rFonts w:ascii="Arial" w:cs="Arial" w:eastAsia="Arial" w:hAnsi="Arial"/>
                <w:sz w:val="13"/>
                <w:szCs w:val="13"/>
                <w:color w:val="auto"/>
              </w:rPr>
              <w:t>20</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7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Senior Convertible Notes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Issuance of common stock in at-the-market offering</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2"/>
                <w:szCs w:val="12"/>
                <w:color w:val="auto"/>
              </w:rPr>
            </w:pPr>
          </w:p>
        </w:tc>
      </w:tr>
      <w:tr>
        <w:trPr>
          <w:trHeight w:val="149"/>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Issuance costs associated with at-the-market offering</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w:t>
            </w:r>
          </w:p>
        </w:tc>
      </w:tr>
      <w:tr>
        <w:trPr>
          <w:trHeight w:val="149"/>
        </w:trPr>
        <w:tc>
          <w:tcPr>
            <w:tcW w:w="378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(24,164)</w:t>
            </w:r>
          </w:p>
        </w:tc>
        <w:tc>
          <w:tcPr>
            <w:tcW w:w="2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(24,164)</w:t>
            </w:r>
          </w:p>
        </w:tc>
      </w:tr>
      <w:tr>
        <w:trPr>
          <w:trHeight w:val="142"/>
        </w:trPr>
        <w:tc>
          <w:tcPr>
            <w:tcW w:w="378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SEPTEMBER 30, 2018</w:t>
            </w: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159,497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5"/>
              </w:rPr>
              <w:t>1,594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2,723,232</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(2,930,249)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(205,441)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680" w:type="dxa"/>
            <w:vAlign w:val="bottom"/>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680" w:type="dxa"/>
            <w:vAlign w:val="bottom"/>
          </w:tcPr>
          <w:p>
            <w:pPr>
              <w:spacing w:after="0"/>
              <w:rPr>
                <w:sz w:val="12"/>
                <w:szCs w:val="12"/>
                <w:color w:val="auto"/>
              </w:rPr>
            </w:pPr>
          </w:p>
        </w:tc>
        <w:tc>
          <w:tcPr>
            <w:tcW w:w="1020" w:type="dxa"/>
            <w:vAlign w:val="bottom"/>
          </w:tcPr>
          <w:p>
            <w:pPr>
              <w:jc w:val="right"/>
              <w:ind w:right="277"/>
              <w:spacing w:after="0" w:line="143" w:lineRule="exact"/>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237"/>
              <w:spacing w:after="0" w:line="143" w:lineRule="exact"/>
              <w:rPr>
                <w:sz w:val="20"/>
                <w:szCs w:val="20"/>
                <w:color w:val="auto"/>
              </w:rPr>
            </w:pPr>
            <w:r>
              <w:rPr>
                <w:rFonts w:ascii="Arial" w:cs="Arial" w:eastAsia="Arial" w:hAnsi="Arial"/>
                <w:sz w:val="13"/>
                <w:szCs w:val="13"/>
                <w:b w:val="1"/>
                <w:bCs w:val="1"/>
                <w:color w:val="auto"/>
                <w:w w:val="89"/>
              </w:rPr>
              <w:t>Amount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600"/>
              <w:spacing w:after="0" w:line="143"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2"/>
                <w:szCs w:val="12"/>
                <w:color w:val="auto"/>
              </w:rPr>
            </w:pPr>
          </w:p>
        </w:tc>
        <w:tc>
          <w:tcPr>
            <w:tcW w:w="124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2"/>
                <w:szCs w:val="12"/>
                <w:color w:val="auto"/>
              </w:rPr>
            </w:pPr>
          </w:p>
        </w:tc>
        <w:tc>
          <w:tcPr>
            <w:tcW w:w="1220" w:type="dxa"/>
            <w:vAlign w:val="bottom"/>
            <w:gridSpan w:val="2"/>
          </w:tcPr>
          <w:p>
            <w:pPr>
              <w:jc w:val="right"/>
              <w:ind w:right="640"/>
              <w:spacing w:after="0" w:line="143"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500"/>
              <w:spacing w:after="0" w:line="143" w:lineRule="exact"/>
              <w:rPr>
                <w:sz w:val="20"/>
                <w:szCs w:val="20"/>
                <w:color w:val="auto"/>
              </w:rPr>
            </w:pPr>
            <w:r>
              <w:rPr>
                <w:rFonts w:ascii="Arial" w:cs="Arial" w:eastAsia="Arial" w:hAnsi="Arial"/>
                <w:sz w:val="13"/>
                <w:szCs w:val="13"/>
                <w:b w:val="1"/>
                <w:bCs w:val="1"/>
                <w:color w:val="auto"/>
              </w:rPr>
              <w:t>Total</w:t>
            </w:r>
          </w:p>
        </w:tc>
      </w:tr>
      <w:tr>
        <w:trPr>
          <w:trHeight w:val="142"/>
        </w:trPr>
        <w:tc>
          <w:tcPr>
            <w:tcW w:w="36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JANUARY 1, 2019</w:t>
            </w:r>
          </w:p>
        </w:tc>
        <w:tc>
          <w:tcPr>
            <w:tcW w:w="10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187,030</w:t>
            </w:r>
          </w:p>
        </w:tc>
        <w:tc>
          <w:tcPr>
            <w:tcW w:w="3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1,870</w:t>
            </w:r>
          </w:p>
        </w:tc>
        <w:tc>
          <w:tcPr>
            <w:tcW w:w="2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2,763,067</w:t>
            </w:r>
          </w:p>
        </w:tc>
        <w:tc>
          <w:tcPr>
            <w:tcW w:w="2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(19)</w:t>
            </w: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(2,940,000)</w:t>
            </w: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(175,082)</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3680" w:type="dxa"/>
            <w:vAlign w:val="bottom"/>
          </w:tcPr>
          <w:p>
            <w:pPr>
              <w:ind w:left="140"/>
              <w:spacing w:after="0"/>
              <w:rPr>
                <w:sz w:val="20"/>
                <w:szCs w:val="20"/>
                <w:color w:val="auto"/>
              </w:rPr>
            </w:pPr>
            <w:r>
              <w:rPr>
                <w:rFonts w:ascii="Arial" w:cs="Arial" w:eastAsia="Arial" w:hAnsi="Arial"/>
                <w:sz w:val="13"/>
                <w:szCs w:val="13"/>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r>
      <w:tr>
        <w:trPr>
          <w:trHeight w:val="134"/>
        </w:trPr>
        <w:tc>
          <w:tcPr>
            <w:tcW w:w="36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from the release of restricted</w:t>
            </w:r>
          </w:p>
        </w:tc>
        <w:tc>
          <w:tcPr>
            <w:tcW w:w="10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6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w:t>
            </w:r>
          </w:p>
        </w:tc>
      </w:tr>
      <w:tr>
        <w:trPr>
          <w:trHeight w:val="134"/>
        </w:trPr>
        <w:tc>
          <w:tcPr>
            <w:tcW w:w="36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under Employee Stock</w:t>
            </w: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680" w:type="dxa"/>
            <w:vAlign w:val="bottom"/>
          </w:tcPr>
          <w:p>
            <w:pPr>
              <w:ind w:left="220"/>
              <w:spacing w:after="0"/>
              <w:rPr>
                <w:sz w:val="20"/>
                <w:szCs w:val="20"/>
                <w:color w:val="auto"/>
              </w:rPr>
            </w:pPr>
            <w:r>
              <w:rPr>
                <w:rFonts w:ascii="Arial" w:cs="Arial" w:eastAsia="Arial" w:hAnsi="Arial"/>
                <w:sz w:val="13"/>
                <w:szCs w:val="13"/>
                <w:color w:val="auto"/>
              </w:rPr>
              <w:t>Purchase Plan</w:t>
            </w:r>
          </w:p>
        </w:tc>
        <w:tc>
          <w:tcPr>
            <w:tcW w:w="1020" w:type="dxa"/>
            <w:vAlign w:val="bottom"/>
          </w:tcPr>
          <w:p>
            <w:pPr>
              <w:jc w:val="right"/>
              <w:spacing w:after="0"/>
              <w:rPr>
                <w:sz w:val="20"/>
                <w:szCs w:val="20"/>
                <w:color w:val="auto"/>
              </w:rPr>
            </w:pPr>
            <w:r>
              <w:rPr>
                <w:rFonts w:ascii="Arial" w:cs="Arial" w:eastAsia="Arial" w:hAnsi="Arial"/>
                <w:sz w:val="13"/>
                <w:szCs w:val="13"/>
                <w:color w:val="auto"/>
              </w:rPr>
              <w:t>296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2"/>
                <w:szCs w:val="12"/>
                <w:color w:val="auto"/>
              </w:rPr>
            </w:pPr>
          </w:p>
        </w:tc>
      </w:tr>
      <w:tr>
        <w:trPr>
          <w:trHeight w:val="149"/>
        </w:trPr>
        <w:tc>
          <w:tcPr>
            <w:tcW w:w="3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1,104</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1,104</w:t>
            </w:r>
          </w:p>
        </w:tc>
        <w:tc>
          <w:tcPr>
            <w:tcW w:w="100" w:type="dxa"/>
            <w:vAlign w:val="bottom"/>
            <w:shd w:val="clear" w:color="auto" w:fill="CFF0FC"/>
          </w:tcPr>
          <w:p>
            <w:pPr>
              <w:spacing w:after="0"/>
              <w:rPr>
                <w:sz w:val="12"/>
                <w:szCs w:val="12"/>
                <w:color w:val="auto"/>
              </w:rPr>
            </w:pPr>
          </w:p>
        </w:tc>
      </w:tr>
      <w:tr>
        <w:trPr>
          <w:trHeight w:val="134"/>
        </w:trPr>
        <w:tc>
          <w:tcPr>
            <w:tcW w:w="36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680" w:type="dxa"/>
            <w:vAlign w:val="bottom"/>
          </w:tcPr>
          <w:p>
            <w:pPr>
              <w:ind w:left="220"/>
              <w:spacing w:after="0"/>
              <w:rPr>
                <w:sz w:val="20"/>
                <w:szCs w:val="20"/>
                <w:color w:val="auto"/>
              </w:rPr>
            </w:pPr>
            <w:r>
              <w:rPr>
                <w:rFonts w:ascii="Arial" w:cs="Arial" w:eastAsia="Arial" w:hAnsi="Arial"/>
                <w:sz w:val="13"/>
                <w:szCs w:val="13"/>
                <w:color w:val="auto"/>
              </w:rPr>
              <w:t>Senior Convertible Notes</w:t>
            </w:r>
          </w:p>
        </w:tc>
        <w:tc>
          <w:tcPr>
            <w:tcW w:w="1020" w:type="dxa"/>
            <w:vAlign w:val="bottom"/>
          </w:tcPr>
          <w:p>
            <w:pPr>
              <w:jc w:val="right"/>
              <w:spacing w:after="0"/>
              <w:rPr>
                <w:sz w:val="20"/>
                <w:szCs w:val="20"/>
                <w:color w:val="auto"/>
              </w:rPr>
            </w:pPr>
            <w:r>
              <w:rPr>
                <w:rFonts w:ascii="Arial" w:cs="Arial" w:eastAsia="Arial" w:hAnsi="Arial"/>
                <w:sz w:val="13"/>
                <w:szCs w:val="13"/>
                <w:color w:val="auto"/>
              </w:rPr>
              <w:t>386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2"/>
                <w:szCs w:val="12"/>
                <w:color w:val="auto"/>
              </w:rPr>
            </w:pPr>
          </w:p>
        </w:tc>
      </w:tr>
      <w:tr>
        <w:trPr>
          <w:trHeight w:val="149"/>
        </w:trPr>
        <w:tc>
          <w:tcPr>
            <w:tcW w:w="3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(14,883)</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(14,883)</w:t>
            </w:r>
          </w:p>
        </w:tc>
      </w:tr>
      <w:tr>
        <w:trPr>
          <w:trHeight w:val="142"/>
        </w:trPr>
        <w:tc>
          <w:tcPr>
            <w:tcW w:w="368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BALANCE, MARCH 31, 2019</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187,778</w:t>
            </w:r>
          </w:p>
        </w:tc>
        <w:tc>
          <w:tcPr>
            <w:tcW w:w="30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1,878</w:t>
            </w:r>
          </w:p>
        </w:tc>
        <w:tc>
          <w:tcPr>
            <w:tcW w:w="28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2,765,020</w:t>
            </w:r>
          </w:p>
        </w:tc>
        <w:tc>
          <w:tcPr>
            <w:tcW w:w="2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w:t>
            </w:r>
          </w:p>
        </w:tc>
        <w:tc>
          <w:tcPr>
            <w:tcW w:w="28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(2,954,883)</w:t>
            </w:r>
          </w:p>
        </w:tc>
        <w:tc>
          <w:tcPr>
            <w:tcW w:w="3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(188,004)</w:t>
            </w:r>
          </w:p>
        </w:tc>
        <w:tc>
          <w:tcPr>
            <w:tcW w:w="100" w:type="dxa"/>
            <w:vAlign w:val="bottom"/>
            <w:tcBorders>
              <w:bottom w:val="single" w:sz="8" w:color="CFF0FC"/>
            </w:tcBorders>
          </w:tcPr>
          <w:p>
            <w:pPr>
              <w:spacing w:after="0"/>
              <w:rPr>
                <w:sz w:val="12"/>
                <w:szCs w:val="12"/>
                <w:color w:val="auto"/>
              </w:rPr>
            </w:pPr>
          </w:p>
        </w:tc>
      </w:tr>
      <w:tr>
        <w:trPr>
          <w:trHeight w:val="142"/>
        </w:trPr>
        <w:tc>
          <w:tcPr>
            <w:tcW w:w="36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680" w:type="dxa"/>
            <w:vAlign w:val="bottom"/>
          </w:tcPr>
          <w:p>
            <w:pPr>
              <w:ind w:left="140"/>
              <w:spacing w:after="0"/>
              <w:rPr>
                <w:sz w:val="20"/>
                <w:szCs w:val="20"/>
                <w:color w:val="auto"/>
              </w:rPr>
            </w:pPr>
            <w:r>
              <w:rPr>
                <w:rFonts w:ascii="Arial" w:cs="Arial" w:eastAsia="Arial" w:hAnsi="Arial"/>
                <w:sz w:val="13"/>
                <w:szCs w:val="13"/>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3"/>
                <w:szCs w:val="13"/>
                <w:color w:val="auto"/>
              </w:rPr>
              <w:t>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r>
      <w:tr>
        <w:trPr>
          <w:trHeight w:val="134"/>
        </w:trPr>
        <w:tc>
          <w:tcPr>
            <w:tcW w:w="36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from the release of</w:t>
            </w:r>
          </w:p>
        </w:tc>
        <w:tc>
          <w:tcPr>
            <w:tcW w:w="10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6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68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2,568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2,568</w:t>
            </w:r>
          </w:p>
        </w:tc>
        <w:tc>
          <w:tcPr>
            <w:tcW w:w="100" w:type="dxa"/>
            <w:vAlign w:val="bottom"/>
          </w:tcPr>
          <w:p>
            <w:pPr>
              <w:spacing w:after="0"/>
              <w:rPr>
                <w:sz w:val="12"/>
                <w:szCs w:val="12"/>
                <w:color w:val="auto"/>
              </w:rPr>
            </w:pPr>
          </w:p>
        </w:tc>
      </w:tr>
      <w:tr>
        <w:trPr>
          <w:trHeight w:val="149"/>
        </w:trPr>
        <w:tc>
          <w:tcPr>
            <w:tcW w:w="3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Issuance of common stock in at-the-market offering</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1,568</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1,835</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1,850</w:t>
            </w:r>
          </w:p>
        </w:tc>
        <w:tc>
          <w:tcPr>
            <w:tcW w:w="100" w:type="dxa"/>
            <w:vAlign w:val="bottom"/>
            <w:shd w:val="clear" w:color="auto" w:fill="CFF0FC"/>
          </w:tcPr>
          <w:p>
            <w:pPr>
              <w:spacing w:after="0"/>
              <w:rPr>
                <w:sz w:val="12"/>
                <w:szCs w:val="12"/>
                <w:color w:val="auto"/>
              </w:rPr>
            </w:pPr>
          </w:p>
        </w:tc>
      </w:tr>
      <w:tr>
        <w:trPr>
          <w:trHeight w:val="149"/>
        </w:trPr>
        <w:tc>
          <w:tcPr>
            <w:tcW w:w="3680" w:type="dxa"/>
            <w:vAlign w:val="bottom"/>
          </w:tcPr>
          <w:p>
            <w:pPr>
              <w:ind w:left="140"/>
              <w:spacing w:after="0"/>
              <w:rPr>
                <w:sz w:val="20"/>
                <w:szCs w:val="20"/>
                <w:color w:val="auto"/>
              </w:rPr>
            </w:pPr>
            <w:r>
              <w:rPr>
                <w:rFonts w:ascii="Arial" w:cs="Arial" w:eastAsia="Arial" w:hAnsi="Arial"/>
                <w:sz w:val="13"/>
                <w:szCs w:val="13"/>
                <w:color w:val="auto"/>
              </w:rPr>
              <w:t>Issuance costs associated with at-the-market placement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(41)</w:t>
            </w:r>
          </w:p>
        </w:tc>
      </w:tr>
      <w:tr>
        <w:trPr>
          <w:trHeight w:val="149"/>
        </w:trPr>
        <w:tc>
          <w:tcPr>
            <w:tcW w:w="3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(12,387)</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(12,387)</w:t>
            </w:r>
          </w:p>
        </w:tc>
      </w:tr>
      <w:tr>
        <w:trPr>
          <w:trHeight w:val="142"/>
        </w:trPr>
        <w:tc>
          <w:tcPr>
            <w:tcW w:w="368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BALANCE, JUNE 30, 2019</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189,447</w:t>
            </w:r>
          </w:p>
        </w:tc>
        <w:tc>
          <w:tcPr>
            <w:tcW w:w="30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1,894</w:t>
            </w:r>
          </w:p>
        </w:tc>
        <w:tc>
          <w:tcPr>
            <w:tcW w:w="28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2,769,396</w:t>
            </w:r>
          </w:p>
        </w:tc>
        <w:tc>
          <w:tcPr>
            <w:tcW w:w="2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w:t>
            </w:r>
          </w:p>
        </w:tc>
        <w:tc>
          <w:tcPr>
            <w:tcW w:w="28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(2,967,270)</w:t>
            </w:r>
          </w:p>
        </w:tc>
        <w:tc>
          <w:tcPr>
            <w:tcW w:w="3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(195,999)</w:t>
            </w:r>
          </w:p>
        </w:tc>
        <w:tc>
          <w:tcPr>
            <w:tcW w:w="100" w:type="dxa"/>
            <w:vAlign w:val="bottom"/>
            <w:tcBorders>
              <w:bottom w:val="single" w:sz="8" w:color="CFF0FC"/>
            </w:tcBorders>
          </w:tcPr>
          <w:p>
            <w:pPr>
              <w:spacing w:after="0"/>
              <w:rPr>
                <w:sz w:val="12"/>
                <w:szCs w:val="12"/>
                <w:color w:val="auto"/>
              </w:rPr>
            </w:pPr>
          </w:p>
        </w:tc>
      </w:tr>
      <w:tr>
        <w:trPr>
          <w:trHeight w:val="142"/>
        </w:trPr>
        <w:tc>
          <w:tcPr>
            <w:tcW w:w="36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680" w:type="dxa"/>
            <w:vAlign w:val="bottom"/>
          </w:tcPr>
          <w:p>
            <w:pPr>
              <w:ind w:left="140"/>
              <w:spacing w:after="0"/>
              <w:rPr>
                <w:sz w:val="20"/>
                <w:szCs w:val="20"/>
                <w:color w:val="auto"/>
              </w:rPr>
            </w:pPr>
            <w:r>
              <w:rPr>
                <w:rFonts w:ascii="Arial" w:cs="Arial" w:eastAsia="Arial" w:hAnsi="Arial"/>
                <w:sz w:val="13"/>
                <w:szCs w:val="13"/>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3"/>
                <w:szCs w:val="13"/>
                <w:color w:val="auto"/>
              </w:rPr>
              <w:t>29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134"/>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2"/>
                <w:szCs w:val="12"/>
                <w:color w:val="auto"/>
              </w:rPr>
            </w:pPr>
          </w:p>
        </w:tc>
      </w:tr>
      <w:tr>
        <w:trPr>
          <w:trHeight w:val="134"/>
        </w:trPr>
        <w:tc>
          <w:tcPr>
            <w:tcW w:w="36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from the release of restricted</w:t>
            </w:r>
          </w:p>
        </w:tc>
        <w:tc>
          <w:tcPr>
            <w:tcW w:w="10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6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(6)</w:t>
            </w: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36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under Employee Stock</w:t>
            </w: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680" w:type="dxa"/>
            <w:vAlign w:val="bottom"/>
          </w:tcPr>
          <w:p>
            <w:pPr>
              <w:ind w:left="220"/>
              <w:spacing w:after="0"/>
              <w:rPr>
                <w:sz w:val="20"/>
                <w:szCs w:val="20"/>
                <w:color w:val="auto"/>
              </w:rPr>
            </w:pPr>
            <w:r>
              <w:rPr>
                <w:rFonts w:ascii="Arial" w:cs="Arial" w:eastAsia="Arial" w:hAnsi="Arial"/>
                <w:sz w:val="13"/>
                <w:szCs w:val="13"/>
                <w:color w:val="auto"/>
              </w:rPr>
              <w:t>Purchase Plan</w:t>
            </w:r>
          </w:p>
        </w:tc>
        <w:tc>
          <w:tcPr>
            <w:tcW w:w="1020" w:type="dxa"/>
            <w:vAlign w:val="bottom"/>
          </w:tcPr>
          <w:p>
            <w:pPr>
              <w:jc w:val="right"/>
              <w:spacing w:after="0"/>
              <w:rPr>
                <w:sz w:val="20"/>
                <w:szCs w:val="20"/>
                <w:color w:val="auto"/>
              </w:rPr>
            </w:pPr>
            <w:r>
              <w:rPr>
                <w:rFonts w:ascii="Arial" w:cs="Arial" w:eastAsia="Arial" w:hAnsi="Arial"/>
                <w:sz w:val="13"/>
                <w:szCs w:val="13"/>
                <w:color w:val="auto"/>
              </w:rPr>
              <w:t>356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2"/>
                <w:szCs w:val="12"/>
                <w:color w:val="auto"/>
              </w:rPr>
            </w:pPr>
          </w:p>
        </w:tc>
      </w:tr>
      <w:tr>
        <w:trPr>
          <w:trHeight w:val="149"/>
        </w:trPr>
        <w:tc>
          <w:tcPr>
            <w:tcW w:w="3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1,640</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1,640</w:t>
            </w:r>
          </w:p>
        </w:tc>
        <w:tc>
          <w:tcPr>
            <w:tcW w:w="100" w:type="dxa"/>
            <w:vAlign w:val="bottom"/>
            <w:shd w:val="clear" w:color="auto" w:fill="CFF0FC"/>
          </w:tcPr>
          <w:p>
            <w:pPr>
              <w:spacing w:after="0"/>
              <w:rPr>
                <w:sz w:val="12"/>
                <w:szCs w:val="12"/>
                <w:color w:val="auto"/>
              </w:rPr>
            </w:pPr>
          </w:p>
        </w:tc>
      </w:tr>
      <w:tr>
        <w:trPr>
          <w:trHeight w:val="134"/>
        </w:trPr>
        <w:tc>
          <w:tcPr>
            <w:tcW w:w="36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680" w:type="dxa"/>
            <w:vAlign w:val="bottom"/>
          </w:tcPr>
          <w:p>
            <w:pPr>
              <w:ind w:left="220"/>
              <w:spacing w:after="0"/>
              <w:rPr>
                <w:sz w:val="20"/>
                <w:szCs w:val="20"/>
                <w:color w:val="auto"/>
              </w:rPr>
            </w:pPr>
            <w:r>
              <w:rPr>
                <w:rFonts w:ascii="Arial" w:cs="Arial" w:eastAsia="Arial" w:hAnsi="Arial"/>
                <w:sz w:val="13"/>
                <w:szCs w:val="13"/>
                <w:color w:val="auto"/>
              </w:rPr>
              <w:t>Senior Convertible Notes</w:t>
            </w:r>
          </w:p>
        </w:tc>
        <w:tc>
          <w:tcPr>
            <w:tcW w:w="1020" w:type="dxa"/>
            <w:vAlign w:val="bottom"/>
          </w:tcPr>
          <w:p>
            <w:pPr>
              <w:jc w:val="right"/>
              <w:spacing w:after="0"/>
              <w:rPr>
                <w:sz w:val="20"/>
                <w:szCs w:val="20"/>
                <w:color w:val="auto"/>
              </w:rPr>
            </w:pPr>
            <w:r>
              <w:rPr>
                <w:rFonts w:ascii="Arial" w:cs="Arial" w:eastAsia="Arial" w:hAnsi="Arial"/>
                <w:sz w:val="13"/>
                <w:szCs w:val="13"/>
                <w:color w:val="auto"/>
              </w:rPr>
              <w:t>4,525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4,992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5,037</w:t>
            </w:r>
          </w:p>
        </w:tc>
        <w:tc>
          <w:tcPr>
            <w:tcW w:w="100" w:type="dxa"/>
            <w:vAlign w:val="bottom"/>
          </w:tcPr>
          <w:p>
            <w:pPr>
              <w:spacing w:after="0"/>
              <w:rPr>
                <w:sz w:val="12"/>
                <w:szCs w:val="12"/>
                <w:color w:val="auto"/>
              </w:rPr>
            </w:pPr>
          </w:p>
        </w:tc>
      </w:tr>
      <w:tr>
        <w:trPr>
          <w:trHeight w:val="134"/>
        </w:trPr>
        <w:tc>
          <w:tcPr>
            <w:tcW w:w="368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0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6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Facility Financing Obligation</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4,193</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4,575</w:t>
            </w:r>
          </w:p>
        </w:tc>
        <w:tc>
          <w:tcPr>
            <w:tcW w:w="100" w:type="dxa"/>
            <w:vAlign w:val="bottom"/>
            <w:shd w:val="clear" w:color="auto" w:fill="CFF0FC"/>
          </w:tcPr>
          <w:p>
            <w:pPr>
              <w:spacing w:after="0"/>
              <w:rPr>
                <w:sz w:val="12"/>
                <w:szCs w:val="12"/>
                <w:color w:val="auto"/>
              </w:rPr>
            </w:pPr>
          </w:p>
        </w:tc>
      </w:tr>
      <w:tr>
        <w:trPr>
          <w:trHeight w:val="134"/>
        </w:trPr>
        <w:tc>
          <w:tcPr>
            <w:tcW w:w="3680" w:type="dxa"/>
            <w:vAlign w:val="bottom"/>
          </w:tcPr>
          <w:p>
            <w:pPr>
              <w:ind w:left="140"/>
              <w:spacing w:after="0" w:line="134" w:lineRule="exact"/>
              <w:rPr>
                <w:sz w:val="20"/>
                <w:szCs w:val="20"/>
                <w:color w:val="auto"/>
              </w:rPr>
            </w:pPr>
            <w:r>
              <w:rPr>
                <w:rFonts w:ascii="Arial" w:cs="Arial" w:eastAsia="Arial" w:hAnsi="Arial"/>
                <w:sz w:val="13"/>
                <w:szCs w:val="13"/>
                <w:color w:val="auto"/>
              </w:rPr>
              <w:t>Issuance of common stock pursuant to</w:t>
            </w: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680" w:type="dxa"/>
            <w:vAlign w:val="bottom"/>
          </w:tcPr>
          <w:p>
            <w:pPr>
              <w:ind w:left="220"/>
              <w:spacing w:after="0"/>
              <w:rPr>
                <w:sz w:val="20"/>
                <w:szCs w:val="20"/>
                <w:color w:val="auto"/>
              </w:rPr>
            </w:pPr>
            <w:r>
              <w:rPr>
                <w:rFonts w:ascii="Arial" w:cs="Arial" w:eastAsia="Arial" w:hAnsi="Arial"/>
                <w:sz w:val="13"/>
                <w:szCs w:val="13"/>
                <w:color w:val="auto"/>
              </w:rPr>
              <w:t>conversion of Promissory Notes</w:t>
            </w:r>
          </w:p>
        </w:tc>
        <w:tc>
          <w:tcPr>
            <w:tcW w:w="1020" w:type="dxa"/>
            <w:vAlign w:val="bottom"/>
          </w:tcPr>
          <w:p>
            <w:pPr>
              <w:jc w:val="right"/>
              <w:spacing w:after="0"/>
              <w:rPr>
                <w:sz w:val="20"/>
                <w:szCs w:val="20"/>
                <w:color w:val="auto"/>
              </w:rPr>
            </w:pPr>
            <w:r>
              <w:rPr>
                <w:rFonts w:ascii="Arial" w:cs="Arial" w:eastAsia="Arial" w:hAnsi="Arial"/>
                <w:sz w:val="13"/>
                <w:szCs w:val="13"/>
                <w:color w:val="auto"/>
              </w:rPr>
              <w:t>7,143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7,929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8,000</w:t>
            </w:r>
          </w:p>
        </w:tc>
        <w:tc>
          <w:tcPr>
            <w:tcW w:w="100" w:type="dxa"/>
            <w:vAlign w:val="bottom"/>
          </w:tcPr>
          <w:p>
            <w:pPr>
              <w:spacing w:after="0"/>
              <w:rPr>
                <w:sz w:val="12"/>
                <w:szCs w:val="12"/>
                <w:color w:val="auto"/>
              </w:rPr>
            </w:pPr>
          </w:p>
        </w:tc>
      </w:tr>
      <w:tr>
        <w:trPr>
          <w:trHeight w:val="149"/>
        </w:trPr>
        <w:tc>
          <w:tcPr>
            <w:tcW w:w="3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Issuance of common stock in at-the-market offering</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FF0FC"/>
          </w:tcPr>
          <w:p>
            <w:pPr>
              <w:spacing w:after="0"/>
              <w:rPr>
                <w:sz w:val="12"/>
                <w:szCs w:val="12"/>
                <w:color w:val="auto"/>
              </w:rPr>
            </w:pPr>
          </w:p>
        </w:tc>
      </w:tr>
      <w:tr>
        <w:trPr>
          <w:trHeight w:val="149"/>
        </w:trPr>
        <w:tc>
          <w:tcPr>
            <w:tcW w:w="3680" w:type="dxa"/>
            <w:vAlign w:val="bottom"/>
          </w:tcPr>
          <w:p>
            <w:pPr>
              <w:ind w:left="140"/>
              <w:spacing w:after="0"/>
              <w:rPr>
                <w:sz w:val="20"/>
                <w:szCs w:val="20"/>
                <w:color w:val="auto"/>
              </w:rPr>
            </w:pPr>
            <w:r>
              <w:rPr>
                <w:rFonts w:ascii="Arial" w:cs="Arial" w:eastAsia="Arial" w:hAnsi="Arial"/>
                <w:sz w:val="13"/>
                <w:szCs w:val="13"/>
                <w:color w:val="auto"/>
              </w:rPr>
              <w:t>Issuance of warrants pursuant to Credit facility</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1,854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1,854</w:t>
            </w:r>
          </w:p>
        </w:tc>
        <w:tc>
          <w:tcPr>
            <w:tcW w:w="100" w:type="dxa"/>
            <w:vAlign w:val="bottom"/>
          </w:tcPr>
          <w:p>
            <w:pPr>
              <w:spacing w:after="0"/>
              <w:rPr>
                <w:sz w:val="12"/>
                <w:szCs w:val="12"/>
                <w:color w:val="auto"/>
              </w:rPr>
            </w:pPr>
          </w:p>
        </w:tc>
      </w:tr>
      <w:tr>
        <w:trPr>
          <w:trHeight w:val="149"/>
        </w:trPr>
        <w:tc>
          <w:tcPr>
            <w:tcW w:w="3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(10,370)</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(10,371)</w:t>
            </w:r>
          </w:p>
        </w:tc>
      </w:tr>
      <w:tr>
        <w:trPr>
          <w:trHeight w:val="142"/>
        </w:trPr>
        <w:tc>
          <w:tcPr>
            <w:tcW w:w="3680" w:type="dxa"/>
            <w:vAlign w:val="bottom"/>
          </w:tcPr>
          <w:p>
            <w:pPr>
              <w:ind w:left="140"/>
              <w:spacing w:after="0" w:line="143" w:lineRule="exact"/>
              <w:rPr>
                <w:sz w:val="20"/>
                <w:szCs w:val="20"/>
                <w:color w:val="auto"/>
              </w:rPr>
            </w:pPr>
            <w:r>
              <w:rPr>
                <w:rFonts w:ascii="Arial" w:cs="Arial" w:eastAsia="Arial" w:hAnsi="Arial"/>
                <w:sz w:val="13"/>
                <w:szCs w:val="13"/>
                <w:color w:val="auto"/>
              </w:rPr>
              <w:t>BALANCE, SEPTEMBER 30, 2019</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206,408</w:t>
            </w:r>
          </w:p>
        </w:tc>
        <w:tc>
          <w:tcPr>
            <w:tcW w:w="3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2,064</w:t>
            </w: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2,790,890</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(2,977,640)</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(184,706)</w:t>
            </w:r>
          </w:p>
        </w:tc>
        <w:tc>
          <w:tcPr>
            <w:tcW w:w="100" w:type="dxa"/>
            <w:vAlign w:val="bottom"/>
          </w:tcPr>
          <w:p>
            <w:pPr>
              <w:spacing w:after="0"/>
              <w:rPr>
                <w:sz w:val="12"/>
                <w:szCs w:val="12"/>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2"/>
                <w:szCs w:val="12"/>
                <w:b w:val="1"/>
                <w:bCs w:val="1"/>
                <w:color w:val="auto"/>
                <w:w w:val="94"/>
              </w:rPr>
              <w:t>Nine Months Ended September 30,</w:t>
            </w:r>
          </w:p>
        </w:tc>
        <w:tc>
          <w:tcPr>
            <w:tcW w:w="1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25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2019</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jc w:val="right"/>
              <w:ind w:right="922"/>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r>
      <w:tr>
        <w:trPr>
          <w:trHeight w:val="142"/>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CASH FLOWS FROM OPERATING ACTIVITIES:</w:t>
            </w:r>
          </w:p>
        </w:tc>
        <w:tc>
          <w:tcPr>
            <w:tcW w:w="120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Net loss</w:t>
            </w:r>
          </w:p>
        </w:tc>
        <w:tc>
          <w:tcPr>
            <w:tcW w:w="2520" w:type="dxa"/>
            <w:vAlign w:val="bottom"/>
            <w:gridSpan w:val="2"/>
          </w:tcPr>
          <w:p>
            <w:pPr>
              <w:jc w:val="right"/>
              <w:ind w:right="12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(37,640)</w:t>
            </w: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(77,224)</w:t>
            </w:r>
          </w:p>
        </w:tc>
      </w:tr>
      <w:tr>
        <w:trPr>
          <w:trHeight w:val="142"/>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Adjustments to reconcile net loss to net cash (used in) provided by operating</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1"/>
        </w:trPr>
        <w:tc>
          <w:tcPr>
            <w:tcW w:w="5420" w:type="dxa"/>
            <w:vAlign w:val="bottom"/>
            <w:shd w:val="clear" w:color="auto" w:fill="CFF0FC"/>
          </w:tcPr>
          <w:p>
            <w:pPr>
              <w:ind w:left="340"/>
              <w:spacing w:after="0"/>
              <w:rPr>
                <w:sz w:val="20"/>
                <w:szCs w:val="20"/>
                <w:color w:val="auto"/>
              </w:rPr>
            </w:pPr>
            <w:r>
              <w:rPr>
                <w:rFonts w:ascii="Arial" w:cs="Arial" w:eastAsia="Arial" w:hAnsi="Arial"/>
                <w:sz w:val="12"/>
                <w:szCs w:val="12"/>
                <w:color w:val="auto"/>
              </w:rPr>
              <w:t>activities: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5420" w:type="dxa"/>
            <w:vAlign w:val="bottom"/>
          </w:tcPr>
          <w:p>
            <w:pPr>
              <w:ind w:left="500"/>
              <w:spacing w:after="0"/>
              <w:rPr>
                <w:sz w:val="20"/>
                <w:szCs w:val="20"/>
                <w:color w:val="auto"/>
              </w:rPr>
            </w:pPr>
            <w:r>
              <w:rPr>
                <w:rFonts w:ascii="Arial" w:cs="Arial" w:eastAsia="Arial" w:hAnsi="Arial"/>
                <w:sz w:val="12"/>
                <w:szCs w:val="12"/>
                <w:color w:val="auto"/>
              </w:rPr>
              <w:t>Depreciation, amortization and accretion</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407</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2,489</w:t>
            </w: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Amortization of right-of-use assets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903</w:t>
            </w:r>
          </w:p>
        </w:tc>
        <w:tc>
          <w:tcPr>
            <w:tcW w:w="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tcPr>
          <w:p>
            <w:pPr>
              <w:ind w:left="500"/>
              <w:spacing w:after="0"/>
              <w:rPr>
                <w:sz w:val="20"/>
                <w:szCs w:val="20"/>
                <w:color w:val="auto"/>
              </w:rPr>
            </w:pPr>
            <w:r>
              <w:rPr>
                <w:rFonts w:ascii="Arial" w:cs="Arial" w:eastAsia="Arial" w:hAnsi="Arial"/>
                <w:sz w:val="12"/>
                <w:szCs w:val="12"/>
                <w:color w:val="auto"/>
              </w:rPr>
              <w:t>Stock-based compensation expense</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5,312</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5,715</w:t>
            </w: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(Gain) loss on extinguishment of debt</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(3,529)</w:t>
            </w:r>
          </w:p>
        </w:tc>
        <w:tc>
          <w:tcPr>
            <w:tcW w:w="8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765</w:t>
            </w:r>
          </w:p>
        </w:tc>
        <w:tc>
          <w:tcPr>
            <w:tcW w:w="120" w:type="dxa"/>
            <w:vAlign w:val="bottom"/>
            <w:shd w:val="clear" w:color="auto" w:fill="CFF0FC"/>
          </w:tcPr>
          <w:p>
            <w:pPr>
              <w:spacing w:after="0"/>
              <w:rPr>
                <w:sz w:val="12"/>
                <w:szCs w:val="12"/>
                <w:color w:val="auto"/>
              </w:rPr>
            </w:pPr>
          </w:p>
        </w:tc>
      </w:tr>
      <w:tr>
        <w:trPr>
          <w:trHeight w:val="149"/>
        </w:trPr>
        <w:tc>
          <w:tcPr>
            <w:tcW w:w="5420" w:type="dxa"/>
            <w:vAlign w:val="bottom"/>
          </w:tcPr>
          <w:p>
            <w:pPr>
              <w:ind w:left="500"/>
              <w:spacing w:after="0"/>
              <w:rPr>
                <w:sz w:val="20"/>
                <w:szCs w:val="20"/>
                <w:color w:val="auto"/>
              </w:rPr>
            </w:pPr>
            <w:r>
              <w:rPr>
                <w:rFonts w:ascii="Arial" w:cs="Arial" w:eastAsia="Arial" w:hAnsi="Arial"/>
                <w:sz w:val="12"/>
                <w:szCs w:val="12"/>
                <w:color w:val="auto"/>
              </w:rPr>
              <w:t>Gain on sale, abandonment/disposal or impairment of property and equipment</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r>
      <w:tr>
        <w:trPr>
          <w:trHeight w:val="149"/>
        </w:trPr>
        <w:tc>
          <w:tcPr>
            <w:tcW w:w="54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Gain on foreign currency translation</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(4,495)</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(3,107)</w:t>
            </w:r>
          </w:p>
        </w:tc>
      </w:tr>
      <w:tr>
        <w:trPr>
          <w:trHeight w:val="149"/>
        </w:trPr>
        <w:tc>
          <w:tcPr>
            <w:tcW w:w="5420" w:type="dxa"/>
            <w:vAlign w:val="bottom"/>
          </w:tcPr>
          <w:p>
            <w:pPr>
              <w:ind w:left="500"/>
              <w:spacing w:after="0"/>
              <w:rPr>
                <w:sz w:val="20"/>
                <w:szCs w:val="20"/>
                <w:color w:val="auto"/>
              </w:rPr>
            </w:pPr>
            <w:r>
              <w:rPr>
                <w:rFonts w:ascii="Arial" w:cs="Arial" w:eastAsia="Arial" w:hAnsi="Arial"/>
                <w:sz w:val="12"/>
                <w:szCs w:val="12"/>
                <w:color w:val="auto"/>
              </w:rPr>
              <w:t>Interest expense on promissory notes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3,517</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3,345</w:t>
            </w: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Write-off of inventory</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1,792</w:t>
            </w:r>
          </w:p>
        </w:tc>
        <w:tc>
          <w:tcPr>
            <w:tcW w:w="120" w:type="dxa"/>
            <w:vAlign w:val="bottom"/>
            <w:shd w:val="clear" w:color="auto" w:fill="CFF0FC"/>
          </w:tcPr>
          <w:p>
            <w:pPr>
              <w:spacing w:after="0"/>
              <w:rPr>
                <w:sz w:val="12"/>
                <w:szCs w:val="12"/>
                <w:color w:val="auto"/>
              </w:rPr>
            </w:pPr>
          </w:p>
        </w:tc>
      </w:tr>
      <w:tr>
        <w:trPr>
          <w:trHeight w:val="149"/>
        </w:trPr>
        <w:tc>
          <w:tcPr>
            <w:tcW w:w="5420" w:type="dxa"/>
            <w:vAlign w:val="bottom"/>
          </w:tcPr>
          <w:p>
            <w:pPr>
              <w:ind w:left="500"/>
              <w:spacing w:after="0"/>
              <w:rPr>
                <w:sz w:val="20"/>
                <w:szCs w:val="20"/>
                <w:color w:val="auto"/>
              </w:rPr>
            </w:pPr>
            <w:r>
              <w:rPr>
                <w:rFonts w:ascii="Arial" w:cs="Arial" w:eastAsia="Arial" w:hAnsi="Arial"/>
                <w:sz w:val="12"/>
                <w:szCs w:val="12"/>
                <w:color w:val="auto"/>
              </w:rPr>
              <w:t>Payment-in-kind interest on promissory notes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(32,822)</w:t>
            </w:r>
          </w:p>
        </w:tc>
        <w:tc>
          <w:tcPr>
            <w:tcW w:w="8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shd w:val="clear" w:color="auto" w:fill="CFF0FC"/>
          </w:tcPr>
          <w:p>
            <w:pPr>
              <w:ind w:left="500"/>
              <w:spacing w:after="0"/>
              <w:rPr>
                <w:sz w:val="20"/>
                <w:szCs w:val="20"/>
                <w:color w:val="auto"/>
              </w:rPr>
            </w:pPr>
            <w:r>
              <w:rPr>
                <w:rFonts w:ascii="Arial" w:cs="Arial" w:eastAsia="Arial" w:hAnsi="Arial"/>
                <w:sz w:val="12"/>
                <w:szCs w:val="12"/>
                <w:color w:val="auto"/>
              </w:rPr>
              <w:t>Other, net</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w:t>
            </w:r>
          </w:p>
        </w:tc>
        <w:tc>
          <w:tcPr>
            <w:tcW w:w="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FF0FC"/>
          </w:tcPr>
          <w:p>
            <w:pPr>
              <w:spacing w:after="0"/>
              <w:rPr>
                <w:sz w:val="12"/>
                <w:szCs w:val="12"/>
                <w:color w:val="auto"/>
              </w:rPr>
            </w:pPr>
          </w:p>
        </w:tc>
      </w:tr>
      <w:tr>
        <w:trPr>
          <w:trHeight w:val="149"/>
        </w:trPr>
        <w:tc>
          <w:tcPr>
            <w:tcW w:w="5420" w:type="dxa"/>
            <w:vAlign w:val="bottom"/>
          </w:tcPr>
          <w:p>
            <w:pPr>
              <w:ind w:left="500"/>
              <w:spacing w:after="0"/>
              <w:rPr>
                <w:sz w:val="20"/>
                <w:szCs w:val="20"/>
                <w:color w:val="auto"/>
              </w:rPr>
            </w:pPr>
            <w:r>
              <w:rPr>
                <w:rFonts w:ascii="Arial" w:cs="Arial" w:eastAsia="Arial" w:hAnsi="Arial"/>
                <w:sz w:val="12"/>
                <w:szCs w:val="12"/>
                <w:color w:val="auto"/>
              </w:rPr>
              <w:t>Changes in operating assets and liabilities: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740"/>
              <w:spacing w:after="0"/>
              <w:rPr>
                <w:sz w:val="20"/>
                <w:szCs w:val="20"/>
                <w:color w:val="auto"/>
              </w:rPr>
            </w:pPr>
            <w:r>
              <w:rPr>
                <w:rFonts w:ascii="Arial" w:cs="Arial" w:eastAsia="Arial" w:hAnsi="Arial"/>
                <w:sz w:val="12"/>
                <w:szCs w:val="12"/>
                <w:color w:val="auto"/>
              </w:rPr>
              <w:t>Accounts receivable, net</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(76)</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(74)</w:t>
            </w:r>
          </w:p>
        </w:tc>
      </w:tr>
      <w:tr>
        <w:trPr>
          <w:trHeight w:val="149"/>
        </w:trPr>
        <w:tc>
          <w:tcPr>
            <w:tcW w:w="5420" w:type="dxa"/>
            <w:vAlign w:val="bottom"/>
          </w:tcPr>
          <w:p>
            <w:pPr>
              <w:ind w:left="740"/>
              <w:spacing w:after="0"/>
              <w:rPr>
                <w:sz w:val="20"/>
                <w:szCs w:val="20"/>
                <w:color w:val="auto"/>
              </w:rPr>
            </w:pPr>
            <w:r>
              <w:rPr>
                <w:rFonts w:ascii="Arial" w:cs="Arial" w:eastAsia="Arial" w:hAnsi="Arial"/>
                <w:sz w:val="12"/>
                <w:szCs w:val="12"/>
                <w:color w:val="auto"/>
              </w:rPr>
              <w:t>Inventory</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(95)</w:t>
            </w:r>
          </w:p>
        </w:tc>
        <w:tc>
          <w:tcPr>
            <w:tcW w:w="8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(1,920)</w:t>
            </w:r>
          </w:p>
        </w:tc>
      </w:tr>
      <w:tr>
        <w:trPr>
          <w:trHeight w:val="149"/>
        </w:trPr>
        <w:tc>
          <w:tcPr>
            <w:tcW w:w="5420" w:type="dxa"/>
            <w:vAlign w:val="bottom"/>
            <w:shd w:val="clear" w:color="auto" w:fill="CFF0FC"/>
          </w:tcPr>
          <w:p>
            <w:pPr>
              <w:ind w:left="740"/>
              <w:spacing w:after="0"/>
              <w:rPr>
                <w:sz w:val="20"/>
                <w:szCs w:val="20"/>
                <w:color w:val="auto"/>
              </w:rPr>
            </w:pPr>
            <w:r>
              <w:rPr>
                <w:rFonts w:ascii="Arial" w:cs="Arial" w:eastAsia="Arial" w:hAnsi="Arial"/>
                <w:sz w:val="12"/>
                <w:szCs w:val="12"/>
                <w:color w:val="auto"/>
              </w:rPr>
              <w:t>Prepaid expenses and other current assets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(1,028)</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w:t>
            </w:r>
          </w:p>
        </w:tc>
      </w:tr>
      <w:tr>
        <w:trPr>
          <w:trHeight w:val="149"/>
        </w:trPr>
        <w:tc>
          <w:tcPr>
            <w:tcW w:w="5420" w:type="dxa"/>
            <w:vAlign w:val="bottom"/>
          </w:tcPr>
          <w:p>
            <w:pPr>
              <w:ind w:left="740"/>
              <w:spacing w:after="0"/>
              <w:rPr>
                <w:sz w:val="20"/>
                <w:szCs w:val="20"/>
                <w:color w:val="auto"/>
              </w:rPr>
            </w:pPr>
            <w:r>
              <w:rPr>
                <w:rFonts w:ascii="Arial" w:cs="Arial" w:eastAsia="Arial" w:hAnsi="Arial"/>
                <w:sz w:val="12"/>
                <w:szCs w:val="12"/>
                <w:color w:val="auto"/>
              </w:rPr>
              <w:t>Right-of-use and other assets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(356)</w:t>
            </w:r>
          </w:p>
        </w:tc>
        <w:tc>
          <w:tcPr>
            <w:tcW w:w="8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200</w:t>
            </w: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740"/>
              <w:spacing w:after="0"/>
              <w:rPr>
                <w:sz w:val="20"/>
                <w:szCs w:val="20"/>
                <w:color w:val="auto"/>
              </w:rPr>
            </w:pPr>
            <w:r>
              <w:rPr>
                <w:rFonts w:ascii="Arial" w:cs="Arial" w:eastAsia="Arial" w:hAnsi="Arial"/>
                <w:sz w:val="12"/>
                <w:szCs w:val="12"/>
                <w:color w:val="auto"/>
              </w:rPr>
              <w:t>Accounts payable</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6,282</w:t>
            </w:r>
          </w:p>
        </w:tc>
        <w:tc>
          <w:tcPr>
            <w:tcW w:w="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(1,169)</w:t>
            </w:r>
          </w:p>
        </w:tc>
      </w:tr>
      <w:tr>
        <w:trPr>
          <w:trHeight w:val="149"/>
        </w:trPr>
        <w:tc>
          <w:tcPr>
            <w:tcW w:w="5420" w:type="dxa"/>
            <w:vAlign w:val="bottom"/>
          </w:tcPr>
          <w:p>
            <w:pPr>
              <w:ind w:left="740"/>
              <w:spacing w:after="0"/>
              <w:rPr>
                <w:sz w:val="20"/>
                <w:szCs w:val="20"/>
                <w:color w:val="auto"/>
              </w:rPr>
            </w:pPr>
            <w:r>
              <w:rPr>
                <w:rFonts w:ascii="Arial" w:cs="Arial" w:eastAsia="Arial" w:hAnsi="Arial"/>
                <w:sz w:val="12"/>
                <w:szCs w:val="12"/>
                <w:color w:val="auto"/>
              </w:rPr>
              <w:t>Accrued expenses and other current liabilities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(134)</w:t>
            </w:r>
          </w:p>
        </w:tc>
        <w:tc>
          <w:tcPr>
            <w:tcW w:w="8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560</w:t>
            </w: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740"/>
              <w:spacing w:after="0"/>
              <w:rPr>
                <w:sz w:val="20"/>
                <w:szCs w:val="20"/>
                <w:color w:val="auto"/>
              </w:rPr>
            </w:pPr>
            <w:r>
              <w:rPr>
                <w:rFonts w:ascii="Arial" w:cs="Arial" w:eastAsia="Arial" w:hAnsi="Arial"/>
                <w:sz w:val="12"/>
                <w:szCs w:val="12"/>
                <w:color w:val="auto"/>
              </w:rPr>
              <w:t>Deferred revenue</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(12,721)</w:t>
            </w:r>
          </w:p>
        </w:tc>
        <w:tc>
          <w:tcPr>
            <w:tcW w:w="8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11,983</w:t>
            </w:r>
          </w:p>
        </w:tc>
        <w:tc>
          <w:tcPr>
            <w:tcW w:w="120" w:type="dxa"/>
            <w:vAlign w:val="bottom"/>
            <w:shd w:val="clear" w:color="auto" w:fill="CFF0FC"/>
          </w:tcPr>
          <w:p>
            <w:pPr>
              <w:spacing w:after="0"/>
              <w:rPr>
                <w:sz w:val="12"/>
                <w:szCs w:val="12"/>
                <w:color w:val="auto"/>
              </w:rPr>
            </w:pPr>
          </w:p>
        </w:tc>
      </w:tr>
      <w:tr>
        <w:trPr>
          <w:trHeight w:val="149"/>
        </w:trPr>
        <w:tc>
          <w:tcPr>
            <w:tcW w:w="5420" w:type="dxa"/>
            <w:vAlign w:val="bottom"/>
          </w:tcPr>
          <w:p>
            <w:pPr>
              <w:ind w:left="740"/>
              <w:spacing w:after="0"/>
              <w:rPr>
                <w:sz w:val="20"/>
                <w:szCs w:val="20"/>
                <w:color w:val="auto"/>
              </w:rPr>
            </w:pPr>
            <w:r>
              <w:rPr>
                <w:rFonts w:ascii="Arial" w:cs="Arial" w:eastAsia="Arial" w:hAnsi="Arial"/>
                <w:sz w:val="12"/>
                <w:szCs w:val="12"/>
                <w:color w:val="auto"/>
              </w:rPr>
              <w:t>Recognized loss on purchase commitments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(4,395)</w:t>
            </w:r>
          </w:p>
        </w:tc>
        <w:tc>
          <w:tcPr>
            <w:tcW w:w="8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(6,165)</w:t>
            </w:r>
          </w:p>
        </w:tc>
      </w:tr>
      <w:tr>
        <w:trPr>
          <w:trHeight w:val="149"/>
        </w:trPr>
        <w:tc>
          <w:tcPr>
            <w:tcW w:w="5420" w:type="dxa"/>
            <w:vAlign w:val="bottom"/>
            <w:shd w:val="clear" w:color="auto" w:fill="CFF0FC"/>
          </w:tcPr>
          <w:p>
            <w:pPr>
              <w:ind w:left="740"/>
              <w:spacing w:after="0"/>
              <w:rPr>
                <w:sz w:val="20"/>
                <w:szCs w:val="20"/>
                <w:color w:val="auto"/>
              </w:rPr>
            </w:pPr>
            <w:r>
              <w:rPr>
                <w:rFonts w:ascii="Arial" w:cs="Arial" w:eastAsia="Arial" w:hAnsi="Arial"/>
                <w:sz w:val="12"/>
                <w:szCs w:val="12"/>
                <w:color w:val="auto"/>
              </w:rPr>
              <w:t>Operating lease liabilities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(1,064)</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tcPr>
          <w:p>
            <w:pPr>
              <w:ind w:left="740"/>
              <w:spacing w:after="0"/>
              <w:rPr>
                <w:sz w:val="20"/>
                <w:szCs w:val="20"/>
                <w:color w:val="auto"/>
              </w:rPr>
            </w:pPr>
            <w:r>
              <w:rPr>
                <w:rFonts w:ascii="Arial" w:cs="Arial" w:eastAsia="Arial" w:hAnsi="Arial"/>
                <w:sz w:val="12"/>
                <w:szCs w:val="12"/>
                <w:color w:val="auto"/>
              </w:rPr>
              <w:t>Accrued interest - promissory notes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(1,545)</w:t>
            </w:r>
          </w:p>
        </w:tc>
        <w:tc>
          <w:tcPr>
            <w:tcW w:w="8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20"/>
        </w:trPr>
        <w:tc>
          <w:tcPr>
            <w:tcW w:w="54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5420" w:type="dxa"/>
            <w:vAlign w:val="bottom"/>
            <w:shd w:val="clear" w:color="auto" w:fill="CFF0FC"/>
          </w:tcPr>
          <w:p>
            <w:pPr>
              <w:ind w:left="1000"/>
              <w:spacing w:after="0"/>
              <w:rPr>
                <w:sz w:val="20"/>
                <w:szCs w:val="20"/>
                <w:color w:val="auto"/>
              </w:rPr>
            </w:pPr>
            <w:r>
              <w:rPr>
                <w:rFonts w:ascii="Arial" w:cs="Arial" w:eastAsia="Arial" w:hAnsi="Arial"/>
                <w:sz w:val="12"/>
                <w:szCs w:val="12"/>
                <w:color w:val="auto"/>
              </w:rPr>
              <w:t>Net cash used in operating activities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(83,376)</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(62,719)</w:t>
            </w:r>
          </w:p>
        </w:tc>
      </w:tr>
      <w:tr>
        <w:trPr>
          <w:trHeight w:val="142"/>
        </w:trPr>
        <w:tc>
          <w:tcPr>
            <w:tcW w:w="542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2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Purchase of limited liability company ownership interest</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(300)</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Proceeds from sale of property and equipment</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Purchase of property and equipment</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(2,456)</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Proceeds from sale of treasury bills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24,995</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Purchase of treasury bills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(44,880)</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20"/>
        </w:trPr>
        <w:tc>
          <w:tcPr>
            <w:tcW w:w="5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5420" w:type="dxa"/>
            <w:vAlign w:val="bottom"/>
          </w:tcPr>
          <w:p>
            <w:pPr>
              <w:ind w:left="1000"/>
              <w:spacing w:after="0"/>
              <w:rPr>
                <w:sz w:val="20"/>
                <w:szCs w:val="20"/>
                <w:color w:val="auto"/>
              </w:rPr>
            </w:pPr>
            <w:r>
              <w:rPr>
                <w:rFonts w:ascii="Arial" w:cs="Arial" w:eastAsia="Arial" w:hAnsi="Arial"/>
                <w:sz w:val="12"/>
                <w:szCs w:val="12"/>
                <w:color w:val="auto"/>
              </w:rPr>
              <w:t>Net cash used in investing activities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(22,641)</w:t>
            </w:r>
          </w:p>
        </w:tc>
        <w:tc>
          <w:tcPr>
            <w:tcW w:w="8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r>
      <w:tr>
        <w:trPr>
          <w:trHeight w:val="142"/>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CASH FLOWS FROM FINANCING ACTIVITIES:</w:t>
            </w:r>
          </w:p>
        </w:tc>
        <w:tc>
          <w:tcPr>
            <w:tcW w:w="120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Exercise of stock options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50</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Principal payments on facility financing obligation</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(6,920)</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(2,000)</w:t>
            </w: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Proceeds of senior convertible notes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9,910</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Payment of senior convertible notes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(11,081)</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Proceeds from Midcap credit facility</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40,000</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Issuance cost associated with Midcap credit facility</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(886)</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Proceeds from promissory notes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70,051</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Issuance cost associated with promissory notes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(33)</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Principal payments on promissory notes</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(38,264)</w:t>
            </w:r>
          </w:p>
        </w:tc>
        <w:tc>
          <w:tcPr>
            <w:tcW w:w="8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Proceeds from direct placement of common stock</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28,000</w:t>
            </w:r>
          </w:p>
        </w:tc>
        <w:tc>
          <w:tcPr>
            <w:tcW w:w="120" w:type="dxa"/>
            <w:vAlign w:val="bottom"/>
            <w:shd w:val="clear" w:color="auto" w:fill="CFF0FC"/>
          </w:tcPr>
          <w:p>
            <w:pPr>
              <w:spacing w:after="0"/>
              <w:rPr>
                <w:sz w:val="12"/>
                <w:szCs w:val="12"/>
                <w:color w:val="auto"/>
              </w:rPr>
            </w:pP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Issuance cost associated with direct placement</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(1,610)</w:t>
            </w: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Payment of employment taxes related to vested restricted stock units</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(184)</w:t>
            </w: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Proceeds from executive stock purchase plan</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335</w:t>
            </w:r>
          </w:p>
        </w:tc>
        <w:tc>
          <w:tcPr>
            <w:tcW w:w="120" w:type="dxa"/>
            <w:vAlign w:val="bottom"/>
          </w:tcPr>
          <w:p>
            <w:pPr>
              <w:spacing w:after="0"/>
              <w:rPr>
                <w:sz w:val="12"/>
                <w:szCs w:val="12"/>
                <w:color w:val="auto"/>
              </w:rPr>
            </w:pPr>
          </w:p>
        </w:tc>
      </w:tr>
      <w:tr>
        <w:trPr>
          <w:trHeight w:val="149"/>
        </w:trPr>
        <w:tc>
          <w:tcPr>
            <w:tcW w:w="5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Proceeds from issuance of common stock pursuant to at-the-market offering</w:t>
            </w:r>
          </w:p>
        </w:tc>
        <w:tc>
          <w:tcPr>
            <w:tcW w:w="1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2,042</w:t>
            </w:r>
          </w:p>
        </w:tc>
        <w:tc>
          <w:tcPr>
            <w:tcW w:w="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819</w:t>
            </w:r>
          </w:p>
        </w:tc>
        <w:tc>
          <w:tcPr>
            <w:tcW w:w="120" w:type="dxa"/>
            <w:vAlign w:val="bottom"/>
            <w:shd w:val="clear" w:color="auto" w:fill="CFF0FC"/>
          </w:tcPr>
          <w:p>
            <w:pPr>
              <w:spacing w:after="0"/>
              <w:rPr>
                <w:sz w:val="12"/>
                <w:szCs w:val="12"/>
                <w:color w:val="auto"/>
              </w:rPr>
            </w:pPr>
          </w:p>
        </w:tc>
      </w:tr>
      <w:tr>
        <w:trPr>
          <w:trHeight w:val="149"/>
        </w:trPr>
        <w:tc>
          <w:tcPr>
            <w:tcW w:w="5420" w:type="dxa"/>
            <w:vAlign w:val="bottom"/>
          </w:tcPr>
          <w:p>
            <w:pPr>
              <w:ind w:left="260"/>
              <w:spacing w:after="0"/>
              <w:rPr>
                <w:sz w:val="20"/>
                <w:szCs w:val="20"/>
                <w:color w:val="auto"/>
              </w:rPr>
            </w:pPr>
            <w:r>
              <w:rPr>
                <w:rFonts w:ascii="Arial" w:cs="Arial" w:eastAsia="Arial" w:hAnsi="Arial"/>
                <w:sz w:val="12"/>
                <w:szCs w:val="12"/>
                <w:color w:val="auto"/>
              </w:rPr>
              <w:t>Issuance cost associated with in at-the-market offering</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(47)</w:t>
            </w:r>
          </w:p>
        </w:tc>
        <w:tc>
          <w:tcPr>
            <w:tcW w:w="8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(33)</w:t>
            </w:r>
          </w:p>
        </w:tc>
      </w:tr>
      <w:tr>
        <w:trPr>
          <w:trHeight w:val="142"/>
        </w:trPr>
        <w:tc>
          <w:tcPr>
            <w:tcW w:w="54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2"/>
                <w:szCs w:val="12"/>
                <w:color w:val="auto"/>
              </w:rPr>
              <w:t>Net cash (used) provided by financing activities</w:t>
            </w:r>
          </w:p>
        </w:tc>
        <w:tc>
          <w:tcPr>
            <w:tcW w:w="120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64,822</w:t>
            </w:r>
          </w:p>
        </w:tc>
        <w:tc>
          <w:tcPr>
            <w:tcW w:w="3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25,327</w:t>
            </w:r>
          </w:p>
        </w:tc>
        <w:tc>
          <w:tcPr>
            <w:tcW w:w="120" w:type="dxa"/>
            <w:vAlign w:val="bottom"/>
            <w:tcBorders>
              <w:top w:val="single" w:sz="8" w:color="CFF0FC"/>
            </w:tcBorders>
            <w:shd w:val="clear" w:color="auto" w:fill="CFF0FC"/>
          </w:tcPr>
          <w:p>
            <w:pPr>
              <w:spacing w:after="0"/>
              <w:rPr>
                <w:sz w:val="12"/>
                <w:szCs w:val="12"/>
                <w:color w:val="auto"/>
              </w:rPr>
            </w:pPr>
          </w:p>
        </w:tc>
      </w:tr>
      <w:tr>
        <w:trPr>
          <w:trHeight w:val="134"/>
        </w:trPr>
        <w:tc>
          <w:tcPr>
            <w:tcW w:w="5420" w:type="dxa"/>
            <w:vAlign w:val="bottom"/>
          </w:tcPr>
          <w:p>
            <w:pPr>
              <w:spacing w:after="0" w:line="134" w:lineRule="exact"/>
              <w:rPr>
                <w:sz w:val="20"/>
                <w:szCs w:val="20"/>
                <w:color w:val="auto"/>
              </w:rPr>
            </w:pPr>
            <w:r>
              <w:rPr>
                <w:rFonts w:ascii="Arial" w:cs="Arial" w:eastAsia="Arial" w:hAnsi="Arial"/>
                <w:sz w:val="12"/>
                <w:szCs w:val="12"/>
                <w:b w:val="1"/>
                <w:bCs w:val="1"/>
                <w:color w:val="auto"/>
              </w:rPr>
              <w:t>NET DECREASE IN CASH AND CASH EQUIVALENTS AND RESTRICTED</w:t>
            </w:r>
          </w:p>
        </w:tc>
        <w:tc>
          <w:tcPr>
            <w:tcW w:w="1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5420" w:type="dxa"/>
            <w:vAlign w:val="bottom"/>
          </w:tcPr>
          <w:p>
            <w:pPr>
              <w:ind w:left="100"/>
              <w:spacing w:after="0"/>
              <w:rPr>
                <w:sz w:val="20"/>
                <w:szCs w:val="20"/>
                <w:color w:val="auto"/>
              </w:rPr>
            </w:pPr>
            <w:r>
              <w:rPr>
                <w:rFonts w:ascii="Arial" w:cs="Arial" w:eastAsia="Arial" w:hAnsi="Arial"/>
                <w:sz w:val="12"/>
                <w:szCs w:val="12"/>
                <w:b w:val="1"/>
                <w:bCs w:val="1"/>
                <w:color w:val="auto"/>
              </w:rPr>
              <w:t>CASH</w:t>
            </w: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(41,195)</w:t>
            </w:r>
          </w:p>
        </w:tc>
        <w:tc>
          <w:tcPr>
            <w:tcW w:w="8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(37,382)</w:t>
            </w:r>
          </w:p>
        </w:tc>
      </w:tr>
      <w:tr>
        <w:trPr>
          <w:trHeight w:val="134"/>
        </w:trPr>
        <w:tc>
          <w:tcPr>
            <w:tcW w:w="5420" w:type="dxa"/>
            <w:vAlign w:val="bottom"/>
            <w:tcBorders>
              <w:top w:val="single" w:sz="8" w:color="CFF0FC"/>
            </w:tcBorders>
            <w:shd w:val="clear" w:color="auto" w:fill="CFF0FC"/>
          </w:tcPr>
          <w:p>
            <w:pPr>
              <w:spacing w:after="0" w:line="134" w:lineRule="exact"/>
              <w:rPr>
                <w:sz w:val="20"/>
                <w:szCs w:val="20"/>
                <w:color w:val="auto"/>
              </w:rPr>
            </w:pPr>
            <w:r>
              <w:rPr>
                <w:rFonts w:ascii="Arial" w:cs="Arial" w:eastAsia="Arial" w:hAnsi="Arial"/>
                <w:sz w:val="12"/>
                <w:szCs w:val="12"/>
                <w:b w:val="1"/>
                <w:bCs w:val="1"/>
                <w:color w:val="auto"/>
              </w:rPr>
              <w:t>CASH AND CASH EQUIVALENTS AND RESTRICTED CASH, BEGINNING</w:t>
            </w:r>
          </w:p>
        </w:tc>
        <w:tc>
          <w:tcPr>
            <w:tcW w:w="1200" w:type="dxa"/>
            <w:vAlign w:val="bottom"/>
            <w:tcBorders>
              <w:top w:val="single" w:sz="8" w:color="CFF0FC"/>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3"/>
        </w:trPr>
        <w:tc>
          <w:tcPr>
            <w:tcW w:w="5420" w:type="dxa"/>
            <w:vAlign w:val="bottom"/>
            <w:shd w:val="clear" w:color="auto" w:fill="CFF0FC"/>
          </w:tcPr>
          <w:p>
            <w:pPr>
              <w:ind w:left="100"/>
              <w:spacing w:after="0"/>
              <w:rPr>
                <w:sz w:val="20"/>
                <w:szCs w:val="20"/>
                <w:color w:val="auto"/>
              </w:rPr>
            </w:pPr>
            <w:r>
              <w:rPr>
                <w:rFonts w:ascii="Arial" w:cs="Arial" w:eastAsia="Arial" w:hAnsi="Arial"/>
                <w:sz w:val="12"/>
                <w:szCs w:val="12"/>
                <w:b w:val="1"/>
                <w:bCs w:val="1"/>
                <w:color w:val="auto"/>
              </w:rPr>
              <w:t>OF PERIOD</w:t>
            </w:r>
          </w:p>
        </w:tc>
        <w:tc>
          <w:tcPr>
            <w:tcW w:w="1200" w:type="dxa"/>
            <w:vAlign w:val="bottom"/>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71,684</w:t>
            </w:r>
          </w:p>
        </w:tc>
        <w:tc>
          <w:tcPr>
            <w:tcW w:w="36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48,355</w:t>
            </w:r>
          </w:p>
        </w:tc>
        <w:tc>
          <w:tcPr>
            <w:tcW w:w="120" w:type="dxa"/>
            <w:vAlign w:val="bottom"/>
            <w:shd w:val="clear" w:color="auto" w:fill="CFF0FC"/>
          </w:tcPr>
          <w:p>
            <w:pPr>
              <w:spacing w:after="0"/>
              <w:rPr>
                <w:sz w:val="12"/>
                <w:szCs w:val="12"/>
                <w:color w:val="auto"/>
              </w:rPr>
            </w:pPr>
          </w:p>
        </w:tc>
      </w:tr>
      <w:tr>
        <w:trPr>
          <w:trHeight w:val="134"/>
        </w:trPr>
        <w:tc>
          <w:tcPr>
            <w:tcW w:w="5420" w:type="dxa"/>
            <w:vAlign w:val="bottom"/>
          </w:tcPr>
          <w:p>
            <w:pPr>
              <w:spacing w:after="0" w:line="134" w:lineRule="exact"/>
              <w:rPr>
                <w:sz w:val="20"/>
                <w:szCs w:val="20"/>
                <w:color w:val="auto"/>
              </w:rPr>
            </w:pPr>
            <w:r>
              <w:rPr>
                <w:rFonts w:ascii="Arial" w:cs="Arial" w:eastAsia="Arial" w:hAnsi="Arial"/>
                <w:sz w:val="12"/>
                <w:szCs w:val="12"/>
                <w:b w:val="1"/>
                <w:bCs w:val="1"/>
                <w:color w:val="auto"/>
              </w:rPr>
              <w:t>CASH AND CASH EQUIVALENTS AND RESTRICTED CASH, END OF</w:t>
            </w:r>
          </w:p>
        </w:tc>
        <w:tc>
          <w:tcPr>
            <w:tcW w:w="1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3"/>
        </w:trPr>
        <w:tc>
          <w:tcPr>
            <w:tcW w:w="5420" w:type="dxa"/>
            <w:vAlign w:val="bottom"/>
          </w:tcPr>
          <w:p>
            <w:pPr>
              <w:ind w:left="100"/>
              <w:spacing w:after="0"/>
              <w:rPr>
                <w:sz w:val="20"/>
                <w:szCs w:val="20"/>
                <w:color w:val="auto"/>
              </w:rPr>
            </w:pPr>
            <w:r>
              <w:rPr>
                <w:rFonts w:ascii="Arial" w:cs="Arial" w:eastAsia="Arial" w:hAnsi="Arial"/>
                <w:sz w:val="12"/>
                <w:szCs w:val="12"/>
                <w:b w:val="1"/>
                <w:bCs w:val="1"/>
                <w:color w:val="auto"/>
              </w:rPr>
              <w:t>PERIOD</w:t>
            </w:r>
          </w:p>
        </w:tc>
        <w:tc>
          <w:tcPr>
            <w:tcW w:w="2520" w:type="dxa"/>
            <w:vAlign w:val="bottom"/>
            <w:gridSpan w:val="2"/>
          </w:tcPr>
          <w:p>
            <w:pPr>
              <w:jc w:val="right"/>
              <w:ind w:right="12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30,489</w:t>
            </w:r>
          </w:p>
        </w:tc>
        <w:tc>
          <w:tcPr>
            <w:tcW w:w="360" w:type="dxa"/>
            <w:vAlign w:val="bottom"/>
          </w:tcPr>
          <w:p>
            <w:pPr>
              <w:spacing w:after="0"/>
              <w:rPr>
                <w:sz w:val="15"/>
                <w:szCs w:val="15"/>
                <w:color w:val="auto"/>
              </w:rPr>
            </w:pP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10,973</w:t>
            </w:r>
          </w:p>
        </w:tc>
        <w:tc>
          <w:tcPr>
            <w:tcW w:w="120" w:type="dxa"/>
            <w:vAlign w:val="bottom"/>
          </w:tcPr>
          <w:p>
            <w:pPr>
              <w:spacing w:after="0"/>
              <w:rPr>
                <w:sz w:val="15"/>
                <w:szCs w:val="15"/>
                <w:color w:val="auto"/>
              </w:rPr>
            </w:pPr>
          </w:p>
        </w:tc>
      </w:tr>
      <w:tr>
        <w:trPr>
          <w:trHeight w:val="129"/>
        </w:trPr>
        <w:tc>
          <w:tcPr>
            <w:tcW w:w="54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SUPPLEMENTAL CASH FLOWS DISCLOSURES:</w:t>
            </w:r>
          </w:p>
        </w:tc>
        <w:tc>
          <w:tcPr>
            <w:tcW w:w="1200" w:type="dxa"/>
            <w:vAlign w:val="bottom"/>
            <w:tcBorders>
              <w:top w:val="single" w:sz="8" w:color="CFF0FC"/>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89"/>
        </w:trPr>
        <w:tc>
          <w:tcPr>
            <w:tcW w:w="5420" w:type="dxa"/>
            <w:vAlign w:val="bottom"/>
          </w:tcPr>
          <w:p>
            <w:pPr>
              <w:ind w:left="260"/>
              <w:spacing w:after="0"/>
              <w:rPr>
                <w:sz w:val="20"/>
                <w:szCs w:val="20"/>
                <w:color w:val="auto"/>
              </w:rPr>
            </w:pPr>
            <w:r>
              <w:rPr>
                <w:rFonts w:ascii="Arial" w:cs="Arial" w:eastAsia="Arial" w:hAnsi="Arial"/>
                <w:sz w:val="12"/>
                <w:szCs w:val="12"/>
                <w:color w:val="auto"/>
              </w:rPr>
              <w:t>Interest paid in cash, net of amounts capitalized</w:t>
            </w:r>
          </w:p>
        </w:tc>
        <w:tc>
          <w:tcPr>
            <w:tcW w:w="2520" w:type="dxa"/>
            <w:vAlign w:val="bottom"/>
            <w:gridSpan w:val="2"/>
          </w:tcPr>
          <w:p>
            <w:pPr>
              <w:jc w:val="right"/>
              <w:ind w:right="12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2,895</w:t>
            </w:r>
          </w:p>
        </w:tc>
        <w:tc>
          <w:tcPr>
            <w:tcW w:w="120" w:type="dxa"/>
            <w:vAlign w:val="bottom"/>
          </w:tcPr>
          <w:p>
            <w:pPr>
              <w:spacing w:after="0"/>
              <w:rPr>
                <w:sz w:val="16"/>
                <w:szCs w:val="16"/>
                <w:color w:val="auto"/>
              </w:rPr>
            </w:pPr>
          </w:p>
        </w:tc>
      </w:tr>
      <w:tr>
        <w:trPr>
          <w:trHeight w:val="129"/>
        </w:trPr>
        <w:tc>
          <w:tcPr>
            <w:tcW w:w="54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NON-CASH INVESTING AND FINANCING ACTIVITIES:</w:t>
            </w:r>
          </w:p>
        </w:tc>
        <w:tc>
          <w:tcPr>
            <w:tcW w:w="1200" w:type="dxa"/>
            <w:vAlign w:val="bottom"/>
            <w:tcBorders>
              <w:top w:val="single" w:sz="8" w:color="CFF0FC"/>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9"/>
        </w:trPr>
        <w:tc>
          <w:tcPr>
            <w:tcW w:w="5420" w:type="dxa"/>
            <w:vAlign w:val="bottom"/>
          </w:tcPr>
          <w:p>
            <w:pPr>
              <w:ind w:left="260"/>
              <w:spacing w:after="0"/>
              <w:rPr>
                <w:sz w:val="20"/>
                <w:szCs w:val="20"/>
                <w:color w:val="auto"/>
              </w:rPr>
            </w:pPr>
            <w:r>
              <w:rPr>
                <w:rFonts w:ascii="Arial" w:cs="Arial" w:eastAsia="Arial" w:hAnsi="Arial"/>
                <w:sz w:val="12"/>
                <w:szCs w:val="12"/>
                <w:color w:val="auto"/>
              </w:rPr>
              <w:t>Property and equipment in progress in accounts payable</w:t>
            </w:r>
          </w:p>
        </w:tc>
        <w:tc>
          <w:tcPr>
            <w:tcW w:w="2520" w:type="dxa"/>
            <w:vAlign w:val="bottom"/>
            <w:gridSpan w:val="2"/>
          </w:tcPr>
          <w:p>
            <w:pPr>
              <w:jc w:val="right"/>
              <w:ind w:right="12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203</w:t>
            </w:r>
          </w:p>
        </w:tc>
        <w:tc>
          <w:tcPr>
            <w:tcW w:w="360" w:type="dxa"/>
            <w:vAlign w:val="bottom"/>
          </w:tcPr>
          <w:p>
            <w:pPr>
              <w:spacing w:after="0"/>
              <w:rPr>
                <w:sz w:val="14"/>
                <w:szCs w:val="14"/>
                <w:color w:val="auto"/>
              </w:rPr>
            </w:pP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5420" w:type="dxa"/>
            <w:vAlign w:val="bottom"/>
            <w:shd w:val="clear" w:color="auto" w:fill="CFF0FC"/>
          </w:tcPr>
          <w:p>
            <w:pPr>
              <w:ind w:left="260"/>
              <w:spacing w:after="0" w:line="129" w:lineRule="exact"/>
              <w:rPr>
                <w:sz w:val="20"/>
                <w:szCs w:val="20"/>
                <w:color w:val="auto"/>
              </w:rPr>
            </w:pPr>
            <w:r>
              <w:rPr>
                <w:rFonts w:ascii="Arial" w:cs="Arial" w:eastAsia="Arial" w:hAnsi="Arial"/>
                <w:sz w:val="12"/>
                <w:szCs w:val="12"/>
                <w:color w:val="auto"/>
              </w:rPr>
              <w:t>Addition of right-of-use assets upon adoption of new lease guidance</w:t>
            </w:r>
          </w:p>
        </w:tc>
        <w:tc>
          <w:tcPr>
            <w:tcW w:w="2520" w:type="dxa"/>
            <w:vAlign w:val="bottom"/>
            <w:gridSpan w:val="2"/>
            <w:shd w:val="clear" w:color="auto" w:fill="CFF0FC"/>
          </w:tcPr>
          <w:p>
            <w:pPr>
              <w:jc w:val="right"/>
              <w:ind w:right="126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5,192</w:t>
            </w:r>
          </w:p>
        </w:tc>
        <w:tc>
          <w:tcPr>
            <w:tcW w:w="3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13"/>
              <w:spacing w:after="0"/>
              <w:rPr>
                <w:sz w:val="20"/>
                <w:szCs w:val="20"/>
                <w:color w:val="auto"/>
              </w:rPr>
            </w:pPr>
            <w:r>
              <w:rPr>
                <w:rFonts w:ascii="Arial" w:cs="Arial" w:eastAsia="Arial" w:hAnsi="Arial"/>
                <w:sz w:val="9"/>
                <w:szCs w:val="9"/>
                <w:color w:val="auto"/>
                <w:w w:val="78"/>
              </w:rPr>
              <w:t>$</w:t>
            </w:r>
          </w:p>
        </w:tc>
        <w:tc>
          <w:tcPr>
            <w:tcW w:w="146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49"/>
        </w:trPr>
        <w:tc>
          <w:tcPr>
            <w:tcW w:w="5420" w:type="dxa"/>
            <w:vAlign w:val="bottom"/>
          </w:tcPr>
          <w:p>
            <w:pPr>
              <w:ind w:left="260"/>
              <w:spacing w:after="0" w:line="129" w:lineRule="exact"/>
              <w:rPr>
                <w:sz w:val="20"/>
                <w:szCs w:val="20"/>
                <w:color w:val="auto"/>
              </w:rPr>
            </w:pPr>
            <w:r>
              <w:rPr>
                <w:rFonts w:ascii="Arial" w:cs="Arial" w:eastAsia="Arial" w:hAnsi="Arial"/>
                <w:sz w:val="12"/>
                <w:szCs w:val="12"/>
                <w:color w:val="auto"/>
              </w:rPr>
              <w:t>Payment of senior convertible notes through common stock issuance</w:t>
            </w:r>
          </w:p>
        </w:tc>
        <w:tc>
          <w:tcPr>
            <w:tcW w:w="2520" w:type="dxa"/>
            <w:vAlign w:val="bottom"/>
            <w:gridSpan w:val="2"/>
          </w:tcPr>
          <w:p>
            <w:pPr>
              <w:jc w:val="right"/>
              <w:ind w:right="126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4,500</w:t>
            </w:r>
          </w:p>
        </w:tc>
        <w:tc>
          <w:tcPr>
            <w:tcW w:w="360" w:type="dxa"/>
            <w:vAlign w:val="bottom"/>
          </w:tcPr>
          <w:p>
            <w:pPr>
              <w:spacing w:after="0"/>
              <w:rPr>
                <w:sz w:val="12"/>
                <w:szCs w:val="12"/>
                <w:color w:val="auto"/>
              </w:rPr>
            </w:pP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14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5420" w:type="dxa"/>
            <w:vAlign w:val="bottom"/>
            <w:shd w:val="clear" w:color="auto" w:fill="CFF0FC"/>
          </w:tcPr>
          <w:p>
            <w:pPr>
              <w:ind w:left="260"/>
              <w:spacing w:after="0" w:line="129" w:lineRule="exact"/>
              <w:rPr>
                <w:sz w:val="20"/>
                <w:szCs w:val="20"/>
                <w:color w:val="auto"/>
              </w:rPr>
            </w:pPr>
            <w:r>
              <w:rPr>
                <w:rFonts w:ascii="Arial" w:cs="Arial" w:eastAsia="Arial" w:hAnsi="Arial"/>
                <w:sz w:val="12"/>
                <w:szCs w:val="12"/>
                <w:color w:val="auto"/>
              </w:rPr>
              <w:t>Principal and interest payments on promissory notes through common stock issuance</w:t>
            </w:r>
          </w:p>
        </w:tc>
        <w:tc>
          <w:tcPr>
            <w:tcW w:w="2520" w:type="dxa"/>
            <w:vAlign w:val="bottom"/>
            <w:gridSpan w:val="2"/>
            <w:shd w:val="clear" w:color="auto" w:fill="CFF0FC"/>
          </w:tcPr>
          <w:p>
            <w:pPr>
              <w:jc w:val="right"/>
              <w:ind w:right="126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8,000</w:t>
            </w:r>
          </w:p>
        </w:tc>
        <w:tc>
          <w:tcPr>
            <w:tcW w:w="3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13"/>
              <w:spacing w:after="0"/>
              <w:rPr>
                <w:sz w:val="20"/>
                <w:szCs w:val="20"/>
                <w:color w:val="auto"/>
              </w:rPr>
            </w:pPr>
            <w:r>
              <w:rPr>
                <w:rFonts w:ascii="Arial" w:cs="Arial" w:eastAsia="Arial" w:hAnsi="Arial"/>
                <w:sz w:val="9"/>
                <w:szCs w:val="9"/>
                <w:color w:val="auto"/>
                <w:w w:val="78"/>
              </w:rPr>
              <w:t>$</w:t>
            </w:r>
          </w:p>
        </w:tc>
        <w:tc>
          <w:tcPr>
            <w:tcW w:w="13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8,160</w:t>
            </w:r>
          </w:p>
        </w:tc>
        <w:tc>
          <w:tcPr>
            <w:tcW w:w="120" w:type="dxa"/>
            <w:vAlign w:val="bottom"/>
            <w:shd w:val="clear" w:color="auto" w:fill="CFF0FC"/>
          </w:tcPr>
          <w:p>
            <w:pPr>
              <w:spacing w:after="0"/>
              <w:rPr>
                <w:sz w:val="11"/>
                <w:szCs w:val="1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49"/>
        </w:trPr>
        <w:tc>
          <w:tcPr>
            <w:tcW w:w="5420" w:type="dxa"/>
            <w:vAlign w:val="bottom"/>
          </w:tcPr>
          <w:p>
            <w:pPr>
              <w:ind w:left="260"/>
              <w:spacing w:after="0" w:line="129" w:lineRule="exact"/>
              <w:rPr>
                <w:sz w:val="20"/>
                <w:szCs w:val="20"/>
                <w:color w:val="auto"/>
              </w:rPr>
            </w:pPr>
            <w:r>
              <w:rPr>
                <w:rFonts w:ascii="Arial" w:cs="Arial" w:eastAsia="Arial" w:hAnsi="Arial"/>
                <w:sz w:val="12"/>
                <w:szCs w:val="12"/>
                <w:color w:val="auto"/>
              </w:rPr>
              <w:t>Payment of interest on senior convertible notes through common stock issuance</w:t>
            </w:r>
          </w:p>
        </w:tc>
        <w:tc>
          <w:tcPr>
            <w:tcW w:w="2520" w:type="dxa"/>
            <w:vAlign w:val="bottom"/>
            <w:gridSpan w:val="2"/>
          </w:tcPr>
          <w:p>
            <w:pPr>
              <w:jc w:val="right"/>
              <w:ind w:right="126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1,075</w:t>
            </w:r>
          </w:p>
        </w:tc>
        <w:tc>
          <w:tcPr>
            <w:tcW w:w="360" w:type="dxa"/>
            <w:vAlign w:val="bottom"/>
          </w:tcPr>
          <w:p>
            <w:pPr>
              <w:spacing w:after="0"/>
              <w:rPr>
                <w:sz w:val="12"/>
                <w:szCs w:val="12"/>
                <w:color w:val="auto"/>
              </w:rPr>
            </w:pP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14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5420" w:type="dxa"/>
            <w:vAlign w:val="bottom"/>
            <w:shd w:val="clear" w:color="auto" w:fill="CFF0FC"/>
          </w:tcPr>
          <w:p>
            <w:pPr>
              <w:ind w:left="260"/>
              <w:spacing w:after="0" w:line="129" w:lineRule="exact"/>
              <w:rPr>
                <w:sz w:val="20"/>
                <w:szCs w:val="20"/>
                <w:color w:val="auto"/>
              </w:rPr>
            </w:pPr>
            <w:r>
              <w:rPr>
                <w:rFonts w:ascii="Arial" w:cs="Arial" w:eastAsia="Arial" w:hAnsi="Arial"/>
                <w:sz w:val="12"/>
                <w:szCs w:val="12"/>
                <w:color w:val="auto"/>
              </w:rPr>
              <w:t>Common stock issuance to settle employee stock purchase plan liability</w:t>
            </w:r>
          </w:p>
        </w:tc>
        <w:tc>
          <w:tcPr>
            <w:tcW w:w="2520" w:type="dxa"/>
            <w:vAlign w:val="bottom"/>
            <w:gridSpan w:val="2"/>
            <w:shd w:val="clear" w:color="auto" w:fill="CFF0FC"/>
          </w:tcPr>
          <w:p>
            <w:pPr>
              <w:jc w:val="right"/>
              <w:ind w:right="126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656</w:t>
            </w:r>
          </w:p>
        </w:tc>
        <w:tc>
          <w:tcPr>
            <w:tcW w:w="3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13"/>
              <w:spacing w:after="0"/>
              <w:rPr>
                <w:sz w:val="20"/>
                <w:szCs w:val="20"/>
                <w:color w:val="auto"/>
              </w:rPr>
            </w:pPr>
            <w:r>
              <w:rPr>
                <w:rFonts w:ascii="Arial" w:cs="Arial" w:eastAsia="Arial" w:hAnsi="Arial"/>
                <w:sz w:val="9"/>
                <w:szCs w:val="9"/>
                <w:color w:val="auto"/>
                <w:w w:val="78"/>
              </w:rPr>
              <w:t>$</w:t>
            </w:r>
          </w:p>
        </w:tc>
        <w:tc>
          <w:tcPr>
            <w:tcW w:w="146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49"/>
        </w:trPr>
        <w:tc>
          <w:tcPr>
            <w:tcW w:w="5420" w:type="dxa"/>
            <w:vAlign w:val="bottom"/>
          </w:tcPr>
          <w:p>
            <w:pPr>
              <w:ind w:left="260"/>
              <w:spacing w:after="0" w:line="129" w:lineRule="exact"/>
              <w:rPr>
                <w:sz w:val="20"/>
                <w:szCs w:val="20"/>
                <w:color w:val="auto"/>
              </w:rPr>
            </w:pPr>
            <w:r>
              <w:rPr>
                <w:rFonts w:ascii="Arial" w:cs="Arial" w:eastAsia="Arial" w:hAnsi="Arial"/>
                <w:sz w:val="12"/>
                <w:szCs w:val="12"/>
                <w:color w:val="auto"/>
              </w:rPr>
              <w:t>Payment of facility obligation through common stock issuance</w:t>
            </w:r>
          </w:p>
        </w:tc>
        <w:tc>
          <w:tcPr>
            <w:tcW w:w="2520" w:type="dxa"/>
            <w:vAlign w:val="bottom"/>
            <w:gridSpan w:val="2"/>
          </w:tcPr>
          <w:p>
            <w:pPr>
              <w:jc w:val="right"/>
              <w:ind w:right="126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4,575</w:t>
            </w:r>
          </w:p>
        </w:tc>
        <w:tc>
          <w:tcPr>
            <w:tcW w:w="360" w:type="dxa"/>
            <w:vAlign w:val="bottom"/>
          </w:tcPr>
          <w:p>
            <w:pPr>
              <w:spacing w:after="0"/>
              <w:rPr>
                <w:sz w:val="12"/>
                <w:szCs w:val="12"/>
                <w:color w:val="auto"/>
              </w:rPr>
            </w:pP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14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5420" w:type="dxa"/>
            <w:vAlign w:val="bottom"/>
            <w:shd w:val="clear" w:color="auto" w:fill="CFF0FC"/>
          </w:tcPr>
          <w:p>
            <w:pPr>
              <w:ind w:left="260"/>
              <w:spacing w:after="0" w:line="129" w:lineRule="exact"/>
              <w:rPr>
                <w:sz w:val="20"/>
                <w:szCs w:val="20"/>
                <w:color w:val="auto"/>
              </w:rPr>
            </w:pPr>
            <w:r>
              <w:rPr>
                <w:rFonts w:ascii="Arial" w:cs="Arial" w:eastAsia="Arial" w:hAnsi="Arial"/>
                <w:sz w:val="12"/>
                <w:szCs w:val="12"/>
                <w:color w:val="auto"/>
              </w:rPr>
              <w:t>Payment of note obligations through common stock issuance</w:t>
            </w:r>
          </w:p>
        </w:tc>
        <w:tc>
          <w:tcPr>
            <w:tcW w:w="2520" w:type="dxa"/>
            <w:vAlign w:val="bottom"/>
            <w:gridSpan w:val="2"/>
            <w:shd w:val="clear" w:color="auto" w:fill="CFF0FC"/>
          </w:tcPr>
          <w:p>
            <w:pPr>
              <w:jc w:val="right"/>
              <w:ind w:right="1260"/>
              <w:spacing w:after="0" w:line="129"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380"/>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ind w:right="713"/>
              <w:spacing w:after="0"/>
              <w:rPr>
                <w:sz w:val="20"/>
                <w:szCs w:val="20"/>
                <w:color w:val="auto"/>
              </w:rPr>
            </w:pPr>
            <w:r>
              <w:rPr>
                <w:rFonts w:ascii="Arial" w:cs="Arial" w:eastAsia="Arial" w:hAnsi="Arial"/>
                <w:sz w:val="9"/>
                <w:szCs w:val="9"/>
                <w:color w:val="auto"/>
                <w:w w:val="78"/>
              </w:rPr>
              <w:t>$</w:t>
            </w:r>
          </w:p>
        </w:tc>
        <w:tc>
          <w:tcPr>
            <w:tcW w:w="13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42,912</w:t>
            </w:r>
          </w:p>
        </w:tc>
        <w:tc>
          <w:tcPr>
            <w:tcW w:w="120" w:type="dxa"/>
            <w:vAlign w:val="bottom"/>
            <w:shd w:val="clear" w:color="auto" w:fill="CFF0FC"/>
          </w:tcPr>
          <w:p>
            <w:pPr>
              <w:spacing w:after="0"/>
              <w:rPr>
                <w:sz w:val="11"/>
                <w:szCs w:val="1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29"/>
        </w:trPr>
        <w:tc>
          <w:tcPr>
            <w:tcW w:w="5420" w:type="dxa"/>
            <w:vAlign w:val="bottom"/>
          </w:tcPr>
          <w:p>
            <w:pPr>
              <w:ind w:left="260"/>
              <w:spacing w:after="0" w:line="129" w:lineRule="exact"/>
              <w:rPr>
                <w:sz w:val="20"/>
                <w:szCs w:val="20"/>
                <w:color w:val="auto"/>
              </w:rPr>
            </w:pPr>
            <w:r>
              <w:rPr>
                <w:rFonts w:ascii="Arial" w:cs="Arial" w:eastAsia="Arial" w:hAnsi="Arial"/>
                <w:sz w:val="12"/>
                <w:szCs w:val="12"/>
                <w:color w:val="auto"/>
              </w:rPr>
              <w:t>Accrued but unpaid debt issuance costs</w:t>
            </w:r>
          </w:p>
        </w:tc>
        <w:tc>
          <w:tcPr>
            <w:tcW w:w="2520" w:type="dxa"/>
            <w:vAlign w:val="bottom"/>
            <w:gridSpan w:val="2"/>
          </w:tcPr>
          <w:p>
            <w:pPr>
              <w:jc w:val="right"/>
              <w:ind w:right="1260"/>
              <w:spacing w:after="0" w:line="129" w:lineRule="exact"/>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380"/>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1340" w:type="dxa"/>
            <w:vAlign w:val="bottom"/>
          </w:tcPr>
          <w:p>
            <w:pPr>
              <w:jc w:val="right"/>
              <w:spacing w:after="0" w:line="129" w:lineRule="exact"/>
              <w:rPr>
                <w:sz w:val="20"/>
                <w:szCs w:val="20"/>
                <w:color w:val="auto"/>
              </w:rPr>
            </w:pPr>
            <w:r>
              <w:rPr>
                <w:rFonts w:ascii="Arial" w:cs="Arial" w:eastAsia="Arial" w:hAnsi="Arial"/>
                <w:sz w:val="12"/>
                <w:szCs w:val="12"/>
                <w:color w:val="auto"/>
              </w:rPr>
              <w:t>146</w:t>
            </w:r>
          </w:p>
        </w:tc>
        <w:tc>
          <w:tcPr>
            <w:tcW w:w="120" w:type="dxa"/>
            <w:vAlign w:val="bottom"/>
          </w:tcPr>
          <w:p>
            <w:pPr>
              <w:spacing w:after="0"/>
              <w:rPr>
                <w:sz w:val="11"/>
                <w:szCs w:val="11"/>
                <w:color w:val="auto"/>
              </w:rPr>
            </w:pPr>
          </w:p>
        </w:tc>
      </w:tr>
      <w:tr>
        <w:trPr>
          <w:trHeight w:val="20"/>
        </w:trPr>
        <w:tc>
          <w:tcPr>
            <w:tcW w:w="5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left="260" w:right="274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2018 filed with the SEC on February 26, 2019 (the “Annual Report”).</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2019 may not be indicative of the results that may be expected for the full year.</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and gross-to-net adjustments, assessing long-lived assets for impairment, inventory costing and recoverability, recognized loss on purchase commitments, milestone rights liability, stock-based compensation and the determination of the provision for income taxes and corresponding deferred tax assets and liabilities and the valuation allowance recorded against net deferred tax assets.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The Company is a biopharmaceutical company focused on the development and commercialization of inhaled therapeutic products for diseases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as diabetes and pulmonary arterial hypertension. The Company’s only approved product, Afrezza (insulin human) Inhalation Powder, is a rapid-acting</w:t>
      </w:r>
    </w:p>
    <w:p>
      <w:pPr>
        <w:spacing w:after="0" w:line="3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specialty sales force.</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condensed consolidated financial statements have been prepared assuming the Company will continue as a going</w:t>
      </w:r>
      <w:r>
        <w:rPr>
          <w:rFonts w:ascii="Arial" w:cs="Arial" w:eastAsia="Arial" w:hAnsi="Arial"/>
          <w:sz w:val="18"/>
          <w:szCs w:val="18"/>
          <w:i w:val="1"/>
          <w:iCs w:val="1"/>
          <w:color w:val="auto"/>
        </w:rPr>
        <w:t xml:space="preserve"> </w:t>
      </w:r>
      <w:r>
        <w:rPr>
          <w:rFonts w:ascii="Arial" w:cs="Arial" w:eastAsia="Arial" w:hAnsi="Arial"/>
          <w:sz w:val="18"/>
          <w:szCs w:val="18"/>
          <w:color w:val="auto"/>
        </w:rPr>
        <w:t>concern, which contemplates the realization of assets and satisfaction of liabilities in the normal course of business.</w:t>
      </w:r>
    </w:p>
    <w:p>
      <w:pPr>
        <w:spacing w:after="0" w:line="170" w:lineRule="exact"/>
        <w:rPr>
          <w:sz w:val="20"/>
          <w:szCs w:val="20"/>
          <w:color w:val="auto"/>
        </w:rPr>
      </w:pPr>
    </w:p>
    <w:p>
      <w:pPr>
        <w:ind w:right="40" w:firstLine="42"/>
        <w:spacing w:after="0" w:line="297" w:lineRule="auto"/>
        <w:rPr>
          <w:sz w:val="20"/>
          <w:szCs w:val="20"/>
          <w:color w:val="auto"/>
        </w:rPr>
      </w:pPr>
      <w:r>
        <w:rPr>
          <w:rFonts w:ascii="Arial" w:cs="Arial" w:eastAsia="Arial" w:hAnsi="Arial"/>
          <w:sz w:val="16"/>
          <w:szCs w:val="16"/>
          <w:color w:val="auto"/>
        </w:rPr>
        <w:t>The Company is not currently profitable and has rarely generated positive net cash flows from operations. In addition, the Company expects to continue to incur significant expenditures for the foreseeable future in support of its manufacturing operations, sales and marketing costs for Afrezza, and collaboration and development costs for product candidates in the Company’s pipeline. As a result, the Company had an accumulated deficit of $3.0 billion, $120.1 million of total principal amount of outstanding borrowings, and limited capital resources of $30.2 million in cash and cash equivalents and $19.9 million in short-term investments as of September 30, 2019. These financial conditions raise substantial doubt about the Company’s ability to continue as a going concern.</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2019, the Company and MannKind LLC entered into a credit and security agreement with MidCap Financial Trust (the “MidCap Credit Facility” or “Credit Facility”) to recapitalize its debt structure (the “recapitalization”) (Refer to Note 7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further details). The Credit Facility is comprised of a $75.0 million senior secured credit facility, of which $40.0 million was outstanding as of September 30, 2019 and the remaining $35.0 million will become available under the following conditions: (1) $10.0 million will be made available through April 15, 2020 if the Company’s trailing 12 month Afrezza product net revenue is equal to or greater than $30.0 million and (2) the remaining $25.0 million will be made available through June 30, 2021 upon the satisfaction of certain milestones associated with the Company’s license agreement with United Therapeutics (see Note 8 – </w:t>
      </w:r>
      <w:r>
        <w:rPr>
          <w:rFonts w:ascii="Arial" w:cs="Arial" w:eastAsia="Arial" w:hAnsi="Arial"/>
          <w:sz w:val="18"/>
          <w:szCs w:val="18"/>
          <w:i w:val="1"/>
          <w:iCs w:val="1"/>
          <w:color w:val="auto"/>
        </w:rPr>
        <w:t>Collaborations and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Principal payments on the Credit Facility begin in September 2021. In addition, the MidCap Credit Facility contains certain covenants, one of which includes a requirement to maintain a minimum of $15.0 million of unrestricted cash and cash equivalents. This amount will increase to $20 million if the Company draws the aforementioned additional funding that may be made available.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As part of the recapitalization, the Company converted shares of common stock, made repayments on outstanding borrowings, and used some of the proceeds from the MidCap Credit Facility proceeds to:</w:t>
      </w:r>
    </w:p>
    <w:p>
      <w:pPr>
        <w:spacing w:after="0" w:line="62" w:lineRule="exact"/>
        <w:rPr>
          <w:sz w:val="20"/>
          <w:szCs w:val="20"/>
          <w:color w:val="auto"/>
        </w:rPr>
      </w:pPr>
    </w:p>
    <w:p>
      <w:pPr>
        <w:ind w:left="380" w:right="2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 repay the remaining $5.0 million due on its financing facility with Deerfield Private Design Fund II L.P. and Deerfield Private Design International I L.P.,</w:t>
      </w:r>
    </w:p>
    <w:p>
      <w:pPr>
        <w:spacing w:after="0" w:line="62" w:lineRule="exact"/>
        <w:rPr>
          <w:rFonts w:ascii="Arial" w:cs="Arial" w:eastAsia="Arial" w:hAnsi="Arial"/>
          <w:sz w:val="18"/>
          <w:szCs w:val="18"/>
          <w:color w:val="auto"/>
        </w:rPr>
      </w:pPr>
    </w:p>
    <w:p>
      <w:pPr>
        <w:ind w:left="380" w:hanging="372"/>
        <w:spacing w:after="0" w:line="286"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Pay down the Company’s obligation to The Mann Group (including accrued interest) by $11.0 million and restructure the remaining $70.1 million of debt into two notes, extending maturity dates and principal repayment requirements from July 2021 to November 2024. One note in the amount of $35.1 million is convertible into MannKind common stock at $2.50 per share. Interest can be paid in kind or in MannKind common stock.</w:t>
      </w:r>
    </w:p>
    <w:p>
      <w:pPr>
        <w:spacing w:after="0" w:line="57" w:lineRule="exact"/>
        <w:rPr>
          <w:rFonts w:ascii="Arial" w:cs="Arial" w:eastAsia="Arial" w:hAnsi="Arial"/>
          <w:sz w:val="17"/>
          <w:szCs w:val="17"/>
          <w:color w:val="auto"/>
        </w:rPr>
      </w:pPr>
    </w:p>
    <w:p>
      <w:pPr>
        <w:ind w:left="380" w:right="16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Senior Convertible Notes due 2021 by $8.5 million and restructure the remaining $10.2 million to $2.6 million due June 2020, $2.6 million due December 2020 and $5.0 million due November 2024. The $5.0 million due in November 2024 can be converted in MannKind common stock at $3.00 per share. Interest can be paid in MannKind common stock or in cash.</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capital resources may not be sufficient to continue to meet its current and anticipated obligations over the next twelve months if the Company cannot increase its operating cash inflows by growing its prescription and revenue base and/or obtain access to the remaining $35.0 million borrowings that may become available under its Credit Facility. In the event these capital resources are not sufficient, the Company may need to raise additional capital through the sale of equity or debt securities, enter into strategic business collaboration agreements with other companies, seek other funding facilities, seek other licensing arrangements, sell assets and/or other means. However, the Company cannot provide assurances that additional capital will be available on acceptable terms or at all.</w:t>
      </w:r>
    </w:p>
    <w:p>
      <w:pPr>
        <w:spacing w:after="0" w:line="193"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If the Company is unable to meet its current and anticipated obligations over the next twelve months through its existing capital resources, or obtain new sources of capital when needed, the Company may have to delay, reduce the scope of its manufacturing operations, reduce or eliminate one or more of its development programs, make significant changes to its operating plan. These factors raise substantial doubt about the Company’s ability to continue as a going concern. The accompanying financial statements do not include any adjustments that might result from the outcome of this uncertainty.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condensed consolidated financial statements include the accounts of the Company and its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have been eliminated.</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0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The Company adopted Accounting Standards Codification (“ASC”) Topic 606 -</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(“the new</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guidance”), on January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20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These Customers subsequently resell the Company’s products to retail pharmacies and certain medical centers or hospitals. Specialty pharmacies sell directly to patients. In addition to distribution agreements with Customers, the Company enters into arrangements with health care providers and payors that provide for government mandated and/or privately negotiated rebates, chargebacks, and discounts with respect to the purchase of the Company’s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ind w:right="60"/>
        <w:spacing w:after="0" w:line="264"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delivery for wholesale distributors and at shipment for specialty pharmacies. Product revenues are recorded net of applicable reserves for variable consideration, including discounts and allowances.</w:t>
      </w:r>
    </w:p>
    <w:p>
      <w:pPr>
        <w:spacing w:after="0" w:line="22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i w:val="1"/>
          <w:iCs w:val="1"/>
          <w:color w:val="auto"/>
        </w:rPr>
        <w:t xml:space="preserve">Free Goods Program – </w:t>
      </w:r>
      <w:r>
        <w:rPr>
          <w:rFonts w:ascii="Arial" w:cs="Arial" w:eastAsia="Arial" w:hAnsi="Arial"/>
          <w:sz w:val="16"/>
          <w:szCs w:val="16"/>
          <w:color w:val="auto"/>
        </w:rPr>
        <w:t>From time to time, the Company offers programs to potential new patients that allow them to obtain free goods (prescription fills)</w:t>
      </w:r>
      <w:r>
        <w:rPr>
          <w:rFonts w:ascii="Arial" w:cs="Arial" w:eastAsia="Arial" w:hAnsi="Arial"/>
          <w:sz w:val="16"/>
          <w:szCs w:val="16"/>
          <w:i w:val="1"/>
          <w:iCs w:val="1"/>
          <w:color w:val="auto"/>
        </w:rPr>
        <w:t xml:space="preserve"> </w:t>
      </w:r>
      <w:r>
        <w:rPr>
          <w:rFonts w:ascii="Arial" w:cs="Arial" w:eastAsia="Arial" w:hAnsi="Arial"/>
          <w:sz w:val="16"/>
          <w:szCs w:val="16"/>
          <w:color w:val="auto"/>
        </w:rPr>
        <w:t>from a pharmacy. On a net basis, it is not probable that the Company will receive the consideration from these products. Therefore, the Company excludes such amounts from both gross and net revenue. The cost of product associated with the free goods program is included in the cost of goods sold.</w:t>
      </w:r>
    </w:p>
    <w:p>
      <w:pPr>
        <w:spacing w:after="0" w:line="14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 Revenues from product sales are recorded at the net sales price (transaction price), which includes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amounts earned, or to be claimed on the related sales, and result in a reduction of accounts receivable or establishment of a current liability.</w:t>
      </w:r>
    </w:p>
    <w:p>
      <w:pPr>
        <w:spacing w:after="0" w:line="2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September 30, 2019 and, therefore, the transaction price was not reduced further during the nine months ended September 30, 2019.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21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Trade Discounts and Allowances </w:t>
      </w:r>
      <w:r>
        <w:rPr>
          <w:rFonts w:ascii="Arial" w:cs="Arial" w:eastAsia="Arial" w:hAnsi="Arial"/>
          <w:sz w:val="17"/>
          <w:szCs w:val="17"/>
          <w:color w:val="auto"/>
        </w:rPr>
        <w:t>— The Company generally provides Customers with discounts which include incentives, such as prompt pay discounts,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 Consistent with industry practice, the Company generally offers Customers a right of return for unopened product that has been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Provider Chargebacks and Discounts </w:t>
      </w:r>
      <w:r>
        <w:rPr>
          <w:rFonts w:ascii="Arial" w:cs="Arial" w:eastAsia="Arial" w:hAnsi="Arial"/>
          <w:sz w:val="17"/>
          <w:szCs w:val="17"/>
          <w:color w:val="auto"/>
        </w:rPr>
        <w:t>— Chargebacks for fees and discounts to providers represent the estimated obligations resulting from contractual</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20"/>
        <w:spacing w:after="0" w:line="255"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 The Company is subject to discount obligations under Medicare and state Medicaid programs. These reserves are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2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Payor Rebates </w:t>
      </w:r>
      <w:r>
        <w:rPr>
          <w:rFonts w:ascii="Arial" w:cs="Arial" w:eastAsia="Arial" w:hAnsi="Arial"/>
          <w:sz w:val="18"/>
          <w:szCs w:val="18"/>
          <w:color w:val="auto"/>
        </w:rPr>
        <w:t>— The Company contracts with certain private payor organizations, primarily insurance companies and pharmacy benefit managers,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rebates with respect to utilization of its products. The Company estimates these rebates and records such estimates in the same period the related revenue is recognized, resulting in a reduction of product revenue and the establishment of a current liability which is included in accrued expenses and other current liabilities.</w:t>
      </w:r>
    </w:p>
    <w:p>
      <w:pPr>
        <w:spacing w:after="0" w:line="22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Revenue Recognition – Revenue – Collaborations and Services</w:t>
      </w:r>
      <w:r>
        <w:rPr>
          <w:rFonts w:ascii="Arial" w:cs="Arial" w:eastAsia="Arial" w:hAnsi="Arial"/>
          <w:sz w:val="17"/>
          <w:szCs w:val="17"/>
          <w:color w:val="auto"/>
        </w:rPr>
        <w:t>— The Company enters into licensing or research agreements under which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certain rights to its product candidates to third parties or conducting research services to third parties. The terms of these arrangements may include, but are not limited to payment to the Company of one or more of the following: nonrefundable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8 — Collaborations and Licensing Arrangements.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 w:name="page13"/>
    <w:bookmarkEnd w:id="12"/>
    <w:p>
      <w:pPr>
        <w:ind w:right="200"/>
        <w:spacing w:after="0" w:line="297" w:lineRule="auto"/>
        <w:rPr>
          <w:sz w:val="20"/>
          <w:szCs w:val="20"/>
          <w:color w:val="auto"/>
        </w:rPr>
      </w:pPr>
      <w:r>
        <w:rPr>
          <w:rFonts w:ascii="Arial" w:cs="Arial" w:eastAsia="Arial" w:hAnsi="Arial"/>
          <w:sz w:val="16"/>
          <w:szCs w:val="16"/>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and provides research and development services,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1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 milestones</w:t>
      </w:r>
      <w:r>
        <w:rPr>
          <w:rFonts w:ascii="Arial" w:cs="Arial" w:eastAsia="Arial" w:hAnsi="Arial"/>
          <w:sz w:val="17"/>
          <w:szCs w:val="17"/>
          <w:i w:val="1"/>
          <w:iCs w:val="1"/>
          <w:color w:val="auto"/>
        </w:rPr>
        <w:t xml:space="preserve"> </w:t>
      </w:r>
      <w:r>
        <w:rPr>
          <w:rFonts w:ascii="Arial" w:cs="Arial" w:eastAsia="Arial" w:hAnsi="Arial"/>
          <w:sz w:val="17"/>
          <w:szCs w:val="17"/>
          <w:color w:val="auto"/>
        </w:rPr>
        <w:t>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22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Cost of goods sold includes material, labor costs and manufacturing overhead. Cost of goods sold also includes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current period manufacturing costs in excess of costs capitalized into inventory (excess capacity costs). These costs, in addition to the impact of the annual revaluation of inventory to standard costs, and write-offs of inventory are recorded as expenses in the period in which they are incurred, rather than as a portion of inventory costs. The cost of goods sold excludes the cost of insulin purchased under our Insulin Supply Agreement (see Note 11 – Commitments and Contingencies). All insulin inventory on hand and the full purchase commitment contract to purchase future insulin was written off as of the end of 2015.</w:t>
      </w:r>
    </w:p>
    <w:p>
      <w:pPr>
        <w:spacing w:after="0" w:line="22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 The Company records restricted cash when cash and cash equivalents are restricted as to withdrawal or usage. The Company 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 term assets.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—The Company’s short-term investments consist of U.S. Treasury securities stated at amortized cost which the Company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hold until maturity. Those with maturities less than 12 months are included in short-term investments and any investments with maturities in excess of twelve months are included in long-term investments in our condensed consolidated balance sheets. The Company did not record any material gains or losses on these securities during the nine months ended September 30, 2019.</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Cash and cash equivalents are held in high credit quality institutions. Cash equivalents consist of interest-bearing money market accounts and U.S. Treasury securities, which are regularly monitored by management.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line="276"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 or</w:t>
      </w:r>
      <w:r>
        <w:rPr>
          <w:rFonts w:ascii="Arial" w:cs="Arial" w:eastAsia="Arial" w:hAnsi="Arial"/>
          <w:sz w:val="16"/>
          <w:szCs w:val="16"/>
          <w:i w:val="1"/>
          <w:iCs w:val="1"/>
          <w:color w:val="auto"/>
        </w:rPr>
        <w:t xml:space="preserve"> </w:t>
      </w:r>
      <w:r>
        <w:rPr>
          <w:rFonts w:ascii="Arial" w:cs="Arial" w:eastAsia="Arial" w:hAnsi="Arial"/>
          <w:sz w:val="16"/>
          <w:szCs w:val="16"/>
          <w:color w:val="auto"/>
        </w:rPr>
        <w:t>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Recognized Loss on Purchase Commitments </w:t>
      </w:r>
      <w:r>
        <w:rPr>
          <w:rFonts w:ascii="Arial" w:cs="Arial" w:eastAsia="Arial" w:hAnsi="Arial"/>
          <w:sz w:val="16"/>
          <w:szCs w:val="16"/>
          <w:color w:val="auto"/>
        </w:rPr>
        <w:t>— The Company assesses whether losses on long term purchase commitments should be accrued. Losses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The liability balance of the recognized loss on insulin purchase commitments is $89.5 million and $98.3 million as of September 30, 2019 and December 31, 2018, respectively. No new contracts were identified in 2019 or 2018 that required a new loss on purchase commitment accrual.</w:t>
      </w:r>
    </w:p>
    <w:p>
      <w:pPr>
        <w:spacing w:after="0" w:line="2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2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 loss</w:t>
      </w:r>
      <w:r>
        <w:rPr>
          <w:rFonts w:ascii="Arial" w:cs="Arial" w:eastAsia="Arial" w:hAnsi="Arial"/>
          <w:sz w:val="17"/>
          <w:szCs w:val="17"/>
          <w:i w:val="1"/>
          <w:iCs w:val="1"/>
          <w:color w:val="auto"/>
        </w:rPr>
        <w:t xml:space="preserve"> </w:t>
      </w:r>
      <w:r>
        <w:rPr>
          <w:rFonts w:ascii="Arial" w:cs="Arial" w:eastAsia="Arial" w:hAnsi="Arial"/>
          <w:sz w:val="17"/>
          <w:szCs w:val="17"/>
          <w:color w:val="auto"/>
        </w:rPr>
        <w:t>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2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Share-based payments to employees, including grants of stock options, restricted stock units, performance-based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jc w:val="both"/>
        <w:ind w:right="500"/>
        <w:spacing w:after="0" w:line="264"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connection with conducting clinical trials.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computation of basic and diluted net loss per share for the nine months ended September 30, 2019 and 2018 excludes the common stock equivalents of the following potentially dilutive securities because their inclusion would be anti-dilutive while the Company is in a net loss position:</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06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92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1,122,283</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1,169,340</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00" w:type="dxa"/>
            <w:vAlign w:val="bottom"/>
          </w:tcPr>
          <w:p>
            <w:pPr>
              <w:jc w:val="right"/>
              <w:spacing w:after="0"/>
              <w:rPr>
                <w:sz w:val="20"/>
                <w:szCs w:val="20"/>
                <w:color w:val="auto"/>
              </w:rPr>
            </w:pPr>
            <w:r>
              <w:rPr>
                <w:rFonts w:ascii="Arial" w:cs="Arial" w:eastAsia="Arial" w:hAnsi="Arial"/>
                <w:sz w:val="18"/>
                <w:szCs w:val="18"/>
                <w:color w:val="auto"/>
              </w:rPr>
              <w:t>147,675</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97,598</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15,361,337</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11,431,526</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1,666,667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3,629,627</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Promissory Notes into common stock</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21,909,541</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400" w:type="dxa"/>
            <w:vAlign w:val="bottom"/>
          </w:tcPr>
          <w:p>
            <w:pPr>
              <w:jc w:val="right"/>
              <w:spacing w:after="0"/>
              <w:rPr>
                <w:sz w:val="20"/>
                <w:szCs w:val="20"/>
                <w:color w:val="auto"/>
              </w:rPr>
            </w:pPr>
            <w:r>
              <w:rPr>
                <w:rFonts w:ascii="Arial" w:cs="Arial" w:eastAsia="Arial" w:hAnsi="Arial"/>
                <w:sz w:val="18"/>
                <w:szCs w:val="18"/>
                <w:color w:val="auto"/>
              </w:rPr>
              <w:t>31,856</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31,856</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Midcap Credit Facility</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1,171,614</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Exercise of warrants associated with public offering</w:t>
            </w:r>
          </w:p>
        </w:tc>
        <w:tc>
          <w:tcPr>
            <w:tcW w:w="1400" w:type="dxa"/>
            <w:vAlign w:val="bottom"/>
          </w:tcPr>
          <w:p>
            <w:pPr>
              <w:jc w:val="right"/>
              <w:spacing w:after="0"/>
              <w:rPr>
                <w:sz w:val="20"/>
                <w:szCs w:val="20"/>
                <w:color w:val="auto"/>
              </w:rPr>
            </w:pPr>
            <w:r>
              <w:rPr>
                <w:rFonts w:ascii="Arial" w:cs="Arial" w:eastAsia="Arial" w:hAnsi="Arial"/>
                <w:sz w:val="18"/>
                <w:szCs w:val="18"/>
                <w:color w:val="auto"/>
              </w:rPr>
              <w:t>23,333,333</w:t>
            </w:r>
          </w:p>
        </w:tc>
        <w:tc>
          <w:tcPr>
            <w:tcW w:w="2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direct placement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8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 shares</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56,834,765</w:t>
            </w:r>
          </w:p>
        </w:tc>
        <w:tc>
          <w:tcPr>
            <w:tcW w:w="2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52,269,488</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—The Company adopted Accounting Standards Codification (“ASC”) Topic 842 – Leases (“the new lease guidance”) on January 1, 2019. Under</w:t>
      </w:r>
      <w:r>
        <w:rPr>
          <w:rFonts w:ascii="Arial" w:cs="Arial" w:eastAsia="Arial" w:hAnsi="Arial"/>
          <w:sz w:val="18"/>
          <w:szCs w:val="18"/>
          <w:i w:val="1"/>
          <w:iCs w:val="1"/>
          <w:color w:val="auto"/>
        </w:rPr>
        <w:t xml:space="preserve"> </w:t>
      </w:r>
      <w:r>
        <w:rPr>
          <w:rFonts w:ascii="Arial" w:cs="Arial" w:eastAsia="Arial" w:hAnsi="Arial"/>
          <w:sz w:val="18"/>
          <w:szCs w:val="18"/>
          <w:color w:val="auto"/>
        </w:rPr>
        <w:t>Topic 842, the Company is required to recognize the assets and liabilities that arise from most operating leases on the balance sheet and disclose qualitative and quantitative information about its leasing arrangements.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adoption of the new lease guidance, the Company recognized a lease liability to make lease payments and a right-of-use-asset representing its right to use the underlying asset for the applicable lease term using the optional transition method. In doing so, the Company elected the package of three practical expedients permitted under the transition guidance within the new standard, which among other things, allowed the Company to carry forward the historical lease classification. The Company also elected the practical expedient that permits not separating lease and non-lease components for all classes of underlying assets. For short-term leases, the Company has elected not to apply the recognition requirements of this guidance. The Company did not elect to use the hindsight practical expedient.</w:t>
      </w:r>
    </w:p>
    <w:p>
      <w:pPr>
        <w:spacing w:after="0" w:line="193" w:lineRule="exact"/>
        <w:rPr>
          <w:sz w:val="20"/>
          <w:szCs w:val="20"/>
          <w:color w:val="auto"/>
        </w:rPr>
      </w:pPr>
    </w:p>
    <w:p>
      <w:pPr>
        <w:spacing w:after="0" w:line="341" w:lineRule="auto"/>
        <w:rPr>
          <w:sz w:val="20"/>
          <w:szCs w:val="20"/>
          <w:color w:val="auto"/>
        </w:rPr>
      </w:pPr>
      <w:r>
        <w:rPr>
          <w:rFonts w:ascii="Arial" w:cs="Arial" w:eastAsia="Arial" w:hAnsi="Arial"/>
          <w:sz w:val="17"/>
          <w:szCs w:val="17"/>
          <w:color w:val="auto"/>
        </w:rPr>
        <w:t>Upon the adoption as of January 1, 2019, the impact on total assets and total liabilities was an increase of $5.2 million. The standard did not materially impact net earnings and had no net impact on cash flow. See Note 11 — Commitments and Contingencies for further information related to leases.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 2018</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Wholesaler distribution fees and prompt pay discounts</w:t>
            </w:r>
          </w:p>
        </w:tc>
        <w:tc>
          <w:tcPr>
            <w:tcW w:w="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(868)</w:t>
            </w: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(313)</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As of September 30, 2019 and December 31, 2018, the allowance for doubtful accounts was </w:t>
      </w:r>
      <w:r>
        <w:rPr>
          <w:rFonts w:ascii="Arial" w:cs="Arial" w:eastAsia="Arial" w:hAnsi="Arial"/>
          <w:sz w:val="17"/>
          <w:szCs w:val="17"/>
          <w:i w:val="1"/>
          <w:iCs w:val="1"/>
          <w:color w:val="auto"/>
        </w:rPr>
        <w:t>de minimis</w:t>
      </w:r>
      <w:r>
        <w:rPr>
          <w:rFonts w:ascii="Arial" w:cs="Arial" w:eastAsia="Arial" w:hAnsi="Arial"/>
          <w:sz w:val="17"/>
          <w:szCs w:val="17"/>
          <w:color w:val="auto"/>
        </w:rPr>
        <w:t>. As of September 30, 2019 and December 31, 2018, the Company had three wholesale distributors representing approximately 98% and 89% of gross accounts receivable,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1,605</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 inventory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Work-in-process and finished goods as of September 30, 2019 and December 31, 2018 include conversion costs but not insulin cost. All insulin inventory on hand was written off and the projected loss on the purchase commitment contract to purchase future insulin was accrued as the end of 2015. The Company analyzed its inventory levels to identify inventory that may expire or has a cost basis in excess of its estimated realizable value.</w:t>
      </w:r>
    </w:p>
    <w:p>
      <w:pPr>
        <w:spacing w:after="0" w:line="193"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The Company performed an assessment of projected sales and evaluated the lower of cost or net realizable value and the potential excess inventory on hand at September 30, 2019. Inventory that was forecasted to become obsolete due to expiration is recorded in costs of goods sold in the accompanying condensed consolidated statements of operations. For the three and nine months ended September 30, 2019, there was no inventory write-off. For the three and nine months ended September 30, 2018, the Company recorded a $1.0 million and $1.8 million charge, respectively, to write-off inventory that may expire prior to being sold which was recorded as cost of goods sold.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rPr>
              <w:t>Estimated Useful</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Life (Years)</w:t>
            </w:r>
          </w:p>
        </w:tc>
        <w:tc>
          <w:tcPr>
            <w:tcW w:w="20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September 30, 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9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Buildings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9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Total property and equipment, gross</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126,099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9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(101,632)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(100,497)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0" w:type="dxa"/>
            <w:vAlign w:val="bottom"/>
            <w:gridSpan w:val="2"/>
            <w:vMerge w:val="restart"/>
          </w:tcPr>
          <w:p>
            <w:pPr>
              <w:jc w:val="right"/>
              <w:ind w:right="1139"/>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Depreciation expense related to property and equipment for the three and nine months ended September 30, 2019 and 2018 was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w w:val="94"/>
              </w:rPr>
              <w:t>Nine Months Ended September 30,</w:t>
            </w:r>
          </w:p>
        </w:tc>
        <w:tc>
          <w:tcPr>
            <w:tcW w:w="120" w:type="dxa"/>
            <w:vAlign w:val="bottom"/>
          </w:tcPr>
          <w:p>
            <w:pPr>
              <w:spacing w:after="0"/>
              <w:rPr>
                <w:sz w:val="14"/>
                <w:szCs w:val="14"/>
                <w:color w:val="auto"/>
              </w:rPr>
            </w:pPr>
          </w:p>
        </w:tc>
      </w:tr>
      <w:tr>
        <w:trPr>
          <w:trHeight w:val="223"/>
        </w:trPr>
        <w:tc>
          <w:tcPr>
            <w:tcW w:w="3240" w:type="dxa"/>
            <w:vAlign w:val="bottom"/>
          </w:tcPr>
          <w:p>
            <w:pPr>
              <w:spacing w:after="0"/>
              <w:rPr>
                <w:sz w:val="19"/>
                <w:szCs w:val="19"/>
                <w:color w:val="auto"/>
              </w:rPr>
            </w:pPr>
          </w:p>
        </w:tc>
        <w:tc>
          <w:tcPr>
            <w:tcW w:w="244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6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2,656</w:t>
            </w:r>
          </w:p>
        </w:tc>
        <w:tc>
          <w:tcPr>
            <w:tcW w:w="6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1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1,643</w:t>
            </w:r>
          </w:p>
        </w:tc>
        <w:tc>
          <w:tcPr>
            <w:tcW w:w="6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Accrued repairs and maintenance</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services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15,022</w:t>
            </w:r>
          </w:p>
        </w:tc>
        <w:tc>
          <w:tcPr>
            <w:tcW w:w="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 Arrangement with Former Related Party</w:t>
      </w:r>
    </w:p>
    <w:p>
      <w:pPr>
        <w:spacing w:after="0" w:line="13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 October 2007, the Company entered into a loan agreement (the “Mann Group Notes” or “Promissory Notes”) with The Mann Group LLC (“The Mann Group”), which has been amended from time to time (including in August 2019 – see Note 7 – Borrowings). During his lifetime, The Mann Group was controlled by Alfred Mann, who also served as the Company’s chief executive officer until January 2015 and its chairman until February 2016. Following Mr. Mann’s death in February 2016, control of The Mann Group was assumed by the trustees of the Alfred E. Mann Living Trust (the sole member and managing director of The Mann Group). None of the trustees is a member of the Company’s management or has the ability to influence the Company.</w:t>
      </w:r>
    </w:p>
    <w:p>
      <w:pPr>
        <w:spacing w:after="0" w:line="19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the time of Mr. Mann’s death, he beneficially owned approximately 36% of the outstanding shares of the Company’s common stock, including those held by The Mann Group. Over the next three years, the trustees disposed of a substantial portion of these holdings in accordance with the terms of the applicable trust documents and with Mr. Mann’s instructions. As of October 22, 2019, Mann Group holds approximately 9.2 million shares, which represents less than 5% of the Company’s outstanding common stock. The Company has reserved an additional 14,000,000 shares for issuance to The Mann Group upon the conversion of outstanding amounts under the Mann Group Notes. The Mann Group convertible note contains a provision that limits conversion to the extent that doing so would result in The Mann Group beneficially owning in excess of 9.99% (19.99% upon 65 days’ written notice from The Mann Group) of the outstanding shares of the Company’s common stock.</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Given that the trustees of the Alfred Mann Living Trust have no influence over, or involvement in the operations of, the Company, the Company has ceased to identify The Mann Group as a related party in its condensed consolidated balance sheets, condensed consolidated statement of operations and the condensed consolidated statement of cash flows. Specifically, the condensed consolidated balance sheet reflects $70.0 million in carrying amount in respect of the Mann Group Notes whereas the Company’s Form 10-Q filed on August 7, 2019 reflects $72.0 million as related party notes and $9.1 million as accrued interest due to related party in the corresponding condensed consolidated balance sheet as of June 30, 2019.</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of borrowings consist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September 30, 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Deerfield Credit Facility</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19,099</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Mann Group promissory notes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72,089</w:t>
            </w:r>
          </w:p>
        </w:tc>
        <w:tc>
          <w:tcPr>
            <w:tcW w:w="6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 net carrying amount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118,774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102,486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third quarter, the Company discharged its obligations to its former senior secured lender, entered into a credit agreement with a new senior secured lender and restructured the obligations owed to its other lenders, as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20"/>
                <w:szCs w:val="20"/>
                <w:color w:val="auto"/>
              </w:rPr>
            </w:pPr>
            <w:r>
              <w:rPr>
                <w:rFonts w:ascii="Arial" w:cs="Arial" w:eastAsia="Arial" w:hAnsi="Arial"/>
                <w:sz w:val="14"/>
                <w:szCs w:val="14"/>
                <w:b w:val="1"/>
                <w:bCs w:val="1"/>
                <w:color w:val="auto"/>
              </w:rPr>
              <w:t>Obligation</w:t>
            </w:r>
          </w:p>
        </w:tc>
        <w:tc>
          <w:tcPr>
            <w:tcW w:w="2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June 30, 2019</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September 30, 2019</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Annual</w:t>
            </w:r>
          </w:p>
        </w:tc>
        <w:tc>
          <w:tcPr>
            <w:tcW w:w="8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Conversion</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Annual</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240" w:type="dxa"/>
            <w:vAlign w:val="bottom"/>
            <w:vMerge w:val="restart"/>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240" w:type="dxa"/>
            <w:vAlign w:val="bottom"/>
            <w:vMerge w:val="restart"/>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interest</w:t>
            </w:r>
          </w:p>
        </w:tc>
        <w:tc>
          <w:tcPr>
            <w:tcW w:w="14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Deerfield Credit Facility</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$4.0 million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July 2019</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$5.0 million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August 2019</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0"/>
              </w:rPr>
              <w:t>one-month</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9"/>
              </w:rPr>
              <w:t>LIBOR</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7"/>
              </w:rPr>
              <w:t>(2% floor)</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6"/>
              </w:rPr>
              <w:t>$40.0 million</w:t>
            </w:r>
          </w:p>
        </w:tc>
        <w:tc>
          <w:tcPr>
            <w:tcW w:w="10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9"/>
              </w:rPr>
              <w:t>plus 6.75%</w:t>
            </w:r>
          </w:p>
        </w:tc>
        <w:tc>
          <w:tcPr>
            <w:tcW w:w="14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0"/>
              </w:rPr>
              <w:t>August 2024</w:t>
            </w:r>
          </w:p>
        </w:tc>
        <w:tc>
          <w:tcPr>
            <w:tcW w:w="9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$5.15</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4"/>
              </w:rPr>
              <w:t>$18.7 million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5.75%</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October 2021</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per share</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$5.0 million</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5.75%</w:t>
            </w:r>
          </w:p>
        </w:tc>
        <w:tc>
          <w:tcPr>
            <w:tcW w:w="2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November 2024</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June 2020 note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$2.6 million</w:t>
            </w:r>
          </w:p>
        </w:tc>
        <w:tc>
          <w:tcPr>
            <w:tcW w:w="10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7"/>
              </w:rPr>
              <w:t>June 2020</w:t>
            </w:r>
          </w:p>
        </w:tc>
        <w:tc>
          <w:tcPr>
            <w:tcW w:w="9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December 2020 notes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$2.6 million</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2020</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w:t>
            </w:r>
          </w:p>
        </w:tc>
        <w:tc>
          <w:tcPr>
            <w:tcW w:w="14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4"/>
              </w:rPr>
              <w:t>$80.6 million</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note</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(including</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84"/>
              </w:rPr>
              <w:t>accrued</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1"/>
              </w:rPr>
              <w:t>interest</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$4.00</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$35.0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1"/>
              </w:rPr>
              <w:t>November</w:t>
            </w: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4"/>
              </w:rPr>
              <w:t>paid-in-kind)</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July 2021</w:t>
            </w:r>
          </w:p>
        </w:tc>
        <w:tc>
          <w:tcPr>
            <w:tcW w:w="10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6"/>
              </w:rPr>
              <w:t>per share</w:t>
            </w:r>
          </w:p>
        </w:tc>
        <w:tc>
          <w:tcPr>
            <w:tcW w:w="12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million</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7.00%</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Mann Group promissory</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$35.1</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November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non-convertible note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rPr>
              <w:t>million</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22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i w:val="1"/>
          <w:iCs w:val="1"/>
          <w:color w:val="auto"/>
        </w:rPr>
        <w:t xml:space="preserve">Deerfield Facility Financing Obligation </w:t>
      </w:r>
      <w:r>
        <w:rPr>
          <w:rFonts w:ascii="Arial" w:cs="Arial" w:eastAsia="Arial" w:hAnsi="Arial"/>
          <w:sz w:val="16"/>
          <w:szCs w:val="16"/>
          <w:color w:val="auto"/>
        </w:rPr>
        <w:t>– On July 1, 2013, the Company entered into a facility agreement (the “Deerfield Credit Facility”) with Deerfield</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Design Fund II, L.P. and Deerfield Private Design International II, L.P. (collectively, “Deerfield”), which permitted it to borrow $160.0 million through the issuance of 9.75% notes due 2019 (“2019 notes”), $100.0 million of which were converted into shares of the Company’s common stock during 2013 and 2014. The Company and Deerfield amended the Deerfield Credit Facility in 2014 to permit the Company to borrow an additional $20.0 million through the issuance of 8.75% notes (“Tranche B notes”). The remaining $80.0 million in principal amount that was not converted during 2013 and 2014 ($60.0 million in 2019 notes and $20.0 million in Tranche B notes) was subject to a repayment schedule that began in July 2016. By June 30, 2019, the Company had repaid all amounts owed under the Tranche B notes and owed approximately $9.0 million in respect of outstanding 2019 notes. On July 18, 2019, the Company entered into an exchange agreement with Deerfield pursuant to which, among other things, the Company (i) repaid approximately $2.4 million in aggregate principal amount of 2019 notes plus all accrued and unpaid interest, and (ii) issued an aggregate of 1,514,423 shares of the Company’s common stock to Deerfield in exchange for approximately $1.6 million in aggregate principal amount of 2019 notes.</w:t>
      </w:r>
    </w:p>
    <w:p>
      <w:pPr>
        <w:spacing w:after="0" w:line="21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On August 6, 2019, the Company entered into an exchange agreement with Deerfield pursuant to which, among other things, the Company (i) repaid $2.0 million of the aggregate principal amount of 2019 notes plus accrued and unpaid interest, (ii) issued an aggregate of 2,678,571 shares of MannKind’s common stock to Deerfield in exchange for $3.0 million in aggregate principal amount of 2019 notes and (iii) canceled the 2019 notes.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2019, the Deerfield Credit Facility was paid in full. The unamortized debt issuance costs and debt discount were zero and $0.2 million as of September 30, 2019 and December 31,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right="100"/>
        <w:spacing w:after="0" w:line="255" w:lineRule="auto"/>
        <w:rPr>
          <w:sz w:val="20"/>
          <w:szCs w:val="20"/>
          <w:color w:val="auto"/>
        </w:rPr>
      </w:pPr>
      <w:r>
        <w:rPr>
          <w:rFonts w:ascii="Arial" w:cs="Arial" w:eastAsia="Arial" w:hAnsi="Arial"/>
          <w:sz w:val="18"/>
          <w:szCs w:val="18"/>
          <w:i w:val="1"/>
          <w:iCs w:val="1"/>
          <w:color w:val="auto"/>
        </w:rPr>
        <w:t xml:space="preserve">Security Agreement </w:t>
      </w:r>
      <w:r>
        <w:rPr>
          <w:rFonts w:ascii="Arial" w:cs="Arial" w:eastAsia="Arial" w:hAnsi="Arial"/>
          <w:sz w:val="18"/>
          <w:szCs w:val="18"/>
          <w:color w:val="auto"/>
        </w:rPr>
        <w:t>— In connection with the Deerfield Credit Facility, the Company and its subsidiary, MannKind LLC, entered into a Guaranty 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included customary covenants by the Company and MannKind LLC, remedies of the Purchasers and representations and warranties by the Company and MannKind LLC. The security interests granted by the Company and MannKind LLC terminated on August 6, 2019 upon repayment of the Deerfield Credit Facility.</w:t>
      </w:r>
    </w:p>
    <w:p>
      <w:pPr>
        <w:spacing w:after="0" w:line="230"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i w:val="1"/>
          <w:iCs w:val="1"/>
          <w:color w:val="auto"/>
        </w:rPr>
        <w:t xml:space="preserve">Milestone Rights </w:t>
      </w:r>
      <w:r>
        <w:rPr>
          <w:rFonts w:ascii="Arial" w:cs="Arial" w:eastAsia="Arial" w:hAnsi="Arial"/>
          <w:sz w:val="16"/>
          <w:szCs w:val="16"/>
          <w:color w:val="auto"/>
        </w:rPr>
        <w:t>— On July 1, 2013, in conjunction with the execution of the Deerfield Credit Facility, the Company issued to Deerfield Private Design Fund</w:t>
      </w:r>
      <w:r>
        <w:rPr>
          <w:rFonts w:ascii="Arial" w:cs="Arial" w:eastAsia="Arial" w:hAnsi="Arial"/>
          <w:sz w:val="16"/>
          <w:szCs w:val="16"/>
          <w:i w:val="1"/>
          <w:iCs w:val="1"/>
          <w:color w:val="auto"/>
        </w:rPr>
        <w:t xml:space="preserve"> </w:t>
      </w:r>
      <w:r>
        <w:rPr>
          <w:rFonts w:ascii="Arial" w:cs="Arial" w:eastAsia="Arial" w:hAnsi="Arial"/>
          <w:sz w:val="16"/>
          <w:szCs w:val="16"/>
          <w:color w:val="auto"/>
        </w:rPr>
        <w:t>II, L.P. and Horizon Santé FLML SÀRL, (the “Milestone Purchasers”) certain rights to receive payments of up to $90.0 million upon the occurrence of specified strategic and sales milestones, $75.0 million of which remains payable upon achievement of such milestones (the “Milestone Rights”), pursuant to a separate agreement (the “Milestone Agreement”) that continues beyond the expiration of the Deerfield Credit Facility and the Security Agreement.</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September 30, 2019 and December 31, 2018, the remaining Milestone Rights liability balance was $8.9 million which is based on initial fair value estimates calculated using the income approach and reduced by milestone achievement payments made. During the quarter ended September 30, 2019, the Company achieved the first Afrezza net sales milestone specified in the Milestone Agreement. As a result, the Company is required to deliver a milestone event notice to the Milestone Purchasers no later than the date of this quarterly report and make a payment of $5.0 million within three business days thereafter. The carrying value of this Milestone Rights liability is $1.6 million, which represents the fair value related to this payment, determined in 2013 (the most recent measurement date). Accordingly, $1.6 million was recorded as a current liability and $3.4 million was recognized as interest expense as of September 30, 2019. The remaining Milestone Right liability of $7.3 million remains non-current as of September 30, 2019.</w:t>
      </w:r>
    </w:p>
    <w:p>
      <w:pPr>
        <w:spacing w:after="0" w:line="2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MidCap Credit Facility </w:t>
      </w:r>
      <w:r>
        <w:rPr>
          <w:rFonts w:ascii="Arial" w:cs="Arial" w:eastAsia="Arial" w:hAnsi="Arial"/>
          <w:sz w:val="16"/>
          <w:szCs w:val="16"/>
          <w:color w:val="auto"/>
        </w:rPr>
        <w:t>— On August 6, 2019, the Company closed the MidCap Credit Facility, which provides a secured term loan facility in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up to $75.0 million. The Company borrowed the first advance of $40.0 million (“Tranche 1”) on August 6, 2019. Under the terms of the MidCap Credit Facility, the second advance of $10.0 million (“Tranche 2”) will be available to the Company until April 15, 2020, subject to the Company’s satisfaction of certain conditions, including achieving Afrezza net revenue of at least $30.0 million on a trailing twelve month basis. Under the terms of the MidCap Credit Facility, the third advance of $25.0 million (“Tranche 3”) will be available to the Company until September 30, 2021, subject to the satisfaction of certain milestone conditions associated with the Company’s collaboration with United Therapeutics (see Note 8 – Collaborations and Licensing Arrangements). In addition, unamortized debt issuance costs were $0.8 million and unamortized debt discount was $0.3 million as of September 30, 2019.</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Tranche 1 and, if borrowed, Tranche 2 and Tranche 3, each accrue interest at an annual rate equal to one-month LIBOR plus 6.75%, subject to a one-month LIBOR floor of 2.00%. Interest on each term loan advance is due and payable monthly in arrears. Principal on each term loan advance under Tranche 1 and Tranche 2 is payable in 36 equal monthly installments beginning September 1, 2021, until paid in full on August 1, 2024, and principal on each term loan advance under Tranche 3 is payable beginning on the later of (i) September 1, 2021, and (ii) the first day of the first full calendar month immediately following such term loan advance, in an amount equal to the outstanding term loan advance in respect of Tranche 3 divided by the number of full calendar months remaining before August 1, 2024. The Company has the option to prepay the term loans, in whole or in part, subject to early termination fees in an amount equal to 3.00% of principal prepaid if prepayment occurs on or prior to the first anniversary of the closing date, 2.00% of principal prepaid if prepayment occurs after the first anniversary of the closing date but on or prior to the second anniversary of the closing date, and 1.00% of principal prepaid if prepayment occurs after the second anniversary of the closing date and prior to or on the third anniversary of the closing date. In connection with execution of the MidCap Credit Facility, the Company paid MidCap a $0.4 million origination fee.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Upon termination of the MidCap Credit Facility, the Company is required to pay an exit fee equal to 6.00% of the principal amount of all term loans advanced to the Company under the MidCap Credit Facility.</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right="60"/>
        <w:spacing w:after="0" w:line="276" w:lineRule="auto"/>
        <w:rPr>
          <w:sz w:val="20"/>
          <w:szCs w:val="20"/>
          <w:color w:val="auto"/>
        </w:rPr>
      </w:pPr>
      <w:r>
        <w:rPr>
          <w:rFonts w:ascii="Arial" w:cs="Arial" w:eastAsia="Arial" w:hAnsi="Arial"/>
          <w:sz w:val="17"/>
          <w:szCs w:val="17"/>
          <w:color w:val="auto"/>
        </w:rPr>
        <w:t>The MidCap Credit Facility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and a minimum cash covenant of $15.0 million at all times prior to the funding of Tranche 2, and $20.0 million at all times following the funding of Tranche 2 or Tranche 3.</w:t>
      </w:r>
    </w:p>
    <w:p>
      <w:pPr>
        <w:spacing w:after="0" w:line="1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agreed to issue warrants to purchase shares of MannKind’s common stock (the “MidCap warrants”) upon the drawdown of each term loan advance under the MidCap Credit Facility in an aggregate amount equal to 3.25% of the amount drawn, divided by the exercise price per share for that tranche. The exercise price per share is equal to the volume-weighted average closing price of MannKind’s common stock for the ten business days immediately preceding the second business day before the issue date. As a result of Tranche 1, the Company issued warrants to purchase an aggregate of 1,171,614 shares of the Company’s common stock, at an exercise price equal to $1.11 per share.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w:t>
      </w:r>
    </w:p>
    <w:p>
      <w:pPr>
        <w:spacing w:after="0" w:line="16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Senior Convertible Notes </w:t>
      </w:r>
      <w:r>
        <w:rPr>
          <w:rFonts w:ascii="Arial" w:cs="Arial" w:eastAsia="Arial" w:hAnsi="Arial"/>
          <w:sz w:val="18"/>
          <w:szCs w:val="18"/>
          <w:color w:val="auto"/>
        </w:rPr>
        <w:t>— As of September 30, 2019 and December 31, 2018, there was $10.0 million and $18.7 million principal amount of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outstanding, respectively.</w:t>
      </w:r>
    </w:p>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August 6, 2019, the Company entered into a privately-negotiated exchange agreement with the holder of the Company’s 5.75% Senior Convertible Notes due 2021 (the “2021 notes”), pursuant to which, among other things, the Company (i) repaid $1.5 million in cash to such holder, (ii) issued 4,017,857 shares of MannKind’s common stock to such holder (at a conversion price of $1.12 per share), (iii) issued new 5.75% Convertible Senior Subordinated Exchange Notes due 2024 (the “2024 convertible notes”) to such holder in an aggregate principal amount of $5.0 million and (iv) issued two non-interest bearing promissory notes to such holder, each in the amount of $2.6 million, one of which will mature on June 30, 2020 (the “June 2020 note”) and the other of which will mature on December 31, 2020 (the “December 2020 note”, and together with the June 2020 note, the “2020 notes”), all in exchange for the cancellation of the $18.7 million in principal amount of the 2021 notes. The 2020 notes may be prepaid at any time on or prior to their respective maturity dates at the option of MannKind. In addition, MannKind may elect to pay the 2020 notes at any time on or prior to their respective maturity dates, if certain conditions are met, in shares of MannKind’s common stock at a price per share equal to the last reported sale price on the trading day immediately prior to the payment date.</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2024 convertible notes were issued pursuant to an indenture, dated as of August 6, 2019, between MannKind and U.S. Bank National Association, as trustee (the “Indenture”). The 2024 convertible notes are MannKind’s general, unsecured obligations, and are subordinated in right of payment to the indebtedness incurred pursuant to the MidCap Credit Facility. The 2024 convertible notes rank equally in right of payment with MannKind’s other unsecured senior debt. The 2024 convertible Notes accrue interest at the rate of 5.75% per year on the principal amount, payable semiannually in arrears on February 15 and August 15 of each year, beginning February 15, 2020, with interest accruing from August 6, 2019. Interest on the 2024 convertible notes will be payable in cash or, at the option of MannKind if certain conditions are met, in shares of MannKind’s common stock at a price per share equal to the last reported sale price on the trading day immediately prior to the interest payment date. The 2024 convertible notes will mature on the earlier of (i) November 4, 2024 or (ii) the 91</w:t>
      </w:r>
      <w:r>
        <w:rPr>
          <w:rFonts w:ascii="Arial" w:cs="Arial" w:eastAsia="Arial" w:hAnsi="Arial"/>
          <w:sz w:val="14"/>
          <w:szCs w:val="14"/>
          <w:color w:val="auto"/>
        </w:rPr>
        <w:t>st</w:t>
      </w:r>
      <w:r>
        <w:rPr>
          <w:rFonts w:ascii="Arial" w:cs="Arial" w:eastAsia="Arial" w:hAnsi="Arial"/>
          <w:sz w:val="17"/>
          <w:szCs w:val="17"/>
          <w:color w:val="auto"/>
        </w:rPr>
        <w:t xml:space="preserve"> day after the payment in full of, and termination and discharge of all obligations (other than contingent indemnity obligations) under the MidCap Credit Facility.</w:t>
      </w:r>
    </w:p>
    <w:p>
      <w:pPr>
        <w:spacing w:after="0" w:line="18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2024 convertible notes will be convertible, at the option of the holder, at any time on or prior to the close of business on the business day immediately preceding the stated maturity date, into shares of MannKind’s common stock at a conversion rate of 333.3333 shares per $1,000 principal amount of 2024 convertible notes, which is equal to a conversion price of approximately $3.00 per share.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40"/>
        <w:spacing w:after="0" w:line="271" w:lineRule="auto"/>
        <w:rPr>
          <w:sz w:val="20"/>
          <w:szCs w:val="20"/>
          <w:color w:val="auto"/>
        </w:rPr>
      </w:pPr>
      <w:r>
        <w:rPr>
          <w:rFonts w:ascii="Arial" w:cs="Arial" w:eastAsia="Arial" w:hAnsi="Arial"/>
          <w:sz w:val="17"/>
          <w:szCs w:val="17"/>
          <w:color w:val="auto"/>
        </w:rPr>
        <w:t>If certain bankruptcy and insolvency-related events of default occur, the principal of, and accrued and unpaid interest on, all of the then outstanding 2024 convertible notes shall automatically become due and payable. If an event of default other than certain bankruptcy and insolvency-related events of defaults occurs and is continuing, the Trustee or the holders of at least 25% in aggregate principal amount of the then-outstanding 2024 convertible notes, by written notice to the Trustee, may declare the 2024 convertible notes due and payable at their principal amount plus any accrued and unpaid interest, and thereupon the Trustee may, at its discretion, proceed to protect and enforce the rights of the holders by the appropriate judicial proceedings. Notwithstanding the foregoing, the Indenture provides that, to the extent the Company elects, the sole remedy for an event of default relating to certain failures by the Company to comply with certain reporting covenants in the Indenture will, for the first 180 days after such event of default, consist exclusively of the right to receive additional interest on the 2024 convertible notes.</w:t>
      </w:r>
    </w:p>
    <w:p>
      <w:pPr>
        <w:spacing w:after="0" w:line="1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If MannKind undergoes certain fundamental changes, except in certain circumstances, each holder of 2024 convertible notes will have the option to require MannKind to repurchase all or any portion of that holder’s 2024 convertible notes. The fundamental change repurchase price will be 100% of the principal amount of the 2024 convertible notes to be repurchased plus accrued and unpaid interest, if any.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MannKind may elect at its option to cause all or any portion of the 2024 convertible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of the exchange of the senior convertible notes, the Company recorded $3.1 million as an extinguishment gain. The unamortized premium was zero and $0.4 million as of September 30, 2019 and December 31, 2018,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On August 5, 2019, MannKind entered into a privately-negotiated exchange agreement (the “Mann Group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The Mann Group, pursuant to which, among other things, MannKind (i) repaid $3.0 million in cash to The Mann Group, (ii) issued 7,142,857 shares of MannKind’s common stock to The Mann Group (at a conversion price of $1.12 per share), (iii) issued a new convertible promissory note (the “Mann Group convertible note”) to the Mann Group in an aggregate principal amount of $35.0 million and (iv) issued a new non-convertible promissory note (the “Mann Group non-convertible note,” together with the Mann Group convertible note, the “Mann Group Notes ”) to the Mann Group in an aggregate principal amount of $35.1 million, all in exchange for the cancellation of the $71.5 million in principal and approximately $9.5 million in accrued interest paid-in-kind under the Mann Group Loan Arrangement.</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Mann Group convertible note and Mann Group non-convertible note each accrue interest at the rate of 7.00% per year on the principal amount, payable quarterly in arrears on the first day of each calendar quarter beginning October 1, 2019.</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Mann Group convertible note will mature on November 3, 2024. The principal and any accrued and unpaid interest under the Mann Group convertible note may be converted, at the option of the Mann Group, at any time on or prior to the close of business on the business day immediately preceding the stated maturity date, into shares of MannKind’s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Mann Group convertible note will be payable in kind by adding the amount thereof to the principal amount; provided that with respect to interest accruing from and after January 1, 2021, MannKind may, at its option, elect to pay any such interest on any interest payment date, if certain conditions are met, in shares of MannKind’s common stock at a price per shall equal to the last reported sale price on the trading day immediately prior to the payment date.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Mann Group non-convertible note will mature on the earlier of (i) November 3, 2024 or (ii) the 90th day after the repayment in full, and termination and discharge of all obligations (other than contingent indemnity obligations) under the MidCap Credit Facility. Interest on the Mann Group non-convertible note will be payable in kind by adding the amount thereof to the principal amount; provided that MannKind may, at its option, elect to pay any such interest on any interest payment date, if certain conditions are met, in shares of MannKind’s common stock at a price per shall equal to the last reported sale price on the trading day immediately prior to the interest payment date.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$0.4 million as an extinguishment gain. The unamortized premium and unaccreted debt issuance costs was zero and $0.6 million as of September 30, 2019 and December 31, 2018,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right="120"/>
        <w:spacing w:after="0" w:line="259" w:lineRule="auto"/>
        <w:rPr>
          <w:sz w:val="20"/>
          <w:szCs w:val="20"/>
          <w:color w:val="auto"/>
        </w:rPr>
      </w:pPr>
      <w:r>
        <w:rPr>
          <w:rFonts w:ascii="Arial" w:cs="Arial" w:eastAsia="Arial" w:hAnsi="Arial"/>
          <w:sz w:val="18"/>
          <w:szCs w:val="18"/>
          <w:color w:val="auto"/>
        </w:rPr>
        <w:t>Unlike the presentation in previous periods, the Mann Group is not identified as a related party in the condensed consolidated balance sheets, the condensed consolidated statement of operations and the condensed consolidated statement of cash flows. As previously reported in the Company’s Form 10-Q filed on August 7, 2019, $72.0 million was classified as related party notes and $9.1 million was classified as accrued interest due to related party in the condensed consolidated balance sheet as of June 30, 2019.</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all borrowings for the three and nine months ended September 30, 2019 and 2018 are as follows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3"/>
          </w:tcPr>
          <w:p>
            <w:pPr>
              <w:jc w:val="right"/>
              <w:ind w:right="385"/>
              <w:spacing w:after="0"/>
              <w:rPr>
                <w:sz w:val="20"/>
                <w:szCs w:val="20"/>
                <w:color w:val="auto"/>
              </w:rPr>
            </w:pPr>
            <w:r>
              <w:rPr>
                <w:rFonts w:ascii="Arial" w:cs="Arial" w:eastAsia="Arial" w:hAnsi="Arial"/>
                <w:sz w:val="14"/>
                <w:szCs w:val="14"/>
                <w:b w:val="1"/>
                <w:bCs w:val="1"/>
                <w:color w:val="auto"/>
                <w:w w:val="93"/>
              </w:rPr>
              <w:t>September 30,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0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1,049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debt discount</w:t>
            </w:r>
          </w:p>
        </w:tc>
        <w:tc>
          <w:tcPr>
            <w:tcW w:w="10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Accretion expense - debt issuance cost</w:t>
            </w:r>
          </w:p>
        </w:tc>
        <w:tc>
          <w:tcPr>
            <w:tcW w:w="10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 and Licensing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and nine months ended September 30, 2019 and 2018 are as follows (in thousands):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9"/>
              </w:rPr>
              <w:t>Three Months ended September 30,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4"/>
                <w:szCs w:val="14"/>
                <w:b w:val="1"/>
                <w:bCs w:val="1"/>
                <w:color w:val="auto"/>
                <w:w w:val="94"/>
              </w:rPr>
              <w:t>Nine Months Ended September 30,</w:t>
            </w:r>
          </w:p>
        </w:tc>
        <w:tc>
          <w:tcPr>
            <w:tcW w:w="80" w:type="dxa"/>
            <w:vAlign w:val="bottom"/>
          </w:tcPr>
          <w:p>
            <w:pPr>
              <w:spacing w:after="0"/>
              <w:rPr>
                <w:sz w:val="14"/>
                <w:szCs w:val="14"/>
                <w:color w:val="auto"/>
              </w:rPr>
            </w:pPr>
          </w:p>
        </w:tc>
      </w:tr>
      <w:tr>
        <w:trPr>
          <w:trHeight w:val="223"/>
        </w:trPr>
        <w:tc>
          <w:tcPr>
            <w:tcW w:w="41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7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7,861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UT Research Agreement</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Receptor Collaboration and License Agreement</w:t>
            </w: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Biomm</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Cipla License and Distribution Agreement</w:t>
            </w:r>
          </w:p>
        </w:tc>
        <w:tc>
          <w:tcPr>
            <w:tcW w:w="7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37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r>
      <w:tr>
        <w:trPr>
          <w:trHeight w:val="223"/>
        </w:trPr>
        <w:tc>
          <w:tcPr>
            <w:tcW w:w="4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8,193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82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United Therapeutics License Agreement </w:t>
      </w:r>
      <w:r>
        <w:rPr>
          <w:rFonts w:ascii="Arial" w:cs="Arial" w:eastAsia="Arial" w:hAnsi="Arial"/>
          <w:sz w:val="16"/>
          <w:szCs w:val="16"/>
          <w:color w:val="auto"/>
        </w:rPr>
        <w:t>– In September 2018, the Company and United Therapeutics Corporation (“United Therapeutics” or “UT”)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an exclusive global license and collaboration agreement (the “UT License Agreement”) for the rights to the Company’s dry powder formulation of treprostinil (“TreT”) and associated inhalation delivery devices. Under the UT License Agreement, UT will be responsible for global development, regulatory and commercial activities with respect to TreT. The Company will manufacture clinical supplies and initial commercial supplies of TreT.</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Under the terms of the UT License Agreement, the Company received an upfront payment of $45.0 million in October 2018 and a $12.5 million milestone payment on March 29, 2019. The Company may receive additional milestone payments of up to $37.5 million upon the achievement of specified development targets. The Company will also be entitled to receive low double-digit royalties on net sales of TreT.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The Company recognizes revenue on a ratable basis from October 2018 through December 2021 – the estimated date when its performance obligations for development activities under UT License Agreement will be substantially completed. During the three and nine months ended September 30, 2019, the Company recognized $7.9 million and $23.3 million, respectively, as revenue - collaborations and services. The total deferred revenue consists of $32.2 million of which $31.5 million is current and $0.7 million is long term. Deferred revenue is classified as part of current or long-term liability in the accompanying condensed consolidated balance sheets based on the Company’s estimate of the portion of the performance obligation regarding that revenue will be completed within the next 12 months, and includes payments received as well as payments receivable.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Company has evaluated the UT License Agreement in accordance with the revenue recognition requirements pursuant to ASC 606:</w:t>
      </w:r>
    </w:p>
    <w:p>
      <w:pPr>
        <w:spacing w:after="0" w:line="266" w:lineRule="exact"/>
        <w:rPr>
          <w:sz w:val="20"/>
          <w:szCs w:val="20"/>
          <w:color w:val="auto"/>
        </w:rPr>
      </w:pPr>
    </w:p>
    <w:p>
      <w:pPr>
        <w:ind w:left="760"/>
        <w:spacing w:after="0" w:line="293" w:lineRule="auto"/>
        <w:rPr>
          <w:sz w:val="20"/>
          <w:szCs w:val="20"/>
          <w:color w:val="auto"/>
        </w:rPr>
      </w:pPr>
      <w:r>
        <w:rPr>
          <w:rFonts w:ascii="Arial" w:cs="Arial" w:eastAsia="Arial" w:hAnsi="Arial"/>
          <w:sz w:val="16"/>
          <w:szCs w:val="16"/>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covered to include products with other active ingredients is not a material right, and thus, not a performance obligation at the onset of the agreement. The consideration for the option will be accounted for if and when it is exercised.</w:t>
      </w:r>
    </w:p>
    <w:p>
      <w:pPr>
        <w:spacing w:after="0" w:line="192" w:lineRule="exact"/>
        <w:rPr>
          <w:sz w:val="20"/>
          <w:szCs w:val="20"/>
          <w:color w:val="auto"/>
        </w:rPr>
      </w:pPr>
    </w:p>
    <w:p>
      <w:pPr>
        <w:ind w:left="760" w:right="480"/>
        <w:spacing w:after="0" w:line="257" w:lineRule="auto"/>
        <w:rPr>
          <w:sz w:val="20"/>
          <w:szCs w:val="20"/>
          <w:color w:val="auto"/>
        </w:rPr>
      </w:pPr>
      <w:r>
        <w:rPr>
          <w:rFonts w:ascii="Arial" w:cs="Arial" w:eastAsia="Arial" w:hAnsi="Arial"/>
          <w:sz w:val="18"/>
          <w:szCs w:val="18"/>
          <w:color w:val="auto"/>
        </w:rPr>
        <w:t>The Company expects to complete the activities specified in the development plan and to achieve the remaining milestone events for total consideration of approximately $100.4 million, which includes an upfront payment, four milestone payments and various pass-through costs. Future commercial supply remains at UT’s option, is valued at a stand-alone selling price and is therefore not accounted for the current arrangement. The Company believes that this method best reflects the measure of progress toward complete satisfaction of the performance obligation.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United Therapeutics Research Agreement </w:t>
      </w:r>
      <w:r>
        <w:rPr>
          <w:rFonts w:ascii="Arial" w:cs="Arial" w:eastAsia="Arial" w:hAnsi="Arial"/>
          <w:sz w:val="17"/>
          <w:szCs w:val="17"/>
          <w:color w:val="auto"/>
        </w:rPr>
        <w:t>– In September 2018, the Company and UT also entered into a research agreement (“UT Research Agreement”)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conduct of research and consulting services in connection with multiple potential products, including evaluating the feasibility of preparing a dry powder formulation of a compound for the treatment of pulmonary hypertension outside the scope of the UT License Agreement. In addition, UT, at its option, may obtain a license to develop, manufacture and commercialize products based on specified compounds within the drug classes covered by the UT Research Agreement. Each specified compound advanced into development and commercialization under such a license would be subject to the payment to the Company of additional milestone payments of up to $30.0 million and a low double-digit royalty on net sales of such products. The Company received an upfront payment of $10.0 million in September 2018.</w:t>
      </w:r>
    </w:p>
    <w:p>
      <w:pPr>
        <w:spacing w:after="0" w:line="2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the inception of the UT Research Agreement, the Company identified two distinct performance obligations. The Company determined that the key deliverables of each performance obligation include (i) the development of a product prototype (including a technical feasibility report) and; (ii) engineering consulting services. Due to the separately identifiable nature of these obligations, the Company has determined that these deliverables represent two distinct performance obligations. The Company also determined that UT’s option to expand the scope to include specific drug classes covered by the agreement is not a material right, and thus, not a performance obligation at the onset of the agreement. The consideration for the option will be accounted for if and when it is exercised.</w:t>
      </w:r>
    </w:p>
    <w:p>
      <w:pPr>
        <w:spacing w:after="0" w:line="22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is recognized using an output method (based on project milestones achieved and surveys of performance completed to date). The Company believes that this method best reflects the measure of progress toward complete satisfaction of the performance obligation. The revenue for the engineering consulting services is recognized using a ratable method until the obligation is satisfied and the Company believes that this method best reflects the measure of progress toward complete satisfaction of the performance obligation. During the three and nine months ended September 30, 2019, the Company recognized $0.2 million and $5.9 million as revenue - collaborations and services, respectively. As of September 30, 2019 the current deferred revenue balance was $0.4 million.</w:t>
      </w:r>
    </w:p>
    <w:p>
      <w:pPr>
        <w:spacing w:after="0" w:line="19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Receptor Collaboration and License Agreement </w:t>
      </w:r>
      <w:r>
        <w:rPr>
          <w:rFonts w:ascii="Arial" w:cs="Arial" w:eastAsia="Arial" w:hAnsi="Arial"/>
          <w:sz w:val="17"/>
          <w:szCs w:val="17"/>
          <w:color w:val="auto"/>
        </w:rPr>
        <w:t>— In 2016, the Company entered into a Collaboration and License Agreement (the “CLA”) with Receptor</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Inc. (“Receptor”) pursuant to which Receptor subsequently acquired an exclusive license to develop, manufacture and commercialize products that use the Company’s technology to deliver certain compounds via oral inhalation in exchange for $1.3 million in signing fees and upfront license fees. Under the CLA, the Company may also receive nonrefundable milestone payments upon the completion of certain technology transfer activities and the achievement of specified sales targets as well as royalties upon Receptor’s and its sublicensees’ sale of products.</w:t>
      </w:r>
    </w:p>
    <w:p>
      <w:pPr>
        <w:spacing w:after="0" w:line="18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$1.0 million license fee received in 2016 was recorded in deferred revenue from collaborations as of December 31, 2016 and is being recognized in net revenue — collaborations over four years, the estimated period over which the Company is required to satisfy the remaining performance obligations. The remaining performance obligations are to provide certain technology transfer activities. As of September 30, 2019, deferred revenue related to this contract was $0.4 million recorded as a current liability.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40"/>
        <w:spacing w:after="0" w:line="255" w:lineRule="auto"/>
        <w:rPr>
          <w:sz w:val="20"/>
          <w:szCs w:val="20"/>
          <w:color w:val="auto"/>
        </w:rPr>
      </w:pPr>
      <w:r>
        <w:rPr>
          <w:rFonts w:ascii="Arial" w:cs="Arial" w:eastAsia="Arial" w:hAnsi="Arial"/>
          <w:sz w:val="18"/>
          <w:szCs w:val="18"/>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Therefore, the receipt of such payments is highly susceptible to factors outside of the Company’s influence, the uncertainty regarding the receipt of these payments is not expected to be resolved for years, and the Company has limited experience with similar contracts. There was no change to the accounting for this contract as a result of the initial application of the new revenue guidance. See Note 1 – Description of Business and Summary of Significant Accounting Policies for additional information on the Company’s revenue recognition accounting policy.</w:t>
      </w:r>
    </w:p>
    <w:p>
      <w:pPr>
        <w:spacing w:after="0" w:line="22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agreed to provide certain raw materials and certain additional research and formulation consulting services to Receptor. For the three and nine months ended September 30, 2019 and 2018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208"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i w:val="1"/>
          <w:iCs w:val="1"/>
          <w:color w:val="auto"/>
        </w:rPr>
        <w:t xml:space="preserve">Cipla License and Distribution Agreement </w:t>
      </w:r>
      <w:r>
        <w:rPr>
          <w:rFonts w:ascii="Arial" w:cs="Arial" w:eastAsia="Arial" w:hAnsi="Arial"/>
          <w:sz w:val="17"/>
          <w:szCs w:val="17"/>
          <w:color w:val="auto"/>
        </w:rPr>
        <w:t>— In May 2018, the Company and Cipla Ltd. (“Cipla”) entered into an exclusive agreement for the marketing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certain additional regulatory milestone payments, minimum purchase commitment revenue and royalties on Afrezza sales in India once cumulative gross sales have reached a specified threshold.</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The Company also recognized $0.2 million as income tax expense for a payment made to the India tax authority in 2018. Deferred revenue related to this contract was $2.0 million at September 30, 2019, of which $0.1 million was recorded in current liabilities.</w:t>
      </w:r>
    </w:p>
    <w:p>
      <w:pPr>
        <w:spacing w:after="0" w:line="215"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i w:val="1"/>
          <w:iCs w:val="1"/>
          <w:color w:val="auto"/>
        </w:rPr>
        <w:t xml:space="preserve">Biomm Supply and Distribution Agreement </w:t>
      </w:r>
      <w:r>
        <w:rPr>
          <w:rFonts w:ascii="Arial" w:cs="Arial" w:eastAsia="Arial" w:hAnsi="Arial"/>
          <w:sz w:val="17"/>
          <w:szCs w:val="17"/>
          <w:color w:val="auto"/>
        </w:rPr>
        <w:t>– In May 2017, the Company and Biomm S.A. entered into a supply and distribution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Afrezza in Brazil. Under this agreement, Biomm is responsible for preparing and filing the necessary applications for regulatory approval of Afrezza in Brazil, including from the Agência Nacional de Vigilância Sanitária (“ANVISA”) and, with respect to pricing matters, from the Camara de Regulação de Mercado de Medicamentos (“CMED”). Afrezza was approved by ANVISA during the second quarter of 2019; registration by CMED is expected by the end of 2019. In September 2019, the Company delivered its first shipment of Afrezza to Biomm and recorded it as commercial product sales for $0.7 million in advance of the planned launch of the product in Brazil by Biomm.</w:t>
      </w: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carrying amounts reported in the accompanying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the Mann Group Notes, senior convertible notes, 2020 notes, the MidCap Credit Facility and the Milestone Rights liabilities are disclosed below.</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Cash Equivalents and restricted cash</w:t>
      </w:r>
      <w:r>
        <w:rPr>
          <w:rFonts w:ascii="Arial" w:cs="Arial" w:eastAsia="Arial" w:hAnsi="Arial"/>
          <w:sz w:val="16"/>
          <w:szCs w:val="16"/>
          <w:color w:val="auto"/>
        </w:rPr>
        <w:t>— Cash equivalents consist of highly liquid investments with original or remaining maturities of 90 days or less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purchase that are readily convertible into cash. As of September 30, 2019 and December 31, 2018, the Company held $30.2 million and $71.2 million, respectively, of cash and cash equivalents. Restricted cash is held in an escrow account as well as used to collateralize a letter of credit. The Company</w:t>
      </w:r>
    </w:p>
    <w:p>
      <w:pPr>
        <w:jc w:val="both"/>
        <w:ind w:right="300"/>
        <w:spacing w:after="0" w:line="255" w:lineRule="auto"/>
        <w:rPr>
          <w:sz w:val="20"/>
          <w:szCs w:val="20"/>
          <w:color w:val="auto"/>
        </w:rPr>
      </w:pPr>
      <w:r>
        <w:rPr>
          <w:rFonts w:ascii="Arial" w:cs="Arial" w:eastAsia="Arial" w:hAnsi="Arial"/>
          <w:sz w:val="18"/>
          <w:szCs w:val="18"/>
          <w:color w:val="auto"/>
        </w:rPr>
        <w:t>held $0.3 million and $0.5 million in restricted cash as of September 30, 2019 and December 31, 2018, respectively. Both are comprised of money market funds. The fair value of these money market funds was determined by using quoted prices for identical investments in an active market (Level 1 in the fair value hierarchy).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ind w:right="120"/>
        <w:spacing w:after="0" w:line="312" w:lineRule="auto"/>
        <w:rPr>
          <w:sz w:val="20"/>
          <w:szCs w:val="20"/>
          <w:color w:val="auto"/>
        </w:rPr>
      </w:pPr>
      <w:r>
        <w:rPr>
          <w:rFonts w:ascii="Arial" w:cs="Arial" w:eastAsia="Arial" w:hAnsi="Arial"/>
          <w:sz w:val="16"/>
          <w:szCs w:val="16"/>
          <w:i w:val="1"/>
          <w:iCs w:val="1"/>
          <w:color w:val="auto"/>
        </w:rPr>
        <w:t>Short-term investments</w:t>
      </w:r>
      <w:r>
        <w:rPr>
          <w:rFonts w:ascii="Arial" w:cs="Arial" w:eastAsia="Arial" w:hAnsi="Arial"/>
          <w:sz w:val="16"/>
          <w:szCs w:val="16"/>
          <w:color w:val="auto"/>
        </w:rPr>
        <w:t>— Short-term investments consist of highly liquid investments that are intended to facilitate liquidity and capital preservation.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the Company held $19.9 million of short-term investments in U.S. Treasury bills or notes. The fair value of short-term investments approximate their carrying value. The measurement of which is based on a market approach using quoted market values (Level 1 in the fair value hierarchy).</w:t>
      </w:r>
    </w:p>
    <w:p>
      <w:pPr>
        <w:spacing w:after="0" w:line="1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value measurement of debt instruments is based on a discounted cash flow model and is sensitive to the change in yield (Level 3 in the fair value hierarchy):</w:t>
      </w:r>
    </w:p>
    <w:p>
      <w:pPr>
        <w:spacing w:after="0" w:line="170" w:lineRule="exact"/>
        <w:rPr>
          <w:sz w:val="20"/>
          <w:szCs w:val="20"/>
          <w:color w:val="auto"/>
        </w:rPr>
      </w:pPr>
    </w:p>
    <w:p>
      <w:pPr>
        <w:ind w:left="760" w:right="140"/>
        <w:spacing w:after="0" w:line="273" w:lineRule="auto"/>
        <w:rPr>
          <w:sz w:val="20"/>
          <w:szCs w:val="20"/>
          <w:color w:val="auto"/>
        </w:rPr>
      </w:pPr>
      <w:r>
        <w:rPr>
          <w:rFonts w:ascii="Arial" w:cs="Arial" w:eastAsia="Arial" w:hAnsi="Arial"/>
          <w:sz w:val="17"/>
          <w:szCs w:val="17"/>
          <w:i w:val="1"/>
          <w:iCs w:val="1"/>
          <w:color w:val="auto"/>
        </w:rPr>
        <w:t xml:space="preserve">Mann Group Notes — </w:t>
      </w:r>
      <w:r>
        <w:rPr>
          <w:rFonts w:ascii="Arial" w:cs="Arial" w:eastAsia="Arial" w:hAnsi="Arial"/>
          <w:sz w:val="17"/>
          <w:szCs w:val="17"/>
          <w:color w:val="auto"/>
        </w:rPr>
        <w:t>If the yield increases by approximately 2% from 31% to 33%, the fair value of the notes payable would change from $42.0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to $40.1 million, or a decrease of $1.9 million or 4.5%; if the yield decreases 2% from 31% to 29%, the fair value of the note payable with conversion feature would change from $42.0 million to $44.1 million, or an increase of $2.1 million or 5.0%. If the yield increases by approximately 4% from 31% to 35%, the fair value of the note payable with the conversion feature would change from $42.0 million to $38.4 million, or a decrease of $3.6 million or 8.6%; if the yield decreases 4% from 31% to 27%, the fair value of the note payable with conversion feature would change from $42.0 million to $46.4 million, or an increase of $4.4 million or 10.5%.</w:t>
      </w:r>
    </w:p>
    <w:p>
      <w:pPr>
        <w:spacing w:after="0" w:line="178" w:lineRule="exact"/>
        <w:rPr>
          <w:sz w:val="20"/>
          <w:szCs w:val="20"/>
          <w:color w:val="auto"/>
        </w:rPr>
      </w:pPr>
    </w:p>
    <w:p>
      <w:pPr>
        <w:ind w:left="760" w:right="20"/>
        <w:spacing w:after="0" w:line="273" w:lineRule="auto"/>
        <w:rPr>
          <w:sz w:val="20"/>
          <w:szCs w:val="20"/>
          <w:color w:val="auto"/>
        </w:rPr>
      </w:pPr>
      <w:r>
        <w:rPr>
          <w:rFonts w:ascii="Arial" w:cs="Arial" w:eastAsia="Arial" w:hAnsi="Arial"/>
          <w:sz w:val="17"/>
          <w:szCs w:val="17"/>
          <w:i w:val="1"/>
          <w:iCs w:val="1"/>
          <w:color w:val="auto"/>
        </w:rPr>
        <w:t xml:space="preserve">Senior Convertible Notes </w:t>
      </w:r>
      <w:r>
        <w:rPr>
          <w:rFonts w:ascii="Arial" w:cs="Arial" w:eastAsia="Arial" w:hAnsi="Arial"/>
          <w:sz w:val="17"/>
          <w:szCs w:val="17"/>
          <w:color w:val="auto"/>
        </w:rPr>
        <w:t>– If the yield increases by approximately 2% from 31% to 33%, the fair value of the notes payable would change from</w:t>
      </w:r>
      <w:r>
        <w:rPr>
          <w:rFonts w:ascii="Arial" w:cs="Arial" w:eastAsia="Arial" w:hAnsi="Arial"/>
          <w:sz w:val="17"/>
          <w:szCs w:val="17"/>
          <w:i w:val="1"/>
          <w:iCs w:val="1"/>
          <w:color w:val="auto"/>
        </w:rPr>
        <w:t xml:space="preserve"> </w:t>
      </w:r>
      <w:r>
        <w:rPr>
          <w:rFonts w:ascii="Arial" w:cs="Arial" w:eastAsia="Arial" w:hAnsi="Arial"/>
          <w:sz w:val="17"/>
          <w:szCs w:val="17"/>
          <w:color w:val="auto"/>
        </w:rPr>
        <w:t>$7.3 million to $7.1 million, or a decrease of $0.2 million and 2.7%; if the yield decreases 2% from 31% to 29%, the fair value of the note payable with conversion feature would change from 7.3 million to $7.5 million, or an increase of $0.2 million or 2.7%. If the yield increases by approximately 4% from 31% to 35%, the fair value of the note payable with the conversion feature would change from $7.3 million to $7.0 million, or a decrease of $0.3 million or 4.1%; if the yield decreases 4% from 31% to 27%, the fair value of the note payable with conversion feature would change from $7.3 million to $7.7 million, or an increase of 0.4 million and 5.5%.</w:t>
      </w:r>
    </w:p>
    <w:p>
      <w:pPr>
        <w:spacing w:after="0" w:line="178" w:lineRule="exact"/>
        <w:rPr>
          <w:sz w:val="20"/>
          <w:szCs w:val="20"/>
          <w:color w:val="auto"/>
        </w:rPr>
      </w:pPr>
    </w:p>
    <w:p>
      <w:pPr>
        <w:ind w:left="760" w:right="20"/>
        <w:spacing w:after="0" w:line="273" w:lineRule="auto"/>
        <w:rPr>
          <w:sz w:val="20"/>
          <w:szCs w:val="20"/>
          <w:color w:val="auto"/>
        </w:rPr>
      </w:pPr>
      <w:r>
        <w:rPr>
          <w:rFonts w:ascii="Arial" w:cs="Arial" w:eastAsia="Arial" w:hAnsi="Arial"/>
          <w:sz w:val="17"/>
          <w:szCs w:val="17"/>
          <w:i w:val="1"/>
          <w:iCs w:val="1"/>
          <w:color w:val="auto"/>
        </w:rPr>
        <w:t xml:space="preserve">MidCap credit facility </w:t>
      </w:r>
      <w:r>
        <w:rPr>
          <w:rFonts w:ascii="Arial" w:cs="Arial" w:eastAsia="Arial" w:hAnsi="Arial"/>
          <w:sz w:val="17"/>
          <w:szCs w:val="17"/>
          <w:color w:val="auto"/>
        </w:rPr>
        <w:t>- If the yield increases by approximately 1% from 11.5% to 12.5%, the fair value of the notes payable would change from</w:t>
      </w:r>
      <w:r>
        <w:rPr>
          <w:rFonts w:ascii="Arial" w:cs="Arial" w:eastAsia="Arial" w:hAnsi="Arial"/>
          <w:sz w:val="17"/>
          <w:szCs w:val="17"/>
          <w:i w:val="1"/>
          <w:iCs w:val="1"/>
          <w:color w:val="auto"/>
        </w:rPr>
        <w:t xml:space="preserve"> </w:t>
      </w:r>
      <w:r>
        <w:rPr>
          <w:rFonts w:ascii="Arial" w:cs="Arial" w:eastAsia="Arial" w:hAnsi="Arial"/>
          <w:sz w:val="17"/>
          <w:szCs w:val="17"/>
          <w:color w:val="auto"/>
        </w:rPr>
        <w:t>$38.1 million to $37.1 million, or a decrease of $1.0 million or 2.7%; if the yield decreases 1% from 11.5% to 10.5%, the fair value of the note payable with conversion feature would change from $38.1 million to $39.1 million, or an increase of $1.0 million or 2.6%. If the yield increases by approximately 2% from 11.5% to 13.5%, the fair value of the note payable with the conversion feature would change from $38.1 million to $36.2 million, or a decrease of $1.9 million or 5.0%; if the yield decreases 2% from 11.5% to 9.5%, the fair value of the note payable with conversion feature would change from $38.1 million to $40.2 million, or an increase of $2.1 million or 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Inputs (Level 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June 2020 Note</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December 2020 Note</w:t>
            </w: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Senior convertible notes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Mann Group Notes</w:t>
            </w: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MidCap Credit Facility</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 rights</w:t>
            </w: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Total financial liabilities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2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December 31, 2018</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Inputs (Level 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Deerfield Credit Facility</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4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convertible notes</w:t>
            </w: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Mann Group Notes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 rights</w:t>
            </w:r>
          </w:p>
        </w:tc>
        <w:tc>
          <w:tcPr>
            <w:tcW w:w="12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Total financial liabilities</w:t>
            </w:r>
          </w:p>
        </w:tc>
        <w:tc>
          <w:tcPr>
            <w:tcW w:w="12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2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5" w:name="page26"/>
    <w:bookmarkEnd w:id="25"/>
    <w:p>
      <w:pPr>
        <w:ind w:right="220"/>
        <w:spacing w:after="0" w:line="312"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The fair value measurement of the Milestone Rights liability is sensitive to the discount rate and the timing of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17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at December 31, 2018 and no value as of September 30, 2019 due to the repayment of the Deerfield Credit Facility in full in August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Expense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nine months ended September 30, 2019 and 2018 was as follows (in thousands):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37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three months ended September 30, 2019, the Company granted certain employees stock options to purchase an aggregate of 145,600 shares of common stock at a weighted average exercise price of $1.12 per share. The options vest over a four year period. The grant date fair value of these awards is $0.1 million with a weighted average grant date fair value of $0.66 per share, as determined using a Black-Scholes option pricing model.</w:t>
      </w:r>
    </w:p>
    <w:p>
      <w:pPr>
        <w:spacing w:after="0" w:line="14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During the nine months ended September 30, 2019, the Company granted certain employees stock options to purchase an aggregate of 5,478,903 shares of common stock at a weighted average exercise price of $1.32 per share. The options vest over a four year period. The grant date fair value of these awards is $6.0 million with a weighted average grant date fair value of $1.10 per share, as determined using a Black-Scholes option pricing model.</w:t>
      </w:r>
    </w:p>
    <w:p>
      <w:pPr>
        <w:spacing w:after="0" w:line="147" w:lineRule="exact"/>
        <w:rPr>
          <w:sz w:val="20"/>
          <w:szCs w:val="20"/>
          <w:color w:val="auto"/>
        </w:rPr>
      </w:pPr>
    </w:p>
    <w:p>
      <w:pPr>
        <w:jc w:val="both"/>
        <w:ind w:right="900"/>
        <w:spacing w:after="0" w:line="342" w:lineRule="auto"/>
        <w:rPr>
          <w:sz w:val="20"/>
          <w:szCs w:val="20"/>
          <w:color w:val="auto"/>
        </w:rPr>
      </w:pPr>
      <w:r>
        <w:rPr>
          <w:rFonts w:ascii="Arial" w:cs="Arial" w:eastAsia="Arial" w:hAnsi="Arial"/>
          <w:sz w:val="16"/>
          <w:szCs w:val="16"/>
          <w:color w:val="auto"/>
        </w:rPr>
        <w:t>In the Condensed Statements of Stockholders’ Deficit and the Condensed Consolidated Statements of Cash Flows, the prior quarter’s stock-based compensation expense is inclusive of expenses associated with restricted stock unit awards in order to conform to the current quarter presentation.</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September 30, 2019, there were $1.1 million and $11.1 million of unrecognized compensation expense related to restricted stock units and options, respectively, which vest over the vesting period except for certain options that are subject to performance conditions. The Company evaluates performance conditions as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September 30,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p>
      <w:pPr>
        <w:ind w:right="20"/>
        <w:spacing w:after="0" w:line="269" w:lineRule="auto"/>
        <w:rPr>
          <w:sz w:val="20"/>
          <w:szCs w:val="20"/>
          <w:color w:val="auto"/>
        </w:rPr>
      </w:pPr>
      <w:r>
        <w:rPr>
          <w:rFonts w:ascii="Arial" w:cs="Arial" w:eastAsia="Arial" w:hAnsi="Arial"/>
          <w:sz w:val="17"/>
          <w:szCs w:val="17"/>
          <w:color w:val="auto"/>
        </w:rPr>
        <w:t>Following the public announcement in January 2016 of Sanofi’s election to terminate a license and collaboration agreement (the “Sanofi License Agreement”) between the Company and sanofi-aventis U.S. LLC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the Company filed a motion to dismiss the certification motion. At a case conference in February 2019, the court directed the parties to negotiate a procedure for determining whether the plaintiff can distinguish the claims in the Israeli litigation from those in a U.S. case against the Company based on the same events (which was dismissed by the U.S. district court for the Central District of California in August 2016). In September 2019, the plaintiff brought a motion to amend his claim, which the Company has opposed. The Company will continue to vigorously defend against the claims advanced.</w:t>
      </w:r>
    </w:p>
    <w:p>
      <w:pPr>
        <w:spacing w:after="0" w:line="180"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In connection with the Facility Agreement, on July 1, 2013, the Company also entered into a Milestone Agreement with the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Purchasers, pursuant to which the Company granted such Milestone Purchasers rights to receive payments up to $90.0 million upon the occurrence of specified strategic and sales milestones, $75.0 million of which remains payable upon achievement of such milestones (see Note 7 – Borrowings).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August 2, 2019, the Company and Amphastar amended the Insulin Supply Agreement to extend the term an additional two years and to restructure the annual purchase commitments as follows: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amended</w:t>
            </w:r>
          </w:p>
        </w:tc>
      </w:tr>
      <w:tr>
        <w:trPr>
          <w:trHeight w:val="171"/>
        </w:trPr>
        <w:tc>
          <w:tcPr>
            <w:tcW w:w="2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August 2, 2019</w:t>
            </w:r>
          </w:p>
        </w:tc>
      </w:tr>
      <w:tr>
        <w:trPr>
          <w:trHeight w:val="223"/>
        </w:trPr>
        <w:tc>
          <w:tcPr>
            <w:tcW w:w="2540" w:type="dxa"/>
            <w:vAlign w:val="bottom"/>
            <w:tcBorders>
              <w:top w:val="single" w:sz="8" w:color="CFF0FC"/>
            </w:tcBorders>
            <w:shd w:val="clear" w:color="auto" w:fill="CFF0FC"/>
          </w:tcPr>
          <w:p>
            <w:pPr>
              <w:jc w:val="right"/>
              <w:ind w:right="2090"/>
              <w:spacing w:after="0"/>
              <w:rPr>
                <w:sz w:val="20"/>
                <w:szCs w:val="20"/>
                <w:color w:val="auto"/>
              </w:rPr>
            </w:pPr>
            <w:r>
              <w:rPr>
                <w:rFonts w:ascii="Arial" w:cs="Arial" w:eastAsia="Arial" w:hAnsi="Arial"/>
                <w:sz w:val="18"/>
                <w:szCs w:val="18"/>
                <w:color w:val="auto"/>
                <w:w w:val="84"/>
              </w:rPr>
              <w:t>2019</w:t>
            </w:r>
          </w:p>
        </w:tc>
        <w:tc>
          <w:tcPr>
            <w:tcW w:w="2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million</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540" w:type="dxa"/>
            <w:vAlign w:val="bottom"/>
          </w:tcPr>
          <w:p>
            <w:pPr>
              <w:jc w:val="right"/>
              <w:ind w:right="2090"/>
              <w:spacing w:after="0"/>
              <w:rPr>
                <w:sz w:val="20"/>
                <w:szCs w:val="20"/>
                <w:color w:val="auto"/>
              </w:rPr>
            </w:pPr>
            <w:r>
              <w:rPr>
                <w:rFonts w:ascii="Arial" w:cs="Arial" w:eastAsia="Arial" w:hAnsi="Arial"/>
                <w:sz w:val="18"/>
                <w:szCs w:val="18"/>
                <w:color w:val="auto"/>
                <w:w w:val="84"/>
              </w:rPr>
              <w:t>2020</w:t>
            </w:r>
          </w:p>
        </w:tc>
        <w:tc>
          <w:tcPr>
            <w:tcW w:w="2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15.9 million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6.6 million</w:t>
            </w:r>
          </w:p>
        </w:tc>
      </w:tr>
      <w:tr>
        <w:trPr>
          <w:trHeight w:val="230"/>
        </w:trPr>
        <w:tc>
          <w:tcPr>
            <w:tcW w:w="2540" w:type="dxa"/>
            <w:vAlign w:val="bottom"/>
            <w:shd w:val="clear" w:color="auto" w:fill="CFF0FC"/>
          </w:tcPr>
          <w:p>
            <w:pPr>
              <w:jc w:val="right"/>
              <w:ind w:right="2090"/>
              <w:spacing w:after="0"/>
              <w:rPr>
                <w:sz w:val="20"/>
                <w:szCs w:val="20"/>
                <w:color w:val="auto"/>
              </w:rPr>
            </w:pPr>
            <w:r>
              <w:rPr>
                <w:rFonts w:ascii="Arial" w:cs="Arial" w:eastAsia="Arial" w:hAnsi="Arial"/>
                <w:sz w:val="18"/>
                <w:szCs w:val="18"/>
                <w:color w:val="auto"/>
                <w:w w:val="84"/>
              </w:rPr>
              <w:t>2021</w:t>
            </w:r>
          </w:p>
        </w:tc>
        <w:tc>
          <w:tcPr>
            <w:tcW w:w="2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 million</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 million</w:t>
            </w:r>
          </w:p>
        </w:tc>
      </w:tr>
      <w:tr>
        <w:trPr>
          <w:trHeight w:val="230"/>
        </w:trPr>
        <w:tc>
          <w:tcPr>
            <w:tcW w:w="2540" w:type="dxa"/>
            <w:vAlign w:val="bottom"/>
          </w:tcPr>
          <w:p>
            <w:pPr>
              <w:jc w:val="right"/>
              <w:ind w:right="2090"/>
              <w:spacing w:after="0"/>
              <w:rPr>
                <w:sz w:val="20"/>
                <w:szCs w:val="20"/>
                <w:color w:val="auto"/>
              </w:rPr>
            </w:pPr>
            <w:r>
              <w:rPr>
                <w:rFonts w:ascii="Arial" w:cs="Arial" w:eastAsia="Arial" w:hAnsi="Arial"/>
                <w:sz w:val="18"/>
                <w:szCs w:val="18"/>
                <w:color w:val="auto"/>
                <w:w w:val="84"/>
              </w:rPr>
              <w:t>2022</w:t>
            </w:r>
          </w:p>
        </w:tc>
        <w:tc>
          <w:tcPr>
            <w:tcW w:w="2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19.8 million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8.5 million</w:t>
            </w:r>
          </w:p>
        </w:tc>
      </w:tr>
      <w:tr>
        <w:trPr>
          <w:trHeight w:val="230"/>
        </w:trPr>
        <w:tc>
          <w:tcPr>
            <w:tcW w:w="2540" w:type="dxa"/>
            <w:vAlign w:val="bottom"/>
            <w:shd w:val="clear" w:color="auto" w:fill="CFF0FC"/>
          </w:tcPr>
          <w:p>
            <w:pPr>
              <w:jc w:val="right"/>
              <w:ind w:right="2090"/>
              <w:spacing w:after="0"/>
              <w:rPr>
                <w:sz w:val="20"/>
                <w:szCs w:val="20"/>
                <w:color w:val="auto"/>
              </w:rPr>
            </w:pPr>
            <w:r>
              <w:rPr>
                <w:rFonts w:ascii="Arial" w:cs="Arial" w:eastAsia="Arial" w:hAnsi="Arial"/>
                <w:sz w:val="18"/>
                <w:szCs w:val="18"/>
                <w:color w:val="auto"/>
                <w:w w:val="84"/>
              </w:rPr>
              <w:t>2023</w:t>
            </w:r>
          </w:p>
        </w:tc>
        <w:tc>
          <w:tcPr>
            <w:tcW w:w="2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19.8 million</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 million</w:t>
            </w:r>
          </w:p>
        </w:tc>
      </w:tr>
      <w:tr>
        <w:trPr>
          <w:trHeight w:val="230"/>
        </w:trPr>
        <w:tc>
          <w:tcPr>
            <w:tcW w:w="2540" w:type="dxa"/>
            <w:vAlign w:val="bottom"/>
          </w:tcPr>
          <w:p>
            <w:pPr>
              <w:jc w:val="right"/>
              <w:ind w:right="2090"/>
              <w:spacing w:after="0"/>
              <w:rPr>
                <w:sz w:val="20"/>
                <w:szCs w:val="20"/>
                <w:color w:val="auto"/>
              </w:rPr>
            </w:pPr>
            <w:r>
              <w:rPr>
                <w:rFonts w:ascii="Arial" w:cs="Arial" w:eastAsia="Arial" w:hAnsi="Arial"/>
                <w:sz w:val="18"/>
                <w:szCs w:val="18"/>
                <w:color w:val="auto"/>
                <w:w w:val="84"/>
              </w:rPr>
              <w:t>2024</w:t>
            </w:r>
          </w:p>
        </w:tc>
        <w:tc>
          <w:tcPr>
            <w:tcW w:w="2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8.6 million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14.6 million</w:t>
            </w:r>
          </w:p>
        </w:tc>
      </w:tr>
      <w:tr>
        <w:trPr>
          <w:trHeight w:val="230"/>
        </w:trPr>
        <w:tc>
          <w:tcPr>
            <w:tcW w:w="2540" w:type="dxa"/>
            <w:vAlign w:val="bottom"/>
            <w:shd w:val="clear" w:color="auto" w:fill="CFF0FC"/>
          </w:tcPr>
          <w:p>
            <w:pPr>
              <w:jc w:val="right"/>
              <w:ind w:right="2090"/>
              <w:spacing w:after="0"/>
              <w:rPr>
                <w:sz w:val="20"/>
                <w:szCs w:val="20"/>
                <w:color w:val="auto"/>
              </w:rPr>
            </w:pPr>
            <w:r>
              <w:rPr>
                <w:rFonts w:ascii="Arial" w:cs="Arial" w:eastAsia="Arial" w:hAnsi="Arial"/>
                <w:sz w:val="18"/>
                <w:szCs w:val="18"/>
                <w:color w:val="auto"/>
                <w:w w:val="84"/>
              </w:rPr>
              <w:t>2025</w:t>
            </w:r>
          </w:p>
        </w:tc>
        <w:tc>
          <w:tcPr>
            <w:tcW w:w="2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 million</w:t>
            </w:r>
          </w:p>
        </w:tc>
      </w:tr>
      <w:tr>
        <w:trPr>
          <w:trHeight w:val="230"/>
        </w:trPr>
        <w:tc>
          <w:tcPr>
            <w:tcW w:w="2540" w:type="dxa"/>
            <w:vAlign w:val="bottom"/>
          </w:tcPr>
          <w:p>
            <w:pPr>
              <w:jc w:val="right"/>
              <w:ind w:right="2090"/>
              <w:spacing w:after="0"/>
              <w:rPr>
                <w:sz w:val="20"/>
                <w:szCs w:val="20"/>
                <w:color w:val="auto"/>
              </w:rPr>
            </w:pPr>
            <w:r>
              <w:rPr>
                <w:rFonts w:ascii="Arial" w:cs="Arial" w:eastAsia="Arial" w:hAnsi="Arial"/>
                <w:sz w:val="18"/>
                <w:szCs w:val="18"/>
                <w:color w:val="auto"/>
                <w:w w:val="84"/>
              </w:rPr>
              <w:t>2026</w:t>
            </w:r>
          </w:p>
        </w:tc>
        <w:tc>
          <w:tcPr>
            <w:tcW w:w="2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19.4 million</w:t>
            </w:r>
          </w:p>
        </w:tc>
      </w:tr>
    </w:tbl>
    <w:p>
      <w:pPr>
        <w:spacing w:after="0" w:line="22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this amendment, the Company paid an amendment fee of $1.5 million on September 15, 2019 and is obligated to pay an additional $1.25 million by December 15, 2019. The Company recognized the $2.75 million amendment fee as a part of cost of goods sold.</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Unless terminated earlier, the term of the Insulin Supply Agreement expires on December 31, 2026 and can be renewed for additional, successive two year term upon 12 months’ written notice given prior to the end of the initial term or any additional two 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On July 1, 2019, the Company entered into a 90-day foreign currency hedging transaction to mitigate its exposure to foreign currency exchange risks associated with the then-existing third quarter purchase requirement amount of €1.9 million. The Company realized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currency loss during third quarter of 2019. This amount is recorded in other income and expense. As a result of the August 2019 amendment to the Insulin Supply Agreement, there are no additional insulin deliveries scheduled for the remainder of 2019. Accordingly, the Company has not entered into any additional hedge transactions.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line="272" w:lineRule="auto"/>
        <w:rPr>
          <w:sz w:val="20"/>
          <w:szCs w:val="20"/>
          <w:color w:val="auto"/>
        </w:rPr>
      </w:pPr>
      <w:r>
        <w:rPr>
          <w:rFonts w:ascii="Arial" w:cs="Arial" w:eastAsia="Arial" w:hAnsi="Arial"/>
          <w:sz w:val="17"/>
          <w:szCs w:val="17"/>
          <w:i w:val="1"/>
          <w:iCs w:val="1"/>
          <w:color w:val="auto"/>
        </w:rPr>
        <w:t xml:space="preserve">Warrants - </w:t>
      </w:r>
      <w:r>
        <w:rPr>
          <w:rFonts w:ascii="Arial" w:cs="Arial" w:eastAsia="Arial" w:hAnsi="Arial"/>
          <w:sz w:val="17"/>
          <w:szCs w:val="17"/>
          <w:color w:val="auto"/>
        </w:rPr>
        <w:t>On December 26, 2018, the Company closed an underwritten public offering of 26,666,667 shares of the Company’s common stock and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up to an aggregate of 26,666,667 shares of the Company’s common stock (the “December warrants”) at a combined purchase price of $1.50 per share and accompanying warrant. The shares of common stock and the December warrants were immediately separable. The December warrants are exercisable at a price of $1.60 per share and will expire on December 26, 2019. The net proceeds to the Company from the offering were approximately $37.3 million. The Company determined that the December warrants met the criteria for equity classification and accounted for such warrants in additional paid-in capital. On July 18, 2019, the Company repurchased 3,333,334 December warrants for consideration of approximately $0.4 million, leaving 23,333,333 shares reserved for issuance pursuant to remaining December warrants.</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August 6, 2019, in connection with the MidCap Credit Facility, the Company issued warrants to purchase an aggregate of 1,171,614 shares of the Company’s common stock, at an exercise price equal to $1.11 per share, to the lenders. These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 The Company determined that these warrants met the criteria for equity classification and accounted for such warrants in additional paid-in capital. Additional warrants will be issued if the Company accesses additional tranches under the MidCap Credit Facility. For additional detail, see Note 7 – Borrowings.</w:t>
      </w:r>
    </w:p>
    <w:p>
      <w:pPr>
        <w:spacing w:after="0" w:line="21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Vehicle Leases – </w:t>
      </w:r>
      <w:r>
        <w:rPr>
          <w:rFonts w:ascii="Arial" w:cs="Arial" w:eastAsia="Arial" w:hAnsi="Arial"/>
          <w:sz w:val="16"/>
          <w:szCs w:val="16"/>
          <w:color w:val="auto"/>
        </w:rPr>
        <w:t>During the second quarter of 2018, the Company entered into a lease agreement with Enterprise Fleet Management Inc. for the lease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119 vehicles. The lease requires monthly payments of approximately $83,000 per month including the cost of maintaining the vehicles, taxes and insurance. The lease commenced when the Company took possession of the majority of the vehicles in the second quarter of 2018 and expires 48 months after the delivery date. As of September 30, 2019, 29 vehicles were removed from the fleet, resulting in a fleet size of 90 vehicles; no gain or loss was recorded. The revised monthly payment inclusive of maintenance fees, insurance and taxes is $72,000 and the reduction of the right of use asset and lease obligation is approximately $0.6 million in our condensed consolidated balance sheets. The lease expense is included in selling, general and administrative expenses in the accompanying condensed consolidated statement of operations for the three and nine months ended September 30, 2019.</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Upon adoption of the new lease guidance, the agreement was classified as an operating lease which resulted in recording right-of-use assets and lease liabilities of approximately $1.6 million, respectively, as of January 1, 2019. These amounts included approximately $1.6 million of non-current other assets and approximately $0.6 million and $1.3 million of other current liabilities and operating lease liabilities, respectively.</w:t>
      </w:r>
    </w:p>
    <w:p>
      <w:pPr>
        <w:spacing w:after="0" w:line="2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Office Lease </w:t>
      </w:r>
      <w:r>
        <w:rPr>
          <w:rFonts w:ascii="Arial" w:cs="Arial" w:eastAsia="Arial" w:hAnsi="Arial"/>
          <w:sz w:val="17"/>
          <w:szCs w:val="17"/>
          <w:color w:val="auto"/>
        </w:rPr>
        <w:t>— On May 5, 2017, the Company executed an office lease with Russell Ranch Road II LLC for the Company’s corporate headquarters in</w:t>
      </w:r>
      <w:r>
        <w:rPr>
          <w:rFonts w:ascii="Arial" w:cs="Arial" w:eastAsia="Arial" w:hAnsi="Arial"/>
          <w:sz w:val="17"/>
          <w:szCs w:val="17"/>
          <w:i w:val="1"/>
          <w:iCs w:val="1"/>
          <w:color w:val="auto"/>
        </w:rPr>
        <w:t xml:space="preserve"> </w:t>
      </w:r>
      <w:r>
        <w:rPr>
          <w:rFonts w:ascii="Arial" w:cs="Arial" w:eastAsia="Arial" w:hAnsi="Arial"/>
          <w:sz w:val="17"/>
          <w:szCs w:val="17"/>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 month concession from October 2017 through February 2018. The lease also provides for allowances for tenant alterations and maintenance. The lease expires in January 2023 and provides the Company with a five year renewal option. The lease expense is included in selling, general and administrative expenses in the accompanying condensed consolidated statement of operations for three and nine months ended September 30, 2019.</w:t>
      </w:r>
    </w:p>
    <w:p>
      <w:pPr>
        <w:spacing w:after="0" w:line="17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On November 29,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3% annual increases, plus the estimated operating costs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 year renewal option.</w:t>
      </w:r>
    </w:p>
    <w:p>
      <w:pPr>
        <w:spacing w:after="0" w:line="15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Upon adoption of the new guidance, this lease was classified as an operating lease which resulted in recording right-of-use assets and lease liabilities of approximately $3.2 million and $3.5 million, respectively, as of January 1, 2019. These amounts included approximately $0.9 million and $2.6 million of other current liabilities and operating lease liabilities, respectively.</w:t>
      </w:r>
    </w:p>
    <w:p>
      <w:pPr>
        <w:spacing w:after="0" w:line="181"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Operating lease costs under all operating leases including office space and equipment for the three and nine months ended September 30, 2019 was approximately $0.4 million and $1.1 million, respectively. Cash paid for all operating leases for the three and nine months ended September 30, 2019 was $0.5 million and $1.3 million, respectively. Variable lease costs were approximately $0.1 million and $0.3 million for the three and nine months ended September 30, 2019, respectively. The weighted average discount rate used was 7.5%. The weighted-average remaining lease term for all operating leases is 3.3 years.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Rent expense under all operating leases for the three and nine months ended September 30, 2018 including office space and equipment was approximately $0.1 million and $0.4 million, respectively, prior to the adoption of ASC topic 842.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Future minimum office and vehicle lease payments as of September 30, 2019 and December 31, 2018,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(Remainder)</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365,139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1,595,421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1,470,217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1,623,835</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1,499,484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1,653,101</w:t>
            </w: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1,241,089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1,305,096</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6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4,663,886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6,265,410</w:t>
            </w: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2018 amounts above are inclusive of office and vehicle lease payments in order to conform to the current year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2015 remain subject to examination by federal, state and foreign tax authorities. Earlier this year, the Company initiated the process of winding up its subsidiaries in The Netherlands and Germany; this process is expected to be complete before the end of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November 4, 2019, the Company announced that it had received $12.5 million in respect of the second of four milestone payments under the UT License Agreement. The Company may receive additional milestone payments of up to $25.0 million upon the achievement of specified development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2018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patients with diseases such as diabetes and pulmonary arterial hypertension. Our only approved product, Afrezza, is a rapid-acting inhaled insulin that was approved by the FDA in June 2014 to improve glycemic control in adult patients with diabetes. Afrezza became available by prescription in United States retail pharmacies in February 2015.</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September 30, 2019, we had an accumulated deficit of $3.0 billion and a stockholders’ deficit of $184.7 million. We had a net loss of $10.4 million and $37.6 million for the three and nine months ended September 30, 2019, respectively. To date, we have funded our operations through the sale of equity and convertible debt securities, from the receipt of upfront and milestone payments from certain collaborations, and from borrowings under certain loan arrangements, including the Mann Group Loan Arrangement, the Deerfield Credit Facility, and, most recently, the MidCap Credit Facility. As discussed below in “Liquidity and Capital Resources,” if we are unable to obtain additional funding, there will continue to be substantial doubt about our ability to continue as a going concern.</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need to raise additional capital to fund our operations, our ability to successfully commercialize Afrezza and manufacture sufficient quantities of Afrezza, competition from other products and technologies and uncertainties associated with obtaining and enforcing patent rights. Additional significant risks also include the risks inherent in clinical trials and the regulatory approval process for our product candidates, which in some cases depends upon the efforts of our partners.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critical accounting policies can be found in Item 7. Management’s Discussion and Analysis of Financial Condition and Results of Operations in our Form 10-K for the year ended December 31, 2018. See Note 1 – Description of Business and Significant Accounting Policies in the condensed consolidated financial statements included in Part I – Financial Statements (Unaudited) for descriptions of the new accounting policies and impact of adoption.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tables provide a comparison of the revenue categories for the three and nine months ended September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3"/>
              </w:rPr>
              <w:t>Three Months Ended September 30,</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4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11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60" w:type="dxa"/>
            <w:vAlign w:val="bottom"/>
          </w:tcPr>
          <w:p>
            <w:pPr>
              <w:ind w:left="740"/>
              <w:spacing w:after="0"/>
              <w:rPr>
                <w:sz w:val="20"/>
                <w:szCs w:val="20"/>
                <w:color w:val="auto"/>
              </w:rPr>
            </w:pPr>
            <w:r>
              <w:rPr>
                <w:rFonts w:ascii="Arial" w:cs="Arial" w:eastAsia="Arial" w:hAnsi="Arial"/>
                <w:sz w:val="18"/>
                <w:szCs w:val="18"/>
                <w:color w:val="auto"/>
              </w:rPr>
              <w:t>Wholesaler distribution fees, rebates and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880"/>
              <w:spacing w:after="0"/>
              <w:rPr>
                <w:sz w:val="20"/>
                <w:szCs w:val="20"/>
                <w:color w:val="auto"/>
              </w:rPr>
            </w:pPr>
            <w:r>
              <w:rPr>
                <w:rFonts w:ascii="Arial" w:cs="Arial" w:eastAsia="Arial" w:hAnsi="Arial"/>
                <w:sz w:val="18"/>
                <w:szCs w:val="18"/>
                <w:color w:val="auto"/>
              </w:rPr>
              <w:t>chargebacks, product returns and other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60" w:type="dxa"/>
            <w:vAlign w:val="bottom"/>
          </w:tcPr>
          <w:p>
            <w:pPr>
              <w:ind w:left="880"/>
              <w:spacing w:after="0"/>
              <w:rPr>
                <w:sz w:val="20"/>
                <w:szCs w:val="20"/>
                <w:color w:val="auto"/>
              </w:rPr>
            </w:pPr>
            <w:r>
              <w:rPr>
                <w:rFonts w:ascii="Arial" w:cs="Arial" w:eastAsia="Arial" w:hAnsi="Arial"/>
                <w:sz w:val="18"/>
                <w:szCs w:val="18"/>
                <w:color w:val="auto"/>
              </w:rPr>
              <w:t>discounts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revenue - commercial product sales</w:t>
            </w: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Revenue - collaborations and services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8,111</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9,891%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9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14,595</w:t>
            </w:r>
          </w:p>
        </w:tc>
        <w:tc>
          <w:tcPr>
            <w:tcW w:w="12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10,126</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0" w:name="page31"/>
    <w:bookmarkEnd w:id="30"/>
    <w:tbl>
      <w:tblPr>
        <w:tblLayout w:type="fixed"/>
        <w:tblInd w:w="5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9,583</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5"/>
        </w:trPr>
        <w:tc>
          <w:tcPr>
            <w:tcW w:w="4460" w:type="dxa"/>
            <w:vAlign w:val="bottom"/>
          </w:tcPr>
          <w:p>
            <w:pPr>
              <w:ind w:left="740"/>
              <w:spacing w:after="0"/>
              <w:rPr>
                <w:sz w:val="20"/>
                <w:szCs w:val="20"/>
                <w:color w:val="auto"/>
              </w:rPr>
            </w:pPr>
            <w:r>
              <w:rPr>
                <w:rFonts w:ascii="Arial" w:cs="Arial" w:eastAsia="Arial" w:hAnsi="Arial"/>
                <w:sz w:val="18"/>
                <w:szCs w:val="18"/>
                <w:color w:val="auto"/>
              </w:rPr>
              <w:t>Wholesaler distribution fees, rebates and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chargebacks, product returns and other</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880"/>
              <w:spacing w:after="0"/>
              <w:rPr>
                <w:sz w:val="20"/>
                <w:szCs w:val="20"/>
                <w:color w:val="auto"/>
              </w:rPr>
            </w:pPr>
            <w:r>
              <w:rPr>
                <w:rFonts w:ascii="Arial" w:cs="Arial" w:eastAsia="Arial" w:hAnsi="Arial"/>
                <w:sz w:val="18"/>
                <w:szCs w:val="18"/>
                <w:color w:val="auto"/>
              </w:rPr>
              <w:t>discounts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(12,154)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(8,572)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(3,582)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Revenue - collaborations and services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29,270</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12,616%</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 - other</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500"/>
              <w:spacing w:after="0"/>
              <w:rPr>
                <w:sz w:val="20"/>
                <w:szCs w:val="20"/>
                <w:color w:val="auto"/>
              </w:rPr>
            </w:pPr>
            <w:r>
              <w:rPr>
                <w:rFonts w:ascii="Arial" w:cs="Arial" w:eastAsia="Arial" w:hAnsi="Arial"/>
                <w:sz w:val="18"/>
                <w:szCs w:val="18"/>
                <w:color w:val="auto"/>
              </w:rPr>
              <w:t>Total revenues</w:t>
            </w:r>
          </w:p>
        </w:tc>
        <w:tc>
          <w:tcPr>
            <w:tcW w:w="7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47,045</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11,827</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35,218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revenue from the sales of Afrezza for the quarter ended September 30, 2019 increased by $2.0 million, or 46%, compared to the same quarter in the prior year, primarily driven by higher product demand and price increases, shipment to Biomm (Brazil) as well as a more favorable mix of Afrezza cartridges. The gross-to-net adjustment was $4.7 million (or 41% of gross revenue) for the quarter ended September 30, 2019 compared to $3.8 million (or 47% of gross revenue) for the same quarter in the prior year. The lower percentage was primarily due to lower commercial and government rebates and $0.7 million in shipments to Biomm (Brazil) that were not subject to gross-to-net adjustments. These decreases were partially offset by a higher amount of wholesaler’s fee-for-service charges.</w:t>
      </w:r>
    </w:p>
    <w:p>
      <w:pPr>
        <w:spacing w:after="0" w:line="2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revenue from collaborations and services for the quarter ended September 30, 2019 increased by $8.1 million compared to the same quarter in the prior year, primarily driven by the UT License Agreement ($7.9 million).</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revenue from the sales of Afrezza for the nine months ended September 30, 2019 increased by $6.0 million, or 52%, compared to the same period in the prior year, primarily driven by higher product demand and price increases, shipment to Biomm (Brazil) as well as a more favorable mix of Afrezza cartridges. The gross-to-net adjustment was $12.2 million (or 41% of gross revenue) for the nine months ended September, 2019 compared to $8.6 million (or 43% of gross revenue) for the same period in the prior year. The lower percentage was primarily due to lower commercial and government rebates as well as $0.7 million in shipments to Biomm (Brazil) that were not subject to gross-to-net adjustments. These decreases were offset by a higher amount of product returns.</w:t>
      </w:r>
    </w:p>
    <w:p>
      <w:pPr>
        <w:spacing w:after="0" w:line="19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revenue from collaborations and services for the nine months ended September 30, 2019 increased by $29.3 million compared to the same period in the prior year, primarily attributable to the UT License Agreement ($23.3 million) and the UT Research Agreement ($5.9 million), which began in the fourth quarter of 2018.</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commercial product gross profit categories for the three and nine months ended September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(dollars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30,</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04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500"/>
              <w:spacing w:after="0"/>
              <w:rPr>
                <w:sz w:val="20"/>
                <w:szCs w:val="20"/>
                <w:color w:val="auto"/>
              </w:rPr>
            </w:pPr>
            <w:r>
              <w:rPr>
                <w:rFonts w:ascii="Arial" w:cs="Arial" w:eastAsia="Arial" w:hAnsi="Arial"/>
                <w:sz w:val="18"/>
                <w:szCs w:val="18"/>
                <w:color w:val="auto"/>
              </w:rPr>
              <w:t>Commercial product gross profit</w:t>
            </w:r>
          </w:p>
        </w:tc>
        <w:tc>
          <w:tcPr>
            <w:tcW w:w="10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(916)</w:t>
            </w:r>
          </w:p>
        </w:tc>
        <w:tc>
          <w:tcPr>
            <w:tcW w:w="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2"/>
              </w:rPr>
              <w:t>Nine Months Ended September 30,</w:t>
            </w: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04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6,001</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500"/>
              <w:spacing w:after="0"/>
              <w:rPr>
                <w:sz w:val="20"/>
                <w:szCs w:val="20"/>
                <w:color w:val="auto"/>
              </w:rPr>
            </w:pPr>
            <w:r>
              <w:rPr>
                <w:rFonts w:ascii="Arial" w:cs="Arial" w:eastAsia="Arial" w:hAnsi="Arial"/>
                <w:sz w:val="18"/>
                <w:szCs w:val="18"/>
                <w:color w:val="auto"/>
              </w:rPr>
              <w:t>Commercial product gross profit</w:t>
            </w:r>
          </w:p>
        </w:tc>
        <w:tc>
          <w:tcPr>
            <w:tcW w:w="10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(2,864)</w:t>
            </w:r>
          </w:p>
        </w:tc>
        <w:tc>
          <w:tcPr>
            <w:tcW w:w="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4,961</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Commercial product gross profit for the three and nine months ended September 30, 2019 increased by $0.2 million or 24%, and $5.0 million or 173%, respectively, compared to the same periods in the prior year. The increases were primarily attributable to higher commercial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Non-GAAP Measures</w:t>
      </w:r>
    </w:p>
    <w:p>
      <w:pPr>
        <w:spacing w:after="0" w:line="2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supplement our unaudited condensed consolidated financial statements presented under GAAP, we are presenting certain non-GAAP financial measures. We are providing these non-GAAP financial measures to disclose additional information to facilitate the comparison of past and present operations, and they are among the indicators management uses as a basis for evaluating the Company’s financial performance. We believe that these non-GAAP financial measures, when considered together with our GAAP financial results, provide management and investors with an additional understanding of our business operating results, including underlying trends.</w:t>
      </w:r>
    </w:p>
    <w:p>
      <w:pPr>
        <w:spacing w:after="0" w:line="30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3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 in million)</w:t>
            </w:r>
          </w:p>
        </w:tc>
        <w:tc>
          <w:tcPr>
            <w:tcW w:w="64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i w:val="1"/>
                <w:iCs w:val="1"/>
                <w:color w:val="auto"/>
              </w:rPr>
              <w:t>$ Chg</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i w:val="1"/>
                <w:iCs w:val="1"/>
                <w:color w:val="auto"/>
              </w:rPr>
              <w:t>% Chg</w:t>
            </w:r>
          </w:p>
        </w:tc>
        <w:tc>
          <w:tcPr>
            <w:tcW w:w="140" w:type="dxa"/>
            <w:vAlign w:val="bottom"/>
            <w:tcBorders>
              <w:bottom w:val="single" w:sz="8" w:color="CFF0FC"/>
            </w:tcBorders>
          </w:tcPr>
          <w:p>
            <w:pPr>
              <w:spacing w:after="0"/>
              <w:rPr>
                <w:sz w:val="18"/>
                <w:szCs w:val="18"/>
                <w:color w:val="auto"/>
              </w:rPr>
            </w:pPr>
          </w:p>
        </w:tc>
      </w:tr>
      <w:tr>
        <w:trPr>
          <w:trHeight w:val="210"/>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Net Revenue - Afrezza</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i w:val="1"/>
                <w:iCs w:val="1"/>
                <w:color w:val="auto"/>
              </w:rPr>
              <w:t>$</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2.0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i w:val="1"/>
                <w:iCs w:val="1"/>
                <w:color w:val="auto"/>
              </w:rPr>
              <w:t>45%</w:t>
            </w:r>
          </w:p>
        </w:tc>
      </w:tr>
      <w:tr>
        <w:trPr>
          <w:trHeight w:val="210"/>
        </w:trPr>
        <w:tc>
          <w:tcPr>
            <w:tcW w:w="3480" w:type="dxa"/>
            <w:vAlign w:val="bottom"/>
          </w:tcPr>
          <w:p>
            <w:pPr>
              <w:spacing w:after="0"/>
              <w:rPr>
                <w:sz w:val="20"/>
                <w:szCs w:val="20"/>
                <w:color w:val="auto"/>
              </w:rPr>
            </w:pPr>
            <w:r>
              <w:rPr>
                <w:rFonts w:ascii="Arial" w:cs="Arial" w:eastAsia="Arial" w:hAnsi="Arial"/>
                <w:sz w:val="16"/>
                <w:szCs w:val="16"/>
                <w:color w:val="auto"/>
              </w:rPr>
              <w:t>Cost of Goods Sold</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(1.8)</w:t>
            </w:r>
          </w:p>
        </w:tc>
        <w:tc>
          <w:tcPr>
            <w:tcW w:w="16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6"/>
                <w:szCs w:val="16"/>
                <w:i w:val="1"/>
                <w:iCs w:val="1"/>
                <w:color w:val="auto"/>
              </w:rPr>
              <w:t>-34%</w:t>
            </w:r>
          </w:p>
        </w:tc>
      </w:tr>
      <w:tr>
        <w:trPr>
          <w:trHeight w:val="222"/>
        </w:trPr>
        <w:tc>
          <w:tcPr>
            <w:tcW w:w="3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GAAP Gross Profit (Loss) - Afrezza</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(0.7)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(0.9)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i w:val="1"/>
                <w:iCs w:val="1"/>
                <w:color w:val="auto"/>
              </w:rPr>
              <w:t>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b w:val="1"/>
                <w:bCs w:val="1"/>
                <w:i w:val="1"/>
                <w:iCs w:val="1"/>
                <w:color w:val="auto"/>
              </w:rPr>
              <w:t>22%</w:t>
            </w:r>
          </w:p>
        </w:tc>
      </w:tr>
      <w:tr>
        <w:trPr>
          <w:trHeight w:val="210"/>
        </w:trPr>
        <w:tc>
          <w:tcPr>
            <w:tcW w:w="3480" w:type="dxa"/>
            <w:vAlign w:val="bottom"/>
          </w:tcPr>
          <w:p>
            <w:pPr>
              <w:spacing w:after="0"/>
              <w:rPr>
                <w:sz w:val="20"/>
                <w:szCs w:val="20"/>
                <w:color w:val="auto"/>
              </w:rPr>
            </w:pPr>
            <w:r>
              <w:rPr>
                <w:rFonts w:ascii="Arial" w:cs="Arial" w:eastAsia="Arial" w:hAnsi="Arial"/>
                <w:sz w:val="16"/>
                <w:szCs w:val="16"/>
                <w:color w:val="auto"/>
              </w:rPr>
              <w:t>Exclude Amphastar Amendment Fee</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i w:val="1"/>
                <w:iCs w:val="1"/>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5"/>
        </w:trPr>
        <w:tc>
          <w:tcPr>
            <w:tcW w:w="3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Non-GAAP Gross Profit (Loss) - Afrezza</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(0.9)</w:t>
            </w:r>
          </w:p>
        </w:tc>
        <w:tc>
          <w:tcPr>
            <w:tcW w:w="20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i w:val="1"/>
                <w:iCs w:val="1"/>
                <w:color w:val="auto"/>
              </w:rPr>
              <w:t>$</w:t>
            </w: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i w:val="1"/>
                <w:iCs w:val="1"/>
                <w:color w:val="auto"/>
              </w:rPr>
              <w:t>3.0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b w:val="1"/>
                <w:bCs w:val="1"/>
                <w:i w:val="1"/>
                <w:iCs w:val="1"/>
                <w:color w:val="auto"/>
              </w:rPr>
              <w:t>333%</w:t>
            </w:r>
          </w:p>
        </w:tc>
      </w:tr>
      <w:tr>
        <w:trPr>
          <w:trHeight w:val="223"/>
        </w:trPr>
        <w:tc>
          <w:tcPr>
            <w:tcW w:w="3480" w:type="dxa"/>
            <w:vAlign w:val="bottom"/>
          </w:tcPr>
          <w:p>
            <w:pPr>
              <w:spacing w:after="0"/>
              <w:rPr>
                <w:sz w:val="20"/>
                <w:szCs w:val="20"/>
                <w:color w:val="auto"/>
              </w:rPr>
            </w:pPr>
            <w:r>
              <w:rPr>
                <w:rFonts w:ascii="Arial" w:cs="Arial" w:eastAsia="Arial" w:hAnsi="Arial"/>
                <w:sz w:val="16"/>
                <w:szCs w:val="16"/>
                <w:b w:val="1"/>
                <w:bCs w:val="1"/>
                <w:color w:val="auto"/>
              </w:rPr>
              <w:t>Non-GAAP Gross Margin</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33%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9"/>
        </w:trPr>
        <w:tc>
          <w:tcPr>
            <w:tcW w:w="3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6"/>
              </w:rPr>
              <w:t>Nine Months Ended September 30,</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 in million)</w:t>
            </w:r>
          </w:p>
        </w:tc>
        <w:tc>
          <w:tcPr>
            <w:tcW w:w="64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 Chg</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 Chg</w:t>
            </w:r>
          </w:p>
        </w:tc>
        <w:tc>
          <w:tcPr>
            <w:tcW w:w="160" w:type="dxa"/>
            <w:vAlign w:val="bottom"/>
            <w:tcBorders>
              <w:bottom w:val="single" w:sz="8" w:color="CFF0FC"/>
            </w:tcBorders>
            <w:gridSpan w:val="2"/>
          </w:tcPr>
          <w:p>
            <w:pPr>
              <w:spacing w:after="0"/>
              <w:rPr>
                <w:sz w:val="18"/>
                <w:szCs w:val="18"/>
                <w:color w:val="auto"/>
              </w:rPr>
            </w:pPr>
          </w:p>
        </w:tc>
      </w:tr>
      <w:tr>
        <w:trPr>
          <w:trHeight w:val="210"/>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Net Revenue - Afrezza</w:t>
            </w:r>
          </w:p>
        </w:tc>
        <w:tc>
          <w:tcPr>
            <w:tcW w:w="94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17.5</w:t>
            </w:r>
          </w:p>
        </w:tc>
        <w:tc>
          <w:tcPr>
            <w:tcW w:w="20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11.5</w:t>
            </w: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88"/>
              <w:spacing w:after="0"/>
              <w:rPr>
                <w:sz w:val="20"/>
                <w:szCs w:val="20"/>
                <w:color w:val="auto"/>
              </w:rPr>
            </w:pPr>
            <w:r>
              <w:rPr>
                <w:rFonts w:ascii="Arial" w:cs="Arial" w:eastAsia="Arial" w:hAnsi="Arial"/>
                <w:sz w:val="16"/>
                <w:szCs w:val="16"/>
                <w:i w:val="1"/>
                <w:iCs w:val="1"/>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i w:val="1"/>
                <w:iCs w:val="1"/>
                <w:color w:val="auto"/>
              </w:rPr>
              <w:t>6.0</w:t>
            </w:r>
          </w:p>
        </w:tc>
        <w:tc>
          <w:tcPr>
            <w:tcW w:w="160" w:type="dxa"/>
            <w:vAlign w:val="bottom"/>
            <w:shd w:val="clear" w:color="auto" w:fill="CFF0FC"/>
          </w:tcPr>
          <w:p>
            <w:pPr>
              <w:spacing w:after="0"/>
              <w:rPr>
                <w:sz w:val="18"/>
                <w:szCs w:val="18"/>
                <w:color w:val="auto"/>
              </w:rPr>
            </w:pPr>
          </w:p>
        </w:tc>
        <w:tc>
          <w:tcPr>
            <w:tcW w:w="142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i w:val="1"/>
                <w:iCs w:val="1"/>
                <w:color w:val="auto"/>
              </w:rPr>
              <w:t>52%</w:t>
            </w:r>
          </w:p>
        </w:tc>
      </w:tr>
      <w:tr>
        <w:trPr>
          <w:trHeight w:val="210"/>
        </w:trPr>
        <w:tc>
          <w:tcPr>
            <w:tcW w:w="3480" w:type="dxa"/>
            <w:vAlign w:val="bottom"/>
          </w:tcPr>
          <w:p>
            <w:pPr>
              <w:spacing w:after="0"/>
              <w:rPr>
                <w:sz w:val="20"/>
                <w:szCs w:val="20"/>
                <w:color w:val="auto"/>
              </w:rPr>
            </w:pPr>
            <w:r>
              <w:rPr>
                <w:rFonts w:ascii="Arial" w:cs="Arial" w:eastAsia="Arial" w:hAnsi="Arial"/>
                <w:sz w:val="16"/>
                <w:szCs w:val="16"/>
                <w:color w:val="auto"/>
              </w:rPr>
              <w:t>Cost of Goods Sold</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(1.0)</w:t>
            </w:r>
          </w:p>
        </w:tc>
        <w:tc>
          <w:tcPr>
            <w:tcW w:w="1420" w:type="dxa"/>
            <w:vAlign w:val="bottom"/>
            <w:gridSpan w:val="4"/>
          </w:tcPr>
          <w:p>
            <w:pPr>
              <w:jc w:val="right"/>
              <w:ind w:right="40"/>
              <w:spacing w:after="0"/>
              <w:rPr>
                <w:sz w:val="20"/>
                <w:szCs w:val="20"/>
                <w:color w:val="auto"/>
              </w:rPr>
            </w:pPr>
            <w:r>
              <w:rPr>
                <w:rFonts w:ascii="Arial" w:cs="Arial" w:eastAsia="Arial" w:hAnsi="Arial"/>
                <w:sz w:val="16"/>
                <w:szCs w:val="16"/>
                <w:i w:val="1"/>
                <w:iCs w:val="1"/>
                <w:color w:val="auto"/>
              </w:rPr>
              <w:t>-7%</w:t>
            </w:r>
          </w:p>
        </w:tc>
      </w:tr>
      <w:tr>
        <w:trPr>
          <w:trHeight w:val="222"/>
        </w:trPr>
        <w:tc>
          <w:tcPr>
            <w:tcW w:w="3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GAAP Gross Profit (Loss) - Afrezza</w:t>
            </w:r>
          </w:p>
        </w:tc>
        <w:tc>
          <w:tcPr>
            <w:tcW w:w="94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2.1</w:t>
            </w:r>
          </w:p>
        </w:tc>
        <w:tc>
          <w:tcPr>
            <w:tcW w:w="20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i w:val="1"/>
                <w:iCs w:val="1"/>
                <w:color w:val="auto"/>
              </w:rPr>
              <w:t>5.0</w:t>
            </w:r>
          </w:p>
        </w:tc>
        <w:tc>
          <w:tcPr>
            <w:tcW w:w="16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b w:val="1"/>
                <w:bCs w:val="1"/>
                <w:i w:val="1"/>
                <w:iCs w:val="1"/>
                <w:color w:val="auto"/>
              </w:rPr>
              <w:t>172%</w:t>
            </w:r>
          </w:p>
        </w:tc>
      </w:tr>
      <w:tr>
        <w:trPr>
          <w:trHeight w:val="224"/>
        </w:trPr>
        <w:tc>
          <w:tcPr>
            <w:tcW w:w="3480" w:type="dxa"/>
            <w:vAlign w:val="bottom"/>
          </w:tcPr>
          <w:p>
            <w:pPr>
              <w:spacing w:after="0"/>
              <w:rPr>
                <w:sz w:val="20"/>
                <w:szCs w:val="20"/>
                <w:color w:val="auto"/>
              </w:rPr>
            </w:pPr>
            <w:r>
              <w:rPr>
                <w:rFonts w:ascii="Arial" w:cs="Arial" w:eastAsia="Arial" w:hAnsi="Arial"/>
                <w:sz w:val="16"/>
                <w:szCs w:val="16"/>
                <w:color w:val="auto"/>
              </w:rPr>
              <w:t>Exclude Amphastar Amendment Fee</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2.8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3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Non-GAAP Gross Profit (Loss) - Afrezza</w:t>
            </w:r>
          </w:p>
        </w:tc>
        <w:tc>
          <w:tcPr>
            <w:tcW w:w="94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4.9</w:t>
            </w:r>
          </w:p>
        </w:tc>
        <w:tc>
          <w:tcPr>
            <w:tcW w:w="20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(2.9)</w:t>
            </w:r>
          </w:p>
        </w:tc>
        <w:tc>
          <w:tcPr>
            <w:tcW w:w="1000" w:type="dxa"/>
            <w:vAlign w:val="bottom"/>
            <w:gridSpan w:val="3"/>
            <w:shd w:val="clear" w:color="auto" w:fill="CFF0FC"/>
          </w:tcPr>
          <w:p>
            <w:pPr>
              <w:jc w:val="right"/>
              <w:ind w:right="688"/>
              <w:spacing w:after="0"/>
              <w:rPr>
                <w:sz w:val="20"/>
                <w:szCs w:val="20"/>
                <w:color w:val="auto"/>
              </w:rPr>
            </w:pPr>
            <w:r>
              <w:rPr>
                <w:rFonts w:ascii="Arial" w:cs="Arial" w:eastAsia="Arial" w:hAnsi="Arial"/>
                <w:sz w:val="16"/>
                <w:szCs w:val="16"/>
                <w:b w:val="1"/>
                <w:bCs w:val="1"/>
                <w:i w:val="1"/>
                <w:iCs w:val="1"/>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i w:val="1"/>
                <w:iCs w:val="1"/>
                <w:color w:val="auto"/>
              </w:rPr>
              <w:t>7.8</w:t>
            </w:r>
          </w:p>
        </w:tc>
        <w:tc>
          <w:tcPr>
            <w:tcW w:w="16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b w:val="1"/>
                <w:bCs w:val="1"/>
                <w:i w:val="1"/>
                <w:iCs w:val="1"/>
                <w:color w:val="auto"/>
              </w:rPr>
              <w:t>269%</w:t>
            </w:r>
          </w:p>
        </w:tc>
      </w:tr>
      <w:tr>
        <w:trPr>
          <w:trHeight w:val="240"/>
        </w:trPr>
        <w:tc>
          <w:tcPr>
            <w:tcW w:w="3480" w:type="dxa"/>
            <w:vAlign w:val="bottom"/>
          </w:tcPr>
          <w:p>
            <w:pPr>
              <w:spacing w:after="0"/>
              <w:rPr>
                <w:sz w:val="20"/>
                <w:szCs w:val="20"/>
                <w:color w:val="auto"/>
              </w:rPr>
            </w:pPr>
            <w:r>
              <w:rPr>
                <w:rFonts w:ascii="Arial" w:cs="Arial" w:eastAsia="Arial" w:hAnsi="Arial"/>
                <w:sz w:val="16"/>
                <w:szCs w:val="16"/>
                <w:b w:val="1"/>
                <w:bCs w:val="1"/>
                <w:color w:val="auto"/>
              </w:rPr>
              <w:t>Non-GAAP Gross Margin</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tables provide a comparison of the expense categories for the three and nine months ended September 30, 2019 and 2018 (dollars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7,099</w:t>
            </w:r>
          </w:p>
        </w:tc>
        <w:tc>
          <w:tcPr>
            <w:tcW w:w="14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5,303</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 collaborations and services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(3,075)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foreign currency translation</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(3,079)</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8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23,374</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26,012</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(2,638)</w:t>
            </w:r>
          </w:p>
        </w:tc>
        <w:tc>
          <w:tcPr>
            <w:tcW w:w="220" w:type="dxa"/>
            <w:vAlign w:val="bottom"/>
            <w:vMerge w:val="continue"/>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15,446</w:t>
            </w:r>
          </w:p>
        </w:tc>
        <w:tc>
          <w:tcPr>
            <w:tcW w:w="14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14,406</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 collaborations and services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(2,774)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(4,426)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foreign currency translation</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(4,495)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(1,388)</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8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80,290</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80,692</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vMerge w:val="continue"/>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Cost of goods sold for the quarter ended September 30, 2019 increased by $1.8 million, or 34%, compared to the same quarter in the prior year, primarily due to a $2.8 million amendment fee associated with our Insulin supply agreement and higher sales, offset by a $1.0 million decrease in inventory write-offs.</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32" w:name="page33"/>
    <w:bookmarkEnd w:id="32"/>
    <w:p>
      <w:pPr>
        <w:spacing w:after="0" w:line="342" w:lineRule="auto"/>
        <w:rPr>
          <w:sz w:val="20"/>
          <w:szCs w:val="20"/>
          <w:color w:val="auto"/>
        </w:rPr>
      </w:pPr>
      <w:r>
        <w:rPr>
          <w:rFonts w:ascii="Arial" w:cs="Arial" w:eastAsia="Arial" w:hAnsi="Arial"/>
          <w:sz w:val="16"/>
          <w:szCs w:val="16"/>
          <w:color w:val="auto"/>
        </w:rPr>
        <w:t>Cost of goods sold for the nine months ended September 30, 2019 increased by $1.0 million, or 7%, compared to the same period in the prior year primarily due to a $2.8 million amendment fee associated with our Insulin Supply Agreement and higher sales, offset by a $1.8 million decrease in inventory write-offs.</w:t>
      </w:r>
    </w:p>
    <w:p>
      <w:pPr>
        <w:spacing w:after="0" w:line="12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Cost of revenue - collaborations and services was $1.8 million and $5.5 million for the three and nine months ended September 30, 2019, respectively, compared to zero for the same periods in the prior year. Cost of revenue - collaborations and services for both periods in 2019 was attributable to resource costs related to conducting activities under the UT License Agreement and UT Research Agreement, which began in the fourth quarter of 2018.</w:t>
      </w:r>
    </w:p>
    <w:p>
      <w:pPr>
        <w:spacing w:after="0" w:line="147" w:lineRule="exact"/>
        <w:rPr>
          <w:sz w:val="20"/>
          <w:szCs w:val="20"/>
          <w:color w:val="auto"/>
        </w:rPr>
      </w:pPr>
    </w:p>
    <w:p>
      <w:pPr>
        <w:ind w:right="340"/>
        <w:spacing w:after="0" w:line="309" w:lineRule="auto"/>
        <w:rPr>
          <w:sz w:val="20"/>
          <w:szCs w:val="20"/>
          <w:color w:val="auto"/>
        </w:rPr>
      </w:pPr>
      <w:r>
        <w:rPr>
          <w:rFonts w:ascii="Arial" w:cs="Arial" w:eastAsia="Arial" w:hAnsi="Arial"/>
          <w:sz w:val="18"/>
          <w:szCs w:val="18"/>
          <w:color w:val="auto"/>
        </w:rPr>
        <w:t>Research and development expenses for the quarter ended September 30, 2019 decreased by $0.5 million, or 23%, compared with the same quarter in the prior year. This was primarily attributable to a $0.4 million decrease in clinical trial spending.</w:t>
      </w:r>
    </w:p>
    <w:p>
      <w:pPr>
        <w:spacing w:after="0" w:line="16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Research and development expenses for the nine months ended September 30, 2019 decreased by $2.8 million, or 36%, compared with the same period in the prior year. This was primarily attributable to a $1.0 million decrease in personnel related costs and a $1.1 million decrease in clinical trial spending.</w:t>
      </w:r>
    </w:p>
    <w:p>
      <w:pPr>
        <w:spacing w:after="0" w:line="12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Selling expenses for the quarter ended September 30, 2019 decreased by $3.1 million, or 24%, compared to the same quarter in the prior year. The decrease was primarily attributable to a $1.9 million decrease for Afrezza television campaign and a $0.8 million decrease in personnel related costs.</w:t>
      </w:r>
    </w:p>
    <w:p>
      <w:pPr>
        <w:spacing w:after="0" w:line="147"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Selling expenses for the nine months ended September 30, 2019 increased by $1.6 million, or 5%, compared to the same period in the prior year. This was primarily attributable to a $6.8 million increase in costs for a television campaign for Afrezza, offset by a $4.5 million decrease in personnel related costs.</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General and administrative expenses for the quarter ended September 30, 2019 increased by $0.4 million, or 5%, compared to the same quarter in the prior year. This increase was primarily attributable to costs associated with professional fees for financing activities.</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General and administrative expenses for the nine months ended September 30, 2019 decreased by $4.4 million, or 17%, compared to the same period in the prior year. This decrease was primarily attributable to a $1.9 million decrease in professional fees, a $1.6 million decrease in personnel costs and a $1.0 million decrease in stock-based compensation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tables provide a comparison of the other income (expense) categories for the three and nine months ended September 30, 2019 and 2018 (dollars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(4,126)</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(3,133)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promissory notes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(1,162)</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Gain (Loss) on extinguishment of debt</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4,241</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(expense)</w:t>
            </w:r>
          </w:p>
        </w:tc>
        <w:tc>
          <w:tcPr>
            <w:tcW w:w="1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(1,591)</w:t>
            </w:r>
          </w:p>
        </w:tc>
        <w:tc>
          <w:tcPr>
            <w:tcW w:w="2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(2,625)</w:t>
            </w:r>
          </w:p>
        </w:tc>
        <w:tc>
          <w:tcPr>
            <w:tcW w:w="22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(5,283)</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(4,496)</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promissory notes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(3,351)</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(3,234)</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other income (expense)</w:t>
            </w:r>
          </w:p>
        </w:tc>
        <w:tc>
          <w:tcPr>
            <w:tcW w:w="1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(8,119)</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Interest income increased by $0.1 million or 53% and $0.5 million or 160% for the three and nine months ended September 30, 2019, respectively, compared to the same periods in the prior year, which was primarily attributable to a higher balance on our money market funds and short-term investments.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3" w:name="page34"/>
    <w:bookmarkEnd w:id="33"/>
    <w:p>
      <w:pPr>
        <w:ind w:right="200"/>
        <w:spacing w:after="0" w:line="279" w:lineRule="auto"/>
        <w:rPr>
          <w:sz w:val="20"/>
          <w:szCs w:val="20"/>
          <w:color w:val="auto"/>
        </w:rPr>
      </w:pPr>
      <w:r>
        <w:rPr>
          <w:rFonts w:ascii="Arial" w:cs="Arial" w:eastAsia="Arial" w:hAnsi="Arial"/>
          <w:sz w:val="17"/>
          <w:szCs w:val="17"/>
          <w:color w:val="auto"/>
        </w:rPr>
        <w:t>Interest expense on notes, which includes the Deerfield Credit Facility, Senior Convertible notes, Deerfield Milestone Rights and Midcap Credit Facility, increased by $3.1 million or 316% and $0.8 million or 18% for the three and nine months ended September 30, 2019, compared to the same periods in the prior year, which was primarily attributable to $3.4 million milestone obligation under the Deerfield Milestone Rights achieved in the third quarter of 2019. This increase was offset by lower interest expense as result of reduction in principal debt balances.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and from borrowings under certain loan arrangements, including borrowings from The Mann Group, the Deerfield Credit Facility and, most recently, the MidCap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had $120.1 million principal amount of outstanding debt consisting of:</w:t>
      </w:r>
    </w:p>
    <w:p>
      <w:pPr>
        <w:spacing w:after="0" w:line="117" w:lineRule="exact"/>
        <w:rPr>
          <w:sz w:val="20"/>
          <w:szCs w:val="20"/>
          <w:color w:val="auto"/>
        </w:rPr>
      </w:pPr>
    </w:p>
    <w:p>
      <w:pPr>
        <w:ind w:left="1040" w:right="340" w:hanging="505"/>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maturing in August 2024;</w:t>
      </w:r>
    </w:p>
    <w:p>
      <w:pPr>
        <w:spacing w:after="0" w:line="62"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 million principal amount of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 million principal amount of 2020 notes, half of which mature in June 2020 and half of which mature in December 2020;</w:t>
      </w:r>
    </w:p>
    <w:p>
      <w:pPr>
        <w:spacing w:after="0" w:line="117" w:lineRule="exact"/>
        <w:rPr>
          <w:rFonts w:ascii="Arial" w:cs="Arial" w:eastAsia="Arial" w:hAnsi="Arial"/>
          <w:sz w:val="18"/>
          <w:szCs w:val="18"/>
          <w:color w:val="auto"/>
        </w:rPr>
      </w:pPr>
    </w:p>
    <w:p>
      <w:pPr>
        <w:ind w:left="1040" w:right="1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Notes bearing interest at a fixed rate of 7.00% per annum compounded quarterly and maturing in November 2024, $35.0 million of which is convertible into shares of our common stock at the option of The Mann Group at a conversion price of $2.50 per share. Interest is paid-in-kind from the start of the loan until the end of 2020, after which there is the option to either pay-in-kind or pay-in-shares at the Company’s discretion.</w:t>
      </w:r>
    </w:p>
    <w:p>
      <w:pPr>
        <w:spacing w:after="0" w:line="18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There can be no assurance that we will have sufficient resources to make any required repayments of principal under the MidCap Credit Facility, the 2024 convertible notes, the 2020 notes or the Mann Group Notes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The 2024 convertible notes and the Mann Group convertible note are fully convertible at any time prior to maturity as further disclosed in Note 7 – Borrowings.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pay interest on the 2024 convertible notes or under the MidCap Credit Facility, or if we fail to repay or repurchase the 2024 convertible notes, the 2020 notes, Mann Group Notes or borrowings under the MidCap Credit Facility,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$75.0 million of which remains payable upon achievement of such milestones. See Note 11 — Commitments and Contingencies and Note 7 — Borrowings for further information related to the Milestone Rights.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During the nine months ended September 30, 2019, we used $83.4 million of cash for our operating activities as a result of our net loss of $37.6 million. The net cash outflow was primarily due to decreases in deferred revenue of $12.7 million and paid-in-kind interest on Promissory note of $32.8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spacing w:after="0" w:line="293" w:lineRule="auto"/>
        <w:rPr>
          <w:sz w:val="20"/>
          <w:szCs w:val="20"/>
          <w:color w:val="auto"/>
        </w:rPr>
      </w:pPr>
      <w:r>
        <w:rPr>
          <w:rFonts w:ascii="Arial" w:cs="Arial" w:eastAsia="Arial" w:hAnsi="Arial"/>
          <w:sz w:val="16"/>
          <w:szCs w:val="16"/>
          <w:color w:val="auto"/>
        </w:rPr>
        <w:t>During the nine months ended September 30, 2018, we used $62.7 million of cash for our operating activities as a result of our net loss of $77.2 million, reflecting a net increase in operating assets and liabilities of $3.4 million and non-cash charges of $11.0 million. The increase in operating asset and liabilities was primarily a result of an increase in deferred payments from collaborations of $12.0 million. This was offset by a decrease in recognized loss on purchase commitments of $6.2 million, a decrease in inventory of $1.9 million and a decrease in accounts payable of $1.2 million. The non-cash charges included $5.7 million of stock-based compensation expense, $3.3 million of interest accrued on notes payable to the related party, a $3.1 million foreign currency translation gain, $2.5 million of depreciation, amortization and accretion, a $1.8 million inventory write-off and a $0.8 million loss on extinguishment of debt.</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used investing activities of $22.6 million for the nine months ended September 30, 2019, was primarily due to a purchase of short-term treasury bills of $44.9 million partially offset by proceeds of from sales of treasury bills of $25.0 million. There were no investing activities for the nine months ended September 30, 2018.</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provided by financing activities of $64.8 million for the nine months ended September 30, 2019 was primarily due to net proceeds from the Midcap Credit Facility of $39.1 million and net proceeds from exchange of Mann Group promissory notes which was offset by payments for financing facility of $6.9 million.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is not currently profitable and has rarely generated positive net cash flows from operations. In addition, the Company expects to continue to incur significant expenditures for the foreseeable future in support of its manufacturing operations, sales and marketing costs for Afrezza, and collaboration and development costs for product candidates in the Company’s pipeline. As a result, the Company had an accumulated deficit of $3.0 billion, $120.1 million of total principal amount of outstanding borrowings, and limited capital resources of $30.2 million in cash and cash equivalents and $19.9 million in short-term investments as of September 30, 2019. These financial conditions raise substantial doubt about the Company’s ability to continue as a going concern.</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capital resources may not be sufficient to continue to meet its current and anticipated obligations over the next twelve months if the Company cannot increase its operating cash inflows by growing its prescription and revenue base and/or obtain access to the remaining $35.0 million borrowings that may become available under its Credit Facility. In the event these capital resources are not sufficient, the Company may need to raise additional capital through the sale of equity or debt securities, enter into strategic business collaboration agreements with other companies, seek other funding facilities, seek other licensing arrangements, sell assets and/or other means. However, the Company cannot provide assurances that additional capital will be available on acceptable terms or at all.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6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If the Company is unable to meet its current and anticipated obligations over the next twelve months through its existing capital resources, or obtain new sources of capital when needed, the Company may have to delay, reduce the scope of its manufacturing operations, reduce or eliminate one or more of its development programs, make significant changes to its operating plan. These factors raise substantial doubt about the Company’s ability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See Note 7 – Borrowings and Note 11 – Commitments and Contingencies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420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160"/>
        <w:spacing w:after="0" w:line="297" w:lineRule="auto"/>
        <w:rPr>
          <w:sz w:val="20"/>
          <w:szCs w:val="20"/>
          <w:color w:val="auto"/>
        </w:rPr>
      </w:pPr>
      <w:r>
        <w:rPr>
          <w:rFonts w:ascii="Arial" w:cs="Arial" w:eastAsia="Arial" w:hAnsi="Arial"/>
          <w:sz w:val="16"/>
          <w:szCs w:val="16"/>
          <w:color w:val="auto"/>
        </w:rPr>
        <w:t>Interest on borrowings under the MidCap Credit Facility is determined, for any one-month period, on the basis of one-month LIBOR in effect at the beginning of such period plus 6.75%, subject to a one-month LIBOR floor of 2.00%. Accordingly, our interest expense under the MidCap Credit Facility is subject to changes in the one-month LIBOR rate. All other debt has fixed interest rates, so the interest expense associated with such debt is not exposed to changes in market interest rates. Specifically, the interest rate on amounts borrowed under the Mann Group Notes is fixed at 7.00% and under the 2024 convertible notes, the interest rate is 5.75%. See Note 7 – Borrowings for information about the principal amount of outstanding debt.</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a change in the one-month LIBOR interest rate equal to 10% of the one-month LIBOR interest rate on September 30, 2019 were to have occurred, this change would not have a material effect on our interest payment obligation.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U.S. Treasury bills or notes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change in interest rates equal to 10% of the interest rates on September 30, 2019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On July 1, 2019, the Company entered into a 90-day foreign currency hedging transaction to mitigate its exposure to foreign currency exchange risks associated with the then-existing third quarter amount of €1.9 million. The Company realized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currency loss during third quarter of 2019. This amount is recorded in other income and expense. Given the August 2019 amendment to the Insulin Supply Agreement, there are no additional insulin deliveries scheduled for the remainder of 2019. Accordingly, the Company has not entered into any additional hedge transactions.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foreign currencies. For the three months ended September 30, 2019, we realized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currency gain. This amount was recorded in other income and expense. Exchange rate fluctuations may adversely affect our expenses, results of operations, financial position and cash flows. If a change in the U.S. dollar to Euro exchange rate equal to 10% of the U.S. dollar to Euro exchange rate on September 30, 2019 were to have occurred, this change would have resulted in a foreign currency impact to our pre-tax income (losses) of approximately $8.9 million.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September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2019, we have concluded, as of such date,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At a case conference in February 2019, the court directed the parties to negotiate a procedure for determining whether the plaintiff can distinguish the claims in the Israeli litigation from those in a U.S. case against us based on the same events (which was dismissed by the U.S. district court for the Central District of California in August 2016). In September 2019, the plaintiff brought a motion to amend his claim, which we have opposed. We will continue to vigorously defend against the claims advanced.</w:t>
      </w:r>
    </w:p>
    <w:p>
      <w:pPr>
        <w:spacing w:after="0" w:line="16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to fund our operations, and there is substantial doubt about our ability to continue as a going concern.*</w:t>
      </w:r>
    </w:p>
    <w:p>
      <w:pPr>
        <w:spacing w:after="0" w:line="14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report includes disclosures stating that our existing cash resources and our accumulated stockholder’s deficit raise substantial doubt about our ability to continue as a going concern. As of September 30, 2019, we had cash and cash equivalents of $30.2 million, short-term investment of $19.9 million and a stockholders’ deficit of $184.7 million.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57"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degree to which we are able to generate revenue from our Technosphere drug delivery platform, including through our collaborations;</w:t>
      </w:r>
    </w:p>
    <w:p>
      <w:pPr>
        <w:spacing w:after="0" w:line="101" w:lineRule="exact"/>
        <w:rPr>
          <w:rFonts w:ascii="Arial" w:cs="Arial" w:eastAsia="Arial" w:hAnsi="Arial"/>
          <w:sz w:val="17"/>
          <w:szCs w:val="17"/>
          <w:color w:val="auto"/>
        </w:rPr>
      </w:pPr>
    </w:p>
    <w:p>
      <w:pPr>
        <w:ind w:left="1040" w:right="120" w:hanging="519"/>
        <w:spacing w:after="0" w:line="24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13" w:lineRule="exact"/>
        <w:rPr>
          <w:rFonts w:ascii="Arial" w:cs="Arial" w:eastAsia="Arial" w:hAnsi="Arial"/>
          <w:sz w:val="16"/>
          <w:szCs w:val="16"/>
          <w:color w:val="auto"/>
        </w:rPr>
      </w:pPr>
    </w:p>
    <w:p>
      <w:pPr>
        <w:ind w:left="1040" w:right="140" w:hanging="519"/>
        <w:spacing w:after="0" w:line="24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obligation to make milestone payments to Deerfield;</w:t>
      </w:r>
    </w:p>
    <w:p>
      <w:pPr>
        <w:spacing w:after="0" w:line="90" w:lineRule="exact"/>
        <w:rPr>
          <w:rFonts w:ascii="Arial" w:cs="Arial" w:eastAsia="Arial" w:hAnsi="Arial"/>
          <w:sz w:val="18"/>
          <w:szCs w:val="18"/>
          <w:color w:val="auto"/>
        </w:rPr>
      </w:pPr>
    </w:p>
    <w:p>
      <w:pPr>
        <w:ind w:left="1040" w:right="24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90" w:lineRule="exact"/>
        <w:rPr>
          <w:rFonts w:ascii="Arial" w:cs="Arial" w:eastAsia="Arial" w:hAnsi="Arial"/>
          <w:sz w:val="18"/>
          <w:szCs w:val="18"/>
          <w:color w:val="auto"/>
        </w:rPr>
      </w:pPr>
    </w:p>
    <w:p>
      <w:pPr>
        <w:ind w:left="1040" w:right="22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may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39" w:name="page40"/>
    <w:bookmarkEnd w:id="39"/>
    <w:p>
      <w:pPr>
        <w:ind w:right="40"/>
        <w:spacing w:after="0" w:line="268" w:lineRule="auto"/>
        <w:rPr>
          <w:sz w:val="20"/>
          <w:szCs w:val="20"/>
          <w:color w:val="auto"/>
        </w:rPr>
      </w:pPr>
      <w:r>
        <w:rPr>
          <w:rFonts w:ascii="Arial" w:cs="Arial" w:eastAsia="Arial" w:hAnsi="Arial"/>
          <w:sz w:val="17"/>
          <w:szCs w:val="17"/>
          <w:color w:val="auto"/>
        </w:rPr>
        <w:t>Successful commercialization of Afrezza is subject to many risks, including some that are outside our control. There are numerous examples of unsuccessful product launches, second launches that underperform original expectations and other failures to fully exploit the market potential of drug products, including by pharmaceutical companies with more experience and resources than us.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 We will need to maintain and enhance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we are unable to maintain payor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fail to achieve commercialize success with Afrezza in the United States, our business, financial condition and results of operations will be materially and adversely affected.</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and there is substantial doubt about our ability to continue as a going concern.”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continue to be successful in establishing or maintaining regional partnerships or other arrangements with third parties for the commercialization of Afrezza outside of the United States.*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likely not be able to advance these programs unless we are able to enter into collaborations with third parties to fund these programs or to obtain funding to enable us to continue these programs.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not currently profitable and have rarely generated positive net cash flow from operations. As of September 30, 2019, we had an accumulated deficit of $3.0 billion. The accumulated deficit has resulted principally from costs incurred in our research and development programs, the write-off of goodwill, inventory and property, plant and equipment, and general operating expenses. We expect to make substantial expenditures and to incur increasing operating losses in the future in order to continue the commercialization of Afrezza. In addition, under our Insulin Supply Agreement with Amphastar, we agreed to purchase certain annual minimum quantities of insulin through 2026. As of the date of this report, there was €82.0 million remaining in aggregate purchase commitments under this agreement. We may not have the necessary capital resources on hand in order to service this contractual commitment.</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had $120.1 million principal amount of outstanding debt, consisting of:</w:t>
      </w:r>
    </w:p>
    <w:p>
      <w:pPr>
        <w:spacing w:after="0" w:line="117" w:lineRule="exact"/>
        <w:rPr>
          <w:sz w:val="20"/>
          <w:szCs w:val="20"/>
          <w:color w:val="auto"/>
        </w:rPr>
      </w:pPr>
    </w:p>
    <w:p>
      <w:pPr>
        <w:ind w:left="1040" w:right="3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maturing in August 2024;</w:t>
      </w:r>
    </w:p>
    <w:p>
      <w:pPr>
        <w:spacing w:after="0" w:line="62"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 million principal amount of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86"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 million principal amount of 2020 notes, half of which mature in June 2020 and half of which mature in December 2020;</w:t>
      </w:r>
    </w:p>
    <w:p>
      <w:pPr>
        <w:spacing w:after="0" w:line="117"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Notes bearing interest at a fixed rate of 7.00% per annum compounded quarterly and maturing in November 2024, $35.0 million of which is convertible into shares of our common stock at the option of The Mann Group at a conversion price of $2.50 per share. Interest is paid-in-kind from the start of the loan until the end of 2020, after which there is the option to either pay-in-kind or pay-in-shares at the Company’s discretion.</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MidCap Credit Facility, our interest rate on borrowed amounts is dependent on one-month LIBOR, which is the basic rate of interest used in lending between banks on the London interbank market and is widely used as a reference for setting the interest rate on loans globally, is currently scheduled to be phased out in 2021. Before one-month LIBOR is phased out, we may need to renegotiate the MidCap Credit Facility to replace one-month LIBOR with a new standard, which has yet to be established. The consequences of these developments cannot be entirely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Further, the MidCap Credit Facility requires us, and any debt arrangements we may enter into in the future may require us, to comply with various covenants that limit our ability to, among other things:</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MidCap Credit Facility also contains a covenant relating to trailing twelve-month minimum Afrezza net revenue, tested on a monthly basis, as described in more detail in the MidCap Credit Facility. If we fail to meet this covenant, we may lose the ability to borrow the Tranche 2 advance and the Tranche 3 advance if the other conditions for those advances are satisfied, and any outstanding borrowings, together with accrued interest, under the MidCap Credit Facility could be declared immediately due and payable.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2" w:name="page43"/>
    <w:bookmarkEnd w:id="42"/>
    <w:p>
      <w:pPr>
        <w:ind w:right="20"/>
        <w:spacing w:after="0" w:line="255"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8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2020 notes, MidCap Term Loan or borrowings under The Mann Group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jc w:val="both"/>
        <w:ind w:right="4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3" w:lineRule="exact"/>
        <w:rPr>
          <w:sz w:val="20"/>
          <w:szCs w:val="20"/>
          <w:color w:val="auto"/>
        </w:rPr>
      </w:pPr>
    </w:p>
    <w:p>
      <w:pPr>
        <w:jc w:val="both"/>
        <w:ind w:left="1040" w:right="4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source of insulin that we have qualified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 packs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2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other products that we may develop in the future depends on many factors, including the:</w:t>
      </w:r>
    </w:p>
    <w:p>
      <w:pPr>
        <w:spacing w:after="0" w:line="117"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May 2019, the Centers for Medicare &amp; Medicaid Services (“CMS”) issued a final rule to allow Medicare Advantage Plans the option of using step therapy for Part B drugs beginning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5" w:name="page46"/>
    <w:bookmarkEnd w:id="45"/>
    <w:p>
      <w:pPr>
        <w:ind w:right="60"/>
        <w:spacing w:after="0" w:line="287" w:lineRule="auto"/>
        <w:rPr>
          <w:sz w:val="20"/>
          <w:szCs w:val="20"/>
          <w:color w:val="auto"/>
        </w:rPr>
      </w:pPr>
      <w:r>
        <w:rPr>
          <w:rFonts w:ascii="Arial" w:cs="Arial" w:eastAsia="Arial" w:hAnsi="Arial"/>
          <w:sz w:val="16"/>
          <w:szCs w:val="16"/>
          <w:color w:val="auto"/>
        </w:rPr>
        <w:t>January 1, 2020. This final rule codified CMS’s policy change that was effective January 1, 2019. Although a number of these, and other proposed measures will require additional authorization to become effective, Congress and the Trump administration have stated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payors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 health administration authorities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in many foreign countries,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reimbursement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PPACA of importance to us are the following:</w:t>
      </w:r>
    </w:p>
    <w:p>
      <w:pPr>
        <w:spacing w:after="0" w:line="103" w:lineRule="exact"/>
        <w:rPr>
          <w:sz w:val="20"/>
          <w:szCs w:val="20"/>
          <w:color w:val="auto"/>
        </w:rPr>
      </w:pPr>
    </w:p>
    <w:p>
      <w:pPr>
        <w:ind w:left="1040" w:right="20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jc w:val="both"/>
        <w:ind w:left="1040" w:right="36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 which has been suspended for calendar years 2016 through 2019;</w:t>
      </w:r>
    </w:p>
    <w:p>
      <w:pPr>
        <w:spacing w:after="0" w:line="86"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30"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jc w:val="both"/>
        <w:ind w:left="1040" w:right="56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jc w:val="both"/>
        <w:ind w:left="1040" w:right="160" w:hanging="519"/>
        <w:spacing w:after="0" w:line="279"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Requirements to report annually to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76"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30"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47" w:name="page48"/>
    <w:bookmarkEnd w:id="47"/>
    <w:p>
      <w:pPr>
        <w:spacing w:after="0" w:line="285"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as well as efforts by the Trump administration to repeal or replace certain aspects of the PPACA.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(“Tax Act”) includes a provision that repealed, effective January 1, 2019, the tax-based shared responsibility payment imposed by the PPACA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PPACA, effective January 1, 2019, to close the coverage gap in most Medicare drug plans.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PPACA will impact the PPACA and our business.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2027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22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40" w:right="80" w:hanging="519"/>
        <w:spacing w:after="0" w:line="273"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3" w:lineRule="exact"/>
        <w:rPr>
          <w:rFonts w:ascii="Arial" w:cs="Arial" w:eastAsia="Arial" w:hAnsi="Arial"/>
          <w:sz w:val="17"/>
          <w:szCs w:val="17"/>
          <w:color w:val="auto"/>
        </w:rPr>
      </w:pPr>
    </w:p>
    <w:p>
      <w:pPr>
        <w:ind w:left="1040" w:right="60" w:hanging="519"/>
        <w:spacing w:after="0" w:line="273"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83" w:lineRule="exact"/>
        <w:rPr>
          <w:rFonts w:ascii="Arial" w:cs="Arial" w:eastAsia="Arial" w:hAnsi="Arial"/>
          <w:sz w:val="17"/>
          <w:szCs w:val="17"/>
          <w:color w:val="auto"/>
        </w:rPr>
      </w:pPr>
    </w:p>
    <w:p>
      <w:pPr>
        <w:ind w:left="1040" w:right="4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86" w:lineRule="exact"/>
        <w:rPr>
          <w:rFonts w:ascii="Arial" w:cs="Arial" w:eastAsia="Arial" w:hAnsi="Arial"/>
          <w:sz w:val="18"/>
          <w:szCs w:val="18"/>
          <w:color w:val="auto"/>
        </w:rPr>
      </w:pPr>
    </w:p>
    <w:p>
      <w:pPr>
        <w:ind w:left="1040" w:hanging="519"/>
        <w:spacing w:after="0" w:line="286"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In addition, in May 2018, the European Union, or EU,</w:t>
      </w:r>
    </w:p>
    <w:p>
      <w:pPr>
        <w:spacing w:after="0" w:line="1" w:lineRule="exact"/>
        <w:rPr>
          <w:rFonts w:ascii="Arial" w:cs="Arial" w:eastAsia="Arial" w:hAnsi="Arial"/>
          <w:sz w:val="16"/>
          <w:szCs w:val="16"/>
          <w:color w:val="auto"/>
        </w:rPr>
      </w:pPr>
    </w:p>
    <w:p>
      <w:pPr>
        <w:ind w:left="1040" w:right="160"/>
        <w:spacing w:after="0" w:line="253" w:lineRule="auto"/>
        <w:rPr>
          <w:rFonts w:ascii="Arial" w:cs="Arial" w:eastAsia="Arial" w:hAnsi="Arial"/>
          <w:sz w:val="16"/>
          <w:szCs w:val="16"/>
          <w:color w:val="auto"/>
        </w:rPr>
      </w:pPr>
      <w:r>
        <w:rPr>
          <w:rFonts w:ascii="Arial" w:cs="Arial" w:eastAsia="Arial" w:hAnsi="Arial"/>
          <w:sz w:val="18"/>
          <w:szCs w:val="18"/>
          <w:color w:val="auto"/>
        </w:rPr>
        <w:t>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96" w:lineRule="exact"/>
        <w:rPr>
          <w:rFonts w:ascii="Arial" w:cs="Arial" w:eastAsia="Arial" w:hAnsi="Arial"/>
          <w:sz w:val="16"/>
          <w:szCs w:val="16"/>
          <w:color w:val="auto"/>
        </w:rPr>
      </w:pPr>
    </w:p>
    <w:p>
      <w:pPr>
        <w:ind w:left="1040" w:hanging="519"/>
        <w:spacing w:after="0" w:line="290"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California recently enacted legislation that has been dubbed the first “GDPR-like” law in the United States. Known as the California Consumer Privacy Act (“CCPA”), it will create new individual privacy rights for consumers (as that word is broadly defined in the law) and place increased privacy and security obligations on entities handling personal data of consumers or households. When it goes into effect on January 1, 2020, the CCPA will require covered companies to provide new disclosures to California consumers, provide such consumers new ways to opt-out of certain sales of personal information, and allow for a new cause of action for data breaches. Legislators have stated that amendments will be proposed to the CCPA before it goes into effect, but it remains unclear what, if any, modifications will be made to this legislation or how it will be interpreted. As currently written, the CCPA will likely impact (possibly significantly) our business activities and exemplifies the vulnerability of our business to not only cyber threats but also the evolving regulatory environment related to personal data;</w:t>
      </w:r>
    </w:p>
    <w:p>
      <w:pPr>
        <w:spacing w:after="0" w:line="71" w:lineRule="exact"/>
        <w:rPr>
          <w:rFonts w:ascii="Arial" w:cs="Arial" w:eastAsia="Arial" w:hAnsi="Arial"/>
          <w:sz w:val="16"/>
          <w:szCs w:val="16"/>
          <w:color w:val="auto"/>
        </w:rPr>
      </w:pPr>
    </w:p>
    <w:p>
      <w:pPr>
        <w:ind w:left="1040" w:right="18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92" w:lineRule="exact"/>
        <w:rPr>
          <w:rFonts w:ascii="Arial" w:cs="Arial" w:eastAsia="Arial" w:hAnsi="Arial"/>
          <w:sz w:val="18"/>
          <w:szCs w:val="18"/>
          <w:color w:val="auto"/>
        </w:rPr>
      </w:pPr>
    </w:p>
    <w:p>
      <w:pPr>
        <w:ind w:left="1040" w:right="120" w:hanging="519"/>
        <w:spacing w:after="0" w:line="271"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right="40"/>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exceptions and regulatory safe harbors,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or modifications in financial accounting standards, including those related to revenue recognition, may harm our results of operations.*</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From time to time, the Financial Accounting Standards Board (“FASB”), either alone or jointly with other organizations, promulgates new accounting principles that could have an adverse impact on our financial position, results of operations or reported cash flows. In May 2014, the FASB issued Accounting Standards Update (ASU) No. 2014-09, Revenue </w:t>
      </w:r>
      <w:r>
        <w:rPr>
          <w:rFonts w:ascii="Arial" w:cs="Arial" w:eastAsia="Arial" w:hAnsi="Arial"/>
          <w:sz w:val="17"/>
          <w:szCs w:val="17"/>
          <w:i w:val="1"/>
          <w:iCs w:val="1"/>
          <w:color w:val="auto"/>
        </w:rPr>
        <w:t>from Contracts with Customers (Topic 606)</w:t>
      </w:r>
      <w:r>
        <w:rPr>
          <w:rFonts w:ascii="Arial" w:cs="Arial" w:eastAsia="Arial" w:hAnsi="Arial"/>
          <w:sz w:val="17"/>
          <w:szCs w:val="17"/>
          <w:color w:val="auto"/>
        </w:rPr>
        <w:t>, which was subsequently clarified by additional ASUs. The standard requires a company to recognize revenue to depict the transfer of goods or services when transferred to customers in the amount that reflects the consideration it expects to be entitled to receive in exchange for those goods or services. We adopted the new standard for the year beginning January 1, 2018.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of December 31, 2018 we had federal and state net operating loss carryforwards of $2.1 billion and $2.4 billion, respectively, which we assess annually. The federal and state net operating loss carryforwards have begun to expire.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to the end of the previous tax year regarding whether additional limitations may be placed on the net operating loss carryforwards and other tax attributes, and no additional changes in ownership that met Section 382 study ownership change threshold has been identified through December 31, 2018. There is a risk that changes in ownership can and may occur in tax years after December 31, 2018. If a change in ownership were to occur,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 *</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At a case conference in February 2019, the court directed the parties to negotiate a procedure for determining whether the plaintiff can distinguish the claims in the Israeli litigation from those in a U.S. case against us based on the same events (which was dismissed by the U.S. district court for the Central District of California in August 2016). In September 2019, the plaintiff brought a motion to amend his claim, which we have opposed.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 *</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It will also serve as the production facility for TreT.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ind w:right="440"/>
        <w:spacing w:after="0" w:line="312"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 *</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3"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w:t>
      </w:r>
    </w:p>
    <w:p>
      <w:pPr>
        <w:jc w:val="both"/>
        <w:ind w:right="340"/>
        <w:spacing w:after="0" w:line="302" w:lineRule="auto"/>
        <w:rPr>
          <w:sz w:val="20"/>
          <w:szCs w:val="20"/>
          <w:color w:val="auto"/>
        </w:rPr>
      </w:pPr>
      <w:r>
        <w:rPr>
          <w:rFonts w:ascii="Arial" w:cs="Arial" w:eastAsia="Arial" w:hAnsi="Arial"/>
          <w:sz w:val="16"/>
          <w:szCs w:val="16"/>
          <w:color w:val="auto"/>
        </w:rPr>
        <w:t>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5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4" w:name="page55"/>
    <w:bookmarkEnd w:id="54"/>
    <w:p>
      <w:pPr>
        <w:ind w:right="16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 For example, with the approval of Afrezza, the FDA has required that we conduct a five-year, randomized, controlled trial in patients with type 2 diabetes, the primary objective of which is to compare the incidence of pulmonary malignancy observed with Afrezza to that observed in a standard of care control group. To date, we have not initiated this trial.</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700"/>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2020,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7" w:name="page58"/>
    <w:bookmarkEnd w:id="57"/>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40"/>
        <w:spacing w:after="0" w:line="253" w:lineRule="auto"/>
        <w:rPr>
          <w:sz w:val="20"/>
          <w:szCs w:val="20"/>
          <w:color w:val="auto"/>
        </w:rPr>
      </w:pPr>
      <w:r>
        <w:rPr>
          <w:rFonts w:ascii="Arial" w:cs="Arial" w:eastAsia="Arial" w:hAnsi="Arial"/>
          <w:sz w:val="18"/>
          <w:szCs w:val="18"/>
          <w:color w:val="auto"/>
        </w:rPr>
        <w:t>Although we do not believe that Afrezza infringes any third-party patents, we have identified certain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right="6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the vesting of restricted stock unit awards and the purchase of shares of common stock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2" w:lineRule="exact"/>
        <w:rPr>
          <w:sz w:val="20"/>
          <w:szCs w:val="20"/>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42"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30"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60" w:name="page61"/>
    <w:bookmarkEnd w:id="60"/>
    <w:p>
      <w:pPr>
        <w:ind w:left="1040" w:right="3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30" w:lineRule="exact"/>
        <w:rPr>
          <w:rFonts w:ascii="Arial" w:cs="Arial" w:eastAsia="Arial" w:hAnsi="Arial"/>
          <w:sz w:val="18"/>
          <w:szCs w:val="18"/>
          <w:color w:val="auto"/>
        </w:rPr>
      </w:pPr>
    </w:p>
    <w:p>
      <w:pPr>
        <w:ind w:left="1040" w:right="20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of October 31, 2019, we had 206,408,240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2024 convertible notes or borrowings under The Mann Group Notes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317" w:lineRule="exact"/>
        <w:rPr>
          <w:sz w:val="20"/>
          <w:szCs w:val="20"/>
          <w:color w:val="auto"/>
        </w:rPr>
      </w:pPr>
    </w:p>
    <w:p>
      <w:pPr>
        <w:ind w:right="4300"/>
        <w:spacing w:after="0" w:line="423"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gridSpan w:val="26"/>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gridSpan w:val="2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160" w:type="dxa"/>
            <w:vAlign w:val="bottom"/>
            <w:tcBorders>
              <w:top w:val="single" w:sz="8" w:color="auto"/>
              <w:bottom w:val="single" w:sz="8" w:color="0000EE"/>
            </w:tcBorders>
            <w:gridSpan w:val="30"/>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Amended and Restated Certificate of Incorporation (incorporated by reference to Exhibit 3.1 to MannKind’s Quarterly Report on Form 10-Q</w:t>
              </w:r>
            </w:hyperlink>
          </w:p>
        </w:tc>
        <w:tc>
          <w:tcPr>
            <w:tcW w:w="320" w:type="dxa"/>
            <w:vAlign w:val="bottom"/>
            <w:tcBorders>
              <w:top w:val="single" w:sz="8" w:color="auto"/>
            </w:tcBorders>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(File No. 000-50865), filed with the SEC on August 9, 2016).</w:t>
              </w:r>
            </w:hyperlink>
          </w:p>
        </w:tc>
        <w:tc>
          <w:tcPr>
            <w:tcW w:w="604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25"/>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5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Exhibit 3.1 to MannKind’s Current Report on Form 8-K (File No. 000-50865), filed with the SEC on March 2, 2017).</w:t>
              </w:r>
            </w:hyperlink>
          </w:p>
        </w:tc>
        <w:tc>
          <w:tcPr>
            <w:tcW w:w="20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0480" w:type="dxa"/>
            <w:vAlign w:val="bottom"/>
            <w:tcBorders>
              <w:bottom w:val="single" w:sz="8" w:color="0000EE"/>
            </w:tcBorders>
            <w:gridSpan w:val="39"/>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Certificate of Amendment of Amended and Restated Certificate of Incorporation of MannKind Corporation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MannKind’s Current Report on Form 8-K (File No. 000-50865), filed with the SEC on December 13,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0460" w:type="dxa"/>
            <w:vAlign w:val="bottom"/>
            <w:tcBorders>
              <w:bottom w:val="single" w:sz="8" w:color="0000EE"/>
            </w:tcBorders>
            <w:gridSpan w:val="38"/>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Amended and Restated Bylaws (incorporated by reference to MannKind’s Current Report on Form 8-K (File No. 000-50865), filed with the SEC</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on November 19, 2007).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3">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84">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85">
              <w:r>
                <w:rPr>
                  <w:rFonts w:ascii="Arial" w:cs="Arial" w:eastAsia="Arial" w:hAnsi="Arial"/>
                  <w:sz w:val="18"/>
                  <w:szCs w:val="18"/>
                  <w:color w:val="0000EE"/>
                </w:rPr>
                <w:t>3.3</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6">
              <w:r>
                <w:rPr>
                  <w:rFonts w:ascii="Arial" w:cs="Arial" w:eastAsia="Arial" w:hAnsi="Arial"/>
                  <w:sz w:val="18"/>
                  <w:szCs w:val="18"/>
                  <w:color w:val="0000EE"/>
                </w:rPr>
                <w:t>3.4</w:t>
              </w:r>
            </w:hyperlink>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Borders>
              <w:bottom w:val="single" w:sz="8" w:color="0000EE"/>
            </w:tcBorders>
            <w:gridSpan w:val="35"/>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Form of common stock certificate (incorporated by reference to Exhibit 4.2 to MannKind’s Annual Report on Form 10-K (File No. 000-50865),</w:t>
              </w:r>
            </w:hyperlink>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filed with the SEC on March 16, 2017).</w:t>
              </w:r>
            </w:hyperlink>
          </w:p>
        </w:tc>
        <w:tc>
          <w:tcPr>
            <w:tcW w:w="762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480" w:type="dxa"/>
            <w:vAlign w:val="bottom"/>
            <w:tcBorders>
              <w:bottom w:val="single" w:sz="8" w:color="0000EE"/>
            </w:tcBorders>
            <w:gridSpan w:val="39"/>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9.75% Senior Secured Convertible Promissory Note due 2019 (incorporated by reference Exhibit 99.2 to MannKind’s Current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Form 8-K (File No. 000-50865), filed with the SEC on July 1, 2013).</w:t>
              </w:r>
            </w:hyperlink>
          </w:p>
        </w:tc>
        <w:tc>
          <w:tcPr>
            <w:tcW w:w="550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Form of Amended and Restated 9.75% Senior Secured Convertible Promissory Note due 2019 (incorporated by reference to Exhibit 4.7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MannKind’s Annual Report on Form 10-K (File No. 000-50865), filed with the SEC on March 3, 2014).</w:t>
              </w:r>
            </w:hyperlink>
          </w:p>
        </w:tc>
        <w:tc>
          <w:tcPr>
            <w:tcW w:w="2460" w:type="dxa"/>
            <w:vAlign w:val="bottom"/>
            <w:tcBorders>
              <w:top w:val="single" w:sz="8" w:color="0000EE"/>
            </w:tcBorders>
            <w:gridSpan w:val="8"/>
          </w:tcPr>
          <w:p>
            <w:pPr>
              <w:spacing w:after="0"/>
              <w:rPr>
                <w:sz w:val="17"/>
                <w:szCs w:val="17"/>
                <w:color w:val="auto"/>
              </w:rPr>
            </w:pPr>
          </w:p>
        </w:tc>
        <w:tc>
          <w:tcPr>
            <w:tcW w:w="5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Tranche B Senior Secured Note due 2019 (incorporated by reference to Exhibit 4.8 to MannKind’s Quarterly Report on Form 10-Q (File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No. 000-50856), filed with the SEC on May 12, 2014).</w:t>
              </w:r>
            </w:hyperlink>
          </w:p>
        </w:tc>
        <w:tc>
          <w:tcPr>
            <w:tcW w:w="6500" w:type="dxa"/>
            <w:vAlign w:val="bottom"/>
            <w:tcBorders>
              <w:top w:val="single" w:sz="8" w:color="0000EE"/>
            </w:tcBorders>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10280" w:type="dxa"/>
            <w:vAlign w:val="bottom"/>
            <w:tcBorders>
              <w:bottom w:val="single" w:sz="8" w:color="0000EE"/>
            </w:tcBorders>
            <w:gridSpan w:val="32"/>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Milestone Rights Purchase Agreement, dated as of July 1, 2013, by and among MannKind, Deerfield Private Design Fund II, L.P. and Horizon</w:t>
              </w:r>
            </w:hyperlink>
          </w:p>
        </w:tc>
        <w:tc>
          <w:tcPr>
            <w:tcW w:w="2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80" w:type="dxa"/>
            <w:vAlign w:val="bottom"/>
            <w:tcBorders>
              <w:bottom w:val="single" w:sz="8" w:color="0000EE"/>
            </w:tcBorders>
            <w:gridSpan w:val="35"/>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Santé FLML SÁRL (incorporated by reference to Exhibit 99.3 to MannKind’s Current Report on Form 8-K (File No. 000-50865), filed with the</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SEC on July 1, 2013).</w:t>
              </w:r>
            </w:hyperlink>
          </w:p>
        </w:tc>
        <w:tc>
          <w:tcPr>
            <w:tcW w:w="8880" w:type="dxa"/>
            <w:vAlign w:val="bottom"/>
            <w:gridSpan w:val="3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0340" w:type="dxa"/>
            <w:vAlign w:val="bottom"/>
            <w:tcBorders>
              <w:bottom w:val="single" w:sz="8" w:color="0000EE"/>
            </w:tcBorders>
            <w:gridSpan w:val="34"/>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Guaranty and Security Agreement, dated as of July 1, 2013, by and among MannKind, MannKind LLC, Deerfield Private Design Fund II, L.P.,</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w w:val="98"/>
              </w:rPr>
            </w:pPr>
            <w:hyperlink r:id="rId92">
              <w:r>
                <w:rPr>
                  <w:rFonts w:ascii="Arial" w:cs="Arial" w:eastAsia="Arial" w:hAnsi="Arial"/>
                  <w:sz w:val="18"/>
                  <w:szCs w:val="18"/>
                  <w:color w:val="0000EE"/>
                  <w:w w:val="98"/>
                </w:rPr>
                <w:t>Deerfield Private Design International II, L.P. and Horizon Santé FLML SÁRL (incorporated by reference to Exhibit 99.4 to MannKind’s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Current Report on Form 8-K (File No. 000-50865), filed with the SEC on July 1, 2013).</w:t>
              </w:r>
            </w:hyperlink>
          </w:p>
        </w:tc>
        <w:tc>
          <w:tcPr>
            <w:tcW w:w="3560" w:type="dxa"/>
            <w:vAlign w:val="bottom"/>
            <w:tcBorders>
              <w:top w:val="single" w:sz="8" w:color="0000EE"/>
            </w:tcBorders>
            <w:gridSpan w:val="8"/>
          </w:tcPr>
          <w:p>
            <w:pPr>
              <w:spacing w:after="0"/>
              <w:rPr>
                <w:sz w:val="17"/>
                <w:szCs w:val="17"/>
                <w:color w:val="auto"/>
              </w:rPr>
            </w:pPr>
          </w:p>
        </w:tc>
        <w:tc>
          <w:tcPr>
            <w:tcW w:w="5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10460" w:type="dxa"/>
            <w:vAlign w:val="bottom"/>
            <w:tcBorders>
              <w:bottom w:val="single" w:sz="8" w:color="0000EE"/>
            </w:tcBorders>
            <w:gridSpan w:val="38"/>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Facility Agreement, dated as of July 1, 2013, by and among MannKind Corporation, Deerfield Private Design Fund II, L.P. and Deerfield Private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w w:val="95"/>
              </w:rPr>
            </w:pPr>
            <w:hyperlink r:id="rId93">
              <w:r>
                <w:rPr>
                  <w:rFonts w:ascii="Arial" w:cs="Arial" w:eastAsia="Arial" w:hAnsi="Arial"/>
                  <w:sz w:val="18"/>
                  <w:szCs w:val="18"/>
                  <w:color w:val="0000EE"/>
                  <w:w w:val="95"/>
                </w:rPr>
                <w:t>Design International II, L.P. (incorporated by reference to Exhibit 99.1 MannKind’s Current Report on Form 8-K (File No. 000-50865),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with the SEC on July 1, 2013).</w:t>
              </w:r>
            </w:hyperlink>
          </w:p>
        </w:tc>
        <w:tc>
          <w:tcPr>
            <w:tcW w:w="7920" w:type="dxa"/>
            <w:vAlign w:val="bottom"/>
            <w:tcBorders>
              <w:top w:val="single" w:sz="8" w:color="0000EE"/>
            </w:tcBorders>
            <w:gridSpan w:val="26"/>
          </w:tcPr>
          <w:p>
            <w:pPr>
              <w:spacing w:after="0"/>
              <w:rPr>
                <w:sz w:val="17"/>
                <w:szCs w:val="17"/>
                <w:color w:val="auto"/>
              </w:rPr>
            </w:pPr>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First Amendment to Facility Agreement and Registration Rights Agreement, dated as of February 28, 2014, by and among MannKind, Deerfield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20" w:type="dxa"/>
            <w:vAlign w:val="bottom"/>
            <w:tcBorders>
              <w:top w:val="single" w:sz="8" w:color="0000EE"/>
            </w:tcBorders>
            <w:gridSpan w:val="36"/>
          </w:tcPr>
          <w:p>
            <w:pPr>
              <w:spacing w:after="0" w:line="196" w:lineRule="exact"/>
              <w:rPr>
                <w:rFonts w:ascii="Arial" w:cs="Arial" w:eastAsia="Arial" w:hAnsi="Arial"/>
                <w:sz w:val="18"/>
                <w:szCs w:val="18"/>
                <w:color w:val="0000EE"/>
                <w:w w:val="96"/>
              </w:rPr>
            </w:pPr>
            <w:hyperlink r:id="rId94">
              <w:r>
                <w:rPr>
                  <w:rFonts w:ascii="Arial" w:cs="Arial" w:eastAsia="Arial" w:hAnsi="Arial"/>
                  <w:sz w:val="18"/>
                  <w:szCs w:val="18"/>
                  <w:color w:val="0000EE"/>
                  <w:w w:val="96"/>
                </w:rPr>
                <w:t>Private Design Fund II, L.P. and Deerfield Private Design International II, L.P. (incorporated by reference to Exhibit 10.39 to MannKind’s</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Annual Report on Form 10-K (File No. 000-50865), filed with the SEC on March 3, 2014).</w:t>
              </w:r>
            </w:hyperlink>
          </w:p>
        </w:tc>
        <w:tc>
          <w:tcPr>
            <w:tcW w:w="3360" w:type="dxa"/>
            <w:vAlign w:val="bottom"/>
            <w:tcBorders>
              <w:top w:val="single" w:sz="8" w:color="0000EE"/>
            </w:tcBorders>
            <w:gridSpan w:val="8"/>
          </w:tcPr>
          <w:p>
            <w:pPr>
              <w:spacing w:after="0"/>
              <w:rPr>
                <w:sz w:val="17"/>
                <w:szCs w:val="17"/>
                <w:color w:val="auto"/>
              </w:rPr>
            </w:pPr>
          </w:p>
        </w:tc>
        <w:tc>
          <w:tcPr>
            <w:tcW w:w="5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7"/>
              </w:rPr>
            </w:pPr>
            <w:hyperlink r:id="rId95">
              <w:r>
                <w:rPr>
                  <w:rFonts w:ascii="Arial" w:cs="Arial" w:eastAsia="Arial" w:hAnsi="Arial"/>
                  <w:sz w:val="18"/>
                  <w:szCs w:val="18"/>
                  <w:color w:val="0000EE"/>
                  <w:w w:val="97"/>
                </w:rPr>
                <w:t>Second Amendment to Facility Agreement and Registration Rights Agreement, dated as of August 11, 2014, by and among MannKind,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Deerfield Private Design Fund II, L.P. and Deerfield Private Design International II, L.P. (incorporated by reference to Exhibit 4.14 to</w:t>
              </w:r>
            </w:hyperlink>
          </w:p>
        </w:tc>
        <w:tc>
          <w:tcPr>
            <w:tcW w:w="120" w:type="dxa"/>
            <w:vAlign w:val="bottom"/>
            <w:tcBorders>
              <w:top w:val="single" w:sz="8" w:color="0000EE"/>
            </w:tcBorders>
          </w:tcPr>
          <w:p>
            <w:pPr>
              <w:spacing w:after="0"/>
              <w:rPr>
                <w:sz w:val="17"/>
                <w:szCs w:val="17"/>
                <w:color w:val="auto"/>
              </w:rPr>
            </w:pPr>
          </w:p>
        </w:tc>
        <w:tc>
          <w:tcPr>
            <w:tcW w:w="7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MannKind’s Quarterly Report on Form 10-Q (File No. 000-50865), filed with the SEC on November 10, 2014).</w:t>
              </w:r>
            </w:hyperlink>
          </w:p>
        </w:tc>
        <w:tc>
          <w:tcPr>
            <w:tcW w:w="24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4"/>
                <w:szCs w:val="24"/>
                <w:color w:val="auto"/>
              </w:rPr>
            </w:pPr>
          </w:p>
        </w:tc>
        <w:tc>
          <w:tcPr>
            <w:tcW w:w="10020" w:type="dxa"/>
            <w:vAlign w:val="bottom"/>
            <w:tcBorders>
              <w:bottom w:val="single" w:sz="8" w:color="0000EE"/>
            </w:tcBorders>
            <w:gridSpan w:val="28"/>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Exchange and Third Amendment to Facility Agreement, dated June 29, 2017 by and among MannKind, MannKind LLC, Deerfield Private</w:t>
              </w:r>
            </w:hyperlink>
          </w:p>
        </w:tc>
        <w:tc>
          <w:tcPr>
            <w:tcW w:w="4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37"/>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Design Fund II, L.P. and Deerfield Private Design International II, L.P. (incorporated by reference to Exhibit 99.2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on Form 8-K (File No. 000-50865), filed with the SEC on June 29,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1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92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Fourth Amendment to Facility Agreement, dated October 23, 2017 by and among MannKind, MannKind LLC, Deerfield Private Design Fund II,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L.P. and Deerfield Private Design International II, L.P. (incorporated by reference to Exhibit 99.1 to MannKind’s Current Report on Form 8-K</w:t>
              </w:r>
            </w:hyperlink>
          </w:p>
        </w:tc>
        <w:tc>
          <w:tcPr>
            <w:tcW w:w="2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(File No. 000-50865), filed with the SEC on October 23,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1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70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4"/>
                <w:szCs w:val="24"/>
                <w:color w:val="auto"/>
              </w:rPr>
            </w:pPr>
          </w:p>
        </w:tc>
        <w:tc>
          <w:tcPr>
            <w:tcW w:w="10320" w:type="dxa"/>
            <w:vAlign w:val="bottom"/>
            <w:tcBorders>
              <w:bottom w:val="single" w:sz="8" w:color="0000EE"/>
            </w:tcBorders>
            <w:gridSpan w:val="33"/>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Fifth Amendment to Facility Agreement, dated January 15, 2018 by and among MannKind, MannKind LLC, Deerfield Private Design Fund II,</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(File No. 000-50865), filed with the SEC on January 19, 2018.</w:t>
              </w:r>
            </w:hyperlink>
          </w:p>
        </w:tc>
        <w:tc>
          <w:tcPr>
            <w:tcW w:w="2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top w:val="single" w:sz="8" w:color="0000EE"/>
            </w:tcBorders>
            <w:gridSpan w:val="13"/>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340" w:type="dxa"/>
            <w:vAlign w:val="bottom"/>
          </w:tcPr>
          <w:p>
            <w:pPr>
              <w:spacing w:after="0"/>
              <w:rPr>
                <w:sz w:val="14"/>
                <w:szCs w:val="14"/>
                <w:color w:val="auto"/>
              </w:rPr>
            </w:pPr>
          </w:p>
        </w:tc>
        <w:tc>
          <w:tcPr>
            <w:tcW w:w="6140" w:type="dxa"/>
            <w:vAlign w:val="bottom"/>
            <w:gridSpan w:val="28"/>
            <w:vMerge w:val="restart"/>
          </w:tcPr>
          <w:p>
            <w:pPr>
              <w:ind w:left="20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Pr>
          <w:p>
            <w:pPr>
              <w:spacing w:after="0"/>
              <w:rPr>
                <w:sz w:val="14"/>
                <w:szCs w:val="14"/>
                <w:color w:val="auto"/>
              </w:rPr>
            </w:pPr>
          </w:p>
        </w:tc>
        <w:tc>
          <w:tcPr>
            <w:tcW w:w="6140" w:type="dxa"/>
            <w:vAlign w:val="bottom"/>
            <w:gridSpan w:val="2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4"/>
                <w:szCs w:val="24"/>
                <w:color w:val="auto"/>
              </w:rPr>
            </w:pPr>
          </w:p>
        </w:tc>
        <w:tc>
          <w:tcPr>
            <w:tcW w:w="10480" w:type="dxa"/>
            <w:vAlign w:val="bottom"/>
            <w:tcBorders>
              <w:top w:val="single" w:sz="8" w:color="auto"/>
            </w:tcBorders>
            <w:gridSpan w:val="29"/>
          </w:tcPr>
          <w:p>
            <w:pPr>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Exchange and Sixth Amendment to Facility Agreement, dated January 18, 2018 by and among MannKind, MannKind LLC, Deerfield Private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Design Fund II, L.P., and Deerfield Private Design International II, L.P. (incorporated by reference to Exhibit 99.2 to MannKind’s Current Report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on Form 8-K (File No. 000-50865), filed with the SEC on January 19, 2018.</w:t>
              </w:r>
            </w:hyperlink>
          </w:p>
        </w:tc>
        <w:tc>
          <w:tcPr>
            <w:tcW w:w="498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4"/>
              </w:rPr>
            </w:pPr>
            <w:hyperlink r:id="rId102">
              <w:r>
                <w:rPr>
                  <w:rFonts w:ascii="Arial" w:cs="Arial" w:eastAsia="Arial" w:hAnsi="Arial"/>
                  <w:sz w:val="18"/>
                  <w:szCs w:val="18"/>
                  <w:color w:val="0000EE"/>
                  <w:w w:val="94"/>
                </w:rPr>
                <w:t>Exchange and Seventh Amendment to Facility Agreement, dated June 8, 2018 by and among MannKind, MannKind LLC, Deerfield Private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on Form 8-K (File No. 000-50865), filed with the SEC on June 11, 2018).</w:t>
              </w:r>
            </w:hyperlink>
          </w:p>
        </w:tc>
        <w:tc>
          <w:tcPr>
            <w:tcW w:w="516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Exchange and Eighth Amendment to Facility Agreement, dated July 12, 2018 by and among MannKind, MannKind LLC, Deerfield Private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on Form 8-K (File No. 000-50865), filed with the SEC on July 13, 2018).</w:t>
              </w:r>
            </w:hyperlink>
          </w:p>
        </w:tc>
        <w:tc>
          <w:tcPr>
            <w:tcW w:w="51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Ninth Amendment to Facility Agreement, dated September 5, 2018 by and among MannKind, MannKind LLC, Deerfield Private Design Fund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6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(File No. 000-50865), filed with the SEC on September 5,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4"/>
                <w:szCs w:val="24"/>
                <w:color w:val="auto"/>
              </w:rPr>
            </w:pPr>
          </w:p>
        </w:tc>
        <w:tc>
          <w:tcPr>
            <w:tcW w:w="10380" w:type="dxa"/>
            <w:vAlign w:val="bottom"/>
            <w:tcBorders>
              <w:bottom w:val="single" w:sz="8" w:color="0000EE"/>
            </w:tcBorders>
            <w:gridSpan w:val="25"/>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Tenth Amendment to Facility Agreement, dated September 26, 2018 by and among MannKind, MannKind LLC, Deerfield Private Design Fund</w:t>
              </w:r>
            </w:hyperlink>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6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(File No. 000-50865), filed with the SEC on September 27, 2018).</w:t>
              </w:r>
            </w:hyperlink>
          </w:p>
        </w:tc>
        <w:tc>
          <w:tcPr>
            <w:tcW w:w="57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24"/>
                <w:szCs w:val="24"/>
                <w:color w:val="auto"/>
              </w:rPr>
            </w:pPr>
          </w:p>
        </w:tc>
        <w:tc>
          <w:tcPr>
            <w:tcW w:w="10380" w:type="dxa"/>
            <w:vAlign w:val="bottom"/>
            <w:tcBorders>
              <w:bottom w:val="single" w:sz="8" w:color="0000EE"/>
            </w:tcBorders>
            <w:gridSpan w:val="25"/>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Eleventh Amendment to Facility Agreement, dated June 18, 2019 by and among MannKind, MannKind LLC, Deerfield Private Design Fund II,</w:t>
              </w:r>
            </w:hyperlink>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L.P. and Deerfield Private Design International II, L.P. (incorporated by reference to Exhibit 99.1 to MannKind’s Current Report on Form 8-K</w:t>
              </w:r>
            </w:hyperlink>
          </w:p>
        </w:tc>
        <w:tc>
          <w:tcPr>
            <w:tcW w:w="2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(File No. 000-50865), filed with the SEC on June 19, 2019).</w:t>
              </w:r>
            </w:hyperlink>
          </w:p>
        </w:tc>
        <w:tc>
          <w:tcPr>
            <w:tcW w:w="614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24"/>
                <w:szCs w:val="24"/>
                <w:color w:val="auto"/>
              </w:rPr>
            </w:pPr>
          </w:p>
        </w:tc>
        <w:tc>
          <w:tcPr>
            <w:tcW w:w="10340" w:type="dxa"/>
            <w:vAlign w:val="bottom"/>
            <w:tcBorders>
              <w:bottom w:val="single" w:sz="8" w:color="0000EE"/>
            </w:tcBorders>
            <w:gridSpan w:val="24"/>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Indenture, by and between MannKind and U.S. Bank (dated October 30, 2017 (incorporated by reference to Exhibit 4.1 to MannKind’s Current</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Report on Form 8-K (File No. 000-50865), filed with the SEC on October 30,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4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Form of 5.75% Convertible Senior Subordinated Exchange Note due 2021 (incorporated by reference to Exhibit A of Exhibit 4.1 to MannKind’s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Current Report on Form 8-K (File No. 000-50865), filed with the SEC on October 30, 2017).</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4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5"/>
              </w:rPr>
            </w:pPr>
            <w:hyperlink r:id="rId108">
              <w:r>
                <w:rPr>
                  <w:rFonts w:ascii="Arial" w:cs="Arial" w:eastAsia="Arial" w:hAnsi="Arial"/>
                  <w:sz w:val="18"/>
                  <w:szCs w:val="18"/>
                  <w:color w:val="0000EE"/>
                  <w:w w:val="95"/>
                </w:rPr>
                <w:t>Form of Warrant to Purchase Common Stock issued November 16, 2015 (incorporated by reference to Exhibit 4.17 to MannKind’s Annual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Report on Form 10-K (File No. 000-50865), filed with the SEC on March 15, 2016).</w:t>
              </w:r>
            </w:hyperlink>
          </w:p>
        </w:tc>
        <w:tc>
          <w:tcPr>
            <w:tcW w:w="4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4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7"/>
              </w:rPr>
            </w:pPr>
            <w:hyperlink r:id="rId109">
              <w:r>
                <w:rPr>
                  <w:rFonts w:ascii="Arial" w:cs="Arial" w:eastAsia="Arial" w:hAnsi="Arial"/>
                  <w:sz w:val="18"/>
                  <w:szCs w:val="18"/>
                  <w:color w:val="0000EE"/>
                  <w:w w:val="97"/>
                </w:rPr>
                <w:t>Amended and Restated Promissory Note made by MannKind in favor of The Mann Group LLC, dated March 11, 2018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reference to Exhibit 99.1 to MannKind’s Current Report on Form 8-K (File No. 000-50865), filed with the SEC on March 12, 2018).</w:t>
              </w:r>
            </w:hyperlink>
          </w:p>
        </w:tc>
        <w:tc>
          <w:tcPr>
            <w:tcW w:w="240" w:type="dxa"/>
            <w:vAlign w:val="bottom"/>
            <w:tcBorders>
              <w:top w:val="single" w:sz="8" w:color="0000EE"/>
            </w:tcBorders>
          </w:tcPr>
          <w:p>
            <w:pPr>
              <w:spacing w:after="0"/>
              <w:rPr>
                <w:sz w:val="17"/>
                <w:szCs w:val="17"/>
                <w:color w:val="auto"/>
              </w:rPr>
            </w:pPr>
          </w:p>
        </w:tc>
        <w:tc>
          <w:tcPr>
            <w:tcW w:w="68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Form of Common Stock Purchase Warrant issued December 26, 2018 (incorporated by reference to Exhibit 4.1 to MannKind’s Current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on Form 8-K (File No. 000-50865), filed with the SEC on December 21, 2018).</w:t>
              </w:r>
            </w:hyperlink>
          </w:p>
        </w:tc>
        <w:tc>
          <w:tcPr>
            <w:tcW w:w="4540" w:type="dxa"/>
            <w:vAlign w:val="bottom"/>
            <w:tcBorders>
              <w:top w:val="single" w:sz="8" w:color="0000EE"/>
            </w:tcBorders>
            <w:gridSpan w:val="15"/>
          </w:tcPr>
          <w:p>
            <w:pPr>
              <w:spacing w:after="0"/>
              <w:rPr>
                <w:sz w:val="17"/>
                <w:szCs w:val="17"/>
                <w:color w:val="auto"/>
              </w:rPr>
            </w:pPr>
          </w:p>
        </w:tc>
        <w:tc>
          <w:tcPr>
            <w:tcW w:w="2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Form of Warrant to Purchase Stock issued to MidCap Financial Trust, a Delaware statutory trust, on August 6, 2019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to Exhibit 4.1 to MannKind’s Current Report on Form 8-K (File No. 000-50865), filed with the SEC on August 7, 2019).</w:t>
              </w:r>
            </w:hyperlink>
          </w:p>
        </w:tc>
        <w:tc>
          <w:tcPr>
            <w:tcW w:w="1540" w:type="dxa"/>
            <w:vAlign w:val="bottom"/>
            <w:tcBorders>
              <w:top w:val="single" w:sz="8" w:color="0000EE"/>
            </w:tcBorders>
            <w:gridSpan w:val="10"/>
          </w:tcPr>
          <w:p>
            <w:pPr>
              <w:spacing w:after="0"/>
              <w:rPr>
                <w:sz w:val="17"/>
                <w:szCs w:val="17"/>
                <w:color w:val="auto"/>
              </w:rPr>
            </w:pPr>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Form of 5.75% Convertible Senior Subordinated Exchange Notes Due 2024 (incorporated by reference to Exhibit 4.2 to MannKind’s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Report on Form 8-K (File No. 000-50865), filed with the SEC on August 7, 2019).</w:t>
              </w:r>
            </w:hyperlink>
          </w:p>
        </w:tc>
        <w:tc>
          <w:tcPr>
            <w:tcW w:w="26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0" w:type="dxa"/>
            <w:vAlign w:val="bottom"/>
            <w:gridSpan w:val="8"/>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Indenture, dated as of August 6, 2019, by and between MannKind Corporation and U.S. Bank National Association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Exhibit 4.3 to MannKind’s Current Report on Form 8-K (File No. 000-50865), filed with the SEC on August 7, 2019).</w:t>
              </w:r>
            </w:hyperlink>
          </w:p>
        </w:tc>
        <w:tc>
          <w:tcPr>
            <w:tcW w:w="188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6"/>
              </w:rPr>
            </w:pPr>
            <w:hyperlink r:id="rId113">
              <w:r>
                <w:rPr>
                  <w:rFonts w:ascii="Arial" w:cs="Arial" w:eastAsia="Arial" w:hAnsi="Arial"/>
                  <w:sz w:val="18"/>
                  <w:szCs w:val="18"/>
                  <w:color w:val="0000EE"/>
                  <w:w w:val="96"/>
                </w:rPr>
                <w:t>Promissory Note due June 30, 2020 made by MannKind Corporation in favor of Bruce &amp; Co., Inc., dated August 6, 2019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reference to Exhibit 4.4 to MannKind’s Current Report on Form 8-K (File No. 000-50865), filed with the SEC on August 7, 2019).</w:t>
              </w:r>
            </w:hyperlink>
          </w:p>
        </w:tc>
        <w:tc>
          <w:tcPr>
            <w:tcW w:w="480" w:type="dxa"/>
            <w:vAlign w:val="bottom"/>
            <w:tcBorders>
              <w:top w:val="single" w:sz="8" w:color="0000EE"/>
            </w:tcBorders>
            <w:gridSpan w:val="4"/>
          </w:tcPr>
          <w:p>
            <w:pPr>
              <w:spacing w:after="0"/>
              <w:rPr>
                <w:sz w:val="17"/>
                <w:szCs w:val="17"/>
                <w:color w:val="auto"/>
              </w:rPr>
            </w:pPr>
          </w:p>
        </w:tc>
        <w:tc>
          <w:tcPr>
            <w:tcW w:w="5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24"/>
                <w:szCs w:val="24"/>
                <w:color w:val="auto"/>
              </w:rPr>
            </w:pPr>
          </w:p>
        </w:tc>
        <w:tc>
          <w:tcPr>
            <w:tcW w:w="10380" w:type="dxa"/>
            <w:vAlign w:val="bottom"/>
            <w:tcBorders>
              <w:bottom w:val="single" w:sz="8" w:color="0000EE"/>
            </w:tcBorders>
            <w:gridSpan w:val="25"/>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Promissory Note due December 31, 2020 made by MannKind Corporation in favor of Bruce &amp; Co., Inc., dated August 6, 2019 (incorporated by</w:t>
              </w:r>
            </w:hyperlink>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reference to Exhibit 4.5 to MannKind’s Current Report on Form 8-K (File No. 000-50865), filed with the SEC on August 7, 2019).</w:t>
              </w:r>
            </w:hyperlink>
          </w:p>
        </w:tc>
        <w:tc>
          <w:tcPr>
            <w:tcW w:w="100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7"/>
              </w:rPr>
            </w:pPr>
            <w:hyperlink r:id="rId115">
              <w:r>
                <w:rPr>
                  <w:rFonts w:ascii="Arial" w:cs="Arial" w:eastAsia="Arial" w:hAnsi="Arial"/>
                  <w:sz w:val="18"/>
                  <w:szCs w:val="18"/>
                  <w:color w:val="0000EE"/>
                  <w:w w:val="97"/>
                </w:rPr>
                <w:t>Convertible Promissory Note made by MannKind Corporation in favor of The Mann Group LLC, dated August 6, 2019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reference to Exhibit 4.6 to MannKind’s Current Report on Form 8-K (File No. 000-50865), filed with the SEC on August 7, 2019).</w:t>
              </w:r>
            </w:hyperlink>
          </w:p>
        </w:tc>
        <w:tc>
          <w:tcPr>
            <w:tcW w:w="380" w:type="dxa"/>
            <w:vAlign w:val="bottom"/>
            <w:tcBorders>
              <w:top w:val="single" w:sz="8" w:color="0000EE"/>
            </w:tcBorders>
            <w:gridSpan w:val="3"/>
          </w:tcPr>
          <w:p>
            <w:pPr>
              <w:spacing w:after="0"/>
              <w:rPr>
                <w:sz w:val="17"/>
                <w:szCs w:val="17"/>
                <w:color w:val="auto"/>
              </w:rPr>
            </w:pPr>
          </w:p>
        </w:tc>
        <w:tc>
          <w:tcPr>
            <w:tcW w:w="6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24"/>
                <w:szCs w:val="24"/>
                <w:color w:val="auto"/>
              </w:rPr>
            </w:pPr>
          </w:p>
        </w:tc>
        <w:tc>
          <w:tcPr>
            <w:tcW w:w="10480" w:type="dxa"/>
            <w:vAlign w:val="bottom"/>
            <w:gridSpan w:val="29"/>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Promissory Note made by MannKind Corporation in favor of The Mann Group LLC, dated August 6, 2019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4.</w:t>
              </w:r>
              <w:r>
                <w:rPr>
                  <w:rFonts w:ascii="Arial" w:cs="Arial" w:eastAsia="Arial" w:hAnsi="Arial"/>
                  <w:sz w:val="18"/>
                  <w:szCs w:val="18"/>
                  <w:u w:val="single" w:color="auto"/>
                  <w:color w:val="0000EE"/>
                </w:rPr>
                <w:t>7</w:t>
              </w:r>
              <w:r>
                <w:rPr>
                  <w:rFonts w:ascii="Arial" w:cs="Arial" w:eastAsia="Arial" w:hAnsi="Arial"/>
                  <w:sz w:val="18"/>
                  <w:szCs w:val="18"/>
                  <w:color w:val="0000EE"/>
                </w:rPr>
                <w:t xml:space="preserve"> to MannKind’s Current Report on Form 8-K (File No. 000-50865), filed with the SEC on August 7, 2019).</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00" w:type="dxa"/>
            <w:vAlign w:val="bottom"/>
            <w:tcBorders>
              <w:top w:val="single" w:sz="8" w:color="0000EE"/>
            </w:tcBorders>
            <w:gridSpan w:val="4"/>
          </w:tcPr>
          <w:p>
            <w:pPr>
              <w:ind w:left="4680"/>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80" w:type="dxa"/>
            <w:vAlign w:val="bottom"/>
            <w:gridSpan w:val="14"/>
            <w:vMerge w:val="restart"/>
          </w:tcPr>
          <w:p>
            <w:pPr>
              <w:ind w:left="4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8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0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Exchange Agreement, dated July 18, 2019, by and among MannKind Corporation, MannKind LLC, Deerfield Private Design Fund II, L.P. and</w:t>
              </w:r>
            </w:hyperlink>
          </w:p>
        </w:tc>
        <w:tc>
          <w:tcPr>
            <w:tcW w:w="18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18"/>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Deerfield Private Design International II, L.P. (incorporated by reference to Exhibit 99.1 to MannKind’s Current Report on Form 8-K (File No.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000-50865), filed with the SEC on July 18, 2019).</w:t>
              </w:r>
            </w:hyperlink>
          </w:p>
        </w:tc>
        <w:tc>
          <w:tcPr>
            <w:tcW w:w="6680" w:type="dxa"/>
            <w:vAlign w:val="bottom"/>
            <w:tcBorders>
              <w:top w:val="single" w:sz="8" w:color="0000EE"/>
            </w:tcBorders>
            <w:gridSpan w:val="11"/>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480" w:type="dxa"/>
            <w:vAlign w:val="bottom"/>
            <w:gridSpan w:val="18"/>
          </w:tcPr>
          <w:p>
            <w:pPr>
              <w:spacing w:after="0"/>
              <w:rPr>
                <w:rFonts w:ascii="Arial" w:cs="Arial" w:eastAsia="Arial" w:hAnsi="Arial"/>
                <w:sz w:val="18"/>
                <w:szCs w:val="18"/>
                <w:color w:val="0000EE"/>
                <w:w w:val="94"/>
              </w:rPr>
            </w:pPr>
            <w:hyperlink r:id="rId120">
              <w:r>
                <w:rPr>
                  <w:rFonts w:ascii="Arial" w:cs="Arial" w:eastAsia="Arial" w:hAnsi="Arial"/>
                  <w:sz w:val="18"/>
                  <w:szCs w:val="18"/>
                  <w:color w:val="0000EE"/>
                  <w:w w:val="94"/>
                </w:rPr>
                <w:t>Credit and Security Agreement, dated August 6, 2019, by and among MannKind Corporation, MannKind LLC, the lenders party thereto from</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18"/>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time to time and MidCap Financial Trust, as agent (incorporated by reference to Exhibit 99.1 to MannKind’s Current Report on Form 8-K (File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No. 000-50865), filed with the SEC on August 7, 2019).</w:t>
              </w:r>
            </w:hyperlink>
          </w:p>
        </w:tc>
        <w:tc>
          <w:tcPr>
            <w:tcW w:w="6220" w:type="dxa"/>
            <w:vAlign w:val="bottom"/>
            <w:tcBorders>
              <w:top w:val="single" w:sz="8" w:color="0000EE"/>
            </w:tcBorders>
            <w:gridSpan w:val="10"/>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9920" w:type="dxa"/>
            <w:vAlign w:val="bottom"/>
            <w:tcBorders>
              <w:bottom w:val="single" w:sz="8" w:color="0000EE"/>
            </w:tcBorders>
            <w:gridSpan w:val="7"/>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Exchange Agreement, dated August 6, 2019, by and between MannKind Corporation and Bruce &amp; Co., Inc. (incorporated by reference to</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1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Exhibit 99.2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480" w:type="dxa"/>
            <w:vAlign w:val="bottom"/>
            <w:gridSpan w:val="18"/>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Exchange Agreement, dated August 5, 2019, by and between MannKind Corporation and The Mann Group LLC (incorporated by reference to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Exhibit 99.3 to MannKind’s Current Report on Form 8-K (File No. 000-50865), filed with the SEC on August 7, 2019).</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480" w:type="dxa"/>
            <w:vAlign w:val="bottom"/>
            <w:gridSpan w:val="18"/>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Exchange Agreement, dated August 6, 2019, by and among MannKind Corporation, MannKind LLC, Deerfield Private Design Fund II, L.P. and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Deerfield Private Design International II, L.P. (incorporated by reference to Exhibit 99.4 to MannKind’s Current Report on Form 8-K (File</w:t>
              </w:r>
            </w:hyperlink>
          </w:p>
        </w:tc>
        <w:tc>
          <w:tcPr>
            <w:tcW w:w="420" w:type="dxa"/>
            <w:vAlign w:val="bottom"/>
            <w:tcBorders>
              <w:top w:val="single" w:sz="8" w:color="0000EE"/>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1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No. 000-50865), filed with the SEC on August 7,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10.6†</w:t>
            </w:r>
          </w:p>
        </w:tc>
        <w:tc>
          <w:tcPr>
            <w:tcW w:w="10480" w:type="dxa"/>
            <w:vAlign w:val="bottom"/>
            <w:gridSpan w:val="18"/>
          </w:tcPr>
          <w:p>
            <w:pPr>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Fifth Amendment to Supply Agreement, dated August 2, 2019, by and between MannKind Corporation and Amphastar Pharmaceuticals, Inc.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60" w:type="dxa"/>
            <w:vAlign w:val="bottom"/>
            <w:gridSpan w:val="4"/>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18"/>
          </w:tcPr>
          <w:p>
            <w:pPr>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(incorporated by reference to Exhibit 99.5 to MannKind’s Current Report on Form 8-K (File No. 000-50865), filed with the SEC on August 7,</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2019)</w:t>
              </w:r>
              <w:r>
                <w:rPr>
                  <w:rFonts w:ascii="Arial" w:cs="Arial" w:eastAsia="Arial" w:hAnsi="Arial"/>
                  <w:sz w:val="18"/>
                  <w:szCs w:val="18"/>
                  <w:color w:val="000000"/>
                </w:rPr>
                <w:t>.</w:t>
              </w:r>
            </w:hyperlink>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480" w:type="dxa"/>
            <w:vAlign w:val="bottom"/>
            <w:gridSpan w:val="18"/>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Certification of the Chief Executive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Certification of the Chief Financial Officer pursuant to Rules 13a-14(a) and 15d-14(a) of the Securities Exchange Act of 1934, as amended.</w:t>
              </w:r>
            </w:hyperlink>
          </w:p>
        </w:tc>
        <w:tc>
          <w:tcPr>
            <w:tcW w:w="40" w:type="dxa"/>
            <w:vAlign w:val="bottom"/>
            <w:tcBorders>
              <w:top w:val="single" w:sz="8" w:color="0000EE"/>
            </w:tcBorders>
          </w:tcPr>
          <w:p>
            <w:pPr>
              <w:spacing w:after="0"/>
              <w:rPr>
                <w:sz w:val="24"/>
                <w:szCs w:val="24"/>
                <w:color w:val="auto"/>
              </w:rPr>
            </w:pPr>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480" w:type="dxa"/>
            <w:vAlign w:val="bottom"/>
            <w:gridSpan w:val="18"/>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the Chief Executive Officer pursuant to Rules 13a-14(b) and 15d-14(b) of the Securities Exchange Act of 1934, as amended and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Section 1350 of Chapter 63 of Title 18 of the United States Code (18 U.S.C. §1350).</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80" w:type="dxa"/>
            <w:vAlign w:val="bottom"/>
            <w:gridSpan w:val="5"/>
            <w:shd w:val="clear" w:color="auto" w:fill="0000EE"/>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480" w:type="dxa"/>
            <w:vAlign w:val="bottom"/>
            <w:gridSpan w:val="18"/>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 of the Chief Financial Officer pursuant to Rules 13a-14(b) and 15d-14(b) of the Securities Exchange Act of 1934, as amended and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Section 1350 of Chapter 63 of Title 18 of the United States Code (18 U.S.C. §1350).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940" w:hanging="842"/>
        <w:spacing w:after="0"/>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w:t>
      </w:r>
    </w:p>
    <w:p>
      <w:pPr>
        <w:spacing w:after="0" w:line="238"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6858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November 8, 2019</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tab/>
        <w:t>/s/ MICHAEL E. CASTAGNA</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Executive</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tab/>
        <w:t>/s/ STEVEN B. BINDER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337" w:right="27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2019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80" w:firstLine="8"/>
        <w:spacing w:after="0" w:line="264"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2019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80" w:firstLine="8"/>
        <w:spacing w:after="0" w:line="26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ectPr>
          <w:pgSz w:w="11900" w:h="16838" w:orient="portrait"/>
          <w:cols w:equalWidth="0" w:num="1">
            <w:col w:w="11420"/>
          </w:cols>
          <w:pgMar w:left="240" w:top="33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2019,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8th day of November,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260" w:right="140" w:hanging="252"/>
        <w:spacing w:after="0" w:line="286"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2019,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8th day of November,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240" w:right="180" w:hanging="232"/>
        <w:spacing w:after="0" w:line="286" w:lineRule="auto"/>
        <w:tabs>
          <w:tab w:leader="none" w:pos="240" w:val="left"/>
        </w:tabs>
        <w:numPr>
          <w:ilvl w:val="0"/>
          <w:numId w:val="30"/>
        </w:numPr>
        <w:rPr>
          <w:rFonts w:ascii="Arial" w:cs="Arial" w:eastAsia="Arial" w:hAnsi="Arial"/>
          <w:sz w:val="14"/>
          <w:szCs w:val="14"/>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lvl w:ilvl="1">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lvl w:ilvl="1">
      <w:lvlJc w:val="left"/>
      <w:lvlText w:val="%2"/>
      <w:numFmt w:val="decimal"/>
      <w:start w:val="10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5"/>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17" Type="http://schemas.openxmlformats.org/officeDocument/2006/relationships/image" Target="media/image78.png"/><Relationship Id="rId118"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83" Type="http://schemas.openxmlformats.org/officeDocument/2006/relationships/hyperlink" Target="http://www.sec.gov/Archives/edgar/data/899460/000119312516676980/d225552dex31.htm" TargetMode="External"/><Relationship Id="rId84" Type="http://schemas.openxmlformats.org/officeDocument/2006/relationships/hyperlink" Target="http://www.sec.gov/Archives/edgar/data/899460/000119312517066630/d313758dex31.htm" TargetMode="External"/><Relationship Id="rId85" Type="http://schemas.openxmlformats.org/officeDocument/2006/relationships/hyperlink" Target="http://www.sec.gov/Archives/edgar/data/899460/000119312517368329/d511527dex31.htm" TargetMode="External"/><Relationship Id="rId86" Type="http://schemas.openxmlformats.org/officeDocument/2006/relationships/hyperlink" Target="http://www.sec.gov/Archives/edgar/data/899460/000095012407005941/v35880exv3w1.htm" TargetMode="External"/><Relationship Id="rId87" Type="http://schemas.openxmlformats.org/officeDocument/2006/relationships/hyperlink" Target="http://www.sec.gov/Archives/edgar/data/899460/000119312517085519/d305327dex42.htm" TargetMode="External"/><Relationship Id="rId88" Type="http://schemas.openxmlformats.org/officeDocument/2006/relationships/hyperlink" Target="http://www.sec.gov/Archives/edgar/data/899460/000119312513279522/d562665dex992.htm" TargetMode="External"/><Relationship Id="rId89" Type="http://schemas.openxmlformats.org/officeDocument/2006/relationships/hyperlink" Target="http://www.sec.gov/Archives/edgar/data/899460/000119312514080324/d647959dex47.htm" TargetMode="External"/><Relationship Id="rId90" Type="http://schemas.openxmlformats.org/officeDocument/2006/relationships/hyperlink" Target="http://www.sec.gov/Archives/edgar/data/899460/000119312514195057/d697163dex48.htm" TargetMode="External"/><Relationship Id="rId91" Type="http://schemas.openxmlformats.org/officeDocument/2006/relationships/hyperlink" Target="http://www.sec.gov/Archives/edgar/data/899460/000119312513279522/d562665dex993.htm" TargetMode="External"/><Relationship Id="rId92" Type="http://schemas.openxmlformats.org/officeDocument/2006/relationships/hyperlink" Target="http://www.sec.gov/Archives/edgar/data/899460/000119312513279522/d562665dex994.htm" TargetMode="External"/><Relationship Id="rId93" Type="http://schemas.openxmlformats.org/officeDocument/2006/relationships/hyperlink" Target="http://www.sec.gov/Archives/edgar/data/899460/000119312513279522/d562665dex991.htm" TargetMode="External"/><Relationship Id="rId94" Type="http://schemas.openxmlformats.org/officeDocument/2006/relationships/hyperlink" Target="http://www.sec.gov/Archives/edgar/data/899460/000119312514080324/d647959dex1039.htm" TargetMode="External"/><Relationship Id="rId95" Type="http://schemas.openxmlformats.org/officeDocument/2006/relationships/hyperlink" Target="http://www.sec.gov/Archives/edgar/data/899460/000119312514406347/d783199dex414.htm" TargetMode="External"/><Relationship Id="rId96" Type="http://schemas.openxmlformats.org/officeDocument/2006/relationships/hyperlink" Target="http://www.sec.gov/Archives/edgar/data/899460/000119312517217588/d419252dex992.htm" TargetMode="External"/><Relationship Id="rId97" Type="http://schemas.openxmlformats.org/officeDocument/2006/relationships/hyperlink" Target="http://www.sec.gov/Archives/edgar/data/899460/000119312517316062/d422089dex991.htm" TargetMode="External"/><Relationship Id="rId98" Type="http://schemas.openxmlformats.org/officeDocument/2006/relationships/hyperlink" Target="http://www.sec.gov/Archives/edgar/data/899460/000119312518013980/d478599dex991.htm" TargetMode="External"/><Relationship Id="rId101" Type="http://schemas.openxmlformats.org/officeDocument/2006/relationships/hyperlink" Target="http://www.sec.gov/Archives/edgar/data/899460/000119312518013980/d478599dex992.htm" TargetMode="External"/><Relationship Id="rId102" Type="http://schemas.openxmlformats.org/officeDocument/2006/relationships/hyperlink" Target="http://www.sec.gov/Archives/edgar/data/899460/000119312518188678/d600246dex991.htm" TargetMode="External"/><Relationship Id="rId103" Type="http://schemas.openxmlformats.org/officeDocument/2006/relationships/hyperlink" Target="http://www.sec.gov/Archives/edgar/data/899460/000119312518217309/d502299dex991.htm" TargetMode="External"/><Relationship Id="rId104" Type="http://schemas.openxmlformats.org/officeDocument/2006/relationships/hyperlink" Target="http://www.sec.gov/Archives/edgar/data/899460/000119312518267036/d609163dex991.htm" TargetMode="External"/><Relationship Id="rId105" Type="http://schemas.openxmlformats.org/officeDocument/2006/relationships/hyperlink" Target="http://www.sec.gov/Archives/edgar/data/899460/000119312518284687/d629664dex991.htm" TargetMode="External"/><Relationship Id="rId106" Type="http://schemas.openxmlformats.org/officeDocument/2006/relationships/hyperlink" Target="http://www.sec.gov/Archives/edgar/data/899460/000119312519175999/d765401dex991.htm" TargetMode="External"/><Relationship Id="rId107" Type="http://schemas.openxmlformats.org/officeDocument/2006/relationships/hyperlink" Target="http://www.sec.gov/Archives/edgar/data/899460/000119312517324984/d485532dex41.htm" TargetMode="External"/><Relationship Id="rId108" Type="http://schemas.openxmlformats.org/officeDocument/2006/relationships/hyperlink" Target="http://www.sec.gov/Archives/edgar/data/899460/000119312516505366/d107849dex417.htm" TargetMode="External"/><Relationship Id="rId109" Type="http://schemas.openxmlformats.org/officeDocument/2006/relationships/hyperlink" Target="http://www.sec.gov/Archives/edgar/data/899460/000119312518078324/d549308dex991.htm" TargetMode="External"/><Relationship Id="rId110" Type="http://schemas.openxmlformats.org/officeDocument/2006/relationships/hyperlink" Target="http://www.sec.gov/Archives/edgar/data/899460/000119312518354835/d668953dex41.htm" TargetMode="External"/><Relationship Id="rId111" Type="http://schemas.openxmlformats.org/officeDocument/2006/relationships/hyperlink" Target="http://www.sec.gov/Archives/edgar/data/899460/000119312519215305/d757696dex41.htm" TargetMode="External"/><Relationship Id="rId112" Type="http://schemas.openxmlformats.org/officeDocument/2006/relationships/hyperlink" Target="http://www.sec.gov/Archives/edgar/data/899460/000119312519215305/d757696dex43.htm" TargetMode="External"/><Relationship Id="rId113" Type="http://schemas.openxmlformats.org/officeDocument/2006/relationships/hyperlink" Target="http://www.sec.gov/Archives/edgar/data/899460/000119312519215305/d757696dex44.htm" TargetMode="External"/><Relationship Id="rId114" Type="http://schemas.openxmlformats.org/officeDocument/2006/relationships/hyperlink" Target="http://www.sec.gov/Archives/edgar/data/899460/000119312519215305/d757696dex45.htm" TargetMode="External"/><Relationship Id="rId115" Type="http://schemas.openxmlformats.org/officeDocument/2006/relationships/hyperlink" Target="http://www.sec.gov/Archives/edgar/data/899460/000119312519215305/d757696dex46.htm" TargetMode="External"/><Relationship Id="rId116" Type="http://schemas.openxmlformats.org/officeDocument/2006/relationships/hyperlink" Target="http://www.sec.gov/Archives/edgar/data/899460/000119312519215305/d757696dex47.htm" TargetMode="External"/><Relationship Id="rId119" Type="http://schemas.openxmlformats.org/officeDocument/2006/relationships/hyperlink" Target="http://www.sec.gov/Archives/edgar/data/899460/000119312519196070/d779609dex991.htm" TargetMode="External"/><Relationship Id="rId120" Type="http://schemas.openxmlformats.org/officeDocument/2006/relationships/hyperlink" Target="http://www.sec.gov/Archives/edgar/data/899460/000119312519215305/d757696dex991.htm" TargetMode="External"/><Relationship Id="rId121" Type="http://schemas.openxmlformats.org/officeDocument/2006/relationships/hyperlink" Target="http://www.sec.gov/Archives/edgar/data/899460/000119312519215305/d757696dex992.htm" TargetMode="External"/><Relationship Id="rId122" Type="http://schemas.openxmlformats.org/officeDocument/2006/relationships/hyperlink" Target="http://www.sec.gov/Archives/edgar/data/899460/000119312519215305/d757696dex993.htm" TargetMode="External"/><Relationship Id="rId123" Type="http://schemas.openxmlformats.org/officeDocument/2006/relationships/hyperlink" Target="http://www.sec.gov/Archives/edgar/data/899460/000119312519215305/d757696dex994.htm" TargetMode="External"/><Relationship Id="rId124" Type="http://schemas.openxmlformats.org/officeDocument/2006/relationships/hyperlink" Target="http://www.sec.gov/Archives/edgar/data/899460/000119312519215305/d757696de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2019-12-28T02:13:16Z</dcterms:created>
  <dcterms:modified xsi:type="dcterms:W3CDTF">2019-12-28T02:13:16Z</dcterms:modified>
</cp:coreProperties>
</file>