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0" w:right="25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980" w:space="720"/>
            <w:col w:w="770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000-50865</w:t>
      </w:r>
    </w:p>
    <w:p>
      <w:pPr>
        <w:sectPr>
          <w:pgSz w:w="11900" w:h="16838" w:orient="portrait"/>
          <w:cols w:equalWidth="0" w:num="1">
            <w:col w:w="11400"/>
          </w:cols>
          <w:pgMar w:left="240" w:top="230" w:right="259" w:bottom="1440" w:gutter="0" w:footer="0" w:header="0"/>
          <w:type w:val="continuous"/>
        </w:sectPr>
      </w:pP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tbl>
      <w:tblPr>
        <w:tblLayout w:type="fixed"/>
        <w:tblInd w:w="12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2300" w:type="dxa"/>
            <w:vAlign w:val="bottom"/>
            <w:gridSpan w:val="2"/>
          </w:tcPr>
          <w:p>
            <w:pPr>
              <w:jc w:val="center"/>
              <w:ind w:right="1292"/>
              <w:spacing w:after="0"/>
              <w:rPr>
                <w:sz w:val="20"/>
                <w:szCs w:val="20"/>
                <w:color w:val="auto"/>
              </w:rPr>
            </w:pPr>
            <w:r>
              <w:rPr>
                <w:rFonts w:ascii="Arial" w:cs="Arial" w:eastAsia="Arial" w:hAnsi="Arial"/>
                <w:sz w:val="18"/>
                <w:szCs w:val="18"/>
                <w:b w:val="1"/>
                <w:bCs w:val="1"/>
                <w:color w:val="auto"/>
                <w:w w:val="91"/>
              </w:rPr>
              <w:t>Delaware</w:t>
            </w:r>
          </w:p>
        </w:tc>
        <w:tc>
          <w:tcPr>
            <w:tcW w:w="458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13-3607736</w:t>
            </w:r>
          </w:p>
        </w:tc>
        <w:tc>
          <w:tcPr>
            <w:tcW w:w="740" w:type="dxa"/>
            <w:vAlign w:val="bottom"/>
          </w:tcPr>
          <w:p>
            <w:pPr>
              <w:spacing w:after="0"/>
              <w:rPr>
                <w:sz w:val="19"/>
                <w:szCs w:val="19"/>
                <w:color w:val="auto"/>
              </w:rPr>
            </w:pPr>
          </w:p>
        </w:tc>
      </w:tr>
      <w:tr>
        <w:trPr>
          <w:trHeight w:val="149"/>
        </w:trPr>
        <w:tc>
          <w:tcPr>
            <w:tcW w:w="4640" w:type="dxa"/>
            <w:vAlign w:val="bottom"/>
            <w:gridSpan w:val="3"/>
          </w:tcPr>
          <w:p>
            <w:pPr>
              <w:jc w:val="center"/>
              <w:ind w:left="880"/>
              <w:spacing w:after="0" w:line="149" w:lineRule="exact"/>
              <w:rPr>
                <w:sz w:val="20"/>
                <w:szCs w:val="20"/>
                <w:color w:val="auto"/>
              </w:rPr>
            </w:pPr>
            <w:r>
              <w:rPr>
                <w:rFonts w:ascii="Arial" w:cs="Arial" w:eastAsia="Arial" w:hAnsi="Arial"/>
                <w:sz w:val="14"/>
                <w:szCs w:val="14"/>
                <w:i w:val="1"/>
                <w:iCs w:val="1"/>
                <w:color w:val="auto"/>
                <w:w w:val="91"/>
              </w:rPr>
              <w:t>(State or other jurisdiction of</w:t>
            </w:r>
          </w:p>
        </w:tc>
        <w:tc>
          <w:tcPr>
            <w:tcW w:w="2520" w:type="dxa"/>
            <w:vAlign w:val="bottom"/>
          </w:tcPr>
          <w:p>
            <w:pPr>
              <w:spacing w:after="0"/>
              <w:rPr>
                <w:sz w:val="12"/>
                <w:szCs w:val="12"/>
                <w:color w:val="auto"/>
              </w:rPr>
            </w:pPr>
          </w:p>
        </w:tc>
        <w:tc>
          <w:tcPr>
            <w:tcW w:w="2060" w:type="dxa"/>
            <w:vAlign w:val="bottom"/>
            <w:gridSpan w:val="2"/>
          </w:tcPr>
          <w:p>
            <w:pPr>
              <w:jc w:val="center"/>
              <w:ind w:left="768"/>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740" w:type="dxa"/>
            <w:vAlign w:val="bottom"/>
          </w:tcPr>
          <w:p>
            <w:pPr>
              <w:spacing w:after="0"/>
              <w:rPr>
                <w:sz w:val="12"/>
                <w:szCs w:val="12"/>
                <w:color w:val="auto"/>
              </w:rPr>
            </w:pPr>
          </w:p>
        </w:tc>
      </w:tr>
      <w:tr>
        <w:trPr>
          <w:trHeight w:val="172"/>
        </w:trPr>
        <w:tc>
          <w:tcPr>
            <w:tcW w:w="4640" w:type="dxa"/>
            <w:vAlign w:val="bottom"/>
            <w:gridSpan w:val="3"/>
          </w:tcPr>
          <w:p>
            <w:pPr>
              <w:jc w:val="center"/>
              <w:ind w:left="880"/>
              <w:spacing w:after="0"/>
              <w:rPr>
                <w:sz w:val="20"/>
                <w:szCs w:val="20"/>
                <w:color w:val="auto"/>
              </w:rPr>
            </w:pPr>
            <w:r>
              <w:rPr>
                <w:rFonts w:ascii="Arial" w:cs="Arial" w:eastAsia="Arial" w:hAnsi="Arial"/>
                <w:sz w:val="14"/>
                <w:szCs w:val="14"/>
                <w:i w:val="1"/>
                <w:iCs w:val="1"/>
                <w:color w:val="auto"/>
                <w:w w:val="92"/>
              </w:rPr>
              <w:t>incorporation or organization)</w:t>
            </w:r>
          </w:p>
        </w:tc>
        <w:tc>
          <w:tcPr>
            <w:tcW w:w="2520" w:type="dxa"/>
            <w:vAlign w:val="bottom"/>
          </w:tcPr>
          <w:p>
            <w:pPr>
              <w:spacing w:after="0"/>
              <w:rPr>
                <w:sz w:val="14"/>
                <w:szCs w:val="14"/>
                <w:color w:val="auto"/>
              </w:rPr>
            </w:pPr>
          </w:p>
        </w:tc>
        <w:tc>
          <w:tcPr>
            <w:tcW w:w="2060" w:type="dxa"/>
            <w:vAlign w:val="bottom"/>
            <w:gridSpan w:val="2"/>
          </w:tcPr>
          <w:p>
            <w:pPr>
              <w:jc w:val="center"/>
              <w:ind w:left="788"/>
              <w:spacing w:after="0"/>
              <w:rPr>
                <w:sz w:val="20"/>
                <w:szCs w:val="20"/>
                <w:color w:val="auto"/>
              </w:rPr>
            </w:pPr>
            <w:r>
              <w:rPr>
                <w:rFonts w:ascii="Arial" w:cs="Arial" w:eastAsia="Arial" w:hAnsi="Arial"/>
                <w:sz w:val="14"/>
                <w:szCs w:val="14"/>
                <w:i w:val="1"/>
                <w:iCs w:val="1"/>
                <w:color w:val="auto"/>
                <w:w w:val="91"/>
              </w:rPr>
              <w:t>Identification No.)</w:t>
            </w:r>
          </w:p>
        </w:tc>
        <w:tc>
          <w:tcPr>
            <w:tcW w:w="740" w:type="dxa"/>
            <w:vAlign w:val="bottom"/>
          </w:tcPr>
          <w:p>
            <w:pPr>
              <w:spacing w:after="0"/>
              <w:rPr>
                <w:sz w:val="14"/>
                <w:szCs w:val="14"/>
                <w:color w:val="auto"/>
              </w:rPr>
            </w:pPr>
          </w:p>
        </w:tc>
      </w:tr>
      <w:tr>
        <w:trPr>
          <w:trHeight w:val="310"/>
        </w:trPr>
        <w:tc>
          <w:tcPr>
            <w:tcW w:w="4640" w:type="dxa"/>
            <w:vAlign w:val="bottom"/>
            <w:gridSpan w:val="3"/>
          </w:tcPr>
          <w:p>
            <w:pPr>
              <w:jc w:val="center"/>
              <w:ind w:left="880"/>
              <w:spacing w:after="0"/>
              <w:rPr>
                <w:sz w:val="20"/>
                <w:szCs w:val="20"/>
                <w:color w:val="auto"/>
              </w:rPr>
            </w:pPr>
            <w:r>
              <w:rPr>
                <w:rFonts w:ascii="Arial" w:cs="Arial" w:eastAsia="Arial" w:hAnsi="Arial"/>
                <w:sz w:val="18"/>
                <w:szCs w:val="18"/>
                <w:b w:val="1"/>
                <w:bCs w:val="1"/>
                <w:color w:val="auto"/>
                <w:w w:val="87"/>
              </w:rPr>
              <w:t>25134 Rye Canyon Loop Suite 300</w:t>
            </w:r>
          </w:p>
        </w:tc>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3"/>
        </w:trPr>
        <w:tc>
          <w:tcPr>
            <w:tcW w:w="4640" w:type="dxa"/>
            <w:vAlign w:val="bottom"/>
            <w:gridSpan w:val="3"/>
          </w:tcPr>
          <w:p>
            <w:pPr>
              <w:jc w:val="center"/>
              <w:ind w:left="880"/>
              <w:spacing w:after="0"/>
              <w:rPr>
                <w:sz w:val="20"/>
                <w:szCs w:val="20"/>
                <w:color w:val="auto"/>
              </w:rPr>
            </w:pPr>
            <w:r>
              <w:rPr>
                <w:rFonts w:ascii="Arial" w:cs="Arial" w:eastAsia="Arial" w:hAnsi="Arial"/>
                <w:sz w:val="18"/>
                <w:szCs w:val="18"/>
                <w:b w:val="1"/>
                <w:bCs w:val="1"/>
                <w:color w:val="auto"/>
                <w:w w:val="89"/>
              </w:rPr>
              <w:t>Valencia, California</w:t>
            </w:r>
          </w:p>
        </w:tc>
        <w:tc>
          <w:tcPr>
            <w:tcW w:w="45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91355</w:t>
            </w:r>
          </w:p>
        </w:tc>
        <w:tc>
          <w:tcPr>
            <w:tcW w:w="740" w:type="dxa"/>
            <w:vAlign w:val="bottom"/>
          </w:tcPr>
          <w:p>
            <w:pPr>
              <w:spacing w:after="0"/>
              <w:rPr>
                <w:sz w:val="20"/>
                <w:szCs w:val="20"/>
                <w:color w:val="auto"/>
              </w:rPr>
            </w:pPr>
          </w:p>
        </w:tc>
      </w:tr>
      <w:tr>
        <w:trPr>
          <w:trHeight w:val="172"/>
        </w:trPr>
        <w:tc>
          <w:tcPr>
            <w:tcW w:w="4640" w:type="dxa"/>
            <w:vAlign w:val="bottom"/>
            <w:gridSpan w:val="3"/>
          </w:tcPr>
          <w:p>
            <w:pPr>
              <w:jc w:val="center"/>
              <w:ind w:left="880"/>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2520" w:type="dxa"/>
            <w:vAlign w:val="bottom"/>
          </w:tcPr>
          <w:p>
            <w:pPr>
              <w:spacing w:after="0"/>
              <w:rPr>
                <w:sz w:val="14"/>
                <w:szCs w:val="14"/>
                <w:color w:val="auto"/>
              </w:rPr>
            </w:pPr>
          </w:p>
        </w:tc>
        <w:tc>
          <w:tcPr>
            <w:tcW w:w="2060" w:type="dxa"/>
            <w:vAlign w:val="bottom"/>
            <w:gridSpan w:val="2"/>
          </w:tcPr>
          <w:p>
            <w:pPr>
              <w:jc w:val="center"/>
              <w:ind w:left="788"/>
              <w:spacing w:after="0"/>
              <w:rPr>
                <w:sz w:val="20"/>
                <w:szCs w:val="20"/>
                <w:color w:val="auto"/>
              </w:rPr>
            </w:pPr>
            <w:r>
              <w:rPr>
                <w:rFonts w:ascii="Arial" w:cs="Arial" w:eastAsia="Arial" w:hAnsi="Arial"/>
                <w:sz w:val="14"/>
                <w:szCs w:val="14"/>
                <w:i w:val="1"/>
                <w:iCs w:val="1"/>
                <w:color w:val="auto"/>
                <w:w w:val="90"/>
              </w:rPr>
              <w:t>(Zip Code)</w:t>
            </w:r>
          </w:p>
        </w:tc>
        <w:tc>
          <w:tcPr>
            <w:tcW w:w="740" w:type="dxa"/>
            <w:vAlign w:val="bottom"/>
          </w:tcPr>
          <w:p>
            <w:pPr>
              <w:spacing w:after="0"/>
              <w:rPr>
                <w:sz w:val="14"/>
                <w:szCs w:val="14"/>
                <w:color w:val="auto"/>
              </w:rPr>
            </w:pPr>
          </w:p>
        </w:tc>
      </w:tr>
      <w:tr>
        <w:trPr>
          <w:trHeight w:val="270"/>
        </w:trPr>
        <w:tc>
          <w:tcPr>
            <w:tcW w:w="2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300" w:type="dxa"/>
            <w:vAlign w:val="bottom"/>
            <w:gridSpan w:val="3"/>
          </w:tcPr>
          <w:p>
            <w:pPr>
              <w:jc w:val="center"/>
              <w:ind w:right="308"/>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8"/>
        </w:trPr>
        <w:tc>
          <w:tcPr>
            <w:tcW w:w="2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20" w:type="dxa"/>
            <w:vAlign w:val="bottom"/>
          </w:tcPr>
          <w:p>
            <w:pPr>
              <w:jc w:val="center"/>
              <w:ind w:right="536"/>
              <w:spacing w:after="0"/>
              <w:rPr>
                <w:sz w:val="20"/>
                <w:szCs w:val="20"/>
                <w:color w:val="auto"/>
              </w:rPr>
            </w:pPr>
            <w:r>
              <w:rPr>
                <w:rFonts w:ascii="Arial" w:cs="Arial" w:eastAsia="Arial" w:hAnsi="Arial"/>
                <w:sz w:val="18"/>
                <w:szCs w:val="18"/>
                <w:b w:val="1"/>
                <w:bCs w:val="1"/>
                <w:color w:val="auto"/>
                <w:w w:val="89"/>
              </w:rPr>
              <w:t>(661) 775-5300</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97"/>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00" w:type="dxa"/>
            <w:vAlign w:val="bottom"/>
            <w:gridSpan w:val="3"/>
          </w:tcPr>
          <w:p>
            <w:pPr>
              <w:jc w:val="center"/>
              <w:ind w:right="32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2"/>
        </w:trPr>
        <w:tc>
          <w:tcPr>
            <w:tcW w:w="234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Class</w:t>
            </w:r>
          </w:p>
        </w:tc>
        <w:tc>
          <w:tcPr>
            <w:tcW w:w="2520" w:type="dxa"/>
            <w:vAlign w:val="bottom"/>
          </w:tcPr>
          <w:p>
            <w:pPr>
              <w:spacing w:after="0"/>
              <w:rPr>
                <w:sz w:val="20"/>
                <w:szCs w:val="20"/>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2340" w:type="dxa"/>
            <w:vAlign w:val="bottom"/>
          </w:tcPr>
          <w:p>
            <w:pPr>
              <w:ind w:left="1260"/>
              <w:spacing w:after="0"/>
              <w:rPr>
                <w:sz w:val="20"/>
                <w:szCs w:val="20"/>
                <w:color w:val="auto"/>
              </w:rPr>
            </w:pPr>
            <w:r>
              <w:rPr>
                <w:rFonts w:ascii="Arial" w:cs="Arial" w:eastAsia="Arial" w:hAnsi="Arial"/>
                <w:sz w:val="18"/>
                <w:szCs w:val="18"/>
                <w:color w:val="auto"/>
                <w:w w:val="82"/>
              </w:rPr>
              <w:t>Common Stock,</w:t>
            </w:r>
          </w:p>
        </w:tc>
        <w:tc>
          <w:tcPr>
            <w:tcW w:w="8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9"/>
              </w:rPr>
              <w:t>par value</w:t>
            </w:r>
          </w:p>
        </w:tc>
        <w:tc>
          <w:tcPr>
            <w:tcW w:w="1500" w:type="dxa"/>
            <w:vAlign w:val="bottom"/>
          </w:tcPr>
          <w:p>
            <w:pPr>
              <w:spacing w:after="0"/>
              <w:rPr>
                <w:sz w:val="20"/>
                <w:szCs w:val="20"/>
                <w:color w:val="auto"/>
              </w:rPr>
            </w:pPr>
            <w:r>
              <w:rPr>
                <w:rFonts w:ascii="Arial" w:cs="Arial" w:eastAsia="Arial" w:hAnsi="Arial"/>
                <w:sz w:val="18"/>
                <w:szCs w:val="18"/>
                <w:color w:val="auto"/>
              </w:rPr>
              <w:t>$0.01 per share</w:t>
            </w:r>
          </w:p>
        </w:tc>
        <w:tc>
          <w:tcPr>
            <w:tcW w:w="2520" w:type="dxa"/>
            <w:vAlign w:val="bottom"/>
          </w:tcPr>
          <w:p>
            <w:pPr>
              <w:spacing w:after="0"/>
              <w:rPr>
                <w:sz w:val="18"/>
                <w:szCs w:val="18"/>
                <w:color w:val="auto"/>
              </w:rPr>
            </w:pPr>
          </w:p>
        </w:tc>
        <w:tc>
          <w:tcPr>
            <w:tcW w:w="28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The NASDAQ Global Market</w:t>
            </w:r>
          </w:p>
        </w:tc>
      </w:tr>
      <w:tr>
        <w:trPr>
          <w:trHeight w:val="276"/>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00" w:type="dxa"/>
            <w:vAlign w:val="bottom"/>
            <w:gridSpan w:val="3"/>
          </w:tcPr>
          <w:p>
            <w:pPr>
              <w:jc w:val="center"/>
              <w:ind w:right="30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0"/>
        </w:trPr>
        <w:tc>
          <w:tcPr>
            <w:tcW w:w="2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0" w:type="dxa"/>
            <w:vAlign w:val="bottom"/>
            <w:gridSpan w:val="2"/>
          </w:tcPr>
          <w:p>
            <w:pPr>
              <w:jc w:val="center"/>
              <w:ind w:right="1828"/>
              <w:spacing w:after="0"/>
              <w:rPr>
                <w:sz w:val="20"/>
                <w:szCs w:val="20"/>
                <w:color w:val="auto"/>
              </w:rPr>
            </w:pPr>
            <w:r>
              <w:rPr>
                <w:rFonts w:ascii="Arial" w:cs="Arial" w:eastAsia="Arial" w:hAnsi="Arial"/>
                <w:sz w:val="18"/>
                <w:szCs w:val="18"/>
                <w:b w:val="1"/>
                <w:bCs w:val="1"/>
                <w:color w:val="auto"/>
                <w:w w:val="84"/>
              </w:rPr>
              <w:t>None</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72"/>
        </w:trPr>
        <w:tc>
          <w:tcPr>
            <w:tcW w:w="2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0" w:type="dxa"/>
            <w:vAlign w:val="bottom"/>
            <w:gridSpan w:val="2"/>
          </w:tcPr>
          <w:p>
            <w:pPr>
              <w:jc w:val="center"/>
              <w:ind w:right="1808"/>
              <w:spacing w:after="0"/>
              <w:rPr>
                <w:sz w:val="20"/>
                <w:szCs w:val="20"/>
                <w:color w:val="auto"/>
              </w:rPr>
            </w:pPr>
            <w:r>
              <w:rPr>
                <w:rFonts w:ascii="Arial" w:cs="Arial" w:eastAsia="Arial" w:hAnsi="Arial"/>
                <w:sz w:val="14"/>
                <w:szCs w:val="14"/>
                <w:i w:val="1"/>
                <w:iCs w:val="1"/>
                <w:color w:val="auto"/>
                <w:w w:val="88"/>
              </w:rPr>
              <w:t>(Title of Class)</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02"/>
        </w:trPr>
        <w:tc>
          <w:tcPr>
            <w:tcW w:w="844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4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tcPr>
          <w:p>
            <w:pPr>
              <w:ind w:left="2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bl>
    <w:p>
      <w:pPr>
        <w:spacing w:after="0" w:line="55" w:lineRule="exact"/>
        <w:rPr>
          <w:sz w:val="24"/>
          <w:szCs w:val="24"/>
          <w:color w:val="auto"/>
        </w:rPr>
      </w:pPr>
    </w:p>
    <w:p>
      <w:pPr>
        <w:jc w:val="both"/>
        <w:ind w:right="100" w:firstLine="11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11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114"/>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4" w:lineRule="exact"/>
        <w:rPr>
          <w:sz w:val="24"/>
          <w:szCs w:val="24"/>
          <w:color w:val="auto"/>
        </w:rPr>
      </w:pPr>
    </w:p>
    <w:p>
      <w:pPr>
        <w:ind w:right="280" w:firstLine="114"/>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85" w:lineRule="exact"/>
        <w:rPr>
          <w:sz w:val="24"/>
          <w:szCs w:val="24"/>
          <w:color w:val="auto"/>
        </w:rPr>
      </w:pPr>
    </w:p>
    <w:p>
      <w:pPr>
        <w:sectPr>
          <w:pgSz w:w="11900" w:h="16838" w:orient="portrait"/>
          <w:cols w:equalWidth="0" w:num="7">
            <w:col w:w="1580" w:space="100"/>
            <w:col w:w="400" w:space="720"/>
            <w:col w:w="1160" w:space="100"/>
            <w:col w:w="340" w:space="720"/>
            <w:col w:w="3260" w:space="420"/>
            <w:col w:w="1920" w:space="80"/>
            <w:col w:w="600"/>
          </w:cols>
          <w:pgMar w:left="240" w:top="230"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113" w:lineRule="exact"/>
        <w:rPr>
          <w:sz w:val="24"/>
          <w:szCs w:val="24"/>
          <w:color w:val="auto"/>
        </w:rPr>
      </w:pPr>
    </w:p>
    <w:p>
      <w:pPr>
        <w:sectPr>
          <w:pgSz w:w="11900" w:h="16838" w:orient="portrait"/>
          <w:cols w:equalWidth="0" w:num="3">
            <w:col w:w="7360" w:space="160"/>
            <w:col w:w="260" w:space="600"/>
            <w:col w:w="3020"/>
          </w:cols>
          <w:pgMar w:left="240" w:top="230" w:right="259" w:bottom="1440" w:gutter="0" w:footer="0" w:header="0"/>
          <w:type w:val="continuous"/>
        </w:sectPr>
      </w:pPr>
    </w:p>
    <w:p>
      <w:pPr>
        <w:ind w:right="140" w:firstLine="114"/>
        <w:spacing w:after="0" w:line="268" w:lineRule="auto"/>
        <w:rPr>
          <w:sz w:val="20"/>
          <w:szCs w:val="20"/>
          <w:color w:val="auto"/>
        </w:rPr>
      </w:pPr>
      <w:r>
        <w:rPr>
          <w:rFonts w:ascii="Arial" w:cs="Arial" w:eastAsia="Arial" w:hAnsi="Arial"/>
          <w:sz w:val="18"/>
          <w:szCs w:val="18"/>
          <w:color w:val="auto"/>
        </w:rPr>
        <w:t>As of June 30, 2015, the aggregate market value of the voting stock held by non-affiliates of the registrant, computed by reference to the last sale price of such stock as of such date on the NASDAQ Global Market, was approximately $1,461,620,053.</w:t>
      </w:r>
    </w:p>
    <w:p>
      <w:pPr>
        <w:spacing w:after="0" w:line="5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February 22, 2016, there were 428,850,858 shares of the registrant’s Common Stock outstanding.</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100" w:firstLine="114"/>
        <w:spacing w:after="0" w:line="259" w:lineRule="auto"/>
        <w:rPr>
          <w:sz w:val="20"/>
          <w:szCs w:val="20"/>
          <w:color w:val="auto"/>
        </w:rPr>
      </w:pPr>
      <w:r>
        <w:rPr>
          <w:rFonts w:ascii="Arial" w:cs="Arial" w:eastAsia="Arial" w:hAnsi="Arial"/>
          <w:sz w:val="18"/>
          <w:szCs w:val="18"/>
          <w:color w:val="auto"/>
        </w:rPr>
        <w:t>Portions of the registrant’s definitive Proxy Statement (the “Proxy Statement”) for the 2016 Annual Meeting of Stockholders to be filed with the Securities and Exchange Commission pursuant to Regulation 14A not later than 120 days after the end of the fiscal year covered by this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2"/>
          </w:tcPr>
          <w:p>
            <w:pPr>
              <w:jc w:val="center"/>
              <w:ind w:right="3860"/>
              <w:spacing w:after="0"/>
              <w:rPr>
                <w:sz w:val="20"/>
                <w:szCs w:val="20"/>
                <w:color w:val="auto"/>
              </w:rPr>
            </w:pPr>
            <w:r>
              <w:rPr>
                <w:rFonts w:ascii="Arial" w:cs="Arial" w:eastAsia="Arial" w:hAnsi="Arial"/>
                <w:sz w:val="18"/>
                <w:szCs w:val="18"/>
                <w:b w:val="1"/>
                <w:bCs w:val="1"/>
                <w:color w:val="auto"/>
                <w:w w:val="99"/>
              </w:rPr>
              <w:t>MANNKIND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Arial" w:cs="Arial" w:eastAsia="Arial" w:hAnsi="Arial"/>
                <w:sz w:val="18"/>
                <w:szCs w:val="18"/>
                <w:b w:val="1"/>
                <w:bCs w:val="1"/>
                <w:color w:val="auto"/>
                <w:w w:val="91"/>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00" w:type="dxa"/>
            <w:vAlign w:val="bottom"/>
            <w:gridSpan w:val="24"/>
          </w:tcPr>
          <w:p>
            <w:pPr>
              <w:jc w:val="center"/>
              <w:ind w:right="2960"/>
              <w:spacing w:after="0"/>
              <w:rPr>
                <w:sz w:val="20"/>
                <w:szCs w:val="20"/>
                <w:color w:val="auto"/>
              </w:rPr>
            </w:pPr>
            <w:r>
              <w:rPr>
                <w:rFonts w:ascii="Arial" w:cs="Arial" w:eastAsia="Arial" w:hAnsi="Arial"/>
                <w:sz w:val="18"/>
                <w:szCs w:val="18"/>
                <w:b w:val="1"/>
                <w:bCs w:val="1"/>
                <w:color w:val="auto"/>
                <w:w w:val="88"/>
              </w:rPr>
              <w:t>For the Fiscal Year Ended December 31, 2015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vMerge w:val="restart"/>
          </w:tcPr>
          <w:p>
            <w:pPr>
              <w:jc w:val="center"/>
              <w:ind w:right="46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w:t>
            </w:r>
          </w:p>
        </w:tc>
        <w:tc>
          <w:tcPr>
            <w:tcW w:w="446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7"/>
                <w:szCs w:val="17"/>
                <w:color w:val="auto"/>
              </w:rPr>
            </w:pPr>
          </w:p>
        </w:tc>
        <w:tc>
          <w:tcPr>
            <w:tcW w:w="46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3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3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7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3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3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tcPr>
          <w:p>
            <w:pPr>
              <w:jc w:val="center"/>
              <w:ind w:right="4640"/>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700" w:type="dxa"/>
            <w:vAlign w:val="bottom"/>
            <w:gridSpan w:val="3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Market for the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Selected Financial Data</w:t>
              </w:r>
            </w:hyperlink>
          </w:p>
        </w:tc>
        <w:tc>
          <w:tcPr>
            <w:tcW w:w="6460" w:type="dxa"/>
            <w:vAlign w:val="bottom"/>
            <w:tcBorders>
              <w:top w:val="single" w:sz="8" w:color="0000EE"/>
            </w:tcBorders>
            <w:gridSpan w:val="26"/>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3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3"/>
          </w:tcPr>
          <w:p>
            <w:pPr>
              <w:spacing w:after="0"/>
              <w:rPr>
                <w:sz w:val="17"/>
                <w:szCs w:val="17"/>
                <w:color w:val="auto"/>
              </w:rPr>
            </w:pPr>
          </w:p>
        </w:tc>
        <w:tc>
          <w:tcPr>
            <w:tcW w:w="3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Financial Statements and Supplementary Data</w:t>
              </w:r>
            </w:hyperlink>
          </w:p>
        </w:tc>
        <w:tc>
          <w:tcPr>
            <w:tcW w:w="64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w:t>
              </w:r>
            </w:hyperlink>
          </w:p>
        </w:tc>
        <w:tc>
          <w:tcPr>
            <w:tcW w:w="4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CONSOLIDATED STATEMENTS OF OPERATIONS</w:t>
              </w:r>
            </w:hyperlink>
          </w:p>
        </w:tc>
        <w:tc>
          <w:tcPr>
            <w:tcW w:w="58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CONSOLIDATED STATEMENTS OF COMPREHENSIVE LOSS</w:t>
              </w:r>
            </w:hyperlink>
          </w:p>
        </w:tc>
        <w:tc>
          <w:tcPr>
            <w:tcW w:w="49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STOCKHOLDERS’ DEFICIT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CONSOLIDATED STATEMENTS OF CASH FLOWS</w:t>
              </w:r>
            </w:hyperlink>
          </w:p>
        </w:tc>
        <w:tc>
          <w:tcPr>
            <w:tcW w:w="1040" w:type="dxa"/>
            <w:vAlign w:val="bottom"/>
            <w:tcBorders>
              <w:top w:val="single" w:sz="8" w:color="0000EE"/>
            </w:tcBorders>
            <w:gridSpan w:val="8"/>
          </w:tcPr>
          <w:p>
            <w:pPr>
              <w:spacing w:after="0"/>
              <w:rPr>
                <w:sz w:val="17"/>
                <w:szCs w:val="17"/>
                <w:color w:val="auto"/>
              </w:rPr>
            </w:pPr>
          </w:p>
        </w:tc>
        <w:tc>
          <w:tcPr>
            <w:tcW w:w="47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Changes in and Disagreements With Accountants on Accounting and Financial Disclosure</w:t>
              </w:r>
            </w:hyperlink>
          </w:p>
        </w:tc>
        <w:tc>
          <w:tcPr>
            <w:tcW w:w="3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Controls and Procedures</w:t>
              </w:r>
            </w:hyperlink>
          </w:p>
        </w:tc>
        <w:tc>
          <w:tcPr>
            <w:tcW w:w="79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9B.</w:t>
            </w:r>
          </w:p>
        </w:tc>
        <w:tc>
          <w:tcPr>
            <w:tcW w:w="9700" w:type="dxa"/>
            <w:vAlign w:val="bottom"/>
            <w:gridSpan w:val="3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458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Directors, Executive Officers and Corporate Governance</w:t>
              </w:r>
            </w:hyperlink>
          </w:p>
        </w:tc>
        <w:tc>
          <w:tcPr>
            <w:tcW w:w="5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3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13.</w:t>
            </w:r>
          </w:p>
        </w:tc>
        <w:tc>
          <w:tcPr>
            <w:tcW w:w="9700" w:type="dxa"/>
            <w:vAlign w:val="bottom"/>
            <w:gridSpan w:val="3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43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PART IV</w:t>
              </w:r>
            </w:hyperlink>
          </w:p>
        </w:tc>
        <w:tc>
          <w:tcPr>
            <w:tcW w:w="460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15.</w:t>
            </w:r>
          </w:p>
        </w:tc>
        <w:tc>
          <w:tcPr>
            <w:tcW w:w="9700" w:type="dxa"/>
            <w:vAlign w:val="bottom"/>
            <w:gridSpan w:val="3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Exhibits.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timing and amount of our future recognition of deferred product sales from collaboration, product costs from collaboration and income from collaboration;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Except as required by law, we undertake no obligation to publicly update or revise any forward-looking statements, whether as a result of new information, future events or otherwise.</w:t>
      </w:r>
    </w:p>
    <w:p>
      <w:pPr>
        <w:spacing w:after="0" w:line="4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Dreamboat</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Unless the context requires otherwise, the words “MannKind,” “we,” “company,” “us” and “our” refer to MannKind Corporation and its subsidiaries.</w:t>
      </w:r>
    </w:p>
    <w:p>
      <w:pPr>
        <w:spacing w:after="0" w:line="113" w:lineRule="exact"/>
        <w:rPr>
          <w:sz w:val="20"/>
          <w:szCs w:val="20"/>
          <w:color w:val="auto"/>
        </w:rPr>
      </w:pPr>
    </w:p>
    <w:p>
      <w:pPr>
        <w:jc w:val="both"/>
        <w:ind w:right="80" w:firstLine="228"/>
        <w:spacing w:after="0" w:line="303" w:lineRule="auto"/>
        <w:rPr>
          <w:sz w:val="20"/>
          <w:szCs w:val="20"/>
          <w:color w:val="auto"/>
        </w:rPr>
      </w:pPr>
      <w:r>
        <w:rPr>
          <w:rFonts w:ascii="Arial" w:cs="Arial" w:eastAsia="Arial" w:hAnsi="Arial"/>
          <w:sz w:val="15"/>
          <w:szCs w:val="15"/>
          <w:color w:val="auto"/>
        </w:rPr>
        <w:t>MannKind Corporation is a biopharmaceutical company focused on the discovery and development of therapeutic products for diseases such as diabetes. Our only approved product, AFREZZA, is a rapid-acting inhaled insulin that was approved by the U.S. Food and Drug Administration (the “FDA”) on June 27, 2014 to improve glycemic control in adult patients with diabetes. AFREZZA became available by prescription in United States retail pharmacies in February 2015.</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According to the Centers for Disease Control and Prevention, in the United States in 2012, approximately 29.1 million people had diabetes. Globally, the International Diabetes Federation has estimated that approximately 415.0 million people had diabetes in 2015 and approximately 642.0 million people will have diabetes by 2040.</w:t>
      </w:r>
    </w:p>
    <w:p>
      <w:pPr>
        <w:spacing w:after="0" w:line="63"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AFREZZA is a rapid-acting, inhaled insulin used to control high blood sugar in adults with type 1 and type 2 diabetes. The product consists of a dry formulation of human insulin delivered from a small and portable inhaler. Administered at the beginning of a meal, AFREZZA dissolves rapidly upon inhalation to the lung and delivers insulin quickly to the bloodstream. Peak insulin levels are achieved within 12–15 minutes of administration.</w:t>
      </w:r>
    </w:p>
    <w:p>
      <w:pPr>
        <w:spacing w:after="0" w:line="2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On August 11, 2014, we entered into a license and collaboration agreement (the “Sanofi License Agreement”) with Sanofi-Aventis Deutschland GmbH (which subsequently assigned its rights and obligations under the agreement to Sanofi-Aventis U.S. LLC (“Sanofi”)), pursuant to which Sanofi became responsible for global commercial, regulatory and development activities for AFREZZA. For the year ended December 31, 2015, Sanofi reported a total of €7.0 million in annual sales of AFREZZA.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color w:val="auto"/>
        </w:rPr>
        <w:t>On January 4, 2016, we received written notice from Sanofi of its election to terminate in its entirety the Sanofi License Agreement. Sanofi’s notice indicated that the termination was pursuant to Sanofi’s right to terminate the agreement upon Sanofi’s good faith determination that the commercialization of AFREZZA is no longer economically viable in the United States, in which case the effective date of termination (the “Termination Date”) would be April 4, 2016. In the alternative, Sanofi indicated that the termination was also pursuant to its right to terminate the agreement for any reason, in which case the Termination Date would be July 4, 2016. We believe that Sanofi lacks a good faith basis for determining that commercialization of AFREZZA is no longer economically viable in the United States. Nonetheless, in the interest of an expedient transition, we are currently working with Sanofi to transfer and wind down the agreement activities by April 4, 2016, or as soon as practicable thereafter. As required by the Sanofi License Agreement, we and Sanofi are currently using diligent efforts to facilitate the smooth and orderly transition of development and commercialization activities related to AFREZZA, and are negotiating in good faith a written transition agreement for this purpose. As a result of the foregoing termination, effective on the Termination Date and thereafter during any period which Sanofi is required to perform any wind-down activities pursuant to the terms of the Sanofi License Agreement, the rights granted to Sanofi under the Sanofi License Agreement to develop and commercialize AFREZZA will become non-exclusive and we will have the right to engage one or more other distributors and/or licensees of AFREZZA. Sanofi will continue to distribute AFREZZA during the wind-down period as required by the agreement until such time that we or our designee takes over responsibility for distribution. All profits and losses from AFREZZA product sales by Sanofi or its affiliates after the Termination Date, if any, will continue to be shared 65% by Sanofi and 35% by us pursuant to the terms of the Sanofi License Agreement. We and Sanofi are also parties to a supply agreement, dated August 11, 2014 (the “Sanofi Supply Agreement”), pursuant to which we are required to supply Sanofi or its affiliates or its sublicensees such quantities of AFREZZA as requested by Sanofi to cover its commercial requirements. As a result of the termination of the Sanofi License Agreement, the Sanofi Supply Agreement will terminate by its terms on the Termination Date. In addition to the foregoing agreements, we and Aventisub LLC, an affiliate of Sanofi, are parties to a Senior Secured Revolving Promissory Note, dated September 23, 2014 (the “Sanofi Loan Facility”) and a Guaranty and Security Agreement (the “Security Agreement”). Both the Sanofi Loan Facility and the Security Agreement remain in effect. Pursuant to the Sanofi Loan Facility, we may borrow up to an aggregate of $175.0 million to fund our share of net losses from AFREZZA product sales by Sanofi or its affiliates. The original maturity date of September 23, 2024 for repayment of the outstanding principal amount of the loans under the Sanofi Loan Facility is not affected by the termination of the Sanofi License Agreement.</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part of the approval of AFREZZA, the FDA required us to conduct the following post-marketing studies:</w:t>
      </w:r>
    </w:p>
    <w:p>
      <w:pPr>
        <w:spacing w:after="0" w:line="90" w:lineRule="exact"/>
        <w:rPr>
          <w:sz w:val="20"/>
          <w:szCs w:val="20"/>
          <w:color w:val="auto"/>
        </w:rPr>
      </w:pPr>
    </w:p>
    <w:p>
      <w:pPr>
        <w:ind w:left="440" w:hanging="216"/>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dose-ranging pharmacokinetic (PK)-pharmacodynamic (PD) glucose-clamp trial to characterize the dose-response of AFREZZA relative to subcutaneous insulin in patients with type 1 diabetes, which Sanofi completed in 2015;</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PK-PD glucose-clamp trial to characterize within-subject variability, which Sanofi completed in 2015;</w:t>
      </w:r>
    </w:p>
    <w:p>
      <w:pPr>
        <w:spacing w:after="0" w:line="90" w:lineRule="exact"/>
        <w:rPr>
          <w:rFonts w:ascii="Arial" w:cs="Arial" w:eastAsia="Arial" w:hAnsi="Arial"/>
          <w:sz w:val="18"/>
          <w:szCs w:val="18"/>
          <w:color w:val="auto"/>
        </w:rPr>
      </w:pPr>
    </w:p>
    <w:p>
      <w:pPr>
        <w:jc w:val="both"/>
        <w:ind w:left="440" w:hanging="216"/>
        <w:spacing w:after="0" w:line="256"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open-label PK and multiple-dose safety and tolerability dose-titration trial of AFREZZA in pediatric patients ages 4 to 17 years with type 1 diabetes, for which Sanofi is in the process of enrolling subjects, followed by a prospective, open-label, randomized, controlled trial comparing the efficacy and safety of prandial AFREZZA to prandial subcutaneous insulin as part used in combination with subcutaneous basal insulin in pediatric patients 4 to 17 years old with type 1 or type 2 diabetes; and</w:t>
      </w:r>
    </w:p>
    <w:p>
      <w:pPr>
        <w:spacing w:after="0" w:line="62" w:lineRule="exact"/>
        <w:rPr>
          <w:rFonts w:ascii="Arial" w:cs="Arial" w:eastAsia="Arial" w:hAnsi="Arial"/>
          <w:sz w:val="18"/>
          <w:szCs w:val="18"/>
          <w:color w:val="auto"/>
        </w:rPr>
      </w:pPr>
    </w:p>
    <w:p>
      <w:pPr>
        <w:ind w:left="440" w:right="280" w:hanging="216"/>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five-year, randomized, controlled trial in 8,000-10,000 patients with type 2 diabetes to assess the potential serious risk of pulmonary malignancy with AFREZZA use.</w:t>
      </w:r>
    </w:p>
    <w:p>
      <w:pPr>
        <w:spacing w:after="0" w:line="51"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Pursuant to the Sanofi License Agreement, we transferred the approved new drug application (“NDA”) for AFREZZA to Sanofi following the closing of the transaction. Sanofi has completed the two PK-PD studies and is in the process of enrolling subjects in the first part of the pediatric study. The obligation to complete the pediatric study and to conduct the five-year pulmonary safety study will revert to us when the NDA for AFREZZA is transferred back to us in connection with the termination of the Sanofi License Agreement. At that time, we will become responsible for the NDA and its maintenance.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96"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We manufacture AFREZZA in our Danbury, Connecticut facility, where we formulate the AFREZZA inhalation powder, fill it into plastic cartridges and then blister package the cartridges and seal the blister cards inside a foil overwrap. These overwraps are then packaged into cartons along with inhalers and printed material by a third-party packager. The cartridges and inhalers are manufactured for us by a third-party plastic-molding company; the cartridges are delivered to our Connecticut facility whereas the inhalers are shipped directly to the packaging contractor.</w:t>
      </w:r>
    </w:p>
    <w:p>
      <w:pPr>
        <w:spacing w:after="0" w:line="32"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quality management systems of our Connecticut facility were certified to be in conformance with the ISO 13485 and ISO 9001 standards. Our facility has been inspected twice by the FDA, once for a pre-approval inspection in the fall of 2009 and once for a regular inspection in May 2013. The FDA is expected to conduct additional inspections of our facility.</w:t>
      </w:r>
    </w:p>
    <w:p>
      <w:pPr>
        <w:spacing w:after="0" w:line="59"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We believe that our Connecticut facility has enough capacity to satisfy the current commercial demand for AFREZZA. We currently have three operational filling lines with the capacity to process 300-360 million cartridges per year. In addition, the facility includes expansion space to accommodate additional filling lines and other equipment, allowing production capacity to be increased based on the demand for AFREZZA over the next several years.</w:t>
      </w:r>
    </w:p>
    <w:p>
      <w:pPr>
        <w:spacing w:after="0" w:line="26"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Currently, the only approved source of insulin for AFREZZA is manufactured by Amphastar France Pharmaceuticals S.A.S. (“Amphastar”). In April 2014, Amphastar acquired a manufacturing facility from N.V. Organon, a subsidiary of Merck &amp; Co., Inc., where we had previously obtained the insulin that we use to make AFREZZA. On July 31, 2014, we entered into a supply agreement with Amphastar (the “Insulin Supply Agreement”), pursuant to which we agreed to purchase certain annual minimum quantities of insulin for calendar years 2015 through 2019 for an aggregate total purchase price of approximately</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€120.1 million, of which €98.5 million is remaining at December 31, 2015. We have contracted for the purchase of €28.8 million in 2016 and the remaining annual minimum quantities will be €23.3 million for the years ending December 31, 2017 through 2019. We also may purchase additional quantities of insulin over such annual minimum quantities at our option. Unless earlier terminated, the term of the Insulin Supply Agreement expires on December 31, 2019 and can be renewed for additional, successive two year terms upon 12 months written notice given prior to the end of the initial term or any additional two year term. We and Amphastar each have normal and customary termination rights, including termination for material breach that is not cured within a specific time frame or in the event of liquidation, bankruptcy or insolvency of the other party. In addition, we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us to pay the full amount of all unpaid purchase commitments due over the initial term within 60 calendar days of the effective date of such termination.</w:t>
      </w:r>
    </w:p>
    <w:p>
      <w:pPr>
        <w:spacing w:after="0" w:line="39"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We also own a quantity of bulk insulin that we acquired in June 2009 from Pfizer Manufacturing Frankfurt GmbH, a subsidiary of Pfizer Inc., as well as an option to purchase from Pfizer additional insulin inventory, in whole or in part, at a specified price, to the extent it remains available. The purchase price for this insulin was fully expensed at the time of the purchase. To date, none of this insulin has been qualified as a source of insulin for AFREZZA.</w:t>
      </w:r>
    </w:p>
    <w:p>
      <w:pPr>
        <w:spacing w:after="0" w:line="26" w:lineRule="exact"/>
        <w:rPr>
          <w:sz w:val="20"/>
          <w:szCs w:val="20"/>
          <w:color w:val="auto"/>
        </w:rPr>
      </w:pPr>
    </w:p>
    <w:p>
      <w:pPr>
        <w:jc w:val="both"/>
        <w:ind w:right="680" w:firstLine="228"/>
        <w:spacing w:after="0" w:line="332" w:lineRule="auto"/>
        <w:rPr>
          <w:sz w:val="20"/>
          <w:szCs w:val="20"/>
          <w:color w:val="auto"/>
        </w:rPr>
      </w:pPr>
      <w:r>
        <w:rPr>
          <w:rFonts w:ascii="Arial" w:cs="Arial" w:eastAsia="Arial" w:hAnsi="Arial"/>
          <w:sz w:val="16"/>
          <w:szCs w:val="16"/>
          <w:color w:val="auto"/>
        </w:rPr>
        <w:t>Currently, we purchase the raw material from which we produce Technosphere particles (fumaryl diketopiperazine (“FDKP”)) from a major chemical manufacturer with facilities in Europe and North America. We also have the capability of manufacturing this chemical ourselves in our Danbury facility.</w:t>
      </w:r>
    </w:p>
    <w:p>
      <w:pPr>
        <w:spacing w:after="0" w:line="4"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We have a three-year supply agreement with the contract manufacturer that produces our inhaler and the corresponding cartridges. We expect to be able to qualify an additional vendor of plastic-molding contract manufacturing services, if warranted by demand.</w:t>
      </w:r>
    </w:p>
    <w:p>
      <w:pPr>
        <w:spacing w:after="0" w:line="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also have a three-year agreement with the contractor that performs the final packaging of AFREZZA overwraps, inhalers and printed material into patient kits. We expect to be able to qualify an additional vendor of packaging services, if warranted by demand.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Our third-party suppliers are subject to extensive governmental regulation. We rely on our suppliers to comply with relevant regulatory requirements, including compliance with Quality System Regulations (“QSRs”).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Technosphere Formulation Technology</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AFREZZA utilizes our proprietary Technosphere formulation technology; however, the application of this technology is not limited to insulin delivery. We believe it represents a versatile drug delivery platform that may allow the oral inhalation of a wide range of therapeutics. We have successfully prepared Technosphere formulations of anionic and cationic drugs, hydrophobic and hydrophilic drugs, proteins, peptides, and small molecules. Technosphere powders are based on our proprietary excipient, FDKP, which is a pH-sensitive organic molecule that self-assembles into small particles under acidic conditions. Certain drugs, such as insulin, can be loaded onto these particles by combining a solution of the drug with a suspension of Technosphere material, which is then dried to powder form. The resulting powder has a consistent and narrow range of particle sizes with good aerodynamic properties that enable them to fly efficiently deep into the lungs. Technosphere powders dissolve extremely fast after inhalation when the particles contact the moist lung surface with its neutral pH, releasing the drug molecules to diffuse across a thin layer of cells into the arterial circulation, bypassing the liver to provide excellent systemic exposure.</w:t>
      </w:r>
    </w:p>
    <w:p>
      <w:pPr>
        <w:spacing w:after="0" w:line="37" w:lineRule="exact"/>
        <w:rPr>
          <w:sz w:val="20"/>
          <w:szCs w:val="20"/>
          <w:color w:val="auto"/>
        </w:rPr>
      </w:pPr>
    </w:p>
    <w:p>
      <w:pPr>
        <w:ind w:right="100" w:firstLine="228"/>
        <w:spacing w:after="0" w:line="310" w:lineRule="auto"/>
        <w:rPr>
          <w:sz w:val="20"/>
          <w:szCs w:val="20"/>
          <w:color w:val="auto"/>
        </w:rPr>
      </w:pPr>
      <w:r>
        <w:rPr>
          <w:rFonts w:ascii="Arial" w:cs="Arial" w:eastAsia="Arial" w:hAnsi="Arial"/>
          <w:sz w:val="15"/>
          <w:szCs w:val="15"/>
          <w:color w:val="auto"/>
        </w:rPr>
        <w:t>We have also created an innovative line of breath-powered, dry powder inhalers. Our inhalers are easy to use, cost-effective and can be produced in both a reusable (chronic treatment) and a single-use (acute treatment) format. Both the reusable and single use inhaler formats use the same internal air-flow design. Being breath-powered, our inhalers require only the patient’s inhalation effort to deliver the powder. Patients are not required to activate the inhaler prior to use and no activation step with inhalation is required. To administer the inhalation powder, a patient loads a cartridge into our inhaler and inhales through the mouthpiece. Upon inhalation, the dry powder is lifted out of the cartridge and broken (or de-agglomerated) into small particles. The inhalers are engineered to produce an aggressive airstream to de-agglomerate the powder while keeping the powder moving slowly. This slow-moving powder effectively navigates the patient’s airways for delivery into the lung with minimal deposition at the back of the throat. Our inhalers show very little change in performance over a wide range of inhalation efforts and produce high bioavailability. In a handling study, pediatric subjects as young as four years old were readily able to use the inhaler.</w:t>
      </w:r>
    </w:p>
    <w:p>
      <w:pPr>
        <w:spacing w:after="0" w:line="2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To aid in the development of our oral inhalation products, we have created a number of innovative development tools and techniques. For example, our BluHale technology is a novel inhalation profiling tool that uses miniature acoustic sensors to assess the drug delivery process at the level of an individual inhaler. This tool provides real-time insight into patient usage, device system performance and pharmacokinetic effects. We can combine this tool with other development tools, such as patient inhalation simulators and anatomically correct airway models, in order to integrate inhaler performance with formulation development right from the beginning of the development program. The result is a powder/inhaler combination product customized to the target patient population from the first clinical study.</w:t>
      </w:r>
    </w:p>
    <w:p>
      <w:pPr>
        <w:spacing w:after="0" w:line="63" w:lineRule="exact"/>
        <w:rPr>
          <w:sz w:val="20"/>
          <w:szCs w:val="20"/>
          <w:color w:val="auto"/>
        </w:rPr>
      </w:pPr>
    </w:p>
    <w:p>
      <w:pPr>
        <w:jc w:val="both"/>
        <w:ind w:right="80" w:firstLine="228"/>
        <w:spacing w:after="0" w:line="259" w:lineRule="auto"/>
        <w:rPr>
          <w:sz w:val="20"/>
          <w:szCs w:val="20"/>
          <w:color w:val="auto"/>
        </w:rPr>
      </w:pPr>
      <w:r>
        <w:rPr>
          <w:rFonts w:ascii="Arial" w:cs="Arial" w:eastAsia="Arial" w:hAnsi="Arial"/>
          <w:sz w:val="18"/>
          <w:szCs w:val="18"/>
          <w:color w:val="auto"/>
        </w:rPr>
        <w:t>In January 2016, we entered into a collaboration and license agreement with a newly formed entity, Receptor Life Sciences, Inc., pursuant to which Receptor is evaluating the feasibility of developing multiple inhaled therapeutic products using our technology to explore their potential to treat conditions such as chronic pain, neurologic diseases and inflammatory disorders.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are the key elements of our strategy:</w:t>
      </w:r>
    </w:p>
    <w:p>
      <w:pPr>
        <w:spacing w:after="0" w:line="9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i w:val="1"/>
          <w:iCs w:val="1"/>
          <w:color w:val="auto"/>
        </w:rPr>
        <w:t xml:space="preserve">Commercialization and development of AFREZZA. </w:t>
      </w:r>
      <w:r>
        <w:rPr>
          <w:rFonts w:ascii="Arial" w:cs="Arial" w:eastAsia="Arial" w:hAnsi="Arial"/>
          <w:sz w:val="16"/>
          <w:szCs w:val="16"/>
          <w:color w:val="auto"/>
        </w:rPr>
        <w:t>As soon as practicable following the Termination Date of the Sanofi License Agreement, our intention is to</w:t>
      </w:r>
      <w:r>
        <w:rPr>
          <w:rFonts w:ascii="Arial" w:cs="Arial" w:eastAsia="Arial" w:hAnsi="Arial"/>
          <w:sz w:val="16"/>
          <w:szCs w:val="16"/>
          <w:i w:val="1"/>
          <w:iCs w:val="1"/>
          <w:color w:val="auto"/>
        </w:rPr>
        <w:t xml:space="preserve"> </w:t>
      </w:r>
      <w:r>
        <w:rPr>
          <w:rFonts w:ascii="Arial" w:cs="Arial" w:eastAsia="Arial" w:hAnsi="Arial"/>
          <w:sz w:val="16"/>
          <w:szCs w:val="16"/>
          <w:color w:val="auto"/>
        </w:rPr>
        <w:t>assume the responsibility for commercializing and developing AFREZZA in the United States. In order to commercially market AFREZZA, we will need to develop an internal sales team and expand our marketing infrastructure, collaborate with third parties who have greater sales and marketing capabilities, purchase services from a contract commercial organization, or utilize some combination of one or more of the above. We also intend to seek regional partnerships for the development and commercialization of AFREZZA in foreign jurisdictions where there are appropriate commercial opportunities.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228"/>
        <w:spacing w:after="0" w:line="298" w:lineRule="auto"/>
        <w:rPr>
          <w:sz w:val="20"/>
          <w:szCs w:val="20"/>
          <w:color w:val="auto"/>
        </w:rPr>
      </w:pPr>
      <w:r>
        <w:rPr>
          <w:rFonts w:ascii="Arial" w:cs="Arial" w:eastAsia="Arial" w:hAnsi="Arial"/>
          <w:sz w:val="16"/>
          <w:szCs w:val="16"/>
          <w:i w:val="1"/>
          <w:iCs w:val="1"/>
          <w:color w:val="auto"/>
        </w:rPr>
        <w:t xml:space="preserve">Capitalize on our proprietary Technosphere and inhaler technology for the delivery of active pharmaceutical ingredients. </w:t>
      </w:r>
      <w:r>
        <w:rPr>
          <w:rFonts w:ascii="Arial" w:cs="Arial" w:eastAsia="Arial" w:hAnsi="Arial"/>
          <w:sz w:val="16"/>
          <w:szCs w:val="16"/>
          <w:color w:val="auto"/>
        </w:rPr>
        <w:t>We believe that Technosphere</w:t>
      </w:r>
      <w:r>
        <w:rPr>
          <w:rFonts w:ascii="Arial" w:cs="Arial" w:eastAsia="Arial" w:hAnsi="Arial"/>
          <w:sz w:val="16"/>
          <w:szCs w:val="16"/>
          <w:i w:val="1"/>
          <w:iCs w:val="1"/>
          <w:color w:val="auto"/>
        </w:rPr>
        <w:t xml:space="preserve"> </w:t>
      </w:r>
      <w:r>
        <w:rPr>
          <w:rFonts w:ascii="Arial" w:cs="Arial" w:eastAsia="Arial" w:hAnsi="Arial"/>
          <w:sz w:val="16"/>
          <w:szCs w:val="16"/>
          <w:color w:val="auto"/>
        </w:rPr>
        <w:t>formulations of active pharmaceutical ingredients have the potential to demonstrate clinical advantages over existing therapeutic options in a variety of therapeutic areas. In addition to our collaboration with Receptor, we are actively exploring other opportunities to out-license our proprietary Technosphere formulation and device technologies. We are also evaluating several product opportunities that we would consider developing as internally funded efforts.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To date, we have relied on Sanofi to conduct all sales and marketing activities related to AFREZZA. As soon as practicable following the Termination Date of the Sanofi License Agreement, our intention is to assume the responsibility for these activities.</w:t>
      </w:r>
    </w:p>
    <w:p>
      <w:pPr>
        <w:spacing w:after="0" w:line="51"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In order to commercially market AFREZZA, we will need to develop an internal sales team and expand our marketing infrastructure, collaborate with third parties who have greater sales and marketing capabilities, purchase services from a contract commercial organization, or utilize some combination of these approaches.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w:t>
      </w:r>
    </w:p>
    <w:p>
      <w:pPr>
        <w:spacing w:after="0" w:line="35"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the commercial version of our inhaler and cartridges. We have additional pending patent applications, and expect to file further applications, relating to the drug delivery platform, methods of manufacture, the AFREZZA product and its use, and other Technosphere-based products, inhalers and inhaler cartridges. Overall, AFREZZA is protected by over 330 issued patents in the United States and selected jurisdictions around the world and we also have over 350 applications pending that may provide additional protection if and when they are allowed. These include composition and inhaler and cartridge patents providing protection for AFREZZA with various expiration dates, the longer-lived of which will not expire until 2032. In addition, we have certain method of treatment claims that have terms extending into 2026 and 2029.</w:t>
      </w:r>
    </w:p>
    <w:p>
      <w:pPr>
        <w:spacing w:after="0" w:line="37"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62" w:lineRule="exact"/>
        <w:rPr>
          <w:sz w:val="20"/>
          <w:szCs w:val="20"/>
          <w:color w:val="auto"/>
        </w:rPr>
      </w:pPr>
    </w:p>
    <w:p>
      <w:pPr>
        <w:ind w:right="80" w:firstLine="228"/>
        <w:spacing w:after="0" w:line="312" w:lineRule="auto"/>
        <w:rPr>
          <w:sz w:val="20"/>
          <w:szCs w:val="20"/>
          <w:color w:val="auto"/>
        </w:rPr>
      </w:pPr>
      <w:r>
        <w:rPr>
          <w:rFonts w:ascii="Arial" w:cs="Arial" w:eastAsia="Arial" w:hAnsi="Arial"/>
          <w:sz w:val="15"/>
          <w:szCs w:val="15"/>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59"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and our oral inhalation technologies, we have identified certain third-party patents having claims that may trigger an allegation of infringement by virtue of the commercial manufacture and sale of AFREZZA. We believe that AFREZZA does not infringe any valid claims of any patent owned by a third party. However, if a court were to determine that the manufacture or sale of AFREZZA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(“USPTO”) to determine priority of invention. We may also be required to participate in interference proceedings involving our issued patents. 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52"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Treatments</w:t>
      </w:r>
    </w:p>
    <w:p>
      <w:pPr>
        <w:spacing w:after="0" w:line="90"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51" w:lineRule="exact"/>
        <w:rPr>
          <w:sz w:val="20"/>
          <w:szCs w:val="20"/>
          <w:color w:val="auto"/>
        </w:rPr>
      </w:pPr>
    </w:p>
    <w:p>
      <w:pPr>
        <w:ind w:right="680" w:firstLine="228"/>
        <w:spacing w:after="0" w:line="391" w:lineRule="auto"/>
        <w:rPr>
          <w:sz w:val="20"/>
          <w:szCs w:val="20"/>
          <w:color w:val="auto"/>
        </w:rPr>
      </w:pPr>
      <w:r>
        <w:rPr>
          <w:rFonts w:ascii="Arial" w:cs="Arial" w:eastAsia="Arial" w:hAnsi="Arial"/>
          <w:sz w:val="18"/>
          <w:szCs w:val="18"/>
          <w:color w:val="auto"/>
        </w:rPr>
        <w:t xml:space="preserve">We have set forth below more detailed information about certain of our competitors. The following is based on information currently available to us. </w:t>
      </w:r>
      <w:r>
        <w:rPr>
          <w:rFonts w:ascii="Arial" w:cs="Arial" w:eastAsia="Arial" w:hAnsi="Arial"/>
          <w:sz w:val="18"/>
          <w:szCs w:val="18"/>
          <w:b w:val="1"/>
          <w:bCs w:val="1"/>
          <w:i w:val="1"/>
          <w:iCs w:val="1"/>
          <w:color w:val="auto"/>
        </w:rPr>
        <w:t>Rapid-acting (Injected) Insulin</w:t>
      </w:r>
    </w:p>
    <w:p>
      <w:pPr>
        <w:spacing w:after="0" w:line="1" w:lineRule="exact"/>
        <w:rPr>
          <w:sz w:val="20"/>
          <w:szCs w:val="20"/>
          <w:color w:val="auto"/>
        </w:rPr>
      </w:pPr>
    </w:p>
    <w:p>
      <w:pPr>
        <w:ind w:right="340" w:firstLine="228"/>
        <w:spacing w:after="0" w:line="256" w:lineRule="auto"/>
        <w:rPr>
          <w:sz w:val="20"/>
          <w:szCs w:val="20"/>
          <w:color w:val="auto"/>
        </w:rPr>
      </w:pPr>
      <w:r>
        <w:rPr>
          <w:rFonts w:ascii="Arial" w:cs="Arial" w:eastAsia="Arial" w:hAnsi="Arial"/>
          <w:sz w:val="18"/>
          <w:szCs w:val="18"/>
          <w:color w:val="auto"/>
        </w:rPr>
        <w:t>Currently, there is no approved insulin product that is absorbed into the bloodstream as rapidly as AFREZZA, i.e., reaching peak levels within 12 to 15 minutes after administration. There are several formulations of “rapid-acting” insulin analogs that reach peak insulin levels within 45 to 90 minutes after injection. The principal products in this category are insulin lispro, which is marketed by Eli Lilly &amp; Company, or Lilly; insulin aspart, which is marketed by Novo Nordisk A/S, or Novo Nordisk; and insulin glulisine, which is marketed by Sanofi.</w:t>
      </w:r>
    </w:p>
    <w:p>
      <w:pPr>
        <w:spacing w:after="0" w:line="62"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Several insulin products in development are reported to have a time-action profile that is more rapid than that of the currently available injected rapid-acting insulin analogs. For example, Novo Nordisk is developing NN1218, an insulin analog that is intended to provide faster onset of action than aspart. NN1218 is currently undergoing regulatory review in the United States and Europe. In addition, Biodel, Inc. has conducted a Phase 2 clinical trial of BIOD-123, a formulation of human insulin with certain excipients that increase the rate of absorption following injection.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Inhaled Insulin Delivery Systems</w:t>
      </w:r>
    </w:p>
    <w:p>
      <w:pPr>
        <w:spacing w:after="0" w:line="90"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January 2006, Exubera</w:t>
      </w:r>
      <w:r>
        <w:rPr>
          <w:rFonts w:ascii="Arial" w:cs="Arial" w:eastAsia="Arial" w:hAnsi="Arial"/>
          <w:sz w:val="10"/>
          <w:szCs w:val="10"/>
          <w:color w:val="auto"/>
        </w:rPr>
        <w:t>®</w:t>
      </w:r>
      <w:r>
        <w:rPr>
          <w:rFonts w:ascii="Arial" w:cs="Arial" w:eastAsia="Arial" w:hAnsi="Arial"/>
          <w:sz w:val="16"/>
          <w:szCs w:val="16"/>
          <w:color w:val="auto"/>
        </w:rPr>
        <w:t>, developed by Pfizer in collaboration with Nektar Therapeutics, Inc., was approved for the treatment of adults with type 1 and type 2 diabetes. Exubera</w:t>
      </w:r>
      <w:r>
        <w:rPr>
          <w:rFonts w:ascii="Arial" w:cs="Arial" w:eastAsia="Arial" w:hAnsi="Arial"/>
          <w:sz w:val="10"/>
          <w:szCs w:val="10"/>
          <w:color w:val="auto"/>
        </w:rPr>
        <w:t>®</w:t>
      </w:r>
      <w:r>
        <w:rPr>
          <w:rFonts w:ascii="Arial" w:cs="Arial" w:eastAsia="Arial" w:hAnsi="Arial"/>
          <w:sz w:val="16"/>
          <w:szCs w:val="16"/>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32"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In January 2008, Novo Nordisk announced that it was halting development of its inhaled insulin product, having reached the conclusion that the product did not have adequate commercial potential.</w:t>
      </w:r>
    </w:p>
    <w:p>
      <w:pPr>
        <w:spacing w:after="0" w:line="5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March 2008, Lilly announced that it was terminating the development of its AIR</w:t>
      </w:r>
      <w:r>
        <w:rPr>
          <w:rFonts w:ascii="Arial" w:cs="Arial" w:eastAsia="Arial" w:hAnsi="Arial"/>
          <w:sz w:val="11"/>
          <w:szCs w:val="11"/>
          <w:color w:val="auto"/>
        </w:rPr>
        <w:t>®</w:t>
      </w:r>
      <w:r>
        <w:rPr>
          <w:rFonts w:ascii="Arial" w:cs="Arial" w:eastAsia="Arial" w:hAnsi="Arial"/>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59"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Dance Biopharm, Inc. has completed Phase 2 clinical studies of an inhaled insulin product that utilizes a liquid formulation of human insulin, dispensed through a handheld electronic aerosol device, and is preparing to commence pivotal studies.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Non-insulin Medications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AFREZZA also competes with currently available non-insulin medication products for type 2 diabetes. These products include the following:</w:t>
      </w:r>
    </w:p>
    <w:p>
      <w:pPr>
        <w:spacing w:after="0" w:line="90" w:lineRule="exact"/>
        <w:rPr>
          <w:sz w:val="20"/>
          <w:szCs w:val="20"/>
          <w:color w:val="auto"/>
        </w:rPr>
      </w:pPr>
    </w:p>
    <w:p>
      <w:pPr>
        <w:ind w:left="440" w:right="28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GLP-1 agonists, such as exenatide or liraglutide, which mimic a naturally occurring hormone that stimulates the pancreas to secrete insulin when blood glucose levels are high.</w:t>
      </w:r>
    </w:p>
    <w:p>
      <w:pPr>
        <w:spacing w:after="0" w:line="50" w:lineRule="exact"/>
        <w:rPr>
          <w:rFonts w:ascii="Arial" w:cs="Arial" w:eastAsia="Arial" w:hAnsi="Arial"/>
          <w:sz w:val="18"/>
          <w:szCs w:val="18"/>
          <w:color w:val="auto"/>
        </w:rPr>
      </w:pPr>
    </w:p>
    <w:p>
      <w:pPr>
        <w:ind w:left="440" w:right="6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Inhibitors of dipeptidyl peptidase IV, such as sitagliptin or saxagliptin, are a class of drugs that work by blocking the enzyme that normally degrades GLP-1.</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Sulfonylureas and meglitinides, which are classes of drugs that act on the pancreatic cells to stimulate the secretion of insulin.</w:t>
      </w:r>
    </w:p>
    <w:p>
      <w:pPr>
        <w:spacing w:after="0" w:line="90" w:lineRule="exact"/>
        <w:rPr>
          <w:rFonts w:ascii="Arial" w:cs="Arial" w:eastAsia="Arial" w:hAnsi="Arial"/>
          <w:sz w:val="18"/>
          <w:szCs w:val="18"/>
          <w:color w:val="auto"/>
        </w:rPr>
      </w:pPr>
    </w:p>
    <w:p>
      <w:pPr>
        <w:ind w:left="440" w:right="6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Thiazolidinediones, such as pioglitizone, and biguanides, such as metformin, which lower blood glucose by improving the sensitivity of cells to insulin, or diminishing insulin resistance.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4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Alpha-glucosidase inhibitors, which lower the amount of glucose absorbed from the intestines, thereby reducing the rise in blood glucose that occurs after a meal.</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SGLT-2 inhibitors, such as dapagliflozin and canagliflozin, are a class of medications that lower blood glucose by increasing glucose excretion in urine.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96"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if any of our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steps typically required before an unapproved new drug or biologic product for use in humans may be marketed in the United States include:</w:t>
      </w:r>
    </w:p>
    <w:p>
      <w:pPr>
        <w:spacing w:after="0" w:line="113" w:lineRule="exact"/>
        <w:rPr>
          <w:sz w:val="20"/>
          <w:szCs w:val="20"/>
          <w:color w:val="auto"/>
        </w:rPr>
      </w:pPr>
    </w:p>
    <w:p>
      <w:pPr>
        <w:ind w:left="440" w:right="80" w:hanging="216"/>
        <w:spacing w:after="0" w:line="256"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62" w:lineRule="exact"/>
        <w:rPr>
          <w:rFonts w:ascii="Arial" w:cs="Arial" w:eastAsia="Arial" w:hAnsi="Arial"/>
          <w:sz w:val="18"/>
          <w:szCs w:val="18"/>
          <w:color w:val="auto"/>
        </w:rPr>
      </w:pPr>
    </w:p>
    <w:p>
      <w:pPr>
        <w:jc w:val="both"/>
        <w:ind w:left="440" w:right="60" w:hanging="216"/>
        <w:spacing w:after="0" w:line="25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commence. The results of the preclinical studies are submitted to the FDA as part of the IND. Unless the FDA objects and places a clinical hold, the IND becomes effective 30 days following receipt by the FDA.</w:t>
      </w:r>
    </w:p>
    <w:p>
      <w:pPr>
        <w:spacing w:after="0" w:line="59" w:lineRule="exact"/>
        <w:rPr>
          <w:rFonts w:ascii="Arial" w:cs="Arial" w:eastAsia="Arial" w:hAnsi="Arial"/>
          <w:sz w:val="18"/>
          <w:szCs w:val="18"/>
          <w:color w:val="auto"/>
        </w:rPr>
      </w:pPr>
    </w:p>
    <w:p>
      <w:pPr>
        <w:ind w:left="440" w:right="20" w:hanging="216"/>
        <w:spacing w:after="0" w:line="298"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clinical protocols by independent institutional review boards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 The IRB also approves the consent form signed by the trial participants. The IRB of FDA may place a trial on hold at any time if it believes the risks to subjects outweigh the potential benefits.</w:t>
      </w:r>
    </w:p>
    <w:p>
      <w:pPr>
        <w:spacing w:after="0" w:line="31" w:lineRule="exact"/>
        <w:rPr>
          <w:rFonts w:ascii="Arial" w:cs="Arial" w:eastAsia="Arial" w:hAnsi="Arial"/>
          <w:sz w:val="16"/>
          <w:szCs w:val="16"/>
          <w:color w:val="auto"/>
        </w:rPr>
      </w:pPr>
    </w:p>
    <w:p>
      <w:pPr>
        <w:ind w:left="440" w:hanging="216"/>
        <w:spacing w:after="0" w:line="255"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61" w:lineRule="exact"/>
        <w:rPr>
          <w:rFonts w:ascii="Arial" w:cs="Arial" w:eastAsia="Arial" w:hAnsi="Arial"/>
          <w:sz w:val="18"/>
          <w:szCs w:val="18"/>
          <w:color w:val="auto"/>
        </w:rPr>
      </w:pPr>
    </w:p>
    <w:p>
      <w:pPr>
        <w:ind w:left="660" w:hanging="206"/>
        <w:spacing w:after="0" w:line="256"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0"/>
        <w:spacing w:after="0" w:line="306" w:lineRule="auto"/>
        <w:rPr>
          <w:sz w:val="20"/>
          <w:szCs w:val="20"/>
          <w:color w:val="auto"/>
        </w:rPr>
      </w:pPr>
      <w:r>
        <w:rPr>
          <w:rFonts w:ascii="Arial" w:cs="Arial" w:eastAsia="Arial" w:hAnsi="Arial"/>
          <w:sz w:val="16"/>
          <w:szCs w:val="16"/>
          <w:color w:val="auto"/>
        </w:rPr>
        <w:t>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26" w:lineRule="exact"/>
        <w:rPr>
          <w:sz w:val="20"/>
          <w:szCs w:val="20"/>
          <w:color w:val="auto"/>
        </w:rPr>
      </w:pPr>
    </w:p>
    <w:p>
      <w:pPr>
        <w:ind w:left="660" w:right="1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50" w:lineRule="exact"/>
        <w:rPr>
          <w:rFonts w:ascii="Arial" w:cs="Arial" w:eastAsia="Arial" w:hAnsi="Arial"/>
          <w:sz w:val="18"/>
          <w:szCs w:val="18"/>
          <w:color w:val="auto"/>
        </w:rPr>
      </w:pPr>
    </w:p>
    <w:p>
      <w:pPr>
        <w:ind w:left="660" w:right="140" w:hanging="20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62"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and can provide important safety information to augment the FDA’s voluntary adverse event reporting system.</w:t>
      </w:r>
    </w:p>
    <w:p>
      <w:pPr>
        <w:spacing w:after="0" w:line="25" w:lineRule="exact"/>
        <w:rPr>
          <w:rFonts w:ascii="Arial" w:cs="Arial" w:eastAsia="Arial" w:hAnsi="Arial"/>
          <w:sz w:val="16"/>
          <w:szCs w:val="16"/>
          <w:color w:val="auto"/>
        </w:rPr>
      </w:pPr>
    </w:p>
    <w:p>
      <w:pPr>
        <w:ind w:left="660" w:right="40" w:hanging="206"/>
        <w:spacing w:after="0" w:line="29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(“cGMPs”), requirements for drug products.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34"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w:t>
      </w:r>
    </w:p>
    <w:p>
      <w:pPr>
        <w:spacing w:after="0" w:line="62"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w:t>
      </w:r>
    </w:p>
    <w:p>
      <w:pPr>
        <w:spacing w:after="0" w:line="63" w:lineRule="exact"/>
        <w:rPr>
          <w:sz w:val="20"/>
          <w:szCs w:val="20"/>
          <w:color w:val="auto"/>
        </w:rPr>
      </w:pPr>
    </w:p>
    <w:p>
      <w:pPr>
        <w:ind w:right="360" w:firstLine="228"/>
        <w:spacing w:after="0" w:line="256" w:lineRule="auto"/>
        <w:rPr>
          <w:sz w:val="20"/>
          <w:szCs w:val="20"/>
          <w:color w:val="auto"/>
        </w:rPr>
      </w:pPr>
      <w:r>
        <w:rPr>
          <w:rFonts w:ascii="Arial" w:cs="Arial" w:eastAsia="Arial" w:hAnsi="Arial"/>
          <w:sz w:val="18"/>
          <w:szCs w:val="18"/>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w:t>
      </w:r>
    </w:p>
    <w:p>
      <w:pPr>
        <w:spacing w:after="0" w:line="62"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post marketing study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commitments or requirements, risk evaluation and mitigation strategies,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Numerous device regulatory requirements apply to the device part of a drug-device combination. These include:</w:t>
      </w:r>
    </w:p>
    <w:p>
      <w:pPr>
        <w:spacing w:after="0" w:line="90" w:lineRule="exact"/>
        <w:rPr>
          <w:sz w:val="20"/>
          <w:szCs w:val="20"/>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labeling regulations;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prohibition against promoting products for unapproved or “off-label” uses;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corrections and removals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90" w:lineRule="exact"/>
        <w:rPr>
          <w:rFonts w:ascii="Arial" w:cs="Arial" w:eastAsia="Arial" w:hAnsi="Arial"/>
          <w:sz w:val="18"/>
          <w:szCs w:val="18"/>
          <w:color w:val="auto"/>
        </w:rPr>
      </w:pPr>
    </w:p>
    <w:p>
      <w:pPr>
        <w:ind w:left="440" w:right="120" w:hanging="216"/>
        <w:spacing w:after="0" w:line="332"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4"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ind w:right="60" w:firstLine="228"/>
        <w:spacing w:after="0" w:line="289" w:lineRule="auto"/>
        <w:rPr>
          <w:sz w:val="20"/>
          <w:szCs w:val="20"/>
          <w:color w:val="auto"/>
        </w:rPr>
      </w:pPr>
      <w:r>
        <w:rPr>
          <w:rFonts w:ascii="Arial" w:cs="Arial" w:eastAsia="Arial" w:hAnsi="Arial"/>
          <w:sz w:val="16"/>
          <w:szCs w:val="16"/>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37" w:lineRule="exact"/>
        <w:rPr>
          <w:sz w:val="20"/>
          <w:szCs w:val="20"/>
          <w:color w:val="auto"/>
        </w:rPr>
      </w:pPr>
    </w:p>
    <w:p>
      <w:pPr>
        <w:ind w:right="340" w:firstLine="228"/>
        <w:spacing w:after="0" w:line="294"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35"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There can be no assurance that the current regulatory framework will not change or that additional regulation will not arise at any stage of our product development or marketing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35"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Healthcare Regulatory and Pharmaceutical Pricing</w:t>
      </w:r>
    </w:p>
    <w:p>
      <w:pPr>
        <w:spacing w:after="0" w:line="90"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Government health administration authorities, private health insurers and other organizations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and on country and regional pricing and reimbursement controls in the European Union will put additional pressure on product pricing, reimbursement and usage, which may adversely affect our future product sales and results of operations. Recently, in the United States there has been heightened governmental scrutiny over the manner in which drug manufacturers set prices for their marketed products. For example, there have been several recent U.S. Congressional inquiries regarding certain drug manufacturers’ pricing practices and proposed bills designed to, among other things, bring more transparency to drug pricing, review the relationship between pricing and manufacturer patient programs, and reform government program reimbursement methodologies for drugs. These pressures can arise from rules and practices of managed care groups, judicial decisions and governmental laws and regulations related to Medicare, Medicaid and healthcare reform, pharmaceutical reimbursement policies and pricing in general.</w:t>
      </w:r>
    </w:p>
    <w:p>
      <w:pPr>
        <w:spacing w:after="0" w:line="47"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Reconciliation Act (“collectively, “PPACA”), enacted in March 2010. The Physician Payments Sunshine Act within PPACA, and its implementing regulations, require certain manufacturers of drugs, devices, biological and medical supplies for which payment is available under Medicare, Medicaid or the Children’s Health Insurance Program (with certain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59"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Further, 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PPACA substantially changed the way healthcare is financed by both governmental and private insurers. Among other cost containment measures, PPACA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There have been judicial and Congressional challenges to certain aspects of PPACA, and we expect there will be additional challenges and amendments to PPACA. Other legislative changes have been proposed and adopted in the United States since PPACA. For example, through the process created by the Budget Control Act of 2011, there are automatic reductions of Medicare payments to providers up to 2% per fiscal year, which went into effect in April 2013 and, following passage of the Bipartisan Budget Act of 2015, will remain in effect through 2025 unless additional Congressional action is taken. In January 2013, President Obama signed into law the American Taxpayer Relief Act of 2012, which, among other things, further reduced Medicare payments to several providers. In the future, there may continue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43"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The federal Health Insurance Portability and Accountability Act of 1996 (“HIPAA”), as amended by the Health Information Technology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39"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and/or limit expenditure for, or payments to, individual medical or health professionals.</w:t>
      </w:r>
    </w:p>
    <w:p>
      <w:pPr>
        <w:spacing w:after="0" w:line="59"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criminal and significant civil monetary penalties, damages, fines, imprisonment, disgorgement, exclusion of products from reimbursement under government programs, and the curtailment or restructuring of our operations, any of which could adversely affect our ability to operate our business and our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Long-Lived Assets</w:t>
      </w:r>
    </w:p>
    <w:p>
      <w:pPr>
        <w:spacing w:after="0" w:line="96"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A significant portion of our operating expenses relates to research and development. Our research and development expenses totaled $29.7 million, $100.2 million, and $109.7 million for the years ended December 31, 2015, 2014, and 2013, respectively.</w:t>
      </w:r>
    </w:p>
    <w:p>
      <w:pPr>
        <w:spacing w:after="0" w:line="5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Our long-lived assets are located in the United States and totaled $48.7 million, $192.1 million, and $176.6 million as of December 31, 2015, 2014, and 2013,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As of December 31, 2015, we had 192 full-time employees. Six of these employees were engaged in basic research and development, 105 in manufacturing, 41 in clinical research and development, regulatory affairs and quality assurance and 40 in administration, finance, management, information systems, marketing, corporate development and human resources. Twenty of these employees had a Ph.D. degree and/or M.D. degree and were engaged in activities relating to research and development, manufacturing, quality assurance or business development.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 of our employees are subject to a collective bargaining agreement. We believe relations with our employees are good.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80" w:firstLine="228"/>
        <w:spacing w:after="0" w:line="253" w:lineRule="auto"/>
        <w:rPr>
          <w:sz w:val="20"/>
          <w:szCs w:val="20"/>
          <w:color w:val="auto"/>
        </w:rPr>
      </w:pPr>
      <w:r>
        <w:rPr>
          <w:rFonts w:ascii="Arial" w:cs="Arial" w:eastAsia="Arial" w:hAnsi="Arial"/>
          <w:sz w:val="18"/>
          <w:szCs w:val="18"/>
          <w:color w:val="auto"/>
        </w:rPr>
        <w:t>We were incorporated in the State of Delaware on February 14, 1991. Our principal executive offices are located at 25134 Rye Canyon Loop Suite 300, Valencia, California 91355, and our telephone number at that address is (661) 775-5300. MannKind Corporation and the MannKind Corporation logo are our service 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these websites are not incorporated into this Annual Report. Further, our references to the URLs for these websites are intended to be inactive textual reference only.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96"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4" w:lineRule="exact"/>
        <w:rPr>
          <w:sz w:val="20"/>
          <w:szCs w:val="20"/>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our current executive officers and their ages: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80" w:type="dxa"/>
            <w:vAlign w:val="bottom"/>
            <w:vMerge w:val="restart"/>
          </w:tcPr>
          <w:p>
            <w:pPr>
              <w:ind w:left="300"/>
              <w:spacing w:after="0"/>
              <w:rPr>
                <w:sz w:val="20"/>
                <w:szCs w:val="20"/>
                <w:color w:val="auto"/>
              </w:rPr>
            </w:pPr>
            <w:r>
              <w:rPr>
                <w:rFonts w:ascii="Arial" w:cs="Arial" w:eastAsia="Arial" w:hAnsi="Arial"/>
                <w:sz w:val="18"/>
                <w:szCs w:val="18"/>
                <w:color w:val="auto"/>
                <w:w w:val="94"/>
              </w:rPr>
              <w:t>Chief Executive Officer, Chief Financial</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Position(s)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Matthew J. Pfeffer</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c>
          <w:tcPr>
            <w:tcW w:w="3280" w:type="dxa"/>
            <w:vAlign w:val="bottom"/>
            <w:vMerge w:val="continue"/>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w w:val="84"/>
              </w:rPr>
              <w:t>Officer, and Director</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Raymond W. Urbanski, M.D, Ph.D.</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Chief Medical Officer</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Michael E. Castagna, Pharm.D</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David B. Thomson, Ph.D., J.D</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93"/>
              </w:rPr>
              <w:t>Corporate Vice President, General Counsel and Secretary</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Joseph Kocinsky</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Chief Technology Officer</w:t>
            </w: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Linda Adreveno</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Senior Vice President, Human Resources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i w:val="1"/>
          <w:iCs w:val="1"/>
          <w:color w:val="auto"/>
        </w:rPr>
        <w:t xml:space="preserve">Matthew J. Pfeffer </w:t>
      </w:r>
      <w:r>
        <w:rPr>
          <w:rFonts w:ascii="Arial" w:cs="Arial" w:eastAsia="Arial" w:hAnsi="Arial"/>
          <w:sz w:val="16"/>
          <w:szCs w:val="16"/>
          <w:color w:val="auto"/>
        </w:rPr>
        <w:t>has served as our Chief Executive Officer and one of our directors since January 2016 and as our Chief Financial Officer since April 2008.</w:t>
      </w:r>
      <w:r>
        <w:rPr>
          <w:rFonts w:ascii="Arial" w:cs="Arial" w:eastAsia="Arial" w:hAnsi="Arial"/>
          <w:sz w:val="16"/>
          <w:szCs w:val="16"/>
          <w:i w:val="1"/>
          <w:iCs w:val="1"/>
          <w:color w:val="auto"/>
        </w:rPr>
        <w:t xml:space="preserve"> </w:t>
      </w:r>
      <w:r>
        <w:rPr>
          <w:rFonts w:ascii="Arial" w:cs="Arial" w:eastAsia="Arial" w:hAnsi="Arial"/>
          <w:sz w:val="16"/>
          <w:szCs w:val="16"/>
          <w:color w:val="auto"/>
        </w:rPr>
        <w:t>Mr. Pfeffer also served as our Corporate Vice President from April 2008 until January 2016. Previously, Mr. Pfeffer served as Chief Financial 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graduated from the University of California, Berkeley and is a Certified Public Accountant.</w:t>
      </w:r>
    </w:p>
    <w:p>
      <w:pPr>
        <w:spacing w:after="0" w:line="3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i w:val="1"/>
          <w:iCs w:val="1"/>
          <w:color w:val="auto"/>
        </w:rPr>
        <w:t xml:space="preserve">Raymond W. Urbanski, M.D., Ph.D. </w:t>
      </w:r>
      <w:r>
        <w:rPr>
          <w:rFonts w:ascii="Arial" w:cs="Arial" w:eastAsia="Arial" w:hAnsi="Arial"/>
          <w:sz w:val="18"/>
          <w:szCs w:val="18"/>
          <w:color w:val="auto"/>
        </w:rPr>
        <w:t>has been our Chief Medical Officer since August 2015. Prior to joining us, he served as Chief Medical Officer at Mylan,</w:t>
      </w:r>
      <w:r>
        <w:rPr>
          <w:rFonts w:ascii="Arial" w:cs="Arial" w:eastAsia="Arial" w:hAnsi="Arial"/>
          <w:sz w:val="18"/>
          <w:szCs w:val="18"/>
          <w:i w:val="1"/>
          <w:iCs w:val="1"/>
          <w:color w:val="auto"/>
        </w:rPr>
        <w:t xml:space="preserve"> </w:t>
      </w:r>
      <w:r>
        <w:rPr>
          <w:rFonts w:ascii="Arial" w:cs="Arial" w:eastAsia="Arial" w:hAnsi="Arial"/>
          <w:sz w:val="18"/>
          <w:szCs w:val="18"/>
          <w:color w:val="auto"/>
        </w:rPr>
        <w:t>Inc. from September 2012 to September 2014 and Chief Medical Officer at Metabolex, Inc. from October 2011 to June 2012. From June 2004 to October 2011, Dr. Urbanski held several positions with Pfizer Inc. most recently as Vice President and Medical Head of the Established Products Business Unit. He also served as Vice President of Research and Development and Chief Medical Officer at Suntory Pharmaceutical, Inc. Dr. Urbanski earned both his M.D. and Ph.D. in pharmacology and toxicology at the University of Medicine and Dentistry of New Jersey. He completed his residency and fellowship training at Thomas Jefferson University Hospital in Philadelphia.</w:t>
      </w:r>
    </w:p>
    <w:p>
      <w:pPr>
        <w:spacing w:after="0" w:line="63"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i w:val="1"/>
          <w:iCs w:val="1"/>
          <w:color w:val="auto"/>
        </w:rPr>
        <w:t xml:space="preserve">Michael E. Castagna, Pharm.D. </w:t>
      </w:r>
      <w:r>
        <w:rPr>
          <w:rFonts w:ascii="Arial" w:cs="Arial" w:eastAsia="Arial" w:hAnsi="Arial"/>
          <w:sz w:val="16"/>
          <w:szCs w:val="16"/>
          <w:color w:val="auto"/>
        </w:rPr>
        <w:t>has been our Chief Commercial Officer since March 2016. From November 2012 until he joined MannKind, Dr. Castagna</w:t>
      </w:r>
      <w:r>
        <w:rPr>
          <w:rFonts w:ascii="Arial" w:cs="Arial" w:eastAsia="Arial" w:hAnsi="Arial"/>
          <w:sz w:val="16"/>
          <w:szCs w:val="16"/>
          <w:i w:val="1"/>
          <w:iCs w:val="1"/>
          <w:color w:val="auto"/>
        </w:rPr>
        <w:t xml:space="preserve"> </w:t>
      </w:r>
      <w:r>
        <w:rPr>
          <w:rFonts w:ascii="Arial" w:cs="Arial" w:eastAsia="Arial" w:hAnsi="Arial"/>
          <w:sz w:val="16"/>
          <w:szCs w:val="16"/>
          <w:color w:val="auto"/>
        </w:rPr>
        <w:t>was at Amgen, Inc., where he initially served as Vice President, Global Lifecycle Management and was most recently Vice President, Global Commercial Lead for Amgen’s Biosimilar Business Unit. From 2010 to 2012, he was Executive Director, Immunology, at Bristol-Myers Squibb. Before BMS, Dr. Castagna served as Vice President &amp; Head, Biopharmaceuticals, North America, at Sandoz. He has also held positions with commercial responsibilities at EMD (Merck) Serono, Pharmasset and DuPont Pharmaceuticals. He received his pharmacy degree from University of the Sciences-Philadelphia College of Pharmacy, a Doctor of Pharmacy from Massachusetts College of Pharmacy &amp; Sciences and an MBA from The Wharton School of Business at the University of Pennsylvania.</w:t>
      </w:r>
    </w:p>
    <w:p>
      <w:pPr>
        <w:spacing w:after="0" w:line="39" w:lineRule="exact"/>
        <w:rPr>
          <w:sz w:val="20"/>
          <w:szCs w:val="20"/>
          <w:color w:val="auto"/>
        </w:rPr>
      </w:pPr>
    </w:p>
    <w:p>
      <w:pPr>
        <w:ind w:right="40" w:firstLine="228"/>
        <w:spacing w:after="0" w:line="335" w:lineRule="auto"/>
        <w:rPr>
          <w:sz w:val="20"/>
          <w:szCs w:val="20"/>
          <w:color w:val="auto"/>
        </w:rPr>
      </w:pPr>
      <w:r>
        <w:rPr>
          <w:rFonts w:ascii="Arial" w:cs="Arial" w:eastAsia="Arial" w:hAnsi="Arial"/>
          <w:sz w:val="15"/>
          <w:szCs w:val="15"/>
          <w:i w:val="1"/>
          <w:iCs w:val="1"/>
          <w:color w:val="auto"/>
        </w:rPr>
        <w:t xml:space="preserve">David B. Thomson, Ph.D., J.D. </w:t>
      </w:r>
      <w:r>
        <w:rPr>
          <w:rFonts w:ascii="Arial" w:cs="Arial" w:eastAsia="Arial" w:hAnsi="Arial"/>
          <w:sz w:val="15"/>
          <w:szCs w:val="15"/>
          <w:color w:val="auto"/>
        </w:rPr>
        <w:t>has been our Corporate Vice President, General Counsel and Corporate Secretary since January 2002. Prior to joining us, he</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practiced corporate/commercial and securities law at a major Toronto law firm. Earlier in his career, Dr. Thomson was a post-doctoral fellow at the Rockefeller University. Dr. Thomson obtained his bachelor’s degree, master’s degree and Ph.D. from Queens University and obtained his J.D. from the University of Toronto.</w:t>
      </w:r>
    </w:p>
    <w:p>
      <w:pPr>
        <w:spacing w:after="0" w:line="7"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i w:val="1"/>
          <w:iCs w:val="1"/>
          <w:color w:val="auto"/>
        </w:rPr>
        <w:t xml:space="preserve">Joseph Kocinsky </w:t>
      </w:r>
      <w:r>
        <w:rPr>
          <w:rFonts w:ascii="Arial" w:cs="Arial" w:eastAsia="Arial" w:hAnsi="Arial"/>
          <w:sz w:val="16"/>
          <w:szCs w:val="16"/>
          <w:color w:val="auto"/>
        </w:rPr>
        <w:t>has been our Corporate Vice President, Chief Technology Officer since October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Kocinsky has over 28 years of experience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industry in technical operations and product development. Prior to joining us in 2003, he held a variety of technical and management positions with increased responsibility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i w:val="1"/>
          <w:iCs w:val="1"/>
          <w:color w:val="auto"/>
        </w:rPr>
        <w:t xml:space="preserve">Linda Adreveno </w:t>
      </w:r>
      <w:r>
        <w:rPr>
          <w:rFonts w:ascii="Arial" w:cs="Arial" w:eastAsia="Arial" w:hAnsi="Arial"/>
          <w:sz w:val="18"/>
          <w:szCs w:val="18"/>
          <w:color w:val="auto"/>
        </w:rPr>
        <w:t>has been our Senior Vice President of Human Resources since March 2015. Prior to joining us, she was President of reOptimize, Inc., a</w:t>
      </w:r>
      <w:r>
        <w:rPr>
          <w:rFonts w:ascii="Arial" w:cs="Arial" w:eastAsia="Arial" w:hAnsi="Arial"/>
          <w:sz w:val="18"/>
          <w:szCs w:val="18"/>
          <w:i w:val="1"/>
          <w:iCs w:val="1"/>
          <w:color w:val="auto"/>
        </w:rPr>
        <w:t xml:space="preserve"> </w:t>
      </w:r>
      <w:r>
        <w:rPr>
          <w:rFonts w:ascii="Arial" w:cs="Arial" w:eastAsia="Arial" w:hAnsi="Arial"/>
          <w:sz w:val="18"/>
          <w:szCs w:val="18"/>
          <w:color w:val="auto"/>
        </w:rPr>
        <w:t>boutique Human Resources consulting firm working with small to medium sized companies, from April 2006 to March 201, and Senior Director of Human Resources at Nektar Therapeutics from August 2001 to January 2006. Previously, she held senior management positions at Scient, a consulting company, and Sybase. She is a member of the Society of Human Resources Management (SHRM) and is also a certified Senior Professional in Human Resources (SPHR). She holds a bachelor’s degree in liberal arts from Regents College (now Excelsior College) in New York, and a master’s degree in management from John F. Kennedy University in California.</w:t>
      </w:r>
    </w:p>
    <w:p>
      <w:pPr>
        <w:spacing w:after="0" w:line="63" w:lineRule="exact"/>
        <w:rPr>
          <w:sz w:val="20"/>
          <w:szCs w:val="20"/>
          <w:color w:val="auto"/>
        </w:rPr>
      </w:pPr>
    </w:p>
    <w:p>
      <w:pPr>
        <w:ind w:right="380" w:firstLine="228"/>
        <w:spacing w:after="0" w:line="391" w:lineRule="auto"/>
        <w:rPr>
          <w:sz w:val="20"/>
          <w:szCs w:val="20"/>
          <w:color w:val="auto"/>
        </w:rPr>
      </w:pPr>
      <w:r>
        <w:rPr>
          <w:rFonts w:ascii="Arial" w:cs="Arial" w:eastAsia="Arial" w:hAnsi="Arial"/>
          <w:sz w:val="18"/>
          <w:szCs w:val="18"/>
          <w:color w:val="auto"/>
        </w:rPr>
        <w:t xml:space="preserve">Executive officers serve at the discretion of our Board of Directors. There are no family relationships between any of our directors and executive officers. </w:t>
      </w: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heavily on the successful commercialization of our only approved product, AFREZZA.</w:t>
      </w:r>
    </w:p>
    <w:p>
      <w:pPr>
        <w:spacing w:after="0" w:line="90"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ability to generate revenues will depend on the successful commercialization of AFREZZA and our ability to enter into licensing arrangements for our Technosphere platform technology that involve license, milestone, royalty or other payments to us.</w:t>
      </w:r>
    </w:p>
    <w:p>
      <w:pPr>
        <w:spacing w:after="0" w:line="59"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On February 3, 2015, AFREZZA became available by prescription in United States retail pharmacies. We must receive the necessary approvals from foreign regulatory agencies before AFREZZA can be marketed outside of the United States. Even with such regulatory approval, we ultimately may be unable to gain market acceptance of AFREZZA for a variety of reasons, including the treatment and dosage regimen, potential adverse effects, the availability of alternative treatments and lack of coverage or adequate reimbursement. As of December 31, 2015, Sanofi reported €7.0 million in annual sales of AFREZZA.</w:t>
      </w:r>
    </w:p>
    <w:p>
      <w:pPr>
        <w:spacing w:after="0" w:line="3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As a result of the termination of the Sanofi License Agreement, we intend to pursue development and commercialization of AFREZZA in the United States on our own and seek regional partnerships for the development and commercialization of AFREZZA in foreign jurisdictions where there are appropriate commercial opportunities. If we fail to commercialize AFREZZA successfully, our business, financial condition and results of operations will be materially and adversely affected.</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We may not be able to successfully develop and commercialize AFREZZA on our own in the United States or find regional partnerships for the development and commercialization of AFREZZA in foreign jurisdictions. The commercialization and development of AFREZZA will require substantially increased capital that we may not be able to fund.</w:t>
      </w:r>
    </w:p>
    <w:p>
      <w:pPr>
        <w:spacing w:after="0" w:line="59"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Sanofi has been responsible for global commercial, regulatory and post-approval development activities for AFREZZA pursuant to the Sanofi License Agreement, and we have been responsible for manufacturing AFREZZA to supply Sanofi’s demand for the product. On January 4, 2016, we received written notice from Sanofi of Sanofi’s election to terminate in its entirety the Sanofi License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Our ability to continue the development and commercialization of AFREZZA is dependent upon the successful transition of AFREZZA from Sanofi. Pursuant to the terms of the Sanofi License Agreement, we and Sanofi are required to use diligent efforts to facilitate the smooth and orderly transition of relevant obligations and rights to us with respect to development and commercialization activities related to AFREZZA, and are also required to negotiate in good faith a written transition agreement for this purpose. During the transition period, we will be dependent on Sanofi to perform certain activities related to AFREZZA, which subjects us to a number of risks, including:</w:t>
      </w:r>
    </w:p>
    <w:p>
      <w:pPr>
        <w:spacing w:after="0" w:line="62" w:lineRule="exact"/>
        <w:rPr>
          <w:sz w:val="20"/>
          <w:szCs w:val="20"/>
          <w:color w:val="auto"/>
        </w:rPr>
      </w:pPr>
    </w:p>
    <w:p>
      <w:pPr>
        <w:ind w:left="440" w:hanging="216"/>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Sanofi may not perform as expected and we are not be able to control the amount and timing of resources that Sanofi devotes to the transition;</w:t>
      </w:r>
    </w:p>
    <w:p>
      <w:pPr>
        <w:spacing w:after="0" w:line="113" w:lineRule="exact"/>
        <w:rPr>
          <w:rFonts w:ascii="Arial" w:cs="Arial" w:eastAsia="Arial" w:hAnsi="Arial"/>
          <w:sz w:val="16"/>
          <w:szCs w:val="16"/>
          <w:color w:val="auto"/>
        </w:rPr>
      </w:pPr>
    </w:p>
    <w:p>
      <w:pPr>
        <w:ind w:left="44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may be disputes between us and Sanofi that may result in the delay of the achievement of regulatory and commercial objectives, or costly litigation or arbitration that diverts our management’s attention and resources;</w:t>
      </w:r>
    </w:p>
    <w:p>
      <w:pPr>
        <w:spacing w:after="0" w:line="50" w:lineRule="exact"/>
        <w:rPr>
          <w:rFonts w:ascii="Arial" w:cs="Arial" w:eastAsia="Arial" w:hAnsi="Arial"/>
          <w:sz w:val="18"/>
          <w:szCs w:val="18"/>
          <w:color w:val="auto"/>
        </w:rPr>
      </w:pPr>
    </w:p>
    <w:p>
      <w:pPr>
        <w:ind w:left="440" w:right="180" w:hanging="216"/>
        <w:spacing w:after="0" w:line="306"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manner in which Sanofi effects the transition could adversely impact the development of or sales of AFREZZA and failure to comply with applicable regulatory guidelines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25" w:lineRule="exact"/>
        <w:rPr>
          <w:rFonts w:ascii="Arial" w:cs="Arial" w:eastAsia="Arial" w:hAnsi="Arial"/>
          <w:sz w:val="16"/>
          <w:szCs w:val="16"/>
          <w:color w:val="auto"/>
        </w:rPr>
      </w:pPr>
    </w:p>
    <w:p>
      <w:pPr>
        <w:ind w:left="440" w:right="54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combinations or significant changes in Sanofi’s business strategy or failure to apply financial and other resources to the transition may also adversely affect Sanofi’s ability to perform its obligations; and</w:t>
      </w:r>
    </w:p>
    <w:p>
      <w:pPr>
        <w:spacing w:after="0" w:line="50" w:lineRule="exact"/>
        <w:rPr>
          <w:rFonts w:ascii="Arial" w:cs="Arial" w:eastAsia="Arial" w:hAnsi="Arial"/>
          <w:sz w:val="18"/>
          <w:szCs w:val="18"/>
          <w:color w:val="auto"/>
        </w:rPr>
      </w:pPr>
    </w:p>
    <w:p>
      <w:pPr>
        <w:ind w:left="440" w:right="8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Sanofi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are also risks relating to whether we will have the available financial and other resources to implement the transition smoothly.</w:t>
      </w:r>
    </w:p>
    <w:p>
      <w:pPr>
        <w:spacing w:after="0" w:line="90"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As a result of the termination of the Sanofi License Agreement, we will also assume the responsibility for commercializing and developing AFREZZA in the United States. We have no experience with commercializing AFREZZA and may not have the resources to undertake such activities on our own. In order to commercialize AFREZZA in the United States, we will need to build our commercialization capabilities, including sales and marketing capabilities, which we will do through hiring our own personnel or subcontracting to a commercial sales organization, or a combination of these. The market for skilled commercial personnel is highly competitive, and we may not be able to find and hire all of the personnel we need on a timely basis. We may engage in sales and marketing activities by subcontracting with a skilled commercial sales organization, though there are risks regarding whether a subcontractor will provide the level of effort and attention to AFREZZA necessary for successful commercialization. We will also become responsible for negotiating and securing coverage and reimbursement for AFREZZA. If we are unable to obtain coverage of, and adequate payment levels for AFREZZA, physicians may limit how much or under what circumstances they will prescribe or administer AFREZZA and patients may decline to purchase AFREZZA, which would have an adverse effect on our ability to generate revenues. Building the internal infrastructure to further develop and commercialize AFREZZA will be costly and time-consuming, and may be distracting to management, and we may not be successful in our efforts or successful in obtaining financing to support those efforts.</w:t>
      </w:r>
    </w:p>
    <w:p>
      <w:pPr>
        <w:spacing w:after="0" w:line="4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We will also become responsible for the NDA for AFREZZA and its maintenance. We have no experience with the maintenance of an NDA and may fail to comply with maintenance requirements, including timely submitting required reports, particularly if Sanofi is not fully cooperative in transferring required data to us. Furthermore, we will become responsible for the conduct of ongoing or still required post-approval trials of AFREZZA once transferred from Sanofi. The transfer of these trials and our financial and resources constraints may result in delays or adversely impact their reliability and completion.</w:t>
      </w:r>
    </w:p>
    <w:p>
      <w:pPr>
        <w:spacing w:after="0" w:line="32"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We also intend to seek regional partnerships for the development and commercialization of AFREZZA in foreign jurisdictions where there are appropriate commercial opportunities. It may be difficult to find a new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collaboration partner that is willing to devote the time and resources necessary to successfully commercialize AFREZZA. Collaborations with third parties may require us to relinquish material rights, including revenue from commercialization, on terms that are less attractive than our collaboration with Sanofi or to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and could have a material and adverse impact on our business, financial condition and results of operations and the market price of our common stock and other securities could decline.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other product candidates.</w:t>
      </w:r>
    </w:p>
    <w:p>
      <w:pPr>
        <w:spacing w:after="0" w:line="90"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of these programs or to obtain funding to enable us to continue these programs.</w:t>
      </w:r>
    </w:p>
    <w:p>
      <w:pPr>
        <w:spacing w:after="0" w:line="63"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25"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our receipt of an upfront payment and milestone payments from Sanofi. As of December 31, 2015, we had an accumulated deficit of $2.9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continue the commercialization of AFREZZA, after the termination of the Sanofi License Agreement is effective. In connection with our quarterly assessment of impairment indicators and inventory valuation, we identified an impairment of our long-lived assets which resulted in charges of $140.4 million in the fourth quarter of 2015. In addition, we have agreed to purchase annual minimum quantities of insulin for calendar years 2015 through 2019 under the Insulin Supply Agreement with Amphastar in the aggregate of approximately €120.1 million, of which €104.0 million is remaining at December 31, 2015. We are obligated to purchase €34.1 million in 2016 and the remaining annual minimum quantities will be €23.3 million for the years ending December 31, 2017 through 2019. We may not have the necessary capital resources on hand in order to service this contractual commitment. We recognized a loss on purchase commitments of $66.2 million in the fourth quarter of 2015. Additional impairment charges may be identified and recognized in the future. Our cumulative net loss may therefore increase significantly.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Our losses have had, and are expected to continue to have, an adverse impact on our working capital, total assets and stockholders’ equity. As of December 31, 2015, we had stockholders’ deficit of $350.3 million. Our ability to achieve and sustain positive cash flow from operations and profitability depends heavily upon successfully commercializing AFREZZA, and we cannot be sure when we will generate positive cash flow from operations or become profitable, if at all.</w:t>
      </w:r>
    </w:p>
    <w:p>
      <w:pPr>
        <w:spacing w:after="0" w:line="107" w:lineRule="exact"/>
        <w:rPr>
          <w:sz w:val="20"/>
          <w:szCs w:val="20"/>
          <w:color w:val="auto"/>
        </w:rPr>
      </w:pPr>
    </w:p>
    <w:p>
      <w:pPr>
        <w:ind w:left="120" w:right="360"/>
        <w:spacing w:after="0" w:line="268" w:lineRule="auto"/>
        <w:rPr>
          <w:sz w:val="20"/>
          <w:szCs w:val="20"/>
          <w:color w:val="auto"/>
        </w:rPr>
      </w:pPr>
      <w:r>
        <w:rPr>
          <w:rFonts w:ascii="Arial" w:cs="Arial" w:eastAsia="Arial" w:hAnsi="Arial"/>
          <w:sz w:val="18"/>
          <w:szCs w:val="18"/>
          <w:b w:val="1"/>
          <w:bCs w:val="1"/>
          <w:i w:val="1"/>
          <w:iCs w:val="1"/>
          <w:color w:val="auto"/>
        </w:rPr>
        <w:t>We will need to raise additional capital to fund our operations, and our inability to do so could raise substantial doubt about our ability to continue as a going concern.</w:t>
      </w:r>
    </w:p>
    <w:p>
      <w:pPr>
        <w:spacing w:after="0" w:line="51"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other product candidates and to avoid defaulting under the covenant in our facility agreement with Deerfield Private Design Fund II, L.P. (“Deerfield Private Design Fund”) and Deerfield Private Design International II, L.P. (collectively, “Deerfield”) dated July 1, 2013 (as amended, the “Facility Agreement”) that requires us to maintain at least $25.0 million in cash and cash equivalents or available borrowings under the loan arrangement, dated as of October 2, 2007, between us and The Mann Group LLC (as amended, restated, or otherwise modified as of the date hereof, “The Mann Group Loan Arrangement”), as of the last day of each fiscal quarter. It may be difficult for us to raise additional funds on favorable terms, or at all. As of December 31, 2015, we had stockholders’ deficit of $350.3 million, which may raise concerns about our solvency and affect our ability to raise additional capital. The extent of our additional funding requirements will depend on a number of factors, including:</w:t>
      </w:r>
    </w:p>
    <w:p>
      <w:pPr>
        <w:spacing w:after="0" w:line="39" w:lineRule="exact"/>
        <w:rPr>
          <w:sz w:val="20"/>
          <w:szCs w:val="20"/>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90" w:lineRule="exact"/>
        <w:rPr>
          <w:rFonts w:ascii="Arial" w:cs="Arial" w:eastAsia="Arial" w:hAnsi="Arial"/>
          <w:sz w:val="18"/>
          <w:szCs w:val="18"/>
          <w:color w:val="auto"/>
        </w:rPr>
      </w:pPr>
    </w:p>
    <w:p>
      <w:pPr>
        <w:ind w:left="440" w:right="860" w:hanging="216"/>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building our commercialization capabilities;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90" w:lineRule="exact"/>
        <w:rPr>
          <w:rFonts w:ascii="Arial" w:cs="Arial" w:eastAsia="Arial" w:hAnsi="Arial"/>
          <w:sz w:val="18"/>
          <w:szCs w:val="18"/>
          <w:color w:val="auto"/>
        </w:rPr>
      </w:pPr>
    </w:p>
    <w:p>
      <w:pPr>
        <w:ind w:left="440" w:right="120" w:hanging="216"/>
        <w:spacing w:after="0" w:line="25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by any or all of the holders of the 5.75% Convertible Senior Subordinated Exchange Notes due 2018 (the “2018 notes”), the 9.75% Senior Convertible Notes due 2019 issued to Deerfield (the “2019 notes”), and the 8.75% Senior Convertible Notes due 2019 issued to Deerfield (the “Tranche B notes”) to require us to repay or repurchase such debt securities if and when required;</w:t>
      </w:r>
    </w:p>
    <w:p>
      <w:pPr>
        <w:spacing w:after="0" w:line="59" w:lineRule="exact"/>
        <w:rPr>
          <w:rFonts w:ascii="Arial" w:cs="Arial" w:eastAsia="Arial" w:hAnsi="Arial"/>
          <w:sz w:val="18"/>
          <w:szCs w:val="18"/>
          <w:color w:val="auto"/>
        </w:rPr>
      </w:pPr>
    </w:p>
    <w:p>
      <w:pPr>
        <w:ind w:left="440" w:right="360" w:hanging="216"/>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the 2018 notes or any other convertible debt securities we may issue are converted into or exchanged for shares of our common stock;</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90" w:lineRule="exact"/>
        <w:rPr>
          <w:rFonts w:ascii="Arial" w:cs="Arial" w:eastAsia="Arial" w:hAnsi="Arial"/>
          <w:sz w:val="18"/>
          <w:szCs w:val="18"/>
          <w:color w:val="auto"/>
        </w:rPr>
      </w:pPr>
    </w:p>
    <w:p>
      <w:pPr>
        <w:jc w:val="both"/>
        <w:ind w:left="440" w:right="400" w:hanging="216"/>
        <w:spacing w:after="0" w:line="332"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obligation to make milestone payments pursuant to the milestone rights issued to Deerfield Private Design Fund and Horizon Santé FLML SÁRL (collectively, the “Milestone Purchasers”) and pursuant to the Milestone Rights Purchase Agreement dated July 1, 2013 (the “Milestone Agreement”);</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obligation to bear our share of net losses, if any, if Sanofi makes any product sales under the Sanofi License Agreement after the Termination Date;</w:t>
      </w:r>
    </w:p>
    <w:p>
      <w:pPr>
        <w:spacing w:after="0" w:line="113" w:lineRule="exact"/>
        <w:rPr>
          <w:rFonts w:ascii="Arial" w:cs="Arial" w:eastAsia="Arial" w:hAnsi="Arial"/>
          <w:sz w:val="16"/>
          <w:szCs w:val="16"/>
          <w:color w:val="auto"/>
        </w:rPr>
      </w:pPr>
    </w:p>
    <w:p>
      <w:pPr>
        <w:ind w:left="440" w:right="400" w:hanging="216"/>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400" w:hanging="216"/>
        <w:spacing w:after="0" w:line="26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90"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46"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39"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cannot provide assurances that changed or unexpected circumstances will not result in the depletion of our capital resources more rapidly than we currently anticipate, in which case we will be required to raise additional capital. There can be no assurances that we will be able to raise additional capital on favorable terms, or at all. If we are unable to raise adequate additional capital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4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We have a substantial amount of debt pursuant to the 2018 notes, 2019 notes, Tranche B notes, The Mann Group Loan Arrangement and the Sanofi Loan Facility, and we may incur additional indebtedness under The Mann Group Loan Arrangement and we may be unable to make required payments of interest and principal as they become due.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February 22, 2016, we had $219.6 million principal amount of outstanding debt, consisting of:</w:t>
      </w:r>
    </w:p>
    <w:p>
      <w:pPr>
        <w:spacing w:after="0" w:line="90" w:lineRule="exact"/>
        <w:rPr>
          <w:sz w:val="20"/>
          <w:szCs w:val="20"/>
          <w:color w:val="auto"/>
        </w:rPr>
      </w:pPr>
    </w:p>
    <w:p>
      <w:pPr>
        <w:ind w:left="440" w:hanging="2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90" w:lineRule="exact"/>
        <w:rPr>
          <w:rFonts w:ascii="Arial" w:cs="Arial" w:eastAsia="Arial" w:hAnsi="Arial"/>
          <w:sz w:val="18"/>
          <w:szCs w:val="18"/>
          <w:color w:val="auto"/>
        </w:rPr>
      </w:pPr>
    </w:p>
    <w:p>
      <w:pPr>
        <w:ind w:left="440" w:right="120" w:hanging="216"/>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320" w:hanging="216"/>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w:t>
      </w:r>
    </w:p>
    <w:p>
      <w:pPr>
        <w:spacing w:after="0" w:line="50" w:lineRule="exact"/>
        <w:rPr>
          <w:rFonts w:ascii="Arial" w:cs="Arial" w:eastAsia="Arial" w:hAnsi="Arial"/>
          <w:sz w:val="18"/>
          <w:szCs w:val="18"/>
          <w:color w:val="auto"/>
        </w:rPr>
      </w:pPr>
    </w:p>
    <w:p>
      <w:pPr>
        <w:ind w:left="440" w:right="160" w:hanging="216"/>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Mann Group Loan Arrangement, bearing interest at 5.84% and maturing and due on January 5, 2020; and</w:t>
      </w:r>
    </w:p>
    <w:p>
      <w:pPr>
        <w:spacing w:after="0" w:line="50" w:lineRule="exact"/>
        <w:rPr>
          <w:rFonts w:ascii="Arial" w:cs="Arial" w:eastAsia="Arial" w:hAnsi="Arial"/>
          <w:sz w:val="18"/>
          <w:szCs w:val="18"/>
          <w:color w:val="auto"/>
        </w:rPr>
      </w:pPr>
    </w:p>
    <w:p>
      <w:pPr>
        <w:jc w:val="both"/>
        <w:ind w:left="440" w:right="480" w:hanging="216"/>
        <w:spacing w:after="0" w:line="357"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$62.4 million principal amount borrowed under the Sanofi Loan Facility to fund our share of net losses under the Sanofi License Agreement, bearing interest at a rate of 8.5% per annum, with accrued interest payable in-kind and compounded quarterly, and maturing and due on September 23, 2024.</w:t>
      </w:r>
    </w:p>
    <w:p>
      <w:pPr>
        <w:ind w:right="100" w:firstLine="228"/>
        <w:spacing w:after="0" w:line="306" w:lineRule="auto"/>
        <w:rPr>
          <w:sz w:val="20"/>
          <w:szCs w:val="20"/>
          <w:color w:val="auto"/>
        </w:rPr>
      </w:pPr>
      <w:r>
        <w:rPr>
          <w:rFonts w:ascii="Arial" w:cs="Arial" w:eastAsia="Arial" w:hAnsi="Arial"/>
          <w:sz w:val="16"/>
          <w:szCs w:val="16"/>
          <w:color w:val="auto"/>
        </w:rPr>
        <w:t>We may borrow an additional $30.1 million under The Mann Group Loan Arrangement. We anticipate using a portion of these available borrowings to capitalize accrued interest into principal, upon mutual agreement of the parties, as it becomes due and payable under The Mann Group Loan Arrangement. As of December 31, 2015 the accrued and unpaid interest under The Mann Group Loan Arrangement was $6.4 million.</w:t>
      </w:r>
    </w:p>
    <w:p>
      <w:pPr>
        <w:spacing w:after="0" w:line="26"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All profits and losses from AFREZZA product sales by Sanofi or its affiliates after the Termination Date, if any, will continue to be shared 65% by Sanofi and 35% by us pursuant to the terms of the Sanofi License Agreement, and we may borrow up to an aggregate of $175.0 million pursuant to the Sanofi Loan Facility to fund our share of net losses from AFREZZA product sales by Sanofi or its affiliates. Our total share of the net losses are $62.4 million as of December 31, 2015, classified as Sanofi loan facility and loss share obligation, and such amount has been borrowed under the Sanofi Loan Facility as of February 22, 2016.</w:t>
      </w:r>
    </w:p>
    <w:p>
      <w:pPr>
        <w:spacing w:after="0" w:line="32" w:lineRule="exact"/>
        <w:rPr>
          <w:sz w:val="20"/>
          <w:szCs w:val="20"/>
          <w:color w:val="auto"/>
        </w:rPr>
      </w:pPr>
    </w:p>
    <w:p>
      <w:pPr>
        <w:ind w:right="100" w:firstLine="228"/>
        <w:spacing w:after="0" w:line="301" w:lineRule="auto"/>
        <w:rPr>
          <w:sz w:val="20"/>
          <w:szCs w:val="20"/>
          <w:color w:val="auto"/>
        </w:rPr>
      </w:pPr>
      <w:r>
        <w:rPr>
          <w:rFonts w:ascii="Arial" w:cs="Arial" w:eastAsia="Arial" w:hAnsi="Arial"/>
          <w:sz w:val="15"/>
          <w:szCs w:val="15"/>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paid-in-kind on a quarterly basis (2.06% per quarter compounded). Loans under The Mann Group Loan Arrangement accrue interest at a rate of</w:t>
      </w:r>
    </w:p>
    <w:p>
      <w:pPr>
        <w:spacing w:after="0" w:line="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Tranche B notes, or on the loans under the Sanofi Loan Facility, or if we fail to repay or repurchase the 2018 notes, 2019 notes, Tranche B notes, or the loans under the Sanofi Loan Facility when required, we will be in default under the indenture governing the terms of the 2018 notes, the Facility Agreement or other applicable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24" w:lineRule="exact"/>
        <w:rPr>
          <w:sz w:val="20"/>
          <w:szCs w:val="20"/>
          <w:color w:val="auto"/>
        </w:rPr>
      </w:pPr>
    </w:p>
    <w:p>
      <w:pPr>
        <w:ind w:left="120" w:right="540"/>
        <w:spacing w:after="0" w:line="268"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5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26" w:lineRule="exact"/>
        <w:rPr>
          <w:sz w:val="20"/>
          <w:szCs w:val="20"/>
          <w:color w:val="auto"/>
        </w:rPr>
      </w:pPr>
    </w:p>
    <w:p>
      <w:pPr>
        <w:ind w:firstLine="228"/>
        <w:spacing w:after="0" w:line="306" w:lineRule="auto"/>
        <w:rPr>
          <w:sz w:val="20"/>
          <w:szCs w:val="20"/>
          <w:color w:val="auto"/>
        </w:rPr>
      </w:pPr>
      <w:r>
        <w:rPr>
          <w:rFonts w:ascii="Arial" w:cs="Arial" w:eastAsia="Arial" w:hAnsi="Arial"/>
          <w:sz w:val="15"/>
          <w:szCs w:val="15"/>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Mann Group Loan Arrangement,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35"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4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39"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40" w:lineRule="exact"/>
        <w:rPr>
          <w:sz w:val="20"/>
          <w:szCs w:val="20"/>
          <w:color w:val="auto"/>
        </w:rPr>
      </w:pPr>
    </w:p>
    <w:p>
      <w:pPr>
        <w:ind w:left="120" w:right="58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90"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90" w:lineRule="exact"/>
        <w:rPr>
          <w:sz w:val="20"/>
          <w:szCs w:val="20"/>
          <w:color w:val="auto"/>
        </w:rPr>
      </w:pPr>
    </w:p>
    <w:p>
      <w:pPr>
        <w:jc w:val="both"/>
        <w:ind w:right="200" w:firstLine="228"/>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success will depend not only on our ability to develop our product candidates but to improve them and keep pace with emerging industry developments. We cannot assure you that we will be able to do so.</w:t>
      </w:r>
    </w:p>
    <w:p>
      <w:pPr>
        <w:spacing w:after="0" w:line="5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40" w:lineRule="exact"/>
        <w:rPr>
          <w:sz w:val="20"/>
          <w:szCs w:val="20"/>
          <w:color w:val="auto"/>
        </w:rPr>
      </w:pPr>
    </w:p>
    <w:p>
      <w:pPr>
        <w:ind w:left="120" w:right="10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5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of our current or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37"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59" w:lineRule="exact"/>
        <w:rPr>
          <w:sz w:val="20"/>
          <w:szCs w:val="20"/>
          <w:color w:val="auto"/>
        </w:rPr>
      </w:pPr>
    </w:p>
    <w:p>
      <w:pPr>
        <w:jc w:val="both"/>
        <w:ind w:left="440" w:right="140" w:hanging="216"/>
        <w:spacing w:after="0" w:line="25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59" w:lineRule="exact"/>
        <w:rPr>
          <w:rFonts w:ascii="Arial" w:cs="Arial" w:eastAsia="Arial" w:hAnsi="Arial"/>
          <w:sz w:val="18"/>
          <w:szCs w:val="18"/>
          <w:color w:val="auto"/>
        </w:rPr>
      </w:pPr>
    </w:p>
    <w:p>
      <w:pPr>
        <w:ind w:left="440" w:right="16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90" w:lineRule="exact"/>
        <w:rPr>
          <w:rFonts w:ascii="Arial" w:cs="Arial" w:eastAsia="Arial" w:hAnsi="Arial"/>
          <w:sz w:val="18"/>
          <w:szCs w:val="18"/>
          <w:color w:val="auto"/>
        </w:rPr>
      </w:pPr>
    </w:p>
    <w:p>
      <w:pPr>
        <w:ind w:left="440" w:right="10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5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4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if they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5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and the only source of our proprietary inert excipient, FDKP (fumaryl diketopiperazine), which is the primary component of our Technosphere technology platform, is manufactured by Lonza. We must rely on our suppliers, including Amphastar, to comply with relevant regulatory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other legal requirements, including the production of insulin and FDKP in accordance with the FDA’s cGMPs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or Lonza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18" w:lineRule="exact"/>
        <w:rPr>
          <w:sz w:val="20"/>
          <w:szCs w:val="20"/>
          <w:color w:val="auto"/>
        </w:rPr>
      </w:pPr>
    </w:p>
    <w:p>
      <w:pPr>
        <w:ind w:left="120" w:right="740"/>
        <w:spacing w:after="0" w:line="268"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51"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3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effectively support commercialization of AFREZZA. Furthermore, if we or a third-party manufacturer fail to deliver the required commercial quantities of the product or any raw material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16" w:lineRule="exact"/>
        <w:rPr>
          <w:sz w:val="20"/>
          <w:szCs w:val="20"/>
          <w:color w:val="auto"/>
        </w:rPr>
      </w:pPr>
    </w:p>
    <w:p>
      <w:pPr>
        <w:ind w:left="120" w:right="780"/>
        <w:spacing w:after="0" w:line="268"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payors and the healthcare community. For example, as of December 31, 2015, Sanofi reported €7.0 million in annual sales of AFREZZA. Failure to achieve market acceptance would limit our ability to generate revenue and would adversely affect our results of operations.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degree of market acceptance of AFREZZA and other products that we may develop in the future depends on many factors, including the:</w:t>
      </w:r>
    </w:p>
    <w:p>
      <w:pPr>
        <w:spacing w:after="0" w:line="113" w:lineRule="exact"/>
        <w:rPr>
          <w:sz w:val="20"/>
          <w:szCs w:val="20"/>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90" w:lineRule="exact"/>
        <w:rPr>
          <w:rFonts w:ascii="Arial" w:cs="Arial" w:eastAsia="Arial" w:hAnsi="Arial"/>
          <w:sz w:val="18"/>
          <w:szCs w:val="18"/>
          <w:color w:val="auto"/>
        </w:rPr>
      </w:pPr>
    </w:p>
    <w:p>
      <w:pPr>
        <w:ind w:left="440" w:right="160" w:hanging="216"/>
        <w:spacing w:after="0" w:line="332"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effectiveness of efforts by us or any of our current or future marketing partner(s) to educate physicians about the benefits and advantages of AFREZZA or our other products and to provide adequate support for them, and the perceived advantages and disadvantages of competitive products;</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500" w:hanging="216"/>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90"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132" w:lineRule="exact"/>
        <w:rPr>
          <w:sz w:val="20"/>
          <w:szCs w:val="20"/>
          <w:color w:val="auto"/>
        </w:rPr>
      </w:pPr>
    </w:p>
    <w:p>
      <w:pPr>
        <w:ind w:left="120" w:right="540"/>
        <w:spacing w:after="0" w:line="332" w:lineRule="auto"/>
        <w:rPr>
          <w:sz w:val="20"/>
          <w:szCs w:val="20"/>
          <w:color w:val="auto"/>
        </w:rPr>
      </w:pPr>
      <w:r>
        <w:rPr>
          <w:rFonts w:ascii="Arial" w:cs="Arial" w:eastAsia="Arial" w:hAnsi="Arial"/>
          <w:sz w:val="16"/>
          <w:szCs w:val="16"/>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4"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of our current or future marketing partners for AFREZZA, and companies that are prospective collaborators for our product candidates, our ability to commercialize AFREZZA and our product candidates under development may be adversely affected.</w:t>
      </w:r>
    </w:p>
    <w:p>
      <w:pPr>
        <w:spacing w:after="0" w:line="39"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43"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color w:val="auto"/>
        </w:rPr>
        <w:t>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ind w:right="200" w:firstLine="228"/>
        <w:spacing w:after="0" w:line="294" w:lineRule="auto"/>
        <w:rPr>
          <w:sz w:val="20"/>
          <w:szCs w:val="20"/>
          <w:color w:val="auto"/>
        </w:rPr>
      </w:pPr>
      <w:r>
        <w:rPr>
          <w:rFonts w:ascii="Arial" w:cs="Arial" w:eastAsia="Arial" w:hAnsi="Arial"/>
          <w:sz w:val="16"/>
          <w:szCs w:val="16"/>
          <w:color w:val="auto"/>
        </w:rPr>
        <w:t>If we or any of our current or future marketing partners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of our current or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90"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62" w:lineRule="exact"/>
        <w:rPr>
          <w:sz w:val="20"/>
          <w:szCs w:val="20"/>
          <w:color w:val="auto"/>
        </w:rPr>
      </w:pPr>
    </w:p>
    <w:p>
      <w:pPr>
        <w:ind w:left="440" w:right="22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50" w:lineRule="exact"/>
        <w:rPr>
          <w:rFonts w:ascii="Arial" w:cs="Arial" w:eastAsia="Arial" w:hAnsi="Arial"/>
          <w:sz w:val="18"/>
          <w:szCs w:val="18"/>
          <w:color w:val="auto"/>
        </w:rPr>
      </w:pPr>
    </w:p>
    <w:p>
      <w:pPr>
        <w:ind w:left="440" w:right="56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50" w:lineRule="exact"/>
        <w:rPr>
          <w:rFonts w:ascii="Arial" w:cs="Arial" w:eastAsia="Arial" w:hAnsi="Arial"/>
          <w:sz w:val="18"/>
          <w:szCs w:val="18"/>
          <w:color w:val="auto"/>
        </w:rPr>
      </w:pPr>
    </w:p>
    <w:p>
      <w:pPr>
        <w:ind w:left="440" w:right="68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90" w:lineRule="exact"/>
        <w:rPr>
          <w:rFonts w:ascii="Arial" w:cs="Arial" w:eastAsia="Arial" w:hAnsi="Arial"/>
          <w:sz w:val="18"/>
          <w:szCs w:val="18"/>
          <w:color w:val="auto"/>
        </w:rPr>
      </w:pPr>
    </w:p>
    <w:p>
      <w:pPr>
        <w:ind w:left="440" w:right="26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50" w:lineRule="exact"/>
        <w:rPr>
          <w:rFonts w:ascii="Arial" w:cs="Arial" w:eastAsia="Arial" w:hAnsi="Arial"/>
          <w:sz w:val="18"/>
          <w:szCs w:val="18"/>
          <w:color w:val="auto"/>
        </w:rPr>
      </w:pPr>
    </w:p>
    <w:p>
      <w:pPr>
        <w:ind w:left="440" w:right="60" w:hanging="216"/>
        <w:spacing w:after="0" w:line="259"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extension of manufacturers’ Medicaid rebate liability to covered drugs dispensed to individuals who are enrolled in Medicaid managed care organizations;</w:t>
      </w:r>
    </w:p>
    <w:p>
      <w:pPr>
        <w:spacing w:after="0" w:line="113" w:lineRule="exact"/>
        <w:rPr>
          <w:rFonts w:ascii="Arial" w:cs="Arial" w:eastAsia="Arial" w:hAnsi="Arial"/>
          <w:sz w:val="16"/>
          <w:szCs w:val="16"/>
          <w:color w:val="auto"/>
        </w:rPr>
      </w:pPr>
    </w:p>
    <w:p>
      <w:pPr>
        <w:ind w:left="440" w:right="300" w:hanging="216"/>
        <w:spacing w:after="0" w:line="332"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0" w:lineRule="exact"/>
        <w:rPr>
          <w:rFonts w:ascii="Arial" w:cs="Arial" w:eastAsia="Arial" w:hAnsi="Arial"/>
          <w:sz w:val="18"/>
          <w:szCs w:val="18"/>
          <w:color w:val="auto"/>
        </w:rPr>
      </w:pPr>
    </w:p>
    <w:p>
      <w:pPr>
        <w:ind w:left="440" w:hanging="216"/>
        <w:spacing w:after="0" w:line="298"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certain manufacturers and authorized distributors provide to physicians; and</w:t>
      </w:r>
    </w:p>
    <w:p>
      <w:pPr>
        <w:spacing w:after="0" w:line="90" w:lineRule="exact"/>
        <w:rPr>
          <w:rFonts w:ascii="Arial" w:cs="Arial" w:eastAsia="Arial" w:hAnsi="Arial"/>
          <w:sz w:val="18"/>
          <w:szCs w:val="18"/>
          <w:color w:val="auto"/>
        </w:rPr>
      </w:pPr>
    </w:p>
    <w:p>
      <w:pPr>
        <w:ind w:left="440" w:right="180" w:hanging="216"/>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51"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 Further, there have been judicial and Congressional challenges to other aspects of PPACA, and we expect there will be additional challenges and amendments to PPACA in the future.</w:t>
      </w:r>
    </w:p>
    <w:p>
      <w:pPr>
        <w:spacing w:after="0" w:line="32"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These new laws and initiatives may result in additional reductions in Medicare and other healthcare funding, which could have a material adverse effect on our customers and accordingly, our financial operations.</w:t>
      </w:r>
    </w:p>
    <w:p>
      <w:pPr>
        <w:spacing w:after="0" w:line="42" w:lineRule="exact"/>
        <w:rPr>
          <w:sz w:val="20"/>
          <w:szCs w:val="20"/>
          <w:color w:val="auto"/>
        </w:rPr>
      </w:pPr>
    </w:p>
    <w:p>
      <w:pPr>
        <w:ind w:right="40" w:firstLine="228"/>
        <w:spacing w:after="0" w:line="323" w:lineRule="auto"/>
        <w:rPr>
          <w:sz w:val="20"/>
          <w:szCs w:val="20"/>
          <w:color w:val="auto"/>
        </w:rPr>
      </w:pPr>
      <w:r>
        <w:rPr>
          <w:rFonts w:ascii="Arial" w:cs="Arial" w:eastAsia="Arial" w:hAnsi="Arial"/>
          <w:sz w:val="15"/>
          <w:szCs w:val="15"/>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9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b w:val="1"/>
          <w:bCs w:val="1"/>
          <w:i w:val="1"/>
          <w:iCs w:val="1"/>
          <w:color w:val="auto"/>
        </w:rPr>
        <w:t>If we or any of our current or future marketing partners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59"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32" w:lineRule="exact"/>
        <w:rPr>
          <w:sz w:val="20"/>
          <w:szCs w:val="20"/>
          <w:color w:val="auto"/>
        </w:rPr>
      </w:pPr>
    </w:p>
    <w:p>
      <w:pPr>
        <w:ind w:left="440" w:right="80" w:hanging="216"/>
        <w:spacing w:after="0" w:line="291"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offering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line="298"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without limitation the civil False Claims Act, and civil monetary penalty laws, which prohibit, among other things, individuals or entities from knowingly presenting, or causing to be presented, claims for payment from Medicare, Medicaid, or other federal healthcare programs that are false or fraudulent and under PPACA, the government may assert that a claim including items or services resulting from a violation of the federal Anti-Kickback Statute constitutes a false or fraudulent claim for purposes of the federal false claims laws;</w:t>
      </w:r>
    </w:p>
    <w:p>
      <w:pPr>
        <w:spacing w:after="0" w:line="31" w:lineRule="exact"/>
        <w:rPr>
          <w:rFonts w:ascii="Arial" w:cs="Arial" w:eastAsia="Arial" w:hAnsi="Arial"/>
          <w:sz w:val="16"/>
          <w:szCs w:val="16"/>
          <w:color w:val="auto"/>
        </w:rPr>
      </w:pPr>
    </w:p>
    <w:p>
      <w:pPr>
        <w:ind w:left="440" w:right="300" w:hanging="216"/>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executing a scheme to defraud any healthcare benefit program or making false statements relating to healthcare matters;</w:t>
      </w:r>
    </w:p>
    <w:p>
      <w:pPr>
        <w:spacing w:after="0" w:line="50" w:lineRule="exact"/>
        <w:rPr>
          <w:rFonts w:ascii="Arial" w:cs="Arial" w:eastAsia="Arial" w:hAnsi="Arial"/>
          <w:sz w:val="18"/>
          <w:szCs w:val="18"/>
          <w:color w:val="auto"/>
        </w:rPr>
      </w:pPr>
    </w:p>
    <w:p>
      <w:pPr>
        <w:ind w:left="440" w:right="20" w:hanging="216"/>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imposes certain requirements relating to the privacy, security and transmission of individually identifiable health information;</w:t>
      </w:r>
    </w:p>
    <w:p>
      <w:pPr>
        <w:spacing w:after="0" w:line="50" w:lineRule="exact"/>
        <w:rPr>
          <w:rFonts w:ascii="Arial" w:cs="Arial" w:eastAsia="Arial" w:hAnsi="Arial"/>
          <w:sz w:val="18"/>
          <w:szCs w:val="18"/>
          <w:color w:val="auto"/>
        </w:rPr>
      </w:pPr>
    </w:p>
    <w:p>
      <w:pPr>
        <w:ind w:left="440" w:right="200" w:hanging="216"/>
        <w:spacing w:after="0" w:line="306"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25" w:lineRule="exact"/>
        <w:rPr>
          <w:rFonts w:ascii="Arial" w:cs="Arial" w:eastAsia="Arial" w:hAnsi="Arial"/>
          <w:sz w:val="16"/>
          <w:szCs w:val="16"/>
          <w:color w:val="auto"/>
        </w:rPr>
      </w:pPr>
    </w:p>
    <w:p>
      <w:pPr>
        <w:ind w:left="440" w:right="80" w:hanging="216"/>
        <w:spacing w:after="0" w:line="290"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37" w:lineRule="exact"/>
        <w:rPr>
          <w:sz w:val="20"/>
          <w:szCs w:val="20"/>
          <w:color w:val="auto"/>
        </w:rPr>
      </w:pPr>
    </w:p>
    <w:p>
      <w:pPr>
        <w:ind w:right="120" w:firstLine="228"/>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ind w:right="180" w:firstLine="228"/>
        <w:spacing w:after="0" w:line="291"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incur substantial liabilities. If we are required to pay a product liability claim our business, financial condition and results of operations would be harmed and the market price of our common stock and other securities may decline.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35"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62"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44" w:lineRule="exact"/>
        <w:rPr>
          <w:sz w:val="20"/>
          <w:szCs w:val="20"/>
          <w:color w:val="auto"/>
        </w:rPr>
      </w:pPr>
    </w:p>
    <w:p>
      <w:pPr>
        <w:ind w:left="120" w:right="80"/>
        <w:spacing w:after="0" w:line="33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our internal controls over financial reporting are not considered effective, our business, financial condition and market price of our common stock and other securities could be adversely affected.</w:t>
      </w:r>
    </w:p>
    <w:p>
      <w:pPr>
        <w:spacing w:after="0" w:line="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cannot assure you that we or our independent registered public accounting firm will not identify a material weakness in our internal controls in the future. In connection with the audit of our financial statements for the year ended December 31, 2015,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The material weakness we identified related to impairment testing that we performed in accordance with ASC 360-10, </w:t>
      </w:r>
      <w:r>
        <w:rPr>
          <w:rFonts w:ascii="Arial" w:cs="Arial" w:eastAsia="Arial" w:hAnsi="Arial"/>
          <w:sz w:val="18"/>
          <w:szCs w:val="18"/>
          <w:i w:val="1"/>
          <w:iCs w:val="1"/>
          <w:color w:val="auto"/>
        </w:rPr>
        <w:t xml:space="preserve">Impairment and Disposal of Long-Lived Assets </w:t>
      </w:r>
      <w:r>
        <w:rPr>
          <w:rFonts w:ascii="Arial" w:cs="Arial" w:eastAsia="Arial" w:hAnsi="Arial"/>
          <w:sz w:val="18"/>
          <w:szCs w:val="18"/>
          <w:color w:val="auto"/>
        </w:rPr>
        <w:t>and ASC 330-10,</w:t>
      </w:r>
      <w:r>
        <w:rPr>
          <w:rFonts w:ascii="Arial" w:cs="Arial" w:eastAsia="Arial" w:hAnsi="Arial"/>
          <w:sz w:val="18"/>
          <w:szCs w:val="18"/>
          <w:i w:val="1"/>
          <w:iCs w:val="1"/>
          <w:color w:val="auto"/>
        </w:rPr>
        <w:t xml:space="preserve"> Inventories</w:t>
      </w:r>
      <w:r>
        <w:rPr>
          <w:rFonts w:ascii="Arial" w:cs="Arial" w:eastAsia="Arial" w:hAnsi="Arial"/>
          <w:sz w:val="18"/>
          <w:szCs w:val="18"/>
          <w:color w:val="auto"/>
        </w:rPr>
        <w:t>, as of December 31, 2015. Specifically, our review controls did not operate at a sufficient level of precision to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errors. As a result of this material weakness, we and our independent registered public accounting firm evaluated our internal control over financial reporting as ineffective.</w:t>
      </w:r>
    </w:p>
    <w:p>
      <w:pPr>
        <w:spacing w:after="0" w:line="1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taking steps to remediate the material weakness in our internal control over financial reporting, including designing additional training programs for relevant personnel and developing specific review procedures regarding the review of the impairment of assets. However, we cannot assure you that these efforts will remediate our material weakness in a timely manner, or at all. If we are unable to successfully remediate our material weakness, or identify any future material weaknesses, the accuracy and timing of our financial reporting may be adversely affected, we may be unable to maintain compliance with securities law requirements regarding timely filing of periodic reports and we may experience a loss of public confidence, which could have an adverse effect on our business, financial condition and the market price of our common stock and other securities.</w:t>
      </w:r>
    </w:p>
    <w:p>
      <w:pPr>
        <w:spacing w:after="0" w:line="120"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18" w:lineRule="exact"/>
        <w:rPr>
          <w:sz w:val="20"/>
          <w:szCs w:val="20"/>
          <w:color w:val="auto"/>
        </w:rPr>
      </w:pPr>
    </w:p>
    <w:p>
      <w:pPr>
        <w:ind w:left="120" w:right="580"/>
        <w:spacing w:after="0" w:line="268"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class action lawsuits that could result in substantial costs and divert management’s attention.</w:t>
      </w:r>
    </w:p>
    <w:p>
      <w:pPr>
        <w:spacing w:after="0" w:line="51"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pled as putative shareholder class actions. In general, the complaints allege that we and certain of our officers and directors violated federal securities laws by making materially false and misleading statements regarding the prospects for AFREZZA, thereby artificially inflating the price of our common stock. We and certain of our directors and executive officers have also been named in similar lawsuits filed in Israel.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We expect that at least for the foreseeable future, our manufacturing facility in Danbury, Connecticut will be the sole location for the manufacturing of AFREZZA. This facility and the manufacturing equipment we use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46"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6" w:lineRule="exact"/>
        <w:rPr>
          <w:sz w:val="20"/>
          <w:szCs w:val="20"/>
          <w:color w:val="auto"/>
        </w:rPr>
      </w:pPr>
    </w:p>
    <w:p>
      <w:pPr>
        <w:ind w:left="120" w:right="60"/>
        <w:spacing w:after="0" w:line="306"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26" w:lineRule="exact"/>
        <w:rPr>
          <w:sz w:val="20"/>
          <w:szCs w:val="20"/>
          <w:color w:val="auto"/>
        </w:rPr>
      </w:pPr>
    </w:p>
    <w:p>
      <w:pPr>
        <w:jc w:val="both"/>
        <w:ind w:right="380" w:firstLine="228"/>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90"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39"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37" w:lineRule="exact"/>
        <w:rPr>
          <w:sz w:val="20"/>
          <w:szCs w:val="20"/>
          <w:color w:val="auto"/>
        </w:rPr>
      </w:pPr>
    </w:p>
    <w:p>
      <w:pPr>
        <w:jc w:val="both"/>
        <w:ind w:right="240" w:firstLine="228"/>
        <w:spacing w:after="0" w:line="298" w:lineRule="auto"/>
        <w:rPr>
          <w:sz w:val="20"/>
          <w:szCs w:val="20"/>
          <w:color w:val="auto"/>
        </w:rPr>
      </w:pPr>
      <w:r>
        <w:rPr>
          <w:rFonts w:ascii="Arial" w:cs="Arial" w:eastAsia="Arial" w:hAnsi="Arial"/>
          <w:sz w:val="16"/>
          <w:szCs w:val="16"/>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1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59"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studies. For example, the FDA required the following post-marketing studies for AFREZZA that remain to be completed:</w:t>
      </w:r>
    </w:p>
    <w:p>
      <w:pPr>
        <w:spacing w:after="0" w:line="4" w:lineRule="exact"/>
        <w:rPr>
          <w:sz w:val="20"/>
          <w:szCs w:val="20"/>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 and</w:t>
      </w:r>
    </w:p>
    <w:p>
      <w:pPr>
        <w:spacing w:after="0" w:line="90" w:lineRule="exact"/>
        <w:rPr>
          <w:rFonts w:ascii="Arial" w:cs="Arial" w:eastAsia="Arial" w:hAnsi="Arial"/>
          <w:sz w:val="18"/>
          <w:szCs w:val="18"/>
          <w:color w:val="auto"/>
        </w:rPr>
      </w:pPr>
    </w:p>
    <w:p>
      <w:pPr>
        <w:ind w:left="440" w:right="20" w:hanging="216"/>
        <w:spacing w:after="0" w:line="268"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w:t>
      </w:r>
    </w:p>
    <w:p>
      <w:pPr>
        <w:spacing w:after="0" w:line="51" w:lineRule="exact"/>
        <w:rPr>
          <w:sz w:val="20"/>
          <w:szCs w:val="20"/>
          <w:color w:val="auto"/>
        </w:rPr>
      </w:pPr>
    </w:p>
    <w:p>
      <w:pPr>
        <w:jc w:val="both"/>
        <w:ind w:right="40" w:firstLine="228"/>
        <w:spacing w:after="0" w:line="256"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90" w:lineRule="exact"/>
        <w:rPr>
          <w:sz w:val="20"/>
          <w:szCs w:val="20"/>
          <w:color w:val="auto"/>
        </w:rPr>
      </w:pPr>
    </w:p>
    <w:p>
      <w:pPr>
        <w:ind w:right="280" w:firstLine="228"/>
        <w:spacing w:after="0" w:line="298"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32"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4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FDA and comparable foreign regulatory authorities subject AFFREZZA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63" w:lineRule="exact"/>
        <w:rPr>
          <w:sz w:val="20"/>
          <w:szCs w:val="20"/>
          <w:color w:val="auto"/>
        </w:rPr>
      </w:pPr>
    </w:p>
    <w:p>
      <w:pPr>
        <w:ind w:left="440" w:right="220" w:hanging="216"/>
        <w:spacing w:after="0" w:line="268"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approvals;</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90"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9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inspection by the FDA. Although we conduct our own inspections and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32"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40" w:lineRule="exact"/>
        <w:rPr>
          <w:sz w:val="20"/>
          <w:szCs w:val="20"/>
          <w:color w:val="auto"/>
        </w:rPr>
      </w:pPr>
    </w:p>
    <w:p>
      <w:pPr>
        <w:ind w:left="120" w:right="500"/>
        <w:spacing w:after="0" w:line="357"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ind w:firstLine="228"/>
        <w:spacing w:after="0" w:line="255" w:lineRule="auto"/>
        <w:rPr>
          <w:sz w:val="20"/>
          <w:szCs w:val="20"/>
          <w:color w:val="auto"/>
        </w:rPr>
      </w:pPr>
      <w:r>
        <w:rPr>
          <w:rFonts w:ascii="Arial" w:cs="Arial" w:eastAsia="Arial" w:hAnsi="Arial"/>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6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66"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For example, some patents providing protection for AFREZZA inhalation powder have terms extending into 2020, 2029,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32"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reissuance of our own patents. If we attempt to enforce our patents, they may be challenged in court where they could be held invalid, unenforceable, or have their breadth narrowed to an extent that would destroy their value.</w:t>
      </w:r>
    </w:p>
    <w:p>
      <w:pPr>
        <w:spacing w:after="0" w:line="51"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USPTO is continuing to develop regulations and procedures to govern administration of the Leahy-Smith Act, and while all of the substantive changes to patent law associated with the Leahy-Smith Act have become effective, their true impact will only emerge with time.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39"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For example,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24" w:lineRule="exact"/>
        <w:rPr>
          <w:sz w:val="20"/>
          <w:szCs w:val="20"/>
          <w:color w:val="auto"/>
        </w:rPr>
      </w:pPr>
    </w:p>
    <w:p>
      <w:pPr>
        <w:ind w:left="120" w:right="76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63"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In particular Inter Partes Review (IPR) has resulted in a higher rate of claim invalidation as compared to re-examination, due in part to the much reduced opportunity to repair claims by amendment. Moreover, the filing of IPR petitions has been used by short-sellers as a tool to help drive down stock prices. Litigation, post-grant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32"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43"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59"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59"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5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37"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3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35"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62"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32"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those dispositions or obtain sufficient proceeds from those dispositions to meet our debt service and other obligations when due.</w:t>
      </w:r>
    </w:p>
    <w:p>
      <w:pPr>
        <w:spacing w:after="0" w:line="171" w:lineRule="exact"/>
        <w:rPr>
          <w:sz w:val="20"/>
          <w:szCs w:val="20"/>
          <w:color w:val="auto"/>
        </w:rPr>
      </w:pPr>
    </w:p>
    <w:p>
      <w:pPr>
        <w:ind w:left="120" w:right="240"/>
        <w:spacing w:after="0" w:line="268"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6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in the future, may be reserved for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90"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Since January 1, 2013, our closing stock price as reported on The NASDAQ Global Market has ranged from $0.66 to $10.96, through February 22, 2016. The trading price of our common stock is likely to continue to be volatile.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2" w:lineRule="exact"/>
        <w:rPr>
          <w:sz w:val="20"/>
          <w:szCs w:val="20"/>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commercialize AFREZZA on our own in the United States;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find collaboration partners for the development and commercialization of AFREZZA in foreign jurisdictions;</w:t>
      </w:r>
    </w:p>
    <w:p>
      <w:pPr>
        <w:spacing w:after="0" w:line="90" w:lineRule="exact"/>
        <w:rPr>
          <w:rFonts w:ascii="Arial" w:cs="Arial" w:eastAsia="Arial" w:hAnsi="Arial"/>
          <w:sz w:val="18"/>
          <w:szCs w:val="18"/>
          <w:color w:val="auto"/>
        </w:rPr>
      </w:pPr>
    </w:p>
    <w:p>
      <w:pPr>
        <w:ind w:left="440" w:right="40" w:hanging="216"/>
        <w:spacing w:after="0" w:line="268"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progress of the commercial launch of AFREZZA and other events or circumstances that we or others estimate will impact the future commercialization of AFREZZA;</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progress of preclinical and clinical studies of our product candidates and the post-approval studies of AFREZZA required by the FDA;</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440" w:right="240" w:hanging="216"/>
        <w:spacing w:after="0" w:line="268"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90" w:lineRule="exact"/>
        <w:rPr>
          <w:rFonts w:ascii="Arial" w:cs="Arial" w:eastAsia="Arial" w:hAnsi="Arial"/>
          <w:sz w:val="18"/>
          <w:szCs w:val="18"/>
          <w:color w:val="auto"/>
        </w:rPr>
      </w:pPr>
    </w:p>
    <w:p>
      <w:pPr>
        <w:ind w:left="440" w:hanging="216"/>
        <w:spacing w:after="0" w:line="256"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171" w:lineRule="exact"/>
        <w:rPr>
          <w:sz w:val="20"/>
          <w:szCs w:val="20"/>
          <w:color w:val="auto"/>
        </w:rPr>
      </w:pPr>
    </w:p>
    <w:p>
      <w:pPr>
        <w:ind w:left="120" w:right="160"/>
        <w:spacing w:after="0" w:line="268"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Our common stock is currently listed on The NASDAQ Global Market, which has qualitative and quantitative listing criteria. If we are unable to meet any of the NASDAQ listing requirements in the future, including, for example, if the closing bid price for our common stock falls below $1.00 per share for 30 consecutive trading days, NASDAQ could determine to delist our common stock, which could adversely affect the market liquidity of our common stock and the market price of our common stock could decrease. As of February 22, 2016, the closing price of our common stock on The NASDAQ Global Market was $1.00. A delisting of our common stock could also adversely affect our ability to obtain financing for the continuation of our operations and could result in the loss of confidence in our company.</w:t>
      </w:r>
    </w:p>
    <w:p>
      <w:pPr>
        <w:spacing w:after="0" w:line="144" w:lineRule="exact"/>
        <w:rPr>
          <w:sz w:val="20"/>
          <w:szCs w:val="20"/>
          <w:color w:val="auto"/>
        </w:rPr>
      </w:pPr>
    </w:p>
    <w:p>
      <w:pPr>
        <w:ind w:left="120" w:right="20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ind w:right="180" w:firstLine="228"/>
        <w:spacing w:after="0" w:line="291" w:lineRule="auto"/>
        <w:rPr>
          <w:sz w:val="20"/>
          <w:szCs w:val="20"/>
          <w:color w:val="auto"/>
        </w:rPr>
      </w:pPr>
      <w:r>
        <w:rPr>
          <w:rFonts w:ascii="Arial" w:cs="Arial" w:eastAsia="Arial" w:hAnsi="Arial"/>
          <w:sz w:val="16"/>
          <w:szCs w:val="16"/>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39"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b w:val="1"/>
          <w:bCs w:val="1"/>
          <w:i w:val="1"/>
          <w:iCs w:val="1"/>
          <w:color w:val="auto"/>
        </w:rPr>
        <w:t>As a result of the death of Alfred Mann, the stock that he previously controlled is currently controlled by various trusts, and we cannot assure you of the manner in which the trustees will manage the holdings.</w:t>
      </w:r>
    </w:p>
    <w:p>
      <w:pPr>
        <w:spacing w:after="0" w:line="51"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At December 31, 2015, Alfred E. Mann beneficially owned approximately 35.7% of our outstanding shares of capital stock, including shares held in the Alfred E. Mann Living Trust, Mann Group LLC, Mannco LLC, Biomed Partners, LLC and Biomed Partners II, LLC.</w:t>
      </w:r>
    </w:p>
    <w:p>
      <w:pPr>
        <w:spacing w:after="0" w:line="5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Mr. Mann passed away on February 25, 2016. All of the shares beneficially owned by Mr. Mann in the Alfred E. Mann Living Trust, The Mann Group LLC and Mannco LLC are controlled by an administrative trust during the period of administration of Mr. Mann’s estate. The trustees of the administrative trust are Mr. Mann’s wife and two other trustees. The trustees have the power to sell the shares or deal with them as an owner. Relatives and other individuals may receive bequests of shares under Mr. Mann’s trust. The residuary beneficiary of the trust is the Alfred E. Mann Family Foundation, a charitable organization under section 501(c)(3) of the Internal Revenue Code that is a private foundation under section 509 of the Code. The same three trustees control the Alfred E. Mann Family Foundation. The Alfred E. Mann Family Foundation will have the power to sell the shares or deal with them as an owner. If not sold by the trust, the shares owned by the trust may be distributed to one or more of the individual or charitable beneficiaries of the trust.</w:t>
      </w:r>
    </w:p>
    <w:p>
      <w:pPr>
        <w:spacing w:after="0" w:line="37"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The managing members of Biomed Partners, LLC and Biomed Partners II, LLC are now controlled by trusts for which the same individuals described above are the trustees. Biomed Partners, LLC and Biomed Partners II, LLC will have the power to sell the shares or deal with them as an owner.</w:t>
      </w:r>
    </w:p>
    <w:p>
      <w:pPr>
        <w:spacing w:after="0" w:line="4"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Although we understand that the trustees now in control of Mr. Mann’s holdings have been advised of Mr. Mann’s objectives, we cannot assure you as to how those shares will be distributed or how they will be voted.</w:t>
      </w:r>
    </w:p>
    <w:p>
      <w:pPr>
        <w:spacing w:after="0" w:line="132" w:lineRule="exact"/>
        <w:rPr>
          <w:sz w:val="20"/>
          <w:szCs w:val="20"/>
          <w:color w:val="auto"/>
        </w:rPr>
      </w:pPr>
    </w:p>
    <w:p>
      <w:pPr>
        <w:ind w:left="120" w:right="20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exchange or conversion of our 2018 notes into common stock or the exercise of our warrants for common stock could negatively affect the market price of our common stock and other securities.</w:t>
      </w:r>
    </w:p>
    <w:p>
      <w:pPr>
        <w:spacing w:after="0" w:line="51"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As of February 22, 2016, we had 428,850,858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or upon the exercise of outstanding warrants,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39"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32" w:lineRule="exact"/>
        <w:rPr>
          <w:sz w:val="20"/>
          <w:szCs w:val="20"/>
          <w:color w:val="auto"/>
        </w:rPr>
      </w:pPr>
    </w:p>
    <w:p>
      <w:pPr>
        <w:ind w:left="120" w:right="14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43" w:lineRule="exact"/>
        <w:rPr>
          <w:sz w:val="20"/>
          <w:szCs w:val="20"/>
          <w:color w:val="auto"/>
        </w:rPr>
      </w:pPr>
    </w:p>
    <w:p>
      <w:pPr>
        <w:ind w:left="120" w:right="180"/>
        <w:spacing w:after="0" w:line="268"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16" w:lineRule="exact"/>
        <w:rPr>
          <w:sz w:val="20"/>
          <w:szCs w:val="20"/>
          <w:color w:val="auto"/>
        </w:rPr>
      </w:pPr>
    </w:p>
    <w:p>
      <w:pPr>
        <w:ind w:left="120" w:right="760"/>
        <w:spacing w:after="0" w:line="268"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51" w:lineRule="exact"/>
        <w:rPr>
          <w:sz w:val="20"/>
          <w:szCs w:val="20"/>
          <w:color w:val="auto"/>
        </w:rPr>
      </w:pPr>
    </w:p>
    <w:p>
      <w:pPr>
        <w:ind w:right="220" w:firstLine="228"/>
        <w:spacing w:after="0" w:line="291" w:lineRule="auto"/>
        <w:rPr>
          <w:sz w:val="20"/>
          <w:szCs w:val="20"/>
          <w:color w:val="auto"/>
        </w:rPr>
      </w:pPr>
      <w:r>
        <w:rPr>
          <w:rFonts w:ascii="Arial" w:cs="Arial" w:eastAsia="Arial" w:hAnsi="Arial"/>
          <w:sz w:val="16"/>
          <w:szCs w:val="16"/>
          <w:color w:val="auto"/>
        </w:rPr>
        <w:t>Our amended and restated certificate of incorporation currently authorizes us to issue up to 550,000,000 shares of common stock and 10,000,000 shares of preferred stock. As of February 22, 2016, we had a total of 121,149,142 shares of common stock that were authorized but unissued, and we have currently reserved a significant number of these shares for future issuance pursuant to outstanding equity awards, our equity plans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39"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for AFREZZA. We believe the Danbury facility will have sufficient space to satisfy commercial demand for AFREZZA.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own approximately 142,000 square feet of laboratory, office and warehouse space in Valencia, California. This facility is currently listed for sale.</w:t>
      </w:r>
    </w:p>
    <w:p>
      <w:pPr>
        <w:spacing w:after="0" w:line="113"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Our obligations under the Facility Agreement, the Milestone Agreement, and Sanofi Loan Facility are secured by certain mortgages on our facilities in Danbury, Connecticut and Valencia, California.</w:t>
      </w:r>
    </w:p>
    <w:p>
      <w:pPr>
        <w:spacing w:after="0" w:line="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also lease approximately 12,500 square feet of office space in Valencia, California pursuant to a lease that expires in April 2017. The facility contains our principal executive offices.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Following the receipt by us of the notice of termination from Sanofi regarding the Sanofi License Agreement and the subsequent decline of the price of our common stock, 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pled as putative shareholder class actions. In general, the complaints allege that we and certain of our officers and directors violated federal securities laws by making materially false and misleading statements regarding the prospects for AFREZZA, thereby artificially inflating the price of our common stock. The plaintiffs are seeking monetary damages and other relief. We expect the complaints to be transferred to a single court and consolidated for all purposes, following which the court would be expected to appoint a lead plaintiff and lead counsel and to order the lead plaintiff to file a consolidated complaint. We will vigorously defend against the claims advanced.</w:t>
      </w:r>
    </w:p>
    <w:p>
      <w:pPr>
        <w:spacing w:after="0" w:line="37"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Following the receipt by us of the notice of termination from Sanofi regarding the Sanofi License Agreement and the subsequent decline of the price of our common stock, two motions were submitted to the District Court at Tel Aviv (Economic Department) for the certification of a class action against us and certain of our officers and directors. In general, the complaints allege that we and certain of our officers and directors violated Israeli and US securities laws by making materially false and misleading statements regarding the prospects for AFREZZA, thereby artificially inflating the price of our common stock. The plaintiffs are seeking monetary damages. We will vigorously defend against these claims.</w:t>
      </w:r>
    </w:p>
    <w:p>
      <w:pPr>
        <w:spacing w:after="0" w:line="35"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w:t>
      </w:r>
    </w:p>
    <w:p>
      <w:pPr>
        <w:spacing w:after="0" w:line="96" w:lineRule="exact"/>
        <w:rPr>
          <w:sz w:val="20"/>
          <w:szCs w:val="20"/>
          <w:color w:val="auto"/>
        </w:rPr>
      </w:pPr>
    </w:p>
    <w:p>
      <w:pPr>
        <w:ind w:right="240" w:firstLine="228"/>
        <w:spacing w:after="0" w:line="331" w:lineRule="auto"/>
        <w:rPr>
          <w:sz w:val="20"/>
          <w:szCs w:val="20"/>
          <w:color w:val="auto"/>
        </w:rPr>
      </w:pPr>
      <w:r>
        <w:rPr>
          <w:rFonts w:ascii="Arial" w:cs="Arial" w:eastAsia="Arial" w:hAnsi="Arial"/>
          <w:sz w:val="16"/>
          <w:szCs w:val="16"/>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2015</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7.88</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r>
      <w:tr>
        <w:trPr>
          <w:trHeight w:val="376"/>
        </w:trPr>
        <w:tc>
          <w:tcPr>
            <w:tcW w:w="924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11.48</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closing sales price of our common stock on The NASDAQ Global Market was $1.00 on February 22, 2016 and there were 183 registered holders of record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96"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or the Exchange Act, except to the extent we specifically incorporate this section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2010, in (i) our common stock, (ii) the securities comprising The NASDAQ Composite Index and (iii) the securities comprising The NASDAQ Biotechnology Index.</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77470</wp:posOffset>
            </wp:positionV>
            <wp:extent cx="4347845" cy="3001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784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right="180" w:firstLine="228"/>
        <w:spacing w:after="0" w:line="298"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Facility Agreement, we are restricted from distributing any of our assets or declaring and distributing a dividend to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Pursuant to the terms of our engagement letter with Sunrise Securities Corp., our placement agent for the registered direct offering that we completed in November 2015, on November 16, 2015 we issued three affiliates of Sunrise Securities Corp. warrants to purchase an aggregate of 159,303 shares of our common stock at an exercise price of $2.61 per share. The warrants are exercisable for cash, and in some cases on a cashless basis, for a period of five years following the issuance date. On December 15, 2015, we registered for resale the shares of common stock issuable upon exercise of the warrants.</w:t>
      </w:r>
    </w:p>
    <w:p>
      <w:pPr>
        <w:spacing w:after="0" w:line="32"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We issued the warrants in reliance on the exemption from registration provided by Section 4(a)(2) of the Securities Act of 1933, as amended. The recipients acquired the warrants for investment only and not with a view to or for sale in connection with any distribution thereof and appropriate legends were affixed to the warrants.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The information set forth below should be read in conjunction with “Management’s Discussion and Analysis of Financial Condition and Results of Operations” and the audited consolidated financial statements, and the notes thereto, and other financial information included herein this Annual Report on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2013</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gridSpan w:val="10"/>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 thousands, except per share amounts)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526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109,719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40,960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59,682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Product Manufacturing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200"/>
              <w:spacing w:after="0"/>
              <w:rPr>
                <w:sz w:val="20"/>
                <w:szCs w:val="20"/>
                <w:color w:val="auto"/>
              </w:rPr>
            </w:pPr>
            <w:r>
              <w:rPr>
                <w:rFonts w:ascii="Arial" w:cs="Arial" w:eastAsia="Arial" w:hAnsi="Arial"/>
                <w:sz w:val="18"/>
                <w:szCs w:val="18"/>
                <w:color w:val="auto"/>
              </w:rPr>
              <w:t>Property and equipment impairment</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140,412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3"/>
            <w:vMerge w:val="restart"/>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344,655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179,627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169,401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146,995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140,589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(344,655)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(146,960)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(6,309)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(191,490)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(169,774)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(368,445)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(191,490)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(169,366)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(160,804)</w:t>
            </w:r>
          </w:p>
        </w:tc>
        <w:tc>
          <w:tcPr>
            <w:tcW w:w="0" w:type="dxa"/>
            <w:vAlign w:val="bottom"/>
          </w:tcPr>
          <w:p>
            <w:pPr>
              <w:spacing w:after="0"/>
              <w:rPr>
                <w:sz w:val="1"/>
                <w:szCs w:val="1"/>
                <w:color w:val="auto"/>
              </w:rPr>
            </w:pPr>
          </w:p>
        </w:tc>
      </w:tr>
      <w:tr>
        <w:trPr>
          <w:trHeight w:val="20"/>
        </w:trPr>
        <w:tc>
          <w:tcPr>
            <w:tcW w:w="5260" w:type="dxa"/>
            <w:vAlign w:val="bottom"/>
            <w:gridSpan w:val="4"/>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(0.64)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299,591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52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2013</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126,412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394,439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258,646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251,314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98,439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Note payable to our principal stockholder</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49,521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119,635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Facility financing obligation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102,300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Sanofi loan facility and loss share obligation</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62,371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(2,863,229)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(2,494,784)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(2,296,402)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(2,104,912)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(1,935,546)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(350,329)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(73,770)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(30,713)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(110,679)</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(313,652)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We are a biopharmaceutical company focused on the discovery and development of therapeutic products for diseases such as diabetes. Our only approved product, AFREZZA, is a rapid-acting inhaled insulin that was approved by the FDA on June 27, 2014 to improve glycemic control in adult patients with diabetes. AFREZZA became available by prescription in United States retail pharmacies in February 2015.</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year ended December 31, 2015, Sanofi reported a total of €7.0 million in annual sales of AFREZZA. As of December 31, 2015, we had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 of $2.9 billion and a stockholders’ deficit of $350.3 million. We incurred net losses of approximately $368.4 million, $198.4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$191.5 million in the years ended December 31, 2015, 2014, and 2013, respectively. We have funded our operations primarily through the sale of equity securities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convertible debt securities, borrowings under the Facility Agreement, borrowings under The Mann Group Loan Arrangement, receipt of upfront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milestone payments under the Sanofi License Agreement and borrowings under the Sanofi Loan Facility to fund our portion of the loss share. As discussed below</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“Liquidity and Capital Resources”, if we are unable to obtain additional funding, there will be substantial doubt about our ability to continue as a 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concern.</w:t>
      </w:r>
    </w:p>
    <w:p>
      <w:pPr>
        <w:spacing w:after="0" w:line="84"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To date, all sales and marketing activities related to AFREZZA have been conducted by Sanofi pursuant to the Sanofi License Agreement, and we have been responsible for manufacturing AFREZZA to supply Sanofi’s demand for the product pursuant to the Sanofi Supply Agreement. On January 4, 2016, we received written notice from Sanofi of its election to terminate in its entirety the Sanofi License Agreement. Sanofi’s notice indicated that the termination was pursuant to Sanofi’s right to terminate the agreement upon Sanofi’s good faith determination that the commercialization of AFREZZA is no longer economically viable in the United States, in which case the effective date of termination (the “Termination Date”) would be April 4, 2016. In the alternative, Sanofi indicated that the termination was also pursuant to its right to terminate the Sanofi License Agreement for any reason, in which case the Termination Date would be July 4, 2016. We believe that Sanofi lacks a good faith basis for determining that commercialization of AFREZZA is no longer economically viable in the United States. Nonetheless, in the interest of an expedient transition, we are currently working with Sanofi to transfer and wind down the agreement activities by April 4, 2016, or as soon as practicable thereafter. We intend to assume responsibility for commercializing and developing AFREZZA in the United States as soon as practicable following the Termination Date. As a result of the termination of the Sanofi License Agreement, the Sanofi Supply Agreement will terminate by its terms on the Termination Date. We also intend to seek regional partnerships for the development and commercialization of AFREZZA in foreign jurisdictions where there are appropriate commercial opportunities.</w:t>
      </w:r>
    </w:p>
    <w:p>
      <w:pPr>
        <w:spacing w:after="0" w:line="43" w:lineRule="exact"/>
        <w:rPr>
          <w:sz w:val="20"/>
          <w:szCs w:val="20"/>
          <w:color w:val="auto"/>
        </w:rPr>
      </w:pPr>
    </w:p>
    <w:p>
      <w:pPr>
        <w:jc w:val="both"/>
        <w:ind w:right="320" w:firstLine="228"/>
        <w:spacing w:after="0" w:line="256" w:lineRule="auto"/>
        <w:rPr>
          <w:sz w:val="20"/>
          <w:szCs w:val="20"/>
          <w:color w:val="auto"/>
        </w:rPr>
      </w:pPr>
      <w:r>
        <w:rPr>
          <w:rFonts w:ascii="Arial" w:cs="Arial" w:eastAsia="Arial" w:hAnsi="Arial"/>
          <w:sz w:val="18"/>
          <w:szCs w:val="18"/>
          <w:color w:val="auto"/>
        </w:rPr>
        <w:t>Our business is subject to significant risks, including but not limited to our ability to successfully commercialize and manufacture sufficient quantities of AREZZA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process development and related activities. This staff is located in our facilities in Valencia, California and Danbury, Connecticut. We expense research and development costs as we incur them.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96"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Product manufacturing expenses represent under-absorbed labor and overhead and inventory write-offs, which are expensed in the period in which they are incurred rather than as a portion of the inventory cost.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90"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color w:val="auto"/>
        </w:rPr>
        <w:t>Pursuant to the Sanofi License Agreement, we granted to Sanofi exclusive, worldwide licenses to certain of our patents, trademarks and know-how for the development and commercialization of AFREZZA. The terms of the Sanofi License Agreement provide for consideration to us in the form of a non-refundable up-front payment, product sales, manufacturing, regulatory and sales milestone payments and profit and loss sharing. On January 4, 2016, we received written notice from Sanofi of its election to terminate in its entirety the Sanofi License Agreement, effective either on April 4, 2016 or July 4, 2016 depending on the permitted basis for termination.</w:t>
      </w:r>
    </w:p>
    <w:p>
      <w:pPr>
        <w:spacing w:after="0" w:line="62"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We analyze consideration received under the provisions of ASC 605, Revenue Recognition,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w:t>
      </w:r>
    </w:p>
    <w:p>
      <w:pPr>
        <w:spacing w:after="0" w:line="26"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arrangements involving the delivery of more than one element, each required deliverable is evaluated to determine whether it qualifies as a separate unit of accounting.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our best estimate of what the selling price would be if the deliverable was regularly sold by us on a stand-alone basis. In general, the consideration allocated to each unit of accounting is recognized as the related goods or services are delivered, limited to the consideration that is not contingent upon future deliverables.</w:t>
      </w:r>
    </w:p>
    <w:p>
      <w:pPr>
        <w:spacing w:after="0" w:line="3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assessment of multiple element arrangements requires judgment in order to determine the appropriate units of accounting and the points in time that, or periods over which, revenue should be recognized. As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December 31, 2015, we did not have the ability to estimate the amount of costs that would potentially be incurred under the loss sharing provision of the Sanofi License Agreement, and accordingly we believe the fixed and determinable fee requirement for revenue recognition was not met. Given the fact that Sanofi has terminated the Sanofi License Agreement, we expect to have the ability in the future to estimate the amount of costs that would potentially be incurred under the loss sharing provision of the Sanofi License Agreement, and accordingly we believe the fixed and determinable fee requirement for revenue recognition will be met in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Inventories are stated at the lower of cost or market value. We determine the cost of inventory using the first-in, first-out (“FIFO”) method. We capitalize inventory costs associated with AFREZZA based on management’s judgment and the future economic benefit expected to be realized; otherwise, such costs are expensed as research and development or as product manufacturing expense for under-absorbed labor and overhead. We periodically analyze our inventory levels to identify inventory that may expire or has a cost basis in excess of its estimated realizable value, and write down such inventories as appropriate. In addition, AFREZZA is subject to strict quality control and monitoring, which we perform throughout the manufacturing process. If certain batches of AFREZZA inhalation powder, the inhaler or cartridges, no longer meet quality specifications or become obsolete due to expiration, we will record a charge to write down such unmarketable inventory to its estimated realizable value. Inventory that is not expected to be used within one year is classified as a long term asset on the accompanying condensed consolidated balance sheet.</w:t>
      </w:r>
    </w:p>
    <w:p>
      <w:pPr>
        <w:spacing w:after="0" w:line="118"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We analyzed our inventory levels to identify inventory that may expire or has a cost basis in excess of its estimated realizable value. We performed an assessment of projected sales to evaluate the lower of cost or market and the potential excess inventory on hand at December 31, 2015. As a result of this assessment, we recorded a charge of $39.3 million to record the inventory raw materials on hand at the lower of cost or market, inventory expiry, and write-off other inventory related assets.</w:t>
      </w:r>
    </w:p>
    <w:p>
      <w:pPr>
        <w:spacing w:after="0" w:line="143"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connection with the projected sales assessment, we also evaluated our inventory purchase commitments totalling $116.2 million for potential impairment. As a result of this assessment, we recorded a $66.2 million charge related to a loss on future purchase commitments both from a lower of cost or market and excess inventory perspective. The purchase commitment obligation has been reduced to reflect our expectation that a portion will be recoverable from a third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product costs from collaboration</w:t>
      </w:r>
    </w:p>
    <w:p>
      <w:pPr>
        <w:spacing w:after="0" w:line="90"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Cost of product manufacturing includes costs in connection with producing commercial and clinical product for Sanofi. Deferred costs represent the costs of product manufactured and shipped to Sanofi, not to exceed the amount of deferred product sales related to the collaboration, for which recognition of revenue has been deferred. Given that the costs of inventory delivered to Sanofi, but for which revenue may not yet be recognized, meet both the definition and characteristics of an “asset” and management believes that it is probable that the amount of future revenue will exceed the amount of deferred costs (i.e., the asset would be realizable through the recognition of probable future income), we have elected to account for the deferred costs related to the product sold to Sanofi as an asset and carry forward to future periods until the related revenue is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Rights</w:t>
      </w:r>
    </w:p>
    <w:p>
      <w:pPr>
        <w:spacing w:after="0" w:line="90"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 xml:space="preserve">In connection with the execution of the Facility Agreement on July 1, 2013, we issued Milestone Rights to the Milestone Purchasers. The Milestone Rights provide the Milestone Purchasers certain rights to receive payments up to $90.0 million upon the occurrence of specified strategic and sales milestones, including the first commercial sale of an AFREZZA product, and the achievement of specified net sales figures. We analyzed the Milestone Rights under the provisions of Financial Accounting Standards Board (“FASB”)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referred to as ASC 815, and determined that the instruments do not meet the definition of a freestanding derivative. Since we have not elected to apply the fair value option to the Milestone Rights, we have recorded the Milestone Rights at their estimated fair value and accounted for the Milestone Rights as a liability by applying the indexed debt guidance contained in paragraphs ASC 470-10-25-3 and 35-4.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w:t>
      </w:r>
    </w:p>
    <w:p>
      <w:pPr>
        <w:spacing w:after="0" w:line="35"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The Milestone Rights liability will be remeasured as the specified milestone events are achieved. Specifically, as each milestone event is achieved, the portion of the initially recorded Milestone Rights liability that pertains to such milestone event being achieved, will be remeasured to the amount of the specified related milestone payment. The resulting change in the balance of the Milestone Rights liability due to remeasurement will be recorded in our Statement of Operations as interest expense. Furthermore, the Milestone Rights liability will be reduced upon each milestone payment being paid.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2" w:lineRule="exact"/>
        <w:rPr>
          <w:sz w:val="20"/>
          <w:szCs w:val="20"/>
          <w:color w:val="auto"/>
        </w:rPr>
      </w:pPr>
    </w:p>
    <w:p>
      <w:pPr>
        <w:ind w:left="440" w:hanging="216"/>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legal ownership or title to the assets;</w:t>
      </w:r>
    </w:p>
    <w:p>
      <w:pPr>
        <w:spacing w:after="0" w:line="90"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90"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62"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In connection with our quarterly assessment of impairment indicators, we evaluated the continued lower than expected sales of AFREZZA as reported by Sanofi throughout the fourth quarter of 2015, revised forecasts for sales of AFREZZA provided by Sanofi in the fourth quarter of 2015 and level of commercial production in the fourth quarter of 2015, as well as the uncertainty associated with Sanofi’s announcement during the fourth quarter of their intent to reorganize their diabetes business. These factors indicated potentially significant changes in the timing and extent of cash flows, and we therefore determined that an impairment indicator existed in the fourth quarter of 2015.</w:t>
      </w:r>
    </w:p>
    <w:p>
      <w:pPr>
        <w:spacing w:after="0" w:line="62"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On January 4, 2016, we received written notice from Sanofi of its election to terminate in its entirety the Sanofi License Agreement. Sanofi’s notice indicated that the termination was pursuant to Sanofi’s right to terminate the agreement upon Sanofi’s good faith determination that the commercialization of AFREZZA is no longer economically viable in the United States, in which case the effective date of termination (the “Termination Date”) would be April 4, 2016. In the alternative, Sanofi indicated that the termination was also pursuant to its right to terminate the License Agreement for any reason, in which case the Termination Date would be July 4, 2016. We believe that Sanofi lacks a good faith basis for determining that commercialization of AFREZZA is no longer economically viable in the United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States. Nonetheless, in the interest of an expedient transition, we are currently working with Sanofi to transfer and wind down the agreement activities by April 4, 2016, or as soon as practicable thereafter.</w:t>
      </w:r>
    </w:p>
    <w:p>
      <w:pPr>
        <w:spacing w:after="0" w:line="51"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We identified two primary asset groups to be evaluated for impairment: the Danbury manufacturing facility, which currently performs all the manufacturing of AFREZZA, and the Valencia facility, which was previously our corporate headquarters. The Danbury manufacturing facility is the primary asset group that has been impacted by the impairment indicators noted above but we also evaluated the Valencia facility for potential impairment given the circumstances, and identified an impairment charge of $1.8 million based on a valuation utilizing a combination of market, income and cost approaches. Within the Danbury manufacturing facility, we identified the machinery and equipment as the primary assets within the asset group as they are associated with the production of AFREZZA. As such, we performed the fixed asset impairment test and performed the first step to test for recoverability of the Danbury manufacturing facility by utilizing two undiscounted cash flow projections and applying a probability weighted average to those cash flow projections. The first undiscounted cash flow projection was developed under a scenario assuming Sanofi would continue to sell and market AFREZZA as the termination of the arrangement by Sanofi was not known as of the balance sheet date. The second undiscounted cash flow projection assumed Sanofi would terminate the Sanofi License Agreement and that we would manufacture, sell and market AFREZZA independently.</w:t>
      </w:r>
    </w:p>
    <w:p>
      <w:pPr>
        <w:spacing w:after="0" w:line="42"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Based on the evaluation performed, the probabilities assigned to the two undiscounted cash flows were not significant to the evaluation due to the projected negative cash flows over the estimation period, and it was determined that the probability weighted undiscounted cash flows were not sufficient to recover the carrying value of the Danbury manufacturing facility. As such, we were required to determine the fair value of the Danbury manufacturing facility to recognize an impairment loss if the carrying amount exceeds its fair value. We determined the fair value of the Danbury manufacturing facility by applying the highest and best use valuation concept and utilizing the market approach valuation technique to value the machinery and equipment and a combination of the market approach and cost approach in valuing the land, buildings, and building improvements. As a result of this assessment, we recorded an impairment charge of $138.6 million for the Danbury manufacturing facility.</w:t>
      </w:r>
    </w:p>
    <w:p>
      <w:pPr>
        <w:spacing w:after="0" w:line="37" w:lineRule="exact"/>
        <w:rPr>
          <w:sz w:val="20"/>
          <w:szCs w:val="20"/>
          <w:color w:val="auto"/>
        </w:rPr>
      </w:pPr>
    </w:p>
    <w:p>
      <w:pPr>
        <w:ind w:right="500" w:firstLine="228"/>
        <w:spacing w:after="0" w:line="332" w:lineRule="auto"/>
        <w:rPr>
          <w:sz w:val="20"/>
          <w:szCs w:val="20"/>
          <w:color w:val="auto"/>
        </w:rPr>
      </w:pPr>
      <w:r>
        <w:rPr>
          <w:rFonts w:ascii="Arial" w:cs="Arial" w:eastAsia="Arial" w:hAnsi="Arial"/>
          <w:sz w:val="16"/>
          <w:szCs w:val="16"/>
          <w:color w:val="auto"/>
        </w:rPr>
        <w:t>To date, we have had recurring operating losses, and the recoverability of our long-lived assets is contingent upon executing our business plan. If we are unable to execute our business plan, we may require additional write downs of the value of our long-lived assets in future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90"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46" w:lineRule="exact"/>
        <w:rPr>
          <w:sz w:val="20"/>
          <w:szCs w:val="20"/>
          <w:color w:val="auto"/>
        </w:rPr>
      </w:pPr>
    </w:p>
    <w:p>
      <w:pPr>
        <w:jc w:val="both"/>
        <w:ind w:right="320" w:firstLine="228"/>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 xml:space="preserve">We account for stock-based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 Option valuation models require the input of assumptions, including the expected life of the stock-based awards, the estimated stock price volatility, the risk-free interest rate, and the expected dividend yield. Beginning in the third quarter of 2014, we began to assess both historical and implied volatility in order to determine the estimated volatility rate for our stock. Implied volatility was considered due to the change in our business, which occurred with the approval for the sale of AFREEZA. The expected volatility assumption is based on an assessment of the historical volatility and the implied volatility of our common stock, derived from an analysis of historical traded and quoted options on our common stock.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Our management must make judgments when determining our provision for income taxes, our deferred tax assets and liabilities and any valuation allowance recorded against our net deferred tax assets. At December 31, 2015, we had established a valuation allowance of $962.6 million against all of our net deferred tax asset balance,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2015 and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During the years ended December 31, 2015 and 2014, we did not recognize any revenue. Due to the termination of the Sanofi License Agreement and based on our current operating plan, we expect to recognize, likely within 2016, $17.5 million as product sales from collaboration, $13.5 million as product costs from collaboration and income from collaboration related to upfront and milestone payments in excess of $100 million, which amounts are deferred as of December 31, 2015 due to the revenue recognition criteria not being met as of such date.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 2015 and 2014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(16,021)</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Manufacturing</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8,939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44,901</w:t>
            </w:r>
          </w:p>
        </w:tc>
        <w:tc>
          <w:tcPr>
            <w:tcW w:w="30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(35,962)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713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100" w:type="dxa"/>
            <w:vAlign w:val="bottom"/>
            <w:gridSpan w:val="3"/>
          </w:tcPr>
          <w:p>
            <w:pPr>
              <w:jc w:val="right"/>
              <w:ind w:right="220"/>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(817)</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28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221"/>
        </w:trPr>
        <w:tc>
          <w:tcPr>
            <w:tcW w:w="4860" w:type="dxa"/>
            <w:vAlign w:val="bottom"/>
            <w:vMerge w:val="continue"/>
          </w:tcPr>
          <w:p>
            <w:pPr>
              <w:spacing w:after="0"/>
              <w:rPr>
                <w:sz w:val="19"/>
                <w:szCs w:val="19"/>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$29,674</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100,244</w:t>
            </w:r>
          </w:p>
        </w:tc>
        <w:tc>
          <w:tcPr>
            <w:tcW w:w="300" w:type="dxa"/>
            <w:vAlign w:val="bottom"/>
          </w:tcPr>
          <w:p>
            <w:pPr>
              <w:spacing w:after="0"/>
              <w:rPr>
                <w:sz w:val="19"/>
                <w:szCs w:val="19"/>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 (70,570)</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The decrease in research and development expenses of $70.6 million for the year ended December 31, 2015 compared to the year ended December 31, 2014 was primarily due to a decrease of $36.0 million in manufacturing process development expenses resulting from the shift to commercial production of AFREZZA of $30.8 million and decreased expenses of $0.7 million following the completion of restructuring activities in early 2015. The decrease is also attributable to a $19.3 million decrease in stock-based compensation expense compared to 2014 as a result of a non-recurring modification of the settlement terms (the “Modification”) of certain performance-based restricted stock units and the achievement of performance-based grants in 2014 and the first quarter of 2015. The Modification resulted in the reclassification of these performance grants from equity awards to liability awards, which required re-measurement on the modification date and resulted in incremental stock-based compensation expense. Further, the reductions in research and development expenses was also driven by a decrease in clinical trial related expenses of $16.0 million primarily resulting from the completion of the affinity trials of $11.1 million and decreased personnel costs related to restructuring of $9.0 million.</w:t>
      </w:r>
    </w:p>
    <w:p>
      <w:pPr>
        <w:spacing w:after="0" w:line="39"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anticipate that our overall research and development expenses will decrease in 2016 compared to 2015 due to the focus on the transition of the AFREZZA rights in 2016 and minimal incremental cost associated with our development pipeline.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 2015 and 2014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(17,854)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5,696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26,265</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(20,569)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$40,960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$79,383</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(38,423)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The decrease in general and administrative expenses of $38.4 million for the year ended December 31, 2015 compared to the year ended December 31, 2014 was primarily due to decreased stock-based compensation expense of $20.6 million, resulting from the modification and achievement of performance-based grants in 2014 and the first quarter of 2015, as described above. Additionally, the decrease is also attributable to professional fees of $13.8 million related to the Sanofi License Agreement incurred in the third quarter of 2014 and decreased expenses of $3.2 million following the completion of restructuring activities and decreased personnel costs in early 2015.</w:t>
      </w:r>
    </w:p>
    <w:p>
      <w:pPr>
        <w:spacing w:after="0" w:line="62"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We expect general and administrative expenses to remain relatively flat in 2016 as compared to 2015 due to restructuring measures in 2015 offset by an increase in professional fees related to the Sanofi termination.</w:t>
      </w:r>
    </w:p>
    <w:p>
      <w:pPr>
        <w:spacing w:after="0" w:line="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expect to have sales and marketing expenses in 2016 due to termination of the Sanofi License Agreement and the transition of sales and marketing efforts to us in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Manufacturing Expenses</w:t>
      </w:r>
    </w:p>
    <w:p>
      <w:pPr>
        <w:spacing w:after="0" w:line="90"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Product manufacturing expenses were $67.4 million for the year ended December 31, 2015, resulting from product manufacturing costs associated with AFREZZA product sales, which cannot be capitalized due to excess capacity. We had no product manufacturing expense for the year ended December 31, 2014, as pre-commercial manufacturing costs associated with AFREZZA were accounted for as research and development expenses. Product manufacturing expenses represent under-absorbed labor and overhead of $21.4 million and inventory write-offs of 36.1 million, which are expensed in the period in which they are incurred.</w:t>
      </w:r>
    </w:p>
    <w:p>
      <w:pPr>
        <w:spacing w:after="0" w:line="6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Although the Sanofi License Agreement will terminate in the second quarter of 2016, we expect our 2016 production of AFREZZA to be relatively consistent with production levels in 2015, primarily as a result of existing customer demand. With the exception of the inventory write-off, we expect product manufacturing expense to remain relatively flat in 2016 compared to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impairment</w:t>
      </w:r>
    </w:p>
    <w:p>
      <w:pPr>
        <w:spacing w:after="0" w:line="90"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Property and equipment impairment increased $140.4 million for the year ended December 31, 2015 compared to the year ended December 31, 2014. The property and equipment impairment was to reduce the carrying amount of our real property and machinery and equipment to fair value based on our impairment assessment in the fourth quarter of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purchase commitments</w:t>
      </w:r>
    </w:p>
    <w:p>
      <w:pPr>
        <w:spacing w:after="0" w:line="90"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Loss on purchase commitments increased $66.2 million for the year ended December 31, 2015 compared to the year end 2014. The loss on purchase commitments was related to the loss on future purchase commitments resulting from our assessment of excess inventory as a result of lower than expected sales of AFREZZA as well as a lower of cost or market adjustment due to estimated conversion costs in excess of our estimated selling price of AFREZZA.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jc w:val="both"/>
        <w:ind w:right="20" w:firstLine="228"/>
        <w:spacing w:after="0" w:line="298" w:lineRule="auto"/>
        <w:rPr>
          <w:sz w:val="20"/>
          <w:szCs w:val="20"/>
          <w:color w:val="auto"/>
        </w:rPr>
      </w:pPr>
      <w:r>
        <w:rPr>
          <w:rFonts w:ascii="Arial" w:cs="Arial" w:eastAsia="Arial" w:hAnsi="Arial"/>
          <w:sz w:val="16"/>
          <w:szCs w:val="16"/>
          <w:color w:val="auto"/>
        </w:rPr>
        <w:t>Other income for the year ended December 31, 2015 was $1.4 million resulting from the relief of an accrual for potential expenses associated with the sale of intellectual property related to oncology in 2014, which was subsequently resolved without payment in the first quarter of 2015. For the year ended December 31, 2014, other income was $1.7 million resulting from the sale of intellectual property related to oncology in the third quarter of 2014 in the amount of $7.9 million, partially offset by a $6.4 million non-cash charge recognized upon the conversion of 2019 notes into equity.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90"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Loss on extinguishment of debt increased $1.0 million for the year ended December 31, 2015 compared to the year ended December 31, 2014. The loss on extinguishment is due to the settlement of the 2015 notes through payment of cash and issuance of new debt.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Expense</w:t>
      </w:r>
    </w:p>
    <w:p>
      <w:pPr>
        <w:spacing w:after="0" w:line="90"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Interest expense increased $3.7 million from $20.4 million for the year ended December 31, 2014 to $24.1 million for the year ended December 31, 2015. The increase was primarily due to $5.8 million interest expense associated with the milestone payment resulting from the achievement and re-measurement of the second milestone under the Milestone Agreement in the first quarter of 2015 compared to the $1.9 million interest expense from the payment of the first milestone in 2014. The increase was also due to an increase of $1.7 million related to the Sanofi Loan Facility and $0.8 million in interest for 2018 notes, which was offset by a decrease in interest expense of $2.7 million resulting from the maturity of 2015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2014 and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years ended December 31, 2014 and 2013, we did not recognize any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 2014 and 2013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42,711</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 (14,749)</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Manufacturing</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44,901</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40,530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4,371</w:t>
            </w:r>
          </w:p>
        </w:tc>
        <w:tc>
          <w:tcPr>
            <w:tcW w:w="52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6,351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(535)</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22,357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20,409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100,244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109,719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(9,475)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The decrease in research and development expenses for the year ended December 31, 2014 compared to the year ended December 31, 2013 was driven by a decrease in clinical trial related expenses of $14.8 million with the completion of two Phase 3 clinical studies of AFREZZA in 2013. This decrease was offset by a $4.4 million increase in manufacturing spending due to supply purchases, increased headcount for commercial readiness and a $1.9 million increase in stock-based compensation resulting from the net effect of $10.4 million in increased stock-based compensation expense due to the Modifications. The foregoing increase in stock-based compensation in 2014 was partially offset by an overall decrease in stock-based compensation of $7.1 million due to the decreased recognition period in 2014 as a result of the achievement of milestones under company-wide performance-based grants in the second and third quarters of 2014, in addition to a reduction of other option and award compensation of $1.4 million due to a reduction in force.</w:t>
      </w:r>
    </w:p>
    <w:p>
      <w:pPr>
        <w:spacing w:after="0" w:line="37"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We began commercial manufacturing in the latter part of the fourth quarter of 2014. As such, commercial manufacturing costs incurred in the fourth quarter and included in manufacturing expenses above are immaterial for the year ended December 31,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 2014 and 2013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 Change</w:t>
            </w:r>
          </w:p>
        </w:tc>
        <w:tc>
          <w:tcPr>
            <w:tcW w:w="5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$53,118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$34,905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$18,213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26,265</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$19,701</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General and administrative expenses for the year ended December 31, 2014 increased compared to the prior year, driven by an increase in professional fees of $15.4 million associated with the closing of the Sanofi License Agreement, the amendment of the Facility Agreement and assessment of new product opportunities. Salaries and employee-related expenses increased by $2.8 million in 2014 primarily due to increased compensation related to the achievement of significant corporate milestones and severance expense related to a reduction in force in the fourth quarter of 2014. Stock-based compensation expense increased by $1.5 million as a result of the net effect of $12.6 million in increased stock-based compensation expense due to the Modifications and settlement of value during 2014 for certain performance awards, partially offset by an overall decrease in stock-based compensation of $9.5 million due to the decreased recognition period in 2014 as a result of the achievement of milestones under company-wide performance based grants in the second and third quarters of 2014, in addition to a reduction of other option and award compensation of $1.9 million due to a reduction in force.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Other income for the year ended December 31, 2014 was $1.7 million resulting from the sale of intellectual property related to oncology in the third quarter of 2014 in the amount of $7.9 million, partially offset by a $6.4 million non-cash charge recognized upon the conversion of 2019 notes into equity. For the year ended December 31, 2013, other expense was $0.6 million related to the loss on conversion of debt to equity at the end of 2013 upon the conversion of 2019 notes into common stock in accordance with the Facility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Expense</w:t>
      </w:r>
    </w:p>
    <w:p>
      <w:pPr>
        <w:spacing w:after="0" w:line="90" w:lineRule="exact"/>
        <w:rPr>
          <w:sz w:val="20"/>
          <w:szCs w:val="20"/>
          <w:color w:val="auto"/>
        </w:rPr>
      </w:pPr>
    </w:p>
    <w:p>
      <w:pPr>
        <w:ind w:right="80" w:firstLine="228"/>
        <w:spacing w:after="0" w:line="332" w:lineRule="auto"/>
        <w:rPr>
          <w:sz w:val="20"/>
          <w:szCs w:val="20"/>
          <w:color w:val="auto"/>
        </w:rPr>
      </w:pPr>
      <w:r>
        <w:rPr>
          <w:rFonts w:ascii="Arial" w:cs="Arial" w:eastAsia="Arial" w:hAnsi="Arial"/>
          <w:sz w:val="16"/>
          <w:szCs w:val="16"/>
          <w:color w:val="auto"/>
        </w:rPr>
        <w:t>Interest expense decreased $1.1 million from $21.5 million for the year ended December 31, 2013 to $20.4 million for the year ended December 31, 2014 due to lower principal balances resulting from the repayment of senior convertible notes and the conversion of 2019 notes into equity in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680" w:firstLine="228"/>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borrowings under the Facility Agreement with Deerfield, receipt of upfront, milestone payments under the Sanofi License Agreement, and borrowings under the Sanofi Loan Facility.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2015, we had $201.7 million principal amount of outstanding debt, consisting of:</w:t>
      </w:r>
    </w:p>
    <w:p>
      <w:pPr>
        <w:spacing w:after="0" w:line="90" w:lineRule="exact"/>
        <w:rPr>
          <w:sz w:val="20"/>
          <w:szCs w:val="20"/>
          <w:color w:val="auto"/>
        </w:rPr>
      </w:pPr>
    </w:p>
    <w:p>
      <w:pPr>
        <w:ind w:left="440" w:hanging="21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90" w:lineRule="exact"/>
        <w:rPr>
          <w:rFonts w:ascii="Arial" w:cs="Arial" w:eastAsia="Arial" w:hAnsi="Arial"/>
          <w:sz w:val="18"/>
          <w:szCs w:val="18"/>
          <w:color w:val="auto"/>
        </w:rPr>
      </w:pPr>
    </w:p>
    <w:p>
      <w:pPr>
        <w:ind w:left="440" w:right="120" w:hanging="216"/>
        <w:spacing w:after="0" w:line="259"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59" w:lineRule="exact"/>
        <w:rPr>
          <w:rFonts w:ascii="Arial" w:cs="Arial" w:eastAsia="Arial" w:hAnsi="Arial"/>
          <w:sz w:val="18"/>
          <w:szCs w:val="18"/>
          <w:color w:val="auto"/>
        </w:rPr>
      </w:pPr>
    </w:p>
    <w:p>
      <w:pPr>
        <w:ind w:left="440" w:right="340" w:hanging="216"/>
        <w:spacing w:after="0" w:line="268"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and $5.0 million of which is due and payable in December 2019;</w:t>
      </w:r>
    </w:p>
    <w:p>
      <w:pPr>
        <w:spacing w:after="0" w:line="50"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Mann Group Loan Arrangement bearing interest at 5.84% and maturing and due on January 5, 2020; and</w:t>
      </w:r>
    </w:p>
    <w:p>
      <w:pPr>
        <w:spacing w:after="0" w:line="50" w:lineRule="exact"/>
        <w:rPr>
          <w:rFonts w:ascii="Arial" w:cs="Arial" w:eastAsia="Arial" w:hAnsi="Arial"/>
          <w:sz w:val="18"/>
          <w:szCs w:val="18"/>
          <w:color w:val="auto"/>
        </w:rPr>
      </w:pPr>
    </w:p>
    <w:p>
      <w:pPr>
        <w:jc w:val="both"/>
        <w:ind w:left="440" w:right="500" w:hanging="216"/>
        <w:spacing w:after="0" w:line="357" w:lineRule="auto"/>
        <w:tabs>
          <w:tab w:leader="none" w:pos="4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$44.5 million principal amount borrowed under the Sanofi Loan Facility to fund our share of net losses under the Sanofi License Agreement, bearing interest at a rate of 8.5% per annum, with accrued interest payable in-kind and compounded quarterly, and maturing and due on September 23, 2024.</w:t>
      </w:r>
    </w:p>
    <w:p>
      <w:pPr>
        <w:ind w:right="300" w:firstLine="228"/>
        <w:spacing w:after="0" w:line="306" w:lineRule="auto"/>
        <w:rPr>
          <w:sz w:val="20"/>
          <w:szCs w:val="20"/>
          <w:color w:val="auto"/>
        </w:rPr>
      </w:pPr>
      <w:r>
        <w:rPr>
          <w:rFonts w:ascii="Arial" w:cs="Arial" w:eastAsia="Arial" w:hAnsi="Arial"/>
          <w:sz w:val="16"/>
          <w:szCs w:val="16"/>
          <w:color w:val="auto"/>
        </w:rPr>
        <w:t>As of December 31, 2015, the amount available for future borrowings under The Mann Group Loan Arrangement was $30.1 million. A portion of these available borrowings may be used to capitalize accrued interest into principal, upon mutual agreement of the parties, as it becomes due and payable under The Mann Group Loan Arrangement. As of December 31, 2015 the accrued and unpaid interest under The Mann Group Loan Arrangement was $6.4 million.</w:t>
      </w:r>
    </w:p>
    <w:p>
      <w:pPr>
        <w:spacing w:after="0" w:line="26"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All profits and losses from AFREZZA product sales by Sanofi or its affiliates after the Termination Date, if any, will continue to be shared 65% by Sanofi and 35% by us pursuant to the terms of the Sanofi License Agreement. Our total share of the net losses are $62.4 million, classified as Sanofi loan facility and loss share obligation, of which $44.5 million has been borrowed under the Sanofi Loan Facility as of December 31, 2015. Subsequent to December 31, 2015, we borrowed an additional $17.9 million under the Sanofi Loan Facility to finance our share of the net losses for the fourth quarter of 2015, which was reclassified from current deferred payments from collaboration to Sanofi loan facility and loss share obligation, for a total of $62.4 million, which includes $1.7 million in paid-in-kind interest. We will be required to make mandatory prepayments on any outstanding loans under the Sanofi Loan Facility from our share of any profits under the Sanofi License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Agreement. Additionally, if we sell our Valencia facility, which we no longer use as our corporate headquarters, we will be required to prepay the loans under the Sanofi Loan Facility from the net cash proceeds of the sale within five business days of receipt.</w:t>
      </w:r>
    </w:p>
    <w:p>
      <w:pPr>
        <w:spacing w:after="0" w:line="51" w:lineRule="exact"/>
        <w:rPr>
          <w:sz w:val="20"/>
          <w:szCs w:val="20"/>
          <w:color w:val="auto"/>
        </w:rPr>
      </w:pPr>
    </w:p>
    <w:p>
      <w:pPr>
        <w:ind w:right="40" w:firstLine="228"/>
        <w:spacing w:after="0" w:line="302" w:lineRule="auto"/>
        <w:rPr>
          <w:sz w:val="20"/>
          <w:szCs w:val="20"/>
          <w:color w:val="auto"/>
        </w:rPr>
      </w:pPr>
      <w:r>
        <w:rPr>
          <w:rFonts w:ascii="Arial" w:cs="Arial" w:eastAsia="Arial" w:hAnsi="Arial"/>
          <w:sz w:val="15"/>
          <w:szCs w:val="15"/>
          <w:color w:val="auto"/>
        </w:rPr>
        <w:t>There can be no assurance that we will have sufficient resources to make any required repayments of principal under the 2018 notes, 2019 notes, Tranche B notes, The Mann Group Loan Arrangement or Sanofi Loan Facility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w:t>
      </w:r>
    </w:p>
    <w:p>
      <w:pPr>
        <w:spacing w:after="0" w:line="2"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 kind on a quarterly basis (2.06% per quarter compounded). Loans under the Loan Arrangement accrue interest at a rate of 5.84% per annum, due and payable quarterly in arrears on the first day of each calendar quarter for the preceding quarter, or at such other time as we and The Mann Group LLC mutually agree. While we have been able to timely make our required interest payments to date, we cannot guarantee that we will be able to do so in the future. If we fail to pay interest on the 2018 notes, 2019 notes, Tranche B notes, or on the loans under the Sanofi Loan Facility, or if we fail to repay or repurchase the 2018 notes, 2019 notes, Tranche B notes, or borrowings under The Mann Group Loan Arrangement or the Sanofi Loan Facility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33"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In the first quarter of 2015, the second milestone triggering event was achieved following our product launch on February 3, 2015. In connection with the milestone triggering event, we paid a $10.0 million payment to Milestone Purchasers pursuant to the terms of the Milestone Agreement in the first quarter of 2015 and we do not expect to pay any milestone payments in the next 12 months.</w:t>
      </w:r>
    </w:p>
    <w:p>
      <w:pPr>
        <w:spacing w:after="0" w:line="63"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Facility Agreement includes customary representations, warranties and covenants, including, a restriction on the incurrence of additional indebtedness, and a financial covenant which requires our cash and cash equivalents, which includes available borrowings under The Mann Group Loan Arrangement, on the last day of each fiscal quarter to not be less than $25.0 million. In the event of default under the Facility Agreement, the holders of the 2019 notes and Tranche B notes may declare all or any portion of the 2019 notes and Tranche B notes to be immediately due and payable.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In August 2015, we issued $27.7 million aggregate principal amount of new 5.75% Convertible Senior Subordinated Exchange Notes due 2018 (the “2018 notes”). The 2018 notes are general, unsecured, senior obligations, except that the 2018 notes are subordinated in right of payment to the outstanding notes issued pursuant to the Facility Agreement and our borrowings under the Sanofi Loan Facility. The 2018 notes rank equally in right of payment with our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w:t>
      </w:r>
    </w:p>
    <w:p>
      <w:pPr>
        <w:spacing w:after="0" w:line="35"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On July 31, 2014, we entered into the Insulin Supply Agreement, pursuant to which we agreed to purchase certain annual minimum quantities of insulin for calendar years 2015 through 2019, for an aggregate total purchase price of approximately €120.1 million, of which €98.5 million is remaining at December 31, 2015. We have contracted for the purchase of €28.8 million in 2016 and the remaining annual minimum quantities will be €23.3 million for the years ended December 31, 2017 through 2019. Unless earlier terminated, the term of the Insulin Supply Agreement expires on December 31, 2019 and can be renewed for additional, successive two year terms upon 12 months’ written notice, given prior to the end of the initial term or any additional two year term. We and Amphastar each have normal and customary termination rights, including termination for material breach that is not cured within a specific time frame or in the event of liquidation, bankruptcy or insolvency of the other party. In addition, we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us to pay the full amount of all unpaid purchase commitments due over the initial term within 60 calendar days of the effective date of such termination.</w:t>
      </w:r>
    </w:p>
    <w:p>
      <w:pPr>
        <w:spacing w:after="0" w:line="42"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During the year ended December 31, 2015, we raised gross proceeds of $28.4 million from the sale of 8.9 million shares of common stock under our at-the-market issuance sales agreements, resulting in net proceeds of $27.8 million after issuance costs.</w:t>
      </w:r>
    </w:p>
    <w:p>
      <w:pPr>
        <w:spacing w:after="0" w:line="51"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Pursuant to the Sanofi License Agreement, we received milestone payments of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w:t>
      </w:r>
    </w:p>
    <w:p>
      <w:pPr>
        <w:spacing w:after="0" w:line="59" w:lineRule="exact"/>
        <w:rPr>
          <w:sz w:val="20"/>
          <w:szCs w:val="20"/>
          <w:color w:val="auto"/>
        </w:rPr>
      </w:pPr>
    </w:p>
    <w:p>
      <w:pPr>
        <w:jc w:val="both"/>
        <w:ind w:right="60" w:firstLine="228"/>
        <w:spacing w:after="0" w:line="303" w:lineRule="auto"/>
        <w:rPr>
          <w:sz w:val="20"/>
          <w:szCs w:val="20"/>
          <w:color w:val="auto"/>
        </w:rPr>
      </w:pPr>
      <w:r>
        <w:rPr>
          <w:rFonts w:ascii="Arial" w:cs="Arial" w:eastAsia="Arial" w:hAnsi="Arial"/>
          <w:sz w:val="15"/>
          <w:szCs w:val="15"/>
          <w:color w:val="auto"/>
        </w:rPr>
        <w:t>During the year ended December 31, 2015, we used $57.2 million of cash for operating activities as a result of our net loss of $368.4 million, adjusted by non-cash charges of $231.5 million and a net decrease in assets and liabilities of $41.0 million. The non-cash charges included $206.6 million of impairment charges, $22.0 million of depreciation and accretion and stock-based compensation, $1.7 million interest accrued through borrowings under Sanofi Loan Facility, $</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1.0 million for the loss on extinguishment of debt, with the remainder due to an adjustment for foreign currency transaction losses. The change in net assets and liabilities was predominately due to the net decreases in receivables from collaboration from the $50.0 million received in milestone payments and $13.5 million due to the decrease in prepaids and other current assets at December 31, 2015 compared to December 31, 2014 primarily due to prepayment on insulin in 2014, which did not occur in 2015. This was offset by net decreases in inventory as we purchased significant inventory in 2014 related to Amphastar, which did not occur in 2015.</w:t>
      </w:r>
    </w:p>
    <w:p>
      <w:pPr>
        <w:spacing w:after="0" w:line="64"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During the year ended December 31, 2014, cash provided by operations was $4.1 million as a result of our net loss of $198.4 million, adjusted by non-cash charges of $67.2 million and a net increase in assets and liabilities of $133.8 million. The non-cash charges were predominately related to depreciation and accretion and stock-based compensation. The change in net assets and liabilities was predominately due to the net increases in receivables and deferred payments from collaboration of $150.0 million deferred up-front payment recorded from the up-front fee associated with the Sanofi License Agreement being partially offset by the $15.0 million deposit to Amphastar as prepayment for 2015 quantities of insulin as part of the Insulin Supply Agreement.</w:t>
      </w:r>
    </w:p>
    <w:p>
      <w:pPr>
        <w:spacing w:after="0" w:line="35" w:lineRule="exact"/>
        <w:rPr>
          <w:sz w:val="20"/>
          <w:szCs w:val="20"/>
          <w:color w:val="auto"/>
        </w:rPr>
      </w:pPr>
    </w:p>
    <w:p>
      <w:pPr>
        <w:jc w:val="both"/>
        <w:ind w:right="140" w:firstLine="228"/>
        <w:spacing w:after="0" w:line="259" w:lineRule="auto"/>
        <w:rPr>
          <w:sz w:val="20"/>
          <w:szCs w:val="20"/>
          <w:color w:val="auto"/>
        </w:rPr>
      </w:pPr>
      <w:r>
        <w:rPr>
          <w:rFonts w:ascii="Arial" w:cs="Arial" w:eastAsia="Arial" w:hAnsi="Arial"/>
          <w:sz w:val="18"/>
          <w:szCs w:val="18"/>
          <w:color w:val="auto"/>
        </w:rPr>
        <w:t>We used $10.2 million of cash for investing activities during the year ended December 31, 2015, compared to $24.1 million for the year ended December 31, 2014. The $13.9 million decrease was due a decrease in purchases of machinery and equipment. For the year ended December 31, 2014, cash used for investing activities increased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by $16.1 million over the amount used during the year ended December 31, 2013, due to purchases of machinery and equipment for the preparation for commercialization of AFREZZA in 2014.</w:t>
      </w:r>
    </w:p>
    <w:p>
      <w:pPr>
        <w:spacing w:after="0" w:line="51" w:lineRule="exact"/>
        <w:rPr>
          <w:sz w:val="20"/>
          <w:szCs w:val="20"/>
          <w:color w:val="auto"/>
        </w:rPr>
      </w:pPr>
    </w:p>
    <w:p>
      <w:pPr>
        <w:ind w:right="260" w:firstLine="228"/>
        <w:spacing w:after="0" w:line="291" w:lineRule="auto"/>
        <w:rPr>
          <w:sz w:val="20"/>
          <w:szCs w:val="20"/>
          <w:color w:val="auto"/>
        </w:rPr>
      </w:pPr>
      <w:r>
        <w:rPr>
          <w:rFonts w:ascii="Arial" w:cs="Arial" w:eastAsia="Arial" w:hAnsi="Arial"/>
          <w:sz w:val="16"/>
          <w:szCs w:val="16"/>
          <w:color w:val="auto"/>
        </w:rPr>
        <w:t>Our financing activities provided $5.7 million of cash for the year ended December 31, 2015, compared to $70.1 million for the year ended December 31, 2014. For the year ended December 31, 2015, cash used in financing activities was comprised of a $64.3 million payment on the outstanding 2015 notes obligation and a $4.2 million payment associated with the achievement of the second milestone to Deerfield for product launched on February 3, 2015. These outflows were offset by $34.7 million received in net proceeds from the sale of stock on the Tel Aviv Stock Exchange in November 2015, $27.8 million net of issuance costs in proceeds from at-the-market sales of stock, and $14.3 million received in proceeds from exercise of stock options and warrants. Cash inflows were offset by the payment of employment taxes related to vested restricted stock units.</w:t>
      </w:r>
    </w:p>
    <w:p>
      <w:pPr>
        <w:spacing w:after="0" w:line="39"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Our financing activities provided $70.1 million of cash for the year ended December 31, 2014, compared to $145.7 million for the year ended December 31, 2013. For the year ended December 31, 2014, cash provided by financing activities was comprised of $40.0 million in proceeds received from the issuance of the fourth tranche of 2019 notes to Deerfield, $20.0 million from the sale of Tranche B notes to Deerfield, $27.8 million from warrant exercises, and $12.3 million from the exercise of stock options, which were partially offset by $26.9 million paid for employment taxes related to vested restricted stock units and a $3.2 million milestone principal payment. For the year ended December 31, 2013 cash provided by financing activities was comprised of $119.5 million in net proceeds received from issuance of the 2019 notes and the Milestone Rights and $94.2 million in net proceeds from warrant exercises. Additionally, we received $48.9 million in net proceeds from at-the market issuance sales in 2013, and on December 15, 2013 we paid $115.0 million in settlement of our 3.75% Senior Convertible Notes due 2013 upon maturity.</w:t>
      </w:r>
    </w:p>
    <w:p>
      <w:pPr>
        <w:spacing w:after="0" w:line="37"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As of December 31, 2015, we had $59.1 million in cash and cash equivalents. We expect to expend our capital resources for the manufacturing, sales and marketing of AFREZZA subsequent to the termination with Sanofi and to develop our other product candidates. We also intend to use our capital resources for general corporate purposes.</w:t>
      </w:r>
    </w:p>
    <w:p>
      <w:pPr>
        <w:spacing w:after="0" w:line="59"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If we enter into strategic business collaborations with respect to our other product candidates,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39"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if needed, through equity or debt financing or entering business collaborations, we may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2015, we did not have any off-balance sheet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(excluding payments in respect of the Milestone Rights) below are estimated based on current information. Future payments relate to operating lease obligations, the 2018 notes, the facility financing obligation, open purchase order and supply commitments, contractual minimum purchase commitments under the Insulin Supply Agreement with Amphastar and Sanofi Loan Facility consisted of the following at December 31, 2015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Payments Due in</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49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More Than</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gridSpan w:val="2"/>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4"/>
              </w:rPr>
              <w:t>One Year</w:t>
            </w:r>
          </w:p>
        </w:tc>
        <w:tc>
          <w:tcPr>
            <w:tcW w:w="400" w:type="dxa"/>
            <w:vAlign w:val="bottom"/>
          </w:tcPr>
          <w:p>
            <w:pPr>
              <w:spacing w:after="0"/>
              <w:rPr>
                <w:sz w:val="14"/>
                <w:szCs w:val="14"/>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3"/>
              </w:rPr>
              <w:t>1-3 Years</w:t>
            </w:r>
          </w:p>
        </w:tc>
        <w:tc>
          <w:tcPr>
            <w:tcW w:w="420" w:type="dxa"/>
            <w:vAlign w:val="bottom"/>
          </w:tcPr>
          <w:p>
            <w:pPr>
              <w:spacing w:after="0"/>
              <w:rPr>
                <w:sz w:val="14"/>
                <w:szCs w:val="14"/>
                <w:color w:val="auto"/>
              </w:rPr>
            </w:pPr>
          </w:p>
        </w:tc>
        <w:tc>
          <w:tcPr>
            <w:tcW w:w="9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4-5 Years</w:t>
            </w:r>
          </w:p>
        </w:tc>
        <w:tc>
          <w:tcPr>
            <w:tcW w:w="120" w:type="dxa"/>
            <w:vAlign w:val="bottom"/>
          </w:tcPr>
          <w:p>
            <w:pPr>
              <w:spacing w:after="0"/>
              <w:rPr>
                <w:sz w:val="14"/>
                <w:szCs w:val="14"/>
                <w:color w:val="auto"/>
              </w:rPr>
            </w:pPr>
          </w:p>
        </w:tc>
        <w:tc>
          <w:tcPr>
            <w:tcW w:w="56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84"/>
              </w:rPr>
              <w:t>5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Open purchase order and supply commitments(1)</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$ 13,411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904</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348</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Senior convertible notes — long term(2)</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1,619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payable to principal stockholder(3)</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67,523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Facility financing obligation(4)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12,376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Insulin supply agreement(5)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Sanofi Loan Facility(6)</w:t>
            </w: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44,507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3"/>
          </w:tcPr>
          <w:p>
            <w:pPr>
              <w:ind w:left="220"/>
              <w:spacing w:after="0"/>
              <w:rPr>
                <w:sz w:val="20"/>
                <w:szCs w:val="20"/>
                <w:color w:val="auto"/>
              </w:rPr>
            </w:pPr>
            <w:r>
              <w:rPr>
                <w:rFonts w:ascii="Arial" w:cs="Arial" w:eastAsia="Arial" w:hAnsi="Arial"/>
                <w:sz w:val="18"/>
                <w:szCs w:val="18"/>
                <w:color w:val="auto"/>
              </w:rPr>
              <w:t>Total contractual obligations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2"/>
              </w:rPr>
              <w:t>$ 59,079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195,234</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67,883</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44,855</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4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commercial production.</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include future interest payments at fixed rates of 5.75% and payment of the 2018 notes in full upon maturity in 2018.</w:t>
      </w:r>
    </w:p>
    <w:p>
      <w:pPr>
        <w:spacing w:after="0" w:line="63"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for the note payable to the principal stockholder includes future principal and interest payments related to the $49.5 million of borrowings as of December 31, 2015. Interest is accrued based on a fixed rate of 5.84% and the outstanding principal amount and all accrued interest thereon will be due on January 5, 2020.</w:t>
      </w:r>
    </w:p>
    <w:p>
      <w:pPr>
        <w:spacing w:after="0" w:line="32"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facility financing obligation includes future principal and interest payments on $60.0 million aggregate principal amount of 2019 notes issued in the first and fourth tranches under the Facility Agreement, and on $20.0 million aggregate principal amount of Tranche B notes, payable in accordance with the provisions of the Facility Agreement, as amended. Interest accrues on the 2019 notes at a fixed rate of 9.75% per annum and on the Tranche B notes at a fixed rate of 8.75% per annum.</w:t>
      </w:r>
    </w:p>
    <w:p>
      <w:pPr>
        <w:spacing w:after="0" w:line="35"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July 31, 2014, we entered into the Insulin Supply Agreement, pursuant to which we agreed to purchase certain annual minimum quantities of insulin for calendar years 2015 through 2019 for an aggregate total purchase price of approximately €120.1 million, of which €98.5 million is remaining at December 31, 2015. We have contracted for the purchase of €28.8 million in 2016 and the remaining annual minimum quantities will be €23.3 million. Future payments due were converted to U.S. dollars using the December 31, 2015 euro-to-dollar exchange.</w:t>
      </w:r>
    </w:p>
    <w:p>
      <w:pPr>
        <w:spacing w:after="0" w:line="4"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September 23, 2014, we entered into the Sanofi Loan Facility, consisting of a senior secured revolving promissory note and a guaranty with an affiliate of Sanofi which provides us with a secured loan facility of up to $175.0 million to fund our share of net losses under the Sanofi License Agreement. Advances under the Sanofi Loan Facility bear interest at a rate of 8.5% per annum and are payable in-kind and compounded quarterly and added to the outstanding principal balance under the Sanofi Loan Facility. Subsequent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31, 2015, we borrowed $17.9 million under the Sanofi Loan Facility to finance the portion of our loss for the quarter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1860" w:firstLine="228"/>
        <w:spacing w:after="0" w:line="391" w:lineRule="auto"/>
        <w:rPr>
          <w:sz w:val="20"/>
          <w:szCs w:val="20"/>
          <w:color w:val="auto"/>
        </w:rPr>
      </w:pPr>
      <w:r>
        <w:rPr>
          <w:rFonts w:ascii="Arial" w:cs="Arial" w:eastAsia="Arial" w:hAnsi="Arial"/>
          <w:sz w:val="18"/>
          <w:szCs w:val="18"/>
          <w:color w:val="auto"/>
        </w:rPr>
        <w:t xml:space="preserve">For a description of our related party transactions see Note 7 — Related-Party Arrangements in the notes to our financial statements. </w:t>
      </w:r>
      <w:r>
        <w:rPr>
          <w:rFonts w:ascii="Arial" w:cs="Arial" w:eastAsia="Arial" w:hAnsi="Arial"/>
          <w:sz w:val="18"/>
          <w:szCs w:val="18"/>
          <w:b w:val="1"/>
          <w:bCs w:val="1"/>
          <w:color w:val="auto"/>
        </w:rPr>
        <w:t>Recent Accounting Pronouncements</w:t>
      </w:r>
    </w:p>
    <w:p>
      <w:pPr>
        <w:spacing w:after="0" w:line="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May 2014, the FASB issued ASU 2014-09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In July 2015, the FASB issued ASU 2015-14, which delayed the effective date of the new revenue standard by one year. The FASB also agreed to allow entities to choose to adopt the standard as of the original effective date. The standard is effective beginning the first quarter of our 2018 fiscal year and is required to be adopted using either a full retrospective or a modified retrospective approach. We are assessing the potential impact of the new standard on our consolidated financial statements and have not yet selected a transition method.</w:t>
      </w:r>
    </w:p>
    <w:p>
      <w:pPr>
        <w:spacing w:after="0" w:line="3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We are evaluating the impact the adoption of ASU 2014-15 will have on our consolidated financial statements.</w:t>
      </w:r>
    </w:p>
    <w:p>
      <w:pPr>
        <w:spacing w:after="0" w:line="39"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 April 2015, the FASB issued ASU 2015-03,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As permitted by the standard, we adopted the new presentation and the adoption did not have an impact on our consolidated financial statements and disclosures.</w:t>
      </w:r>
    </w:p>
    <w:p>
      <w:pPr>
        <w:spacing w:after="0" w:line="32" w:lineRule="exact"/>
        <w:rPr>
          <w:sz w:val="20"/>
          <w:szCs w:val="20"/>
          <w:color w:val="auto"/>
        </w:rPr>
      </w:pPr>
    </w:p>
    <w:p>
      <w:pPr>
        <w:ind w:right="100" w:firstLine="228"/>
        <w:spacing w:after="0" w:line="253"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We are evaluating the impact the adoption of ASU 2015-11 will have on our consolidated financial statements.</w:t>
      </w:r>
    </w:p>
    <w:p>
      <w:pPr>
        <w:spacing w:after="0" w:line="66"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new standard requires that deferred tax assets and liabilities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As permitted by the standard, we adopted the new presentation and the adoption did not have an impact on our consolidated financial statements and disclosures.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January 2016, the FASB issued ASU 2016-01, Financial Instruments — Overall (Subtopic 825-10): Recognition and Measurement of Financial Assets and Financial Liabilities. The update is intended to improve the recognition and measurement of financial instruments. The ASU affects public and private companies, not-for-profit organizations, and employee benefit plans that hold financial assets or owe financial liabilities. The update is effective for fiscal years beginning after December 15, 2017, including interim periods within those fiscal years. We are evaluating the impact the adoption of ASU 2016-01 will have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firstLine="228"/>
        <w:spacing w:after="0" w:line="303" w:lineRule="auto"/>
        <w:rPr>
          <w:sz w:val="20"/>
          <w:szCs w:val="20"/>
          <w:color w:val="auto"/>
        </w:rPr>
      </w:pPr>
      <w:r>
        <w:rPr>
          <w:rFonts w:ascii="Arial" w:cs="Arial" w:eastAsia="Arial" w:hAnsi="Arial"/>
          <w:sz w:val="15"/>
          <w:szCs w:val="15"/>
          <w:color w:val="auto"/>
        </w:rPr>
        <w:t>Due to the fixed interest rates of our debt, we currently do not have an exposure to changes in our interest expense as a result of changes in interest rates. The interest rate on amounts borrowed under The Mann Group Loan Arrangement is fixed at 5.84%. As of December 31, 2015, the total principal amount outstanding under The Mann Group Loan Arrangement was $49.5 million. As of December 31, 2015, we also had debt related to the 2018 notes at a fixed interest rate of</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5.75%, debt related to the 2019 notes at a fixed interest rate of 9.75%, debt related to the Tranche B notes at a fixed interest rate of 8.75%, and debt related to the Sanofi Loan Facility at a fixed rate of 8.5%.</w:t>
      </w:r>
    </w:p>
    <w:p>
      <w:pPr>
        <w:spacing w:after="0" w:line="57"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59"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If a change in interest rates equal to 10% of the interest rates on December 31, 2015 were to have occurred, this change would not have had a material effect on the value of our short-term investment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year ended December 31, 2015, we were required to purchase the minimum quarterly supply purchases of insulin contemplated under our supply agreement with Amphastar, and if a change in the U.S. dollar to euro exchange rate equal to 10% of the U.S. dollar to euro exchange rate on December 31, 2015 were to have occurred on December 31, 2015, this change would not have had a material effect on our results of operations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chief financial officer, or persons performing similar functions, as appropriate to allow timely decisions regarding required disclosure.</w:t>
      </w:r>
    </w:p>
    <w:p>
      <w:pPr>
        <w:spacing w:after="0" w:line="35"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 Our system contains control-monitoring mechanisms, and actions are taken to correct deficiencies as they are identified.</w:t>
      </w:r>
    </w:p>
    <w:p>
      <w:pPr>
        <w:spacing w:after="0" w:line="62"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(as defined in Exchange Act Rules 13a-15(e) and 15d-15(e)). Based upon that evaluation, our chief executive officer and our principal accounting officer concluded that our disclosure controls and procedures were not effective as of December 31, 2015 because of the material weakness in our internal control over financial reporting as described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Exchange Act Rules 13a-15(f) and 15d-15(f). With the participation of our chief executive officer and chief financial officer, our management conducted an evaluation of the effectiveness of our internal control over financial reporting based on the framework and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Based on this evaluation, our management identified a material weakness in our internal control over financial reporting, as described below.</w:t>
      </w:r>
    </w:p>
    <w:p>
      <w:pPr>
        <w:spacing w:after="0" w:line="62"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4"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color w:val="auto"/>
        </w:rPr>
        <w:t xml:space="preserve">We did not maintain sufficient internal control over financial reporting due to the lack of operating effectiveness of our controls over the impairment testing that we performed in accordance with ASC 360-10, </w:t>
      </w:r>
      <w:r>
        <w:rPr>
          <w:rFonts w:ascii="Arial" w:cs="Arial" w:eastAsia="Arial" w:hAnsi="Arial"/>
          <w:sz w:val="18"/>
          <w:szCs w:val="18"/>
          <w:i w:val="1"/>
          <w:iCs w:val="1"/>
          <w:color w:val="auto"/>
        </w:rPr>
        <w:t>Impairment and Disposal of Long-Lived Assets</w:t>
      </w:r>
      <w:r>
        <w:rPr>
          <w:rFonts w:ascii="Arial" w:cs="Arial" w:eastAsia="Arial" w:hAnsi="Arial"/>
          <w:sz w:val="18"/>
          <w:szCs w:val="18"/>
          <w:color w:val="auto"/>
        </w:rPr>
        <w:t xml:space="preserve"> and ASC 330-10, </w:t>
      </w:r>
      <w:r>
        <w:rPr>
          <w:rFonts w:ascii="Arial" w:cs="Arial" w:eastAsia="Arial" w:hAnsi="Arial"/>
          <w:sz w:val="18"/>
          <w:szCs w:val="18"/>
          <w:i w:val="1"/>
          <w:iCs w:val="1"/>
          <w:color w:val="auto"/>
        </w:rPr>
        <w:t>Inventories</w:t>
      </w:r>
      <w:r>
        <w:rPr>
          <w:rFonts w:ascii="Arial" w:cs="Arial" w:eastAsia="Arial" w:hAnsi="Arial"/>
          <w:sz w:val="18"/>
          <w:szCs w:val="18"/>
          <w:color w:val="auto"/>
        </w:rPr>
        <w:t>, as of December 31, 2015. Specifically, our review controls did not operate at a sufficient level of precision to identify certain errors, which management has determined constituted a material weakness.</w:t>
      </w:r>
    </w:p>
    <w:p>
      <w:pPr>
        <w:spacing w:after="0" w:line="62"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Deloitte &amp; Touche LLP, the registered public accounting firm that audited our consolidated financial statements, has issued an attestation report on our internal control over financial reporting included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96"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Company has identified remediation measures to address the above-described material weakness and enhance our internal control over financial reporting. To date, we are in the process of taking the following actions to improve the design and operating effectiveness of our internal control in order to remediate this material weakness: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Review the processes and controls related to impairment assessments.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Design and document review controls with enhanced precision related to the review of impairment assessments.</w:t>
      </w:r>
    </w:p>
    <w:p>
      <w:pPr>
        <w:spacing w:after="0" w:line="90"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Design and document additional training programs for relevant personnel and developing specific review procedures regarding the review of impairment assessments.</w:t>
      </w:r>
    </w:p>
    <w:p>
      <w:pPr>
        <w:spacing w:after="0" w:line="5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As of the date of filing this Annual Report on Form 10-K, we are starting the remediation measures set forth above. We expect the enhanced review controls to begin operating in connection with our impairment testing performed in accordance with ASC 360-10 and ASC 330-10 during 2016. We believes the remediation measures will strengthen our internal control over financial reporting and, once completed, will remediate the material weakness identified. We will continue to monitor the effectiveness of these remediation measures and will make any changes and take such other actions that we deem appropriate given the circumstances.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 except as follows.</w:t>
      </w:r>
    </w:p>
    <w:p>
      <w:pPr>
        <w:spacing w:after="0" w:line="62"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connection with year-end procedures, we have designed and implemented new processes and internal controls to address fixed asset impairment valuation procedures to ensure that information required to be disclosed by us is recorded, processed, summarized and reported. The addition of these processes and internal controls is considered a material change in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84"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MannKind Corporation and subsidiaries (the “Company”)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2"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59"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The Company did not maintain sufficient internal control over financial reporting due to the lack of operating effectiveness of its controls over its impairment testing that it performed in accordance with ASC 360-10, Impairment and Disposal of Long-Lived Assets and ASC 330-10, Inventories, as of December 31, 2015. Specifically, the Company’s review controls did not operate at a sufficient level of precision to identify certain errors, which was determined to constitute a material weakness.</w:t>
      </w:r>
    </w:p>
    <w:p>
      <w:pPr>
        <w:spacing w:after="0" w:line="62"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This material weakness was considered in determining the nature, timing, and extent of audit tests applied in our audit of the consolidated financial statements as of and for the year ended December 31, 2015, of the Company and this report does not affect our report on such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 xml:space="preserve">In our opinion, because of the effect of the material weakness identified above on the achievement of the objectives of the control criteria, the Company has not maintained effective internal control over financial reporting as of December 31, 2015, based on the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w:t>
      </w:r>
    </w:p>
    <w:p>
      <w:pPr>
        <w:spacing w:after="0" w:line="26"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2015 of the Company and our report dated March 15, 2016 expressed an unqualified opinion on those financial statements and includes an explanatory paragraph relating to the Company’s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On March 11, 2016, we entered into a separation agreement with Mr. Martens (the “Separation Agreement”) providing for the terms of Mr. Martens separation from MannKind. Pursuant to the terms of the Separation Agreement, Mr. Martens’ last day of employment with us will be no later than March 18, 2016 (the “Separation Date”). The Separation Agreement supersedes all prior agreements regarding Mr. Martens’ entitlement to receive compensation or other benefits from us after the Separation Date. Mr. Martens has agreed to provide us with a general release of claims in exchange for the following severance compensation and other benefits: (i) continuation of Mr. Martens’ annual base salary for a period of 12 months following the Separation Date (the “Severance Period”); (ii) continuation of Mr. Martens’ health insurance coverage until the earliest of (A) the end of the Severance Period, (B) the expiration of Mr. Martens’ eligibility for continuation coverage under the Consolidated Omnibus Reconciliation Act of 1985, and (C) the date on which Mr. Martens becomes eligible for substantially equivalent health insurance coverage in connection with new employment or self-employment; and (iii) acceleration of all time-based restricted stock units and stock options held by Mr. Martens that would otherwise have vested through the Severance Period.</w:t>
      </w:r>
    </w:p>
    <w:p>
      <w:pPr>
        <w:spacing w:after="0" w:line="3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foregoing description of the Separation Agreement is not complete and is qualified in its entirety by reference to the full text of the Separation Agreement, a copy of which is filed herewith as Exhibit 10.8 to this Annual Report on Form 10-K.</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March 9, 2016, we entered into an offer letter agreement (the “Offer Letter Agreement”) with Michael Castagna, Pharm.D., our new Chief Commercial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 pursuant to which we agreed to provide Dr. Castagna with the following compensation: (i) annual base salary of $400,000; (ii) a signing bonus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(iii) eligibility to receive annual discretionary bonuses, with a target bonus equal to 50% of annual earnings; (iv) an annual car allowance of $14,400;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 subject to the approval by our board of directors, the grant of the following equity awards under our 2013 Equity Incentive Plan (the “Plan”): (A) a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to purchase 329,200 shares of our common stock, (B) a performance-based stock option to purchase 1,000,000 shares of our common stock, and (C)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for 80,000 shares of our common stock. Twenty-five percent of the shares subject to the stock option in subsection (A) and the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 in subsection (C) will vest one year following Dr. Castagna’s first day of employment with us, and the balance of the shares will vest in equal monthly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installments over the following three years, subject in each case to Dr. Castagna’s continued service with us. In addition, the shares subject to the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stock option in subsection (B) will vest according to terms to be mutually agreed upon in advance of the grant date. The foregoing options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evidenced by a Stock Option Grant Notice and Option Agreement and the foregoing restricted stock unit will be evidenced by a Restricted Stock Unit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and Restricted Stock Unit Award Agreement, which, together with the Plan, will set forth the terms and conditions of the foregoing options and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unit.</w:t>
      </w:r>
    </w:p>
    <w:p>
      <w:pPr>
        <w:spacing w:after="0" w:line="84"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Dr. Castagna will also be entitled to enter into our standard form of indemnity agreement, a copy of which is attached as Exhibit 10.1 to our Registration Statement on Form S-1 (File No. 333-115020), filed with the Securities and Exchange Commission on April 30, 2004.</w:t>
      </w:r>
    </w:p>
    <w:p>
      <w:pPr>
        <w:spacing w:after="0" w:line="51"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The foregoing description of the Offer Letter Agreement is not complete and is qualified in its entirety by reference to the full text of the Offer Letter Agreement, a copy of which is filed herewith as Exhibit 10.38 to this Annual Report on Form 10-K.</w:t>
      </w:r>
    </w:p>
    <w:p>
      <w:pPr>
        <w:spacing w:after="0" w:line="51"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Dr. Castagna’s biographical information is set forth under the heading “Executive Officers of the Registrant” under Part I, Item 1 of this Annual Report on Form 10-K.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our Proxy Statement within 120 days after the end of our fiscal year ended December 31, 2015 pursuant to Regulations 14A for our 2016 Annual Meeting of Stockholders, and the information included in the Proxy Statement is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640" w:firstLine="236"/>
        <w:spacing w:after="0" w:line="268" w:lineRule="auto"/>
        <w:tabs>
          <w:tab w:leader="none" w:pos="46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“Executive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Registrant” in Part I, Item 1 of this Annual Report on Form 10-K.</w:t>
      </w:r>
    </w:p>
    <w:p>
      <w:pPr>
        <w:spacing w:after="0" w:line="50" w:lineRule="exact"/>
        <w:rPr>
          <w:rFonts w:ascii="Arial" w:cs="Arial" w:eastAsia="Arial" w:hAnsi="Arial"/>
          <w:sz w:val="18"/>
          <w:szCs w:val="18"/>
          <w:color w:val="auto"/>
        </w:rPr>
      </w:pPr>
    </w:p>
    <w:p>
      <w:pPr>
        <w:jc w:val="both"/>
        <w:ind w:right="120" w:firstLine="236"/>
        <w:spacing w:after="0" w:line="259" w:lineRule="auto"/>
        <w:tabs>
          <w:tab w:leader="none" w:pos="47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 governance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the section entitled “Proposal 1 — Election of Directors” and “Corporate Governance Principles and Board and Committee Matters” in the Proxy Statement, and is incorporated herein by reference.</w:t>
      </w:r>
    </w:p>
    <w:p>
      <w:pPr>
        <w:spacing w:after="0" w:line="59"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Additional information required by this Item is incorporated herein by reference to the section entitled “Section 16(a) Beneficial Ownership Reporting Compliance” in the Proxy Statement.</w:t>
      </w:r>
    </w:p>
    <w:p>
      <w:pPr>
        <w:spacing w:after="0" w:line="51"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information under the caption “Executive Compensation,” “Compensation of Directors,” “Compensation Committee Interlocks and Insider Participation” and “Compensation Committee Report” in the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The information under the captions “Security Ownership of Certain Beneficial Owners and Management” and “Securities Authorized for Issuance under Equity Compensation Plans” in the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9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The information under the caption “Principal Accounting Fees and Services” and “Pre-Approval Policies and Procedures” in the Proxy Statement is incorporated herein by reference.</w:t>
      </w:r>
    </w:p>
    <w:p>
      <w:pPr>
        <w:spacing w:after="0" w:line="51"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90" w:lineRule="exact"/>
        <w:rPr>
          <w:sz w:val="20"/>
          <w:szCs w:val="20"/>
          <w:color w:val="auto"/>
        </w:rPr>
      </w:pPr>
    </w:p>
    <w:p>
      <w:pPr>
        <w:ind w:left="460" w:right="120" w:firstLine="438"/>
        <w:spacing w:after="0" w:line="332" w:lineRule="auto"/>
        <w:rPr>
          <w:sz w:val="20"/>
          <w:szCs w:val="20"/>
          <w:color w:val="auto"/>
        </w:rPr>
      </w:pPr>
      <w:r>
        <w:rPr>
          <w:rFonts w:ascii="Arial" w:cs="Arial" w:eastAsia="Arial" w:hAnsi="Arial"/>
          <w:sz w:val="16"/>
          <w:szCs w:val="16"/>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w:t>
              </w:r>
            </w:hyperlink>
          </w:p>
        </w:tc>
        <w:tc>
          <w:tcPr>
            <w:tcW w:w="3520" w:type="dxa"/>
            <w:vAlign w:val="bottom"/>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Operations</w:t>
              </w:r>
            </w:hyperlink>
          </w:p>
        </w:tc>
        <w:tc>
          <w:tcPr>
            <w:tcW w:w="4880" w:type="dxa"/>
            <w:vAlign w:val="bottom"/>
            <w:gridSpan w:val="6"/>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Loss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Stockholders’ Deficit</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Cash Flows</w:t>
              </w:r>
            </w:hyperlink>
          </w:p>
        </w:tc>
        <w:tc>
          <w:tcPr>
            <w:tcW w:w="4160" w:type="dxa"/>
            <w:vAlign w:val="bottom"/>
            <w:gridSpan w:val="2"/>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100"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4" w:lineRule="exact"/>
        <w:rPr>
          <w:sz w:val="20"/>
          <w:szCs w:val="20"/>
          <w:color w:val="auto"/>
        </w:rPr>
      </w:pPr>
    </w:p>
    <w:p>
      <w:pPr>
        <w:ind w:right="60" w:firstLine="236"/>
        <w:spacing w:after="0" w:line="268"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Exhibits. The following exhibits are filed or furnished as part of, or incorporated by reference into, this Annual Report on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02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340" w:type="dxa"/>
            <w:vAlign w:val="bottom"/>
          </w:tcPr>
          <w:p>
            <w:pPr>
              <w:spacing w:after="0"/>
              <w:rPr>
                <w:sz w:val="14"/>
                <w:szCs w:val="14"/>
                <w:color w:val="auto"/>
              </w:rPr>
            </w:pPr>
          </w:p>
        </w:tc>
      </w:tr>
      <w:tr>
        <w:trPr>
          <w:trHeight w:val="316"/>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MannKind’s Registration Statement on Form S-1 (File No. 333-</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115020), originally filed with the SEC 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April 30, 2004, as amended).</w:t>
            </w:r>
          </w:p>
        </w:tc>
      </w:tr>
      <w:tr>
        <w:trPr>
          <w:trHeight w:val="331"/>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Certificate of Amendment of Amended and Restated Certificate of Incorporation (incorporated by reference to MannKind’s Quarterly Report 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10-Q (File No. 000-50865), originally filed with the SEC on August 9, 2007).</w:t>
            </w:r>
          </w:p>
        </w:tc>
      </w:tr>
      <w:tr>
        <w:trPr>
          <w:trHeight w:val="318"/>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Certificate of Amendment of Amended and Restated Certificate of Incorporation (incorporated by reference to MannKind’s Quarterly report 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10-Q (File No. 000-50865), originally filed with the SEC on August 2, 2010).</w:t>
            </w:r>
          </w:p>
        </w:tc>
      </w:tr>
      <w:tr>
        <w:trPr>
          <w:trHeight w:val="318"/>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4"/>
              </w:rPr>
              <w:t>Certificate of Amendment of Amended and Restated Certificate of Incorporation (incorporated by reference to Exhibit 3.1 to MannKind’s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(File No. 000-50865), filed with the SEC on May 22, 2012).</w:t>
            </w:r>
          </w:p>
        </w:tc>
      </w:tr>
      <w:tr>
        <w:trPr>
          <w:trHeight w:val="318"/>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Certificate of Amendment of Amended and Restated Certificate of Incorporation (incorporated by reference to MannKind’s Current Report 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8"/>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Bylaws (incorporated by reference to MannKind’s Current Report on Form 8-K (File No. 000-50865), originally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with the SEC on November 19, 2007).</w:t>
            </w:r>
          </w:p>
        </w:tc>
      </w:tr>
      <w:tr>
        <w:trPr>
          <w:trHeight w:val="318"/>
        </w:trPr>
        <w:tc>
          <w:tcPr>
            <w:tcW w:w="520" w:type="dxa"/>
            <w:vAlign w:val="bottom"/>
          </w:tcPr>
          <w:p>
            <w:pPr>
              <w:jc w:val="right"/>
              <w:ind w:right="37"/>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common stock certificate (incorporated by reference to MannKind’s Annual Report on Form 10-K (File No. 000-50865), originally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with the SEC on March 18, 2013).</w:t>
            </w:r>
          </w:p>
        </w:tc>
      </w:tr>
      <w:tr>
        <w:trPr>
          <w:trHeight w:val="365"/>
        </w:trPr>
        <w:tc>
          <w:tcPr>
            <w:tcW w:w="520" w:type="dxa"/>
            <w:vAlign w:val="bottom"/>
          </w:tcPr>
          <w:p>
            <w:pPr>
              <w:spacing w:after="0"/>
              <w:rPr>
                <w:sz w:val="24"/>
                <w:szCs w:val="24"/>
                <w:color w:val="auto"/>
              </w:rPr>
            </w:pPr>
          </w:p>
        </w:tc>
        <w:tc>
          <w:tcPr>
            <w:tcW w:w="6560" w:type="dxa"/>
            <w:vAlign w:val="bottom"/>
            <w:gridSpan w:val="2"/>
          </w:tcPr>
          <w:p>
            <w:pPr>
              <w:ind w:left="5100"/>
              <w:spacing w:after="0"/>
              <w:rPr>
                <w:sz w:val="20"/>
                <w:szCs w:val="20"/>
                <w:color w:val="auto"/>
              </w:rPr>
            </w:pPr>
            <w:r>
              <w:rPr>
                <w:rFonts w:ascii="Arial" w:cs="Arial" w:eastAsia="Arial" w:hAnsi="Arial"/>
                <w:sz w:val="18"/>
                <w:szCs w:val="18"/>
                <w:color w:val="auto"/>
              </w:rPr>
              <w:t>68</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490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320" w:type="dxa"/>
            <w:vAlign w:val="bottom"/>
          </w:tcPr>
          <w:p>
            <w:pPr>
              <w:spacing w:after="0"/>
              <w:rPr>
                <w:sz w:val="14"/>
                <w:szCs w:val="14"/>
                <w:color w:val="auto"/>
              </w:rPr>
            </w:pPr>
          </w:p>
        </w:tc>
      </w:tr>
      <w:tr>
        <w:trPr>
          <w:trHeight w:val="316"/>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0"/>
              </w:rPr>
              <w:t>Form of 9.75% Senior Secured Convertible Promissory Note due 2019 (incorporated by reference to MannKind’s Current Report on Form 8-K</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(File No. 000-50865), originally filed with the SEC on July 1, 2013).</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2"/>
              </w:rPr>
              <w:t>Form of Amended and Restated 9.75% Senior Secured Convertible Promissory Note due 2019 (incorporated by reference to Exhibit 4.7 to</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MannKind’s Annual Report on Form 10-K (File No. 000-50865), filed with the SEC on March 3, 2014).</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0"/>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1"/>
              </w:rPr>
              <w:t>Santé FLML SÁRL (incorporated by reference to MannKind’s Current Report on Form 8-K (File No. 000-50865), originally filed with the SEC</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on July 1, 2013).</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0"/>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3"/>
              </w:rPr>
              <w:t>Deerfield Private Design International II, L.P. and Horizon Santé FLML SÁRL (incorporated by reference to MannKind’s Current Report on</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July 1, 2013, by and among MannKind, Deerfield Private Design Fund II, L.P. and Deerfield Private</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2"/>
              </w:rPr>
              <w:t>Design International II, L.P. (incorporated by reference to MannKind’s Current Report on Form 8-K (File No. 000-50865), originally filed with</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the SEC on July 1, 2013).</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2"/>
              </w:rPr>
              <w:t>Facility Agreement, dated as of July 1, 2013, by and among MannKind, Deerfield Private Design Fund II, L.P. and Deerfield Private Design</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1"/>
              </w:rPr>
              <w:t>International II, L.P (incorporated by reference to MannKind’s Current Report on Form 8-K (File No. 000-50865), originally filed with the SEC</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on July 1, 2013).</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First Amendment to Facility Agreement and Registration Rights Agreement, dated as of February 28, 2014, by and among MannKind, Deerfield</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Private Design Fund II, L.P. and Deerfield Private Design International II, L.P. (see Exhibit 10.27).</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Form of Tranche B Senior Secured Note due 2019 (incorporated by reference to Exhibit 4.8 to MannKind’s Quarterly Report on Form 10-Q (File</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No. 000-50865), filed with the SEC on May 12, 2014).</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4.10</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Second Amendment to Facility Agreement and Registration Rights Agreement, dated as of</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7"/>
              </w:rPr>
              <w:t>August 11, 2014, by and among MannKind, Deerfield Private Design Fund II, L.P. and Deerfield Private Design International II, L.P.</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7"/>
              </w:rPr>
              <w:t>(incorporated by reference to Exhibit 4.14 to MannKind’s Quarterly Report on Form 10-Q (File No. 000-50865), filed with the SEC on</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November 10, 2014).</w:t>
            </w:r>
          </w:p>
        </w:tc>
      </w:tr>
      <w:tr>
        <w:trPr>
          <w:trHeight w:val="331"/>
        </w:trPr>
        <w:tc>
          <w:tcPr>
            <w:tcW w:w="520" w:type="dxa"/>
            <w:vAlign w:val="bottom"/>
          </w:tcPr>
          <w:p>
            <w:pPr>
              <w:ind w:left="80"/>
              <w:spacing w:after="0"/>
              <w:rPr>
                <w:sz w:val="20"/>
                <w:szCs w:val="20"/>
                <w:color w:val="auto"/>
              </w:rPr>
            </w:pPr>
            <w:r>
              <w:rPr>
                <w:rFonts w:ascii="Arial" w:cs="Arial" w:eastAsia="Arial" w:hAnsi="Arial"/>
                <w:sz w:val="18"/>
                <w:szCs w:val="18"/>
                <w:color w:val="auto"/>
              </w:rPr>
              <w:t>4.11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0"/>
              </w:rPr>
              <w:t>Senior Secured Revolving Promissory Note, dated as of September 23, 2014, by and between MannKind and Aventisub LLC (incorporated by</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5"/>
              </w:rPr>
              <w:t>reference to Exhibit 99.1 to MannKind’s Current Report on Form 8-K (File No. 000-50865), filed with the SEC on September 29, 2014).</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4.12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8"/>
              </w:rPr>
              <w:t>Guaranty and Security Agreement, dated as of September 23, 2014, by and among MannKind, MannKind LLC and Aventisub LLC (incorporated</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3"/>
              </w:rPr>
              <w:t>by reference to Exhibit 99.2 to MannKind’s Current Report on Form 8-K (File No. 000-50865), filed with the SEC on September 29, 2014).</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4.13</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5"/>
              </w:rPr>
              <w:t>Indenture, by and between MannKind and Wells Fargo Bank, N.A., dated August 10, 2015 (incorporated by reference to Exhibit 4.18 to</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MannKind’s Quarterly Report on Form 10-Q (File No. 000-50865), filed with the SEC on August 10, 2015).</w:t>
            </w:r>
          </w:p>
        </w:tc>
      </w:tr>
      <w:tr>
        <w:trPr>
          <w:trHeight w:val="318"/>
        </w:trPr>
        <w:tc>
          <w:tcPr>
            <w:tcW w:w="520" w:type="dxa"/>
            <w:vAlign w:val="bottom"/>
          </w:tcPr>
          <w:p>
            <w:pPr>
              <w:ind w:left="80"/>
              <w:spacing w:after="0"/>
              <w:rPr>
                <w:sz w:val="20"/>
                <w:szCs w:val="20"/>
                <w:color w:val="auto"/>
              </w:rPr>
            </w:pPr>
            <w:r>
              <w:rPr>
                <w:rFonts w:ascii="Arial" w:cs="Arial" w:eastAsia="Arial" w:hAnsi="Arial"/>
                <w:sz w:val="18"/>
                <w:szCs w:val="18"/>
                <w:color w:val="auto"/>
              </w:rPr>
              <w:t>4.14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3"/>
              </w:rPr>
              <w:t>Form of 5.75% Convertible Senior Subordinated Exchange Note due 2018 (included in Exhibit 4.18 as Exhibit A thereto) (incorporated by</w:t>
            </w:r>
          </w:p>
        </w:tc>
      </w:tr>
      <w:tr>
        <w:trPr>
          <w:trHeight w:val="222"/>
        </w:trPr>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5"/>
              </w:rPr>
              <w:t>reference to Exhibit 4.19 to MannKind’s Quarterly Report on Form 10-Q (File No. 000-50865), filed with the SEC on August 10, 2015).</w:t>
            </w:r>
          </w:p>
        </w:tc>
      </w:tr>
      <w:tr>
        <w:trPr>
          <w:trHeight w:val="365"/>
        </w:trPr>
        <w:tc>
          <w:tcPr>
            <w:tcW w:w="520" w:type="dxa"/>
            <w:vAlign w:val="bottom"/>
          </w:tcPr>
          <w:p>
            <w:pPr>
              <w:spacing w:after="0"/>
              <w:rPr>
                <w:sz w:val="24"/>
                <w:szCs w:val="24"/>
                <w:color w:val="auto"/>
              </w:rPr>
            </w:pPr>
          </w:p>
        </w:tc>
        <w:tc>
          <w:tcPr>
            <w:tcW w:w="6440" w:type="dxa"/>
            <w:vAlign w:val="bottom"/>
            <w:gridSpan w:val="2"/>
          </w:tcPr>
          <w:p>
            <w:pPr>
              <w:ind w:left="5000"/>
              <w:spacing w:after="0"/>
              <w:rPr>
                <w:sz w:val="20"/>
                <w:szCs w:val="20"/>
                <w:color w:val="auto"/>
              </w:rPr>
            </w:pPr>
            <w:r>
              <w:rPr>
                <w:rFonts w:ascii="Arial" w:cs="Arial" w:eastAsia="Arial" w:hAnsi="Arial"/>
                <w:sz w:val="18"/>
                <w:szCs w:val="18"/>
                <w:color w:val="auto"/>
              </w:rPr>
              <w:t>69</w:t>
            </w:r>
          </w:p>
        </w:tc>
        <w:tc>
          <w:tcPr>
            <w:tcW w:w="43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240" w:type="dxa"/>
            <w:vAlign w:val="bottom"/>
          </w:tcPr>
          <w:p>
            <w:pPr>
              <w:spacing w:after="0"/>
              <w:rPr>
                <w:sz w:val="14"/>
                <w:szCs w:val="14"/>
                <w:color w:val="auto"/>
              </w:rPr>
            </w:pPr>
          </w:p>
        </w:tc>
      </w:tr>
      <w:tr>
        <w:trPr>
          <w:trHeight w:val="316"/>
        </w:trPr>
        <w:tc>
          <w:tcPr>
            <w:tcW w:w="500" w:type="dxa"/>
            <w:vAlign w:val="bottom"/>
          </w:tcPr>
          <w:p>
            <w:pPr>
              <w:ind w:left="140"/>
              <w:spacing w:after="0"/>
              <w:rPr>
                <w:sz w:val="20"/>
                <w:szCs w:val="20"/>
                <w:color w:val="auto"/>
              </w:rPr>
            </w:pPr>
            <w:r>
              <w:rPr>
                <w:rFonts w:ascii="Arial" w:cs="Arial" w:eastAsia="Arial" w:hAnsi="Arial"/>
                <w:sz w:val="18"/>
                <w:szCs w:val="18"/>
                <w:color w:val="auto"/>
                <w:w w:val="96"/>
              </w:rPr>
              <w:t>4.15</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4"/>
              </w:rPr>
              <w:t>Indenture, by and between MannKind and Wells Fargo Bank, N.A., dated August 14, 2015 (incorporated by reference to Exhibit 4.1 to</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MannKind’s Current Report on Form 8-K (File No. 000-50865), filed with the SEC on August 18, 2015).</w:t>
            </w:r>
          </w:p>
        </w:tc>
      </w:tr>
      <w:tr>
        <w:trPr>
          <w:trHeight w:val="318"/>
        </w:trPr>
        <w:tc>
          <w:tcPr>
            <w:tcW w:w="500" w:type="dxa"/>
            <w:vAlign w:val="bottom"/>
          </w:tcPr>
          <w:p>
            <w:pPr>
              <w:ind w:left="140"/>
              <w:spacing w:after="0"/>
              <w:rPr>
                <w:sz w:val="20"/>
                <w:szCs w:val="20"/>
                <w:color w:val="auto"/>
              </w:rPr>
            </w:pPr>
            <w:r>
              <w:rPr>
                <w:rFonts w:ascii="Arial" w:cs="Arial" w:eastAsia="Arial" w:hAnsi="Arial"/>
                <w:sz w:val="18"/>
                <w:szCs w:val="18"/>
                <w:color w:val="auto"/>
                <w:w w:val="96"/>
              </w:rPr>
              <w:t>4.16</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1"/>
              </w:rPr>
              <w:t>Form of 5.75% Convertible Senior Subordinated Exchange Note due 2015 (incorporated by reference to Exhibit 4.2 to MannKind’s Current</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Report on Form 8-K (File No. 000-50865), filed with the SEC on August 18, 2015).</w:t>
            </w:r>
          </w:p>
        </w:tc>
      </w:tr>
      <w:tr>
        <w:trPr>
          <w:trHeight w:val="324"/>
        </w:trPr>
        <w:tc>
          <w:tcPr>
            <w:tcW w:w="500" w:type="dxa"/>
            <w:vAlign w:val="bottom"/>
          </w:tcPr>
          <w:p>
            <w:pPr>
              <w:ind w:left="140"/>
              <w:spacing w:after="0"/>
              <w:rPr>
                <w:sz w:val="20"/>
                <w:szCs w:val="20"/>
                <w:color w:val="auto"/>
              </w:rPr>
            </w:pPr>
            <w:r>
              <w:rPr>
                <w:rFonts w:ascii="Arial" w:cs="Arial" w:eastAsia="Arial" w:hAnsi="Arial"/>
                <w:sz w:val="18"/>
                <w:szCs w:val="18"/>
                <w:color w:val="auto"/>
                <w:w w:val="96"/>
              </w:rPr>
              <w:t>4.17</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Form of Warrant to Purchase Common Stock issued November 16, 2015.</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2"/>
              </w:rPr>
              <w:t>Amended and Restated Promissory Note made by MannKind in favor of The Mann Group LLC, dated October 18, 2012 (incorporated by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reference to MannKind’s Current Report on Form 8-K (File No. 000-50865), filed with the SEC on October 19, 2012).</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Agreement, dated September 13, 2006, between MannKind and Torcon, Inc. (incorporated by reference to MannKind’s Quarterly Report on</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Form 10-Q (File No. 000-50865), filed with the SEC on August 9, 2007).</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8"/>
              </w:rPr>
              <w:t>Securities Purchase Agreement, dated August 2, 2005 by and among MannKind and the purchasers listed on Exhibit A thereto (incorporated by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reference to MannKind’s Current Report on Form 8-K (File No. 000-50865), filed with the SEC on August 5, 2005).</w:t>
            </w:r>
          </w:p>
        </w:tc>
      </w:tr>
      <w:tr>
        <w:trPr>
          <w:trHeight w:val="318"/>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10.4**</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9"/>
              </w:rPr>
              <w:t>Supply Agreement, dated December 31, 2004, between MannKind and Vaupell, Inc. (incorporated by reference to MannKind’s Current Report</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on Form 8-K (File No. 000-50865), filed with the SEC on February 23, 2005).</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10.5*</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9"/>
              </w:rPr>
              <w:t>Form of Indemnity Agreement entered into between MannKind and each of its directors and officers (incorporated by reference to MannKind’s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Registration Statement on Form S-1 (File No. 333-115020), filed with the SEC on April 30, 2004, as amended).</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10.6*</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3"/>
              </w:rPr>
              <w:t>Description of Officers’ Incentive Program (incorporated by reference to MannKind’s Annual Report on Form 10-K (File No. 000-50865),</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originally filed with the SEC on March 16, 2006).</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10.7*</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9"/>
              </w:rPr>
              <w:t>Executive Severance Agreement, dated October 10, 2007, between MannKind and David Thomson (incorporated by reference to MannKind’s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w w:val="99"/>
              </w:rPr>
              <w:t>10.8*</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Separation Agreement, dated March 11, 2016, by and between MannKind and Juergen Martens.</w:t>
            </w:r>
          </w:p>
        </w:tc>
      </w:tr>
      <w:tr>
        <w:trPr>
          <w:trHeight w:val="318"/>
        </w:trPr>
        <w:tc>
          <w:tcPr>
            <w:tcW w:w="500" w:type="dxa"/>
            <w:vAlign w:val="bottom"/>
          </w:tcPr>
          <w:p>
            <w:pPr>
              <w:ind w:left="60"/>
              <w:spacing w:after="0"/>
              <w:rPr>
                <w:sz w:val="20"/>
                <w:szCs w:val="20"/>
                <w:color w:val="auto"/>
              </w:rPr>
            </w:pPr>
            <w:r>
              <w:rPr>
                <w:rFonts w:ascii="Arial" w:cs="Arial" w:eastAsia="Arial" w:hAnsi="Arial"/>
                <w:sz w:val="18"/>
                <w:szCs w:val="18"/>
                <w:color w:val="auto"/>
                <w:w w:val="99"/>
              </w:rPr>
              <w:t>10.9*</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Executive Severance Agreement, dated April 21, 2008, between MannKind and Matthew J. Pfeffer (incorporated by reference to MannKind’s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10.10*</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1"/>
              </w:rPr>
              <w:t>Change of Control Agreement, dated October 10, 2007, between MannKind and David Thomson (incorporated by reference to MannKind’s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10.11*</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1"/>
              </w:rPr>
              <w:t>Change of Control Agreement, dated April 21, 2008, between MannKind and Matthew J. Pfeffer (incorporated by reference to MannKind’s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10.12*</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2004 Equity Incentive Plan, as amended (incorporated by reference to MannKind’s proxy statement on Schedule 14A (File No. 000-50865),</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originally filed with the SEC on April 6, 2012).</w:t>
            </w:r>
          </w:p>
        </w:tc>
      </w:tr>
      <w:tr>
        <w:trPr>
          <w:trHeight w:val="318"/>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10.13*</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Form of Stock Option Agreement under the 2004 Equity Incentive Plan (incorporated by reference to MannKind’s Registration Statement on</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Form S-1 (File No. 333-115020), originally filed with the SEC on April 30, 2004, as amended).</w:t>
            </w:r>
          </w:p>
        </w:tc>
      </w:tr>
      <w:tr>
        <w:trPr>
          <w:trHeight w:val="36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2"/>
          </w:tcPr>
          <w:p>
            <w:pPr>
              <w:ind w:left="4700"/>
              <w:spacing w:after="0"/>
              <w:rPr>
                <w:sz w:val="20"/>
                <w:szCs w:val="20"/>
                <w:color w:val="auto"/>
              </w:rPr>
            </w:pPr>
            <w:r>
              <w:rPr>
                <w:rFonts w:ascii="Arial" w:cs="Arial" w:eastAsia="Arial" w:hAnsi="Arial"/>
                <w:sz w:val="18"/>
                <w:szCs w:val="18"/>
                <w:color w:val="auto"/>
              </w:rPr>
              <w:t>70</w:t>
            </w:r>
          </w:p>
        </w:tc>
        <w:tc>
          <w:tcPr>
            <w:tcW w:w="42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240" w:type="dxa"/>
            <w:vAlign w:val="bottom"/>
          </w:tcPr>
          <w:p>
            <w:pPr>
              <w:spacing w:after="0"/>
              <w:rPr>
                <w:sz w:val="14"/>
                <w:szCs w:val="14"/>
                <w:color w:val="auto"/>
              </w:rPr>
            </w:pPr>
          </w:p>
        </w:tc>
      </w:tr>
      <w:tr>
        <w:trPr>
          <w:trHeight w:val="316"/>
        </w:trPr>
        <w:tc>
          <w:tcPr>
            <w:tcW w:w="500" w:type="dxa"/>
            <w:vAlign w:val="bottom"/>
          </w:tcPr>
          <w:p>
            <w:pPr>
              <w:ind w:left="20"/>
              <w:spacing w:after="0"/>
              <w:rPr>
                <w:sz w:val="20"/>
                <w:szCs w:val="20"/>
                <w:color w:val="auto"/>
              </w:rPr>
            </w:pPr>
            <w:r>
              <w:rPr>
                <w:rFonts w:ascii="Arial" w:cs="Arial" w:eastAsia="Arial" w:hAnsi="Arial"/>
                <w:sz w:val="18"/>
                <w:szCs w:val="18"/>
                <w:color w:val="auto"/>
                <w:w w:val="88"/>
              </w:rPr>
              <w:t>10.14*</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89"/>
              </w:rPr>
              <w:t>Form of Phantom Stock Award Agreement under the 2004 Equity Incentive Plan (incorporated by reference to MannKind’s Current Report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Form 8-K (File No. 000-50865), filed with the SEC on December 14, 2005).</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10.15*</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89"/>
              </w:rPr>
              <w:t>2004 Non-Employee Directors’ Stock Option Plan and form of stock option agreement there under (incorporated by reference to MannKind’s</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Annual Report on Form 10-K (File No. 000-50865), filed with the SEC on March 16, 2006).</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10.16*</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3"/>
              </w:rPr>
              <w:t>2004 Employee Stock Purchase Plan and form of offering document there under (incorporated by reference to MannKind’s Registration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Statement on Form S-1 (File No. 333-115020), originally filed with the SEC on April 30, 2004, as amended).</w:t>
            </w: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0"/>
              </w:rPr>
              <w:t>Letter Agreement, dated June 4, 2011, between MannKind and N.V. Organon (incorporated by reference to MannKind’s Current Report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Form 8-K (File No. 000-50865), filed with the SEC on July 1, 2013).</w:t>
            </w: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10.18**</w:t>
            </w: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0"/>
              </w:rPr>
              <w:t>Insulin Maintenance and Call-Option Agreement, dated June 19, 2009, by and among Pfizer Manufacturing Frankfurt GmbH, Pfizer Inc. and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2"/>
              </w:rPr>
              <w:t>MannKind (incorporated by reference to MannKind’s Quarterly Report on Form 10-Q (File No. 000-50865), filed with the SEC on May 4,</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2009).</w:t>
            </w:r>
          </w:p>
        </w:tc>
        <w:tc>
          <w:tcPr>
            <w:tcW w:w="15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89"/>
              </w:rPr>
              <w:t>At-The-Market Issuance Sales Agreement, dated March 3, 2014, by and between MannKind and MLV &amp; Co. LLC (incorporated by reference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to Exhibit 10.31 to MannKind’s Annual Report on Form 10-K (File No. 000-50865), filed with the SEC on March 3, 2014).</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89"/>
              </w:rPr>
              <w:t>At-The-Market Issuance Sales Agreement, dated March 3, 2014, by and between MannKind and Meyers Associates, L.P. (doing business as</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89"/>
              </w:rPr>
              <w:t>Brinson Patrick, a division of Meyers Associates, L.P.) (incorporated by reference to Exhibit 10.32 to MannKind’s Annual Report on Form 10-</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K (File No. 000-50865), filed with the SEC on March 3, 2014).</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10.21*</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2"/>
              </w:rPr>
              <w:t>Acknowledgment and Agreement, dated as of October 31, 2013, by and between MannKind and The Mann Group LLC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reference to MannKind’s Current Report on Form 8-K (File No. 000-50865), filed with the SEC on November 4, 2013).</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10.22*</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2"/>
              </w:rPr>
              <w:t>Non-Employee Director Compensation Program (incorporated by reference to MannKind’s Quarterly Report on Form 10-Q (File No. 000-</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50865), filed with the SEC on August 9, 2013).</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10.23*</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1"/>
              </w:rPr>
              <w:t>MannKind Corporation 2013 Equity Incentive Plan (incorporated by reference to MannKind’s registration statement on Form S-8 (File No.</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000-188790), filed with the SEC on May 23, 2013).</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10.24*</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5"/>
              </w:rPr>
              <w:t>Form of Stock Option Grant Notice, Stock Option Agreement and Notice of Exercise under the MannKind 2013 Equity Incentive Plan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1"/>
              </w:rPr>
              <w:t>(incorporated by reference to MannKind’s registration statement on Form S-8 (File No. 000-188790), filed with the SEC on May 23, 2013).</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10.25*</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2"/>
              </w:rPr>
              <w:t>Form of Restricted Stock Unit Grant Notice and Restricted Stock Unit Award Agreement under the MannKind 2013 Equity Incentive Plan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1"/>
              </w:rPr>
              <w:t>(incorporated by reference to MannKind’s registration statement on Form S-8 (File No. 000-188790), filed with the SEC on May 23, 2013).</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0"/>
              </w:rPr>
              <w:t>Facility Agreement, dated as of July 1, 2013, by and among MannKind, Deerfield Private Design Fund II, L.P. and Deerfield Private Design</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0"/>
              </w:rPr>
              <w:t>International II, L.P. (incorporated by reference to MannKind’s Current Report on Form 8-K (File No. 000-50865), filed with the SEC on July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1, 2013).</w:t>
            </w:r>
          </w:p>
        </w:tc>
        <w:tc>
          <w:tcPr>
            <w:tcW w:w="15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24"/>
                <w:szCs w:val="24"/>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4"/>
              </w:rPr>
              <w:t>First Amendment to Facility Agreement and Registration Rights Agreement, dated as of February 28, 2014, by and among MannKind,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w w:val="92"/>
              </w:rPr>
              <w:t>Deerfield Private Design Fund II, L.P., and Deerfield Private (incorporated by reference to Exhibit 10.39 to MannKind’s Annual Report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3"/>
          </w:tcPr>
          <w:p>
            <w:pPr>
              <w:ind w:left="340"/>
              <w:spacing w:after="0"/>
              <w:rPr>
                <w:sz w:val="20"/>
                <w:szCs w:val="20"/>
                <w:color w:val="auto"/>
              </w:rPr>
            </w:pPr>
            <w:r>
              <w:rPr>
                <w:rFonts w:ascii="Arial" w:cs="Arial" w:eastAsia="Arial" w:hAnsi="Arial"/>
                <w:sz w:val="18"/>
                <w:szCs w:val="18"/>
                <w:color w:val="auto"/>
              </w:rPr>
              <w:t>Form 10-K (File No. 000-50865), filed with the SEC on March 3, 2014).</w:t>
            </w:r>
          </w:p>
        </w:tc>
      </w:tr>
      <w:tr>
        <w:trPr>
          <w:trHeight w:val="36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gridSpan w:val="2"/>
          </w:tcPr>
          <w:p>
            <w:pPr>
              <w:ind w:left="4620"/>
              <w:spacing w:after="0"/>
              <w:rPr>
                <w:sz w:val="20"/>
                <w:szCs w:val="20"/>
                <w:color w:val="auto"/>
              </w:rPr>
            </w:pPr>
            <w:r>
              <w:rPr>
                <w:rFonts w:ascii="Arial" w:cs="Arial" w:eastAsia="Arial" w:hAnsi="Arial"/>
                <w:sz w:val="18"/>
                <w:szCs w:val="18"/>
                <w:color w:val="auto"/>
              </w:rPr>
              <w:t>71</w:t>
            </w:r>
          </w:p>
        </w:tc>
        <w:tc>
          <w:tcPr>
            <w:tcW w:w="42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8"/>
        </w:trPr>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462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280" w:type="dxa"/>
            <w:vAlign w:val="bottom"/>
          </w:tcPr>
          <w:p>
            <w:pPr>
              <w:spacing w:after="0"/>
              <w:rPr>
                <w:sz w:val="14"/>
                <w:szCs w:val="14"/>
                <w:color w:val="auto"/>
              </w:rPr>
            </w:pPr>
          </w:p>
        </w:tc>
      </w:tr>
      <w:tr>
        <w:trPr>
          <w:trHeight w:val="316"/>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10.28**</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License and Collaboration Agreement, dated as of August 11, 2014, by and among MannKind, Technosphere International C.V., MannKind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9"/>
              </w:rPr>
              <w:t>Netherlands B.V. and Sanofi-Aventis Deutschland GmbH (incorporated by reference to Exhibit 10.1 to MannKind’s Quarterly Report on Form</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10-Q (File No. 000-50865), filed with the SEC on November 10, 2014).</w:t>
            </w: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10.29**</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4"/>
              </w:rPr>
              <w:t>Supply Agreement, dated as of August 11, 2014, by and between MannKind and Sanofi-Aventis Deutschland GmbH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2"/>
              </w:rPr>
              <w:t>reference to Exhibit 10.2 to MannKind’s Quarterly Report on Form 10-Q (File No. 000-50865), filed with the SEC on November 10, 2014).</w:t>
            </w:r>
          </w:p>
        </w:tc>
      </w:tr>
      <w:tr>
        <w:trPr>
          <w:trHeight w:val="318"/>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10.30**</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1"/>
              </w:rPr>
              <w:t>Supply Agreement, dated as of July 31, 2014, by and between MannKind and Amphastar France Pharmaceuticals S.A.S.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2"/>
              </w:rPr>
              <w:t>reference to Exhibit 10.3 to MannKind’s Quarterly Report on Form 10-Q (File No. 000-50865), filed with the SEC on November 10, 2014).</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w w:val="88"/>
              </w:rPr>
              <w:t>10.31*</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Transition and Separation Agreement, dated March 20, 2015, by and between MannKind and Diane Palumbo (incorporated by reference to</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Exhibit 10.1 to MannKind’s Quarterly Report on Form 10-Q (File No. 000-50865), filed with the SEC on May 11, 2015).</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10.32</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Amendment No. 1 to At-The-Market Issuance Sales Agreement, by and between MannKind and Meyers Associates, L.P. (doing business as</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9"/>
              </w:rPr>
              <w:t>BP Capital, a division of Meyers Associates, L.P.), dated September 4, 2015 (incorporated by reference to Exhibit 99.1 to MannKind’s Current</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Report on Form 8-K (File No. 000-50865), filed with the SEC on September 4, 2015).</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Amendment No. 1 to At-The-Market Issuance Sales Agreement, by and between MannKind and MLV &amp; Co. LLC, dated September 4, 2015</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89"/>
              </w:rPr>
              <w:t>(incorporated by reference to Exhibit 99.2 to MannKind’s Current Report on Form 8-K (File No. 000-50865), filed with the SEC on September</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4, 2015).</w:t>
            </w:r>
          </w:p>
        </w:tc>
        <w:tc>
          <w:tcPr>
            <w:tcW w:w="152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2"/>
              </w:rPr>
              <w:t>Form of Stock Purchase Agreement (incorporated by reference to Exhibit 99.1 to MannKind’s Current Report on Form 8-K (File No. 000-</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50865), filed with the SEC on November 9, 2015).</w:t>
            </w:r>
          </w:p>
        </w:tc>
      </w:tr>
      <w:tr>
        <w:trPr>
          <w:trHeight w:val="318"/>
        </w:trPr>
        <w:tc>
          <w:tcPr>
            <w:tcW w:w="500" w:type="dxa"/>
            <w:vAlign w:val="bottom"/>
          </w:tcPr>
          <w:p>
            <w:pPr>
              <w:ind w:left="20"/>
              <w:spacing w:after="0"/>
              <w:rPr>
                <w:sz w:val="20"/>
                <w:szCs w:val="20"/>
                <w:color w:val="auto"/>
              </w:rPr>
            </w:pPr>
            <w:r>
              <w:rPr>
                <w:rFonts w:ascii="Arial" w:cs="Arial" w:eastAsia="Arial" w:hAnsi="Arial"/>
                <w:sz w:val="18"/>
                <w:szCs w:val="18"/>
                <w:color w:val="auto"/>
              </w:rPr>
              <w:t>10.35</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0"/>
              </w:rPr>
              <w:t>Form of Escrow Agreement (incorporated by reference to Exhibit 99.2 to MannKind’s Current Report on Form 8-K (File No. 000-50865), filed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with the SEC on November 9, 2015).</w:t>
            </w:r>
          </w:p>
        </w:tc>
      </w:tr>
      <w:tr>
        <w:trPr>
          <w:trHeight w:val="324"/>
        </w:trPr>
        <w:tc>
          <w:tcPr>
            <w:tcW w:w="500" w:type="dxa"/>
            <w:vAlign w:val="bottom"/>
          </w:tcPr>
          <w:p>
            <w:pPr>
              <w:ind w:left="20"/>
              <w:spacing w:after="0"/>
              <w:rPr>
                <w:sz w:val="20"/>
                <w:szCs w:val="20"/>
                <w:color w:val="auto"/>
              </w:rPr>
            </w:pPr>
            <w:r>
              <w:rPr>
                <w:rFonts w:ascii="Arial" w:cs="Arial" w:eastAsia="Arial" w:hAnsi="Arial"/>
                <w:sz w:val="18"/>
                <w:szCs w:val="18"/>
                <w:color w:val="auto"/>
                <w:w w:val="88"/>
              </w:rPr>
              <w:t>10.36*</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Separation Agreement, dated December 1, 2015, by and between MannKind and Hakan S. Edstrom.</w:t>
            </w:r>
          </w:p>
        </w:tc>
      </w:tr>
      <w:tr>
        <w:trPr>
          <w:trHeight w:val="324"/>
        </w:trPr>
        <w:tc>
          <w:tcPr>
            <w:tcW w:w="500" w:type="dxa"/>
            <w:vAlign w:val="bottom"/>
          </w:tcPr>
          <w:p>
            <w:pPr>
              <w:ind w:left="20"/>
              <w:spacing w:after="0"/>
              <w:rPr>
                <w:sz w:val="20"/>
                <w:szCs w:val="20"/>
                <w:color w:val="auto"/>
              </w:rPr>
            </w:pPr>
            <w:r>
              <w:rPr>
                <w:rFonts w:ascii="Arial" w:cs="Arial" w:eastAsia="Arial" w:hAnsi="Arial"/>
                <w:sz w:val="18"/>
                <w:szCs w:val="18"/>
                <w:color w:val="auto"/>
              </w:rPr>
              <w:t>10.37</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Sublease Agreement, dated May 1, 2015, by and between MannKind and the Alfred Mann Foundation for Scientific Research.</w:t>
            </w:r>
          </w:p>
        </w:tc>
      </w:tr>
      <w:tr>
        <w:trPr>
          <w:trHeight w:val="324"/>
        </w:trPr>
        <w:tc>
          <w:tcPr>
            <w:tcW w:w="500" w:type="dxa"/>
            <w:vAlign w:val="bottom"/>
          </w:tcPr>
          <w:p>
            <w:pPr>
              <w:ind w:left="20"/>
              <w:spacing w:after="0"/>
              <w:rPr>
                <w:sz w:val="20"/>
                <w:szCs w:val="20"/>
                <w:color w:val="auto"/>
              </w:rPr>
            </w:pPr>
            <w:r>
              <w:rPr>
                <w:rFonts w:ascii="Arial" w:cs="Arial" w:eastAsia="Arial" w:hAnsi="Arial"/>
                <w:sz w:val="18"/>
                <w:szCs w:val="18"/>
                <w:color w:val="auto"/>
                <w:w w:val="88"/>
              </w:rPr>
              <w:t>10.38*</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Offer Letter, dated March 9, 2016, by and between MannKind and Michael Castagna.</w:t>
            </w:r>
          </w:p>
        </w:tc>
      </w:tr>
      <w:tr>
        <w:trPr>
          <w:trHeight w:val="324"/>
        </w:trPr>
        <w:tc>
          <w:tcPr>
            <w:tcW w:w="500" w:type="dxa"/>
            <w:vAlign w:val="bottom"/>
          </w:tcPr>
          <w:p>
            <w:pPr>
              <w:ind w:left="2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ind w:left="2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Power of Attorney (see signature page hereto).</w:t>
            </w:r>
          </w:p>
        </w:tc>
      </w:tr>
    </w:tbl>
    <w:p>
      <w:pPr>
        <w:spacing w:after="0" w:line="102" w:lineRule="exact"/>
        <w:rPr>
          <w:sz w:val="20"/>
          <w:szCs w:val="20"/>
          <w:color w:val="auto"/>
        </w:rPr>
      </w:pPr>
    </w:p>
    <w:p>
      <w:pPr>
        <w:ind w:left="1340" w:right="100" w:hanging="1244"/>
        <w:spacing w:after="0" w:line="268"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Certification of the Chief Executive Officer and Chief Financial Officer pursuant to Rules 13a-14(a) and 15d-14(a) of the Securities Exchange Act of 1934, as amended.</w:t>
      </w:r>
    </w:p>
    <w:p>
      <w:pPr>
        <w:spacing w:after="0" w:line="77" w:lineRule="exact"/>
        <w:rPr>
          <w:rFonts w:ascii="Arial" w:cs="Arial" w:eastAsia="Arial" w:hAnsi="Arial"/>
          <w:sz w:val="18"/>
          <w:szCs w:val="18"/>
          <w:color w:val="auto"/>
        </w:rPr>
      </w:pPr>
    </w:p>
    <w:p>
      <w:pPr>
        <w:ind w:left="1340" w:hanging="1244"/>
        <w:spacing w:after="0" w:line="332" w:lineRule="auto"/>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jc w:val="center"/>
        <w:ind w:left="5620" w:right="74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 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ANN</w:t>
      </w:r>
      <w:r>
        <w:rPr>
          <w:rFonts w:ascii="Arial" w:cs="Arial" w:eastAsia="Arial" w:hAnsi="Arial"/>
          <w:sz w:val="18"/>
          <w:szCs w:val="18"/>
          <w:color w:val="auto"/>
        </w:rPr>
        <w:t>K</w:t>
      </w:r>
      <w:r>
        <w:rPr>
          <w:rFonts w:ascii="Arial" w:cs="Arial" w:eastAsia="Arial" w:hAnsi="Arial"/>
          <w:sz w:val="14"/>
          <w:szCs w:val="14"/>
          <w:color w:val="auto"/>
        </w:rPr>
        <w:t>IND</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Director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2016</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Matthew J.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37"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534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97"/>
              </w:rPr>
              <w:t>Title</w:t>
            </w:r>
          </w:p>
        </w:tc>
        <w:tc>
          <w:tcPr>
            <w:tcW w:w="84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3"/>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54"/>
              <w:spacing w:after="0"/>
              <w:rPr>
                <w:sz w:val="20"/>
                <w:szCs w:val="20"/>
                <w:color w:val="auto"/>
              </w:rPr>
            </w:pPr>
            <w:r>
              <w:rPr>
                <w:rFonts w:ascii="Arial" w:cs="Arial" w:eastAsia="Arial" w:hAnsi="Arial"/>
                <w:sz w:val="18"/>
                <w:szCs w:val="18"/>
                <w:color w:val="auto"/>
                <w:w w:val="90"/>
              </w:rPr>
              <w:t>Chief Executive Officer, Chief Financial</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190"/>
        </w:trPr>
        <w:tc>
          <w:tcPr>
            <w:tcW w:w="2420" w:type="dxa"/>
            <w:vAlign w:val="bottom"/>
            <w:gridSpan w:val="2"/>
          </w:tcPr>
          <w:p>
            <w:pPr>
              <w:spacing w:after="0" w:line="190" w:lineRule="exact"/>
              <w:rPr>
                <w:sz w:val="20"/>
                <w:szCs w:val="20"/>
                <w:color w:val="auto"/>
              </w:rPr>
            </w:pPr>
            <w:r>
              <w:rPr>
                <w:rFonts w:ascii="Arial" w:cs="Arial" w:eastAsia="Arial" w:hAnsi="Arial"/>
                <w:sz w:val="18"/>
                <w:szCs w:val="18"/>
                <w:color w:val="auto"/>
              </w:rPr>
              <w:t>Matthew J. Pfeffer</w:t>
            </w:r>
          </w:p>
        </w:tc>
        <w:tc>
          <w:tcPr>
            <w:tcW w:w="1820" w:type="dxa"/>
            <w:vAlign w:val="bottom"/>
          </w:tcPr>
          <w:p>
            <w:pPr>
              <w:spacing w:after="0"/>
              <w:rPr>
                <w:sz w:val="16"/>
                <w:szCs w:val="16"/>
                <w:color w:val="auto"/>
              </w:rPr>
            </w:pPr>
          </w:p>
        </w:tc>
        <w:tc>
          <w:tcPr>
            <w:tcW w:w="5340" w:type="dxa"/>
            <w:vAlign w:val="bottom"/>
            <w:gridSpan w:val="3"/>
          </w:tcPr>
          <w:p>
            <w:pPr>
              <w:jc w:val="center"/>
              <w:ind w:left="54"/>
              <w:spacing w:after="0" w:line="190" w:lineRule="exact"/>
              <w:rPr>
                <w:sz w:val="20"/>
                <w:szCs w:val="20"/>
                <w:color w:val="auto"/>
              </w:rPr>
            </w:pPr>
            <w:r>
              <w:rPr>
                <w:rFonts w:ascii="Arial" w:cs="Arial" w:eastAsia="Arial" w:hAnsi="Arial"/>
                <w:sz w:val="18"/>
                <w:szCs w:val="18"/>
                <w:color w:val="auto"/>
                <w:w w:val="92"/>
              </w:rPr>
              <w:t>Officer and Director</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2"/>
        </w:trPr>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340" w:type="dxa"/>
            <w:vAlign w:val="bottom"/>
            <w:gridSpan w:val="3"/>
          </w:tcPr>
          <w:p>
            <w:pPr>
              <w:jc w:val="center"/>
              <w:ind w:left="54"/>
              <w:spacing w:after="0"/>
              <w:rPr>
                <w:sz w:val="20"/>
                <w:szCs w:val="20"/>
                <w:color w:val="auto"/>
              </w:rPr>
            </w:pPr>
            <w:r>
              <w:rPr>
                <w:rFonts w:ascii="Arial" w:cs="Arial" w:eastAsia="Arial" w:hAnsi="Arial"/>
                <w:sz w:val="18"/>
                <w:szCs w:val="18"/>
                <w:i w:val="1"/>
                <w:iCs w:val="1"/>
                <w:color w:val="auto"/>
                <w:w w:val="92"/>
              </w:rPr>
              <w:t>(Principal Executive Officer and Principal Financial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05"/>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Rosabel R. Alinaya</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54"/>
              <w:spacing w:after="0"/>
              <w:rPr>
                <w:sz w:val="20"/>
                <w:szCs w:val="20"/>
                <w:color w:val="auto"/>
              </w:rPr>
            </w:pPr>
            <w:r>
              <w:rPr>
                <w:rFonts w:ascii="Arial" w:cs="Arial" w:eastAsia="Arial" w:hAnsi="Arial"/>
                <w:sz w:val="18"/>
                <w:szCs w:val="18"/>
                <w:color w:val="auto"/>
                <w:w w:val="87"/>
              </w:rPr>
              <w:t>Senior Vice President, Finance</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8"/>
        </w:trPr>
        <w:tc>
          <w:tcPr>
            <w:tcW w:w="2420" w:type="dxa"/>
            <w:vAlign w:val="bottom"/>
            <w:gridSpan w:val="2"/>
          </w:tcPr>
          <w:p>
            <w:pPr>
              <w:spacing w:after="0"/>
              <w:rPr>
                <w:sz w:val="20"/>
                <w:szCs w:val="20"/>
                <w:color w:val="auto"/>
              </w:rPr>
            </w:pPr>
            <w:r>
              <w:rPr>
                <w:rFonts w:ascii="Arial" w:cs="Arial" w:eastAsia="Arial" w:hAnsi="Arial"/>
                <w:sz w:val="18"/>
                <w:szCs w:val="18"/>
                <w:color w:val="auto"/>
              </w:rPr>
              <w:t>Rosabel R. Alinaya</w:t>
            </w:r>
          </w:p>
        </w:tc>
        <w:tc>
          <w:tcPr>
            <w:tcW w:w="1820" w:type="dxa"/>
            <w:vAlign w:val="bottom"/>
          </w:tcPr>
          <w:p>
            <w:pPr>
              <w:spacing w:after="0"/>
              <w:rPr>
                <w:sz w:val="18"/>
                <w:szCs w:val="18"/>
                <w:color w:val="auto"/>
              </w:rPr>
            </w:pPr>
          </w:p>
        </w:tc>
        <w:tc>
          <w:tcPr>
            <w:tcW w:w="5340" w:type="dxa"/>
            <w:vAlign w:val="bottom"/>
            <w:gridSpan w:val="3"/>
          </w:tcPr>
          <w:p>
            <w:pPr>
              <w:jc w:val="center"/>
              <w:ind w:left="54"/>
              <w:spacing w:after="0" w:line="202" w:lineRule="exact"/>
              <w:rPr>
                <w:sz w:val="20"/>
                <w:szCs w:val="20"/>
                <w:color w:val="auto"/>
              </w:rPr>
            </w:pPr>
            <w:r>
              <w:rPr>
                <w:rFonts w:ascii="Arial" w:cs="Arial" w:eastAsia="Arial" w:hAnsi="Arial"/>
                <w:sz w:val="18"/>
                <w:szCs w:val="18"/>
                <w:i w:val="1"/>
                <w:iCs w:val="1"/>
                <w:color w:val="auto"/>
                <w:w w:val="92"/>
              </w:rPr>
              <w:t>(Principal Accounting Officer)</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Kent Kresa</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Chairman of the Board of Directors</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Kent Kresa</w:t>
            </w: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J. Consiglio</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Ronald J. Consiglio</w:t>
            </w: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Friedman</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Michael Friedman, M.D.</w:t>
            </w: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H. MacCallum</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David H. MacCallum</w:t>
            </w: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Henry L. Nordhoff</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Henry L. Nordhoff</w:t>
            </w: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S. Shannon</w:t>
            </w:r>
          </w:p>
        </w:tc>
        <w:tc>
          <w:tcPr>
            <w:tcW w:w="182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jc w:val="center"/>
              <w:ind w:left="352"/>
              <w:spacing w:after="0"/>
              <w:rPr>
                <w:sz w:val="20"/>
                <w:szCs w:val="20"/>
                <w:color w:val="auto"/>
              </w:rPr>
            </w:pPr>
            <w:r>
              <w:rPr>
                <w:rFonts w:ascii="Arial" w:cs="Arial" w:eastAsia="Arial" w:hAnsi="Arial"/>
                <w:sz w:val="18"/>
                <w:szCs w:val="18"/>
                <w:color w:val="auto"/>
                <w:w w:val="87"/>
              </w:rPr>
              <w:t>March 15, 2016</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James S. Shannon</w:t>
            </w: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70"/>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40" w:type="dxa"/>
            <w:vAlign w:val="bottom"/>
            <w:gridSpan w:val="2"/>
          </w:tcPr>
          <w:p>
            <w:pPr>
              <w:jc w:val="right"/>
              <w:ind w:right="974"/>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2"/>
          </w:tcPr>
          <w:p>
            <w:pPr>
              <w:jc w:val="center"/>
              <w:ind w:right="1412"/>
              <w:spacing w:after="0"/>
              <w:rPr>
                <w:sz w:val="20"/>
                <w:szCs w:val="20"/>
                <w:color w:val="auto"/>
              </w:rPr>
            </w:pPr>
            <w:r>
              <w:rPr>
                <w:rFonts w:ascii="Arial" w:cs="Arial" w:eastAsia="Arial" w:hAnsi="Arial"/>
                <w:sz w:val="18"/>
                <w:szCs w:val="18"/>
                <w:b w:val="1"/>
                <w:bCs w:val="1"/>
                <w:color w:val="auto"/>
                <w:w w:val="98"/>
              </w:rPr>
              <w:t>MANNKIND CORPORATION AND SUBSIDIARIES</w:t>
            </w:r>
          </w:p>
        </w:tc>
        <w:tc>
          <w:tcPr>
            <w:tcW w:w="1860" w:type="dxa"/>
            <w:vAlign w:val="bottom"/>
          </w:tcPr>
          <w:p>
            <w:pPr>
              <w:spacing w:after="0"/>
              <w:rPr>
                <w:sz w:val="19"/>
                <w:szCs w:val="19"/>
                <w:color w:val="auto"/>
              </w:rPr>
            </w:pPr>
          </w:p>
        </w:tc>
      </w:tr>
      <w:tr>
        <w:trPr>
          <w:trHeight w:val="297"/>
        </w:trPr>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40" w:type="dxa"/>
            <w:vAlign w:val="bottom"/>
          </w:tcPr>
          <w:p>
            <w:pPr>
              <w:jc w:val="center"/>
              <w:ind w:right="2052"/>
              <w:spacing w:after="0"/>
              <w:rPr>
                <w:sz w:val="20"/>
                <w:szCs w:val="20"/>
                <w:color w:val="auto"/>
              </w:rPr>
            </w:pPr>
            <w:r>
              <w:rPr>
                <w:rFonts w:ascii="Arial" w:cs="Arial" w:eastAsia="Arial" w:hAnsi="Arial"/>
                <w:sz w:val="18"/>
                <w:szCs w:val="18"/>
                <w:b w:val="1"/>
                <w:bCs w:val="1"/>
                <w:color w:val="auto"/>
                <w:w w:val="99"/>
              </w:rPr>
              <w:t>INDEX TO FINANCIAL STATEMENTS</w:t>
            </w:r>
          </w:p>
        </w:tc>
        <w:tc>
          <w:tcPr>
            <w:tcW w:w="1860" w:type="dxa"/>
            <w:vAlign w:val="bottom"/>
          </w:tcPr>
          <w:p>
            <w:pPr>
              <w:spacing w:after="0"/>
              <w:rPr>
                <w:sz w:val="24"/>
                <w:szCs w:val="24"/>
                <w:color w:val="auto"/>
              </w:rPr>
            </w:pPr>
          </w:p>
        </w:tc>
      </w:tr>
      <w:tr>
        <w:trPr>
          <w:trHeight w:val="259"/>
        </w:trPr>
        <w:tc>
          <w:tcPr>
            <w:tcW w:w="946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w:t>
              </w:r>
            </w:hyperlink>
          </w:p>
        </w:tc>
        <w:tc>
          <w:tcPr>
            <w:tcW w:w="534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Operations</w:t>
              </w:r>
            </w:hyperlink>
          </w:p>
        </w:tc>
        <w:tc>
          <w:tcPr>
            <w:tcW w:w="6700" w:type="dxa"/>
            <w:vAlign w:val="bottom"/>
            <w:gridSpan w:val="6"/>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46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Loss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46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Stockholders’ Deficit</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Cash Flows</w:t>
              </w:r>
            </w:hyperlink>
          </w:p>
        </w:tc>
        <w:tc>
          <w:tcPr>
            <w:tcW w:w="5980" w:type="dxa"/>
            <w:vAlign w:val="bottom"/>
            <w:gridSpan w:val="2"/>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46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83"/>
        </w:trPr>
        <w:tc>
          <w:tcPr>
            <w:tcW w:w="3080" w:type="dxa"/>
            <w:vAlign w:val="bottom"/>
            <w:tcBorders>
              <w:top w:val="single" w:sz="8" w:color="0000EE"/>
            </w:tcBorders>
            <w:gridSpan w:val="4"/>
          </w:tcPr>
          <w:p>
            <w:pPr>
              <w:spacing w:after="0"/>
              <w:rPr>
                <w:sz w:val="24"/>
                <w:szCs w:val="24"/>
                <w:color w:val="auto"/>
              </w:rPr>
            </w:pPr>
          </w:p>
        </w:tc>
        <w:tc>
          <w:tcPr>
            <w:tcW w:w="6380" w:type="dxa"/>
            <w:vAlign w:val="bottom"/>
            <w:gridSpan w:val="4"/>
          </w:tcPr>
          <w:p>
            <w:pPr>
              <w:jc w:val="center"/>
              <w:ind w:right="1032"/>
              <w:spacing w:after="0"/>
              <w:rPr>
                <w:sz w:val="20"/>
                <w:szCs w:val="20"/>
                <w:color w:val="auto"/>
              </w:rPr>
            </w:pPr>
            <w:r>
              <w:rPr>
                <w:rFonts w:ascii="Arial" w:cs="Arial" w:eastAsia="Arial" w:hAnsi="Arial"/>
                <w:sz w:val="18"/>
                <w:szCs w:val="18"/>
                <w:color w:val="auto"/>
                <w:w w:val="89"/>
              </w:rPr>
              <w:t>74</w:t>
            </w:r>
          </w:p>
        </w:tc>
        <w:tc>
          <w:tcPr>
            <w:tcW w:w="18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84" w:lineRule="exact"/>
        <w:rPr>
          <w:sz w:val="20"/>
          <w:szCs w:val="20"/>
          <w:color w:val="auto"/>
        </w:rPr>
      </w:pPr>
    </w:p>
    <w:p>
      <w:pPr>
        <w:jc w:val="both"/>
        <w:ind w:right="280"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(the “Company”) as of December 31, 2015 and 2014 and the related consolidated statements of operations, comprehensive loss, stockholders’ deficit, and cash flows for each of the three years in the period ended December 31, 2015. These financial statements are the responsibility of the Company’s management. Our responsibility is to express an opinion on the financial statements based on our audits.</w:t>
      </w:r>
    </w:p>
    <w:p>
      <w:pPr>
        <w:spacing w:after="0" w:line="62"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MannKind Corporation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59"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Company’s existing cash resources and its operating losses since inception raise substantial doubt about its ability to continue as a going concern. Management’s plans concerning these matters are also described in Note 1 to the consolidated financial statements. The consolidated financial statements do not include any adjustments that might result from the outcome of these uncertainties.</w:t>
      </w:r>
    </w:p>
    <w:p>
      <w:pPr>
        <w:spacing w:after="0" w:line="32" w:lineRule="exact"/>
        <w:rPr>
          <w:sz w:val="20"/>
          <w:szCs w:val="20"/>
          <w:color w:val="auto"/>
        </w:rPr>
      </w:pPr>
    </w:p>
    <w:p>
      <w:pPr>
        <w:jc w:val="both"/>
        <w:ind w:right="80" w:firstLine="22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15, 2016 expressed an adverse opinion on the Company’s internal control over financial reporting because of a material weakness.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jc w:val="center"/>
              <w:ind w:right="13"/>
              <w:spacing w:after="0" w:line="129" w:lineRule="exact"/>
              <w:rPr>
                <w:sz w:val="20"/>
                <w:szCs w:val="20"/>
                <w:color w:val="auto"/>
              </w:rPr>
            </w:pPr>
            <w:r>
              <w:rPr>
                <w:rFonts w:ascii="Arial" w:cs="Arial" w:eastAsia="Arial" w:hAnsi="Arial"/>
                <w:sz w:val="14"/>
                <w:szCs w:val="14"/>
                <w:b w:val="1"/>
                <w:bCs w:val="1"/>
                <w:color w:val="auto"/>
                <w:w w:val="86"/>
              </w:rPr>
              <w:t>(In thousands,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 data)</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Receivables from collaboration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Inventory-current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Deferred product costs from collaboration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76,654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201,153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126,412</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394,439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ind w:left="2240"/>
              <w:spacing w:after="0"/>
              <w:rPr>
                <w:sz w:val="20"/>
                <w:szCs w:val="20"/>
                <w:color w:val="auto"/>
              </w:rPr>
            </w:pPr>
            <w:r>
              <w:rPr>
                <w:rFonts w:ascii="Arial" w:cs="Arial" w:eastAsia="Arial" w:hAnsi="Arial"/>
                <w:sz w:val="18"/>
                <w:szCs w:val="18"/>
                <w:b w:val="1"/>
                <w:bCs w:val="1"/>
                <w:color w:val="auto"/>
              </w:rPr>
              <w:t>LIABILITIES AND STOCKHOLDERS’ DEFICIT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financing obligation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Senior convertible notes — current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product sales from collaboration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Purchase commitment liabilities — current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payments from collaboration</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268,319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403,353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Sanofi loan facility and loss share obligation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62,371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 — long term</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Purchase commitments — long term</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53,692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476,741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Stockholders’ deficit: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1"/>
              </w:rPr>
              <w:t>Undesignated preferred stock, $0.01 par value — 10,000,000 shares authorized; no shares issued or outstanding at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2015 and 2014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93"/>
              </w:rPr>
              <w:t>Common stock, $0.01 par value — 550,000,000 shares authorized at December 31, 2015 and 2014,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w w:val="96"/>
              </w:rPr>
              <w:t>428,670,943 and 406,059,089 shares issued and outstanding at December 31, 2015 and 2014, respectively</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2,508,633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2,416,967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(2,863,229)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(2,494,784)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deficit</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(350,329)</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126,412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9"/>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100,244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40,960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79,383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manufacturing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Property and equipment impairment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140,412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purchase commitments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344,655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179,627</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169,401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(344,655)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(179,627)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(368,445)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(198,382)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(368,445)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(198,382)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(191,490)</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(0.51)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406,165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385,229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299,591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23"/>
              <w:spacing w:after="0"/>
              <w:rPr>
                <w:sz w:val="20"/>
                <w:szCs w:val="20"/>
                <w:color w:val="auto"/>
              </w:rPr>
            </w:pPr>
            <w:r>
              <w:rPr>
                <w:rFonts w:ascii="Arial" w:cs="Arial" w:eastAsia="Arial" w:hAnsi="Arial"/>
                <w:sz w:val="14"/>
                <w:szCs w:val="14"/>
                <w:b w:val="1"/>
                <w:bCs w:val="1"/>
                <w:color w:val="auto"/>
                <w:w w:val="85"/>
              </w:rPr>
              <w:t>Year ended December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0"/>
              </w:rPr>
              <w:t>(368,445)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(198,382)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(loss) gain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gain</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0"/>
              </w:rPr>
              <w:t>(368,451)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(198,392)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(191,488)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5"/>
            <w:vMerge w:val="restart"/>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140" w:type="dxa"/>
            <w:vAlign w:val="bottom"/>
            <w:gridSpan w:val="2"/>
            <w:vMerge w:val="continue"/>
          </w:tcPr>
          <w:p>
            <w:pPr>
              <w:spacing w:after="0"/>
              <w:rPr>
                <w:sz w:val="10"/>
                <w:szCs w:val="10"/>
                <w:color w:val="auto"/>
              </w:rPr>
            </w:pPr>
          </w:p>
        </w:tc>
        <w:tc>
          <w:tcPr>
            <w:tcW w:w="1260" w:type="dxa"/>
            <w:vAlign w:val="bottom"/>
            <w:tcBorders>
              <w:bottom w:val="single" w:sz="8" w:color="auto"/>
            </w:tcBorders>
            <w:gridSpan w:val="5"/>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1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14"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10"/>
                <w:szCs w:val="10"/>
                <w:color w:val="auto"/>
              </w:rPr>
            </w:pPr>
          </w:p>
        </w:tc>
        <w:tc>
          <w:tcPr>
            <w:tcW w:w="92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income (loss)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2013</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286,035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2,860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1,991,379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(2,104,912)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(110,679)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from the release of restricted stock units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(4,821)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shares pursuant to warrant exercises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66,353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664</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171,485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172,149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pursuant to debt conversions by Deerfield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 pursuant to at-the-market issuances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pursuant to litigation settlement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shares under Employee Stock Purchase Plan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Cumulative translation (loss) gain</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Commitment to deliver common shares pursuant to Deerfield conversion to additional paid-in capital</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(191,490)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(191,490)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369,392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2,261,996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(2,296,402)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(30,713)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from the release of restricted stock units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(26,946)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(26,908)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shares pursuant to warrant exercises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11,575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pursuant to debt conversions by Deerfield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93,327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shares under Employee Stock Purchase Plan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Remeasurement of performance based grants pursuant to the modification of terms</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(loss) gain</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(198,382)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(198,382)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406,059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4,061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$2,416,967</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(2,494,784)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(73,770)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from the release of restricted stock units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units taxes paid in cash</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pursuant to warrant exercises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Capital contribution</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pursuant to conversions of certain 2015 notes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 for lender financing fees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Discount on notes-for-stock exchange</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 pursuant to TASE stock sale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13,853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of loaned common stock</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 pursuant to at-the-market issuances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shares under Employee Stock Purchase Plan</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Issuance of warrant liability</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warrant liability to equity</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(loss) gain</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(368,445)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(368,445)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428,671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4,287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2,508,633</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(2,863,229)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(350,329)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(368,445)</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(198,382)</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(191,490)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accretion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48,622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purchase commitments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66,167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200"/>
              <w:spacing w:after="0" w:line="149" w:lineRule="exact"/>
              <w:rPr>
                <w:sz w:val="20"/>
                <w:szCs w:val="20"/>
                <w:color w:val="auto"/>
              </w:rPr>
            </w:pPr>
            <w:r>
              <w:rPr>
                <w:rFonts w:ascii="Arial" w:cs="Arial" w:eastAsia="Arial" w:hAnsi="Arial"/>
                <w:sz w:val="14"/>
                <w:szCs w:val="14"/>
                <w:color w:val="auto"/>
              </w:rPr>
              <w:t>Write-off of Inventory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36,104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sale, abandonment/disposal or impairment of property and equipment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140,582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200"/>
              <w:spacing w:after="0" w:line="149" w:lineRule="exact"/>
              <w:rPr>
                <w:sz w:val="20"/>
                <w:szCs w:val="20"/>
                <w:color w:val="auto"/>
              </w:rPr>
            </w:pPr>
            <w:r>
              <w:rPr>
                <w:rFonts w:ascii="Arial" w:cs="Arial" w:eastAsia="Arial" w:hAnsi="Arial"/>
                <w:sz w:val="14"/>
                <w:szCs w:val="14"/>
                <w:color w:val="auto"/>
              </w:rPr>
              <w:t>Interest incurred through borrowings under Sanofi Loan Facility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Write-off of derivative liability</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200"/>
              <w:spacing w:after="0" w:line="149" w:lineRule="exact"/>
              <w:rPr>
                <w:sz w:val="20"/>
                <w:szCs w:val="20"/>
                <w:color w:val="auto"/>
              </w:rPr>
            </w:pPr>
            <w:r>
              <w:rPr>
                <w:rFonts w:ascii="Arial" w:cs="Arial" w:eastAsia="Arial" w:hAnsi="Arial"/>
                <w:sz w:val="14"/>
                <w:szCs w:val="14"/>
                <w:color w:val="auto"/>
              </w:rPr>
              <w:t>Write-off Tranche B Commitment Asset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exchange loss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200"/>
              <w:spacing w:after="0" w:line="149" w:lineRule="exact"/>
              <w:rPr>
                <w:sz w:val="20"/>
                <w:szCs w:val="20"/>
                <w:color w:val="auto"/>
              </w:rPr>
            </w:pPr>
            <w:r>
              <w:rPr>
                <w:rFonts w:ascii="Arial" w:cs="Arial" w:eastAsia="Arial" w:hAnsi="Arial"/>
                <w:sz w:val="14"/>
                <w:szCs w:val="14"/>
                <w:color w:val="auto"/>
              </w:rPr>
              <w:t>Changes in assets and liabilities: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Inventory</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collaboration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50,413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(50,436)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420"/>
              <w:spacing w:after="0" w:line="149" w:lineRule="exact"/>
              <w:rPr>
                <w:sz w:val="20"/>
                <w:szCs w:val="20"/>
                <w:color w:val="auto"/>
              </w:rPr>
            </w:pPr>
            <w:r>
              <w:rPr>
                <w:rFonts w:ascii="Arial" w:cs="Arial" w:eastAsia="Arial" w:hAnsi="Arial"/>
                <w:sz w:val="14"/>
                <w:szCs w:val="14"/>
                <w:color w:val="auto"/>
              </w:rPr>
              <w:t>Deferred product costs from collaboration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420"/>
              <w:spacing w:after="0" w:line="149" w:lineRule="exact"/>
              <w:rPr>
                <w:sz w:val="20"/>
                <w:szCs w:val="20"/>
                <w:color w:val="auto"/>
              </w:rPr>
            </w:pPr>
            <w:r>
              <w:rPr>
                <w:rFonts w:ascii="Arial" w:cs="Arial" w:eastAsia="Arial" w:hAnsi="Arial"/>
                <w:sz w:val="14"/>
                <w:szCs w:val="14"/>
                <w:color w:val="auto"/>
              </w:rPr>
              <w:t>Deferred product sales from collaboration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payments from collaboration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200,436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provided by operating activities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(57,232)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(128,732)</w:t>
            </w:r>
          </w:p>
        </w:tc>
        <w:tc>
          <w:tcPr>
            <w:tcW w:w="0" w:type="dxa"/>
            <w:vAlign w:val="bottom"/>
          </w:tcPr>
          <w:p>
            <w:pPr>
              <w:spacing w:after="0"/>
              <w:rPr>
                <w:sz w:val="1"/>
                <w:szCs w:val="1"/>
                <w:color w:val="auto"/>
              </w:rPr>
            </w:pPr>
          </w:p>
        </w:tc>
      </w:tr>
      <w:tr>
        <w:trPr>
          <w:trHeight w:val="156"/>
        </w:trPr>
        <w:tc>
          <w:tcPr>
            <w:tcW w:w="80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156"/>
        </w:trPr>
        <w:tc>
          <w:tcPr>
            <w:tcW w:w="80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under Tel Aviv Stock Exchange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36,142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costs associated with the Tel Aviv Stock Exchange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Exercise of warrants for common stock</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94,147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2015 notes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(64,287)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 on 2018 notes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3.75% Senior Convertible Notes due 2013</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Proceeds from issuance of facility financing obligation &amp; milestone rights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119,500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Tranche B of the facility financing obligation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Facility financing obligation &amp; milestone rights issuance costs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Milestone payment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pursuant to at-the-market issuance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49,990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costs of at-the-market transactions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employment taxes related to vested restricted stock units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5,668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70,062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145,669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(61,767)</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50,051</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120,841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70,790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61,840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59,074</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120,841</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4"/>
                <w:szCs w:val="14"/>
                <w:color w:val="auto"/>
              </w:rPr>
              <w:t>SUPPLEMENTAL CASH FLOWS DISCLOSURES:</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Interest paid in cash, net of amounts capitalized to Construction in progress</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13,355</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11,218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640"/>
              <w:spacing w:after="0" w:line="149" w:lineRule="exact"/>
              <w:rPr>
                <w:sz w:val="20"/>
                <w:szCs w:val="20"/>
                <w:color w:val="auto"/>
              </w:rPr>
            </w:pPr>
            <w:r>
              <w:rPr>
                <w:rFonts w:ascii="Arial" w:cs="Arial" w:eastAsia="Arial" w:hAnsi="Arial"/>
                <w:sz w:val="14"/>
                <w:szCs w:val="14"/>
                <w:color w:val="auto"/>
              </w:rPr>
              <w:t>Payment of 2015 notes and interest through issuance of common stock</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Issuance of common stock pursuant to debt conversion by Deerfield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640"/>
              <w:spacing w:after="0" w:line="149" w:lineRule="exact"/>
              <w:rPr>
                <w:sz w:val="20"/>
                <w:szCs w:val="20"/>
                <w:color w:val="auto"/>
              </w:rPr>
            </w:pPr>
            <w:r>
              <w:rPr>
                <w:rFonts w:ascii="Arial" w:cs="Arial" w:eastAsia="Arial" w:hAnsi="Arial"/>
                <w:sz w:val="14"/>
                <w:szCs w:val="14"/>
                <w:color w:val="auto"/>
              </w:rPr>
              <w:t>Non-cash construction in progress and property and equipment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Capitalization of interest on note payable to principal stockholder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ind w:left="640"/>
              <w:spacing w:after="0" w:line="149" w:lineRule="exact"/>
              <w:rPr>
                <w:sz w:val="20"/>
                <w:szCs w:val="20"/>
                <w:color w:val="auto"/>
              </w:rPr>
            </w:pPr>
            <w:r>
              <w:rPr>
                <w:rFonts w:ascii="Arial" w:cs="Arial" w:eastAsia="Arial" w:hAnsi="Arial"/>
                <w:sz w:val="14"/>
                <w:szCs w:val="14"/>
                <w:color w:val="auto"/>
                <w:w w:val="98"/>
              </w:rPr>
              <w:t>Reduction of principal on note payable to principal stockholder upon issuance of common stock and exercise of warrants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Reclassification of deferred payments from collaboration to Sanofi loan facility and loss share obligation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59,337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ind w:right="300" w:firstLine="228"/>
        <w:spacing w:after="0" w:line="256"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Corporation and subsidiaries (the “Company”) is a biopharmaceutical company focused on the discovery and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products for diseases such as diabetes. The Company’s only approved product, AFREZZA, (insulin human [rDNA origin]) inhalation powder, is a rapid-acting inhaled insulin that was approved by the U.S. Food and Drug Administration (the “FDA”) on June 27, 2014 to improve glycemic control in adult patients with diabetes.</w:t>
      </w:r>
    </w:p>
    <w:p>
      <w:pPr>
        <w:spacing w:after="0" w:line="62"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Company’s primary activities since incorporation have been establishing its facilities, recruiting personnel, conducting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business development, business and financial planning, raising capital, and commercial manufacturing. It is costly to develop therapeutic products and conduct clinical studies for these products. As of and for the year ended December 31, 2015, the Company has reported an accumulated deficit of $2.9 billion and has reported negative cash flow from operations for each year since inception, except for 2014, when the Company received the $150.0 million upfront payment from Sanofi.</w:t>
      </w:r>
    </w:p>
    <w:p>
      <w:pPr>
        <w:spacing w:after="0" w:line="62"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At December 31, 2015, the Company’s capital resources consisted of cash and cash equivalents of $59.1 million. The Company expects to continue to incur significant expenditures to support commercial manufacturing and sales and marketing of AFREZZA and the development of other product candidates. The facility agreement (the “Facility Agreement”) with Deerfield Private Design Fund II, L.P. (“Deerfield Private Design Fund”) and Deerfield Private Design International II, L.P. (collectively, “Deerfield”) and the First Amendment to Facility Agreement and Registration Rights Agreement (the “First Amendment”) that resulted in additional sales of an additional tranche of notes (the “Tranche B notes”) (see Note 17 — Facility Agreement) requires the Company to maintain at least $25.0 million in cash and cash equivalents or available borrowings under the loan arrangement, dated as of October 2, 2007, between The Company and The Mann Group LLC (as amended, restated, or otherwise modified as of the date hereof, “the Mann Group Loan Arrangement”), as of the last day of each fiscal quarter. The Company will need to continue to incur expenses for the commercialization of AFREZZA and will need to raise additional capital to finance such activities. The Company cannot be certain that it will be able to raise additional capital on favorable terms, or at all, which raises substantial doubt about the Company’s ability to continue as a going concern. The financial statements do not include any adjustments that might result from the outcome of this uncertainty.</w:t>
      </w:r>
    </w:p>
    <w:p>
      <w:pPr>
        <w:spacing w:after="0" w:line="42"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On August 11, 2014, we executed a license and collaboration agreement (the “Sanofi License Agreement”) with Sanofi-Aventis Deutschland GmbH (which subsequently assigned its rights and obligations under the agreement to Sanofi-Aventis U.S. LLC (“Sanofi”)), pursuant to which Sanofi is responsible for global commercial, regulatory and development activities for AFREZZA. The Sanofi License Agreement became effective on September 23, 2014. The Company manufactured AFREZZA at its manufacturing facility in Danbury, Connecticut to supply Sanofi’s demand for the product pursuant to a supply agreement dated August 11, 2014 (the “Sanofi Supply Agreement”).</w:t>
      </w:r>
    </w:p>
    <w:p>
      <w:pPr>
        <w:spacing w:after="0" w:line="35" w:lineRule="exact"/>
        <w:rPr>
          <w:sz w:val="20"/>
          <w:szCs w:val="20"/>
          <w:color w:val="auto"/>
        </w:rPr>
      </w:pPr>
    </w:p>
    <w:p>
      <w:pPr>
        <w:ind w:right="160" w:firstLine="228"/>
        <w:spacing w:after="0" w:line="291" w:lineRule="auto"/>
        <w:rPr>
          <w:sz w:val="20"/>
          <w:szCs w:val="20"/>
          <w:color w:val="auto"/>
        </w:rPr>
      </w:pPr>
      <w:r>
        <w:rPr>
          <w:rFonts w:ascii="Arial" w:cs="Arial" w:eastAsia="Arial" w:hAnsi="Arial"/>
          <w:sz w:val="16"/>
          <w:szCs w:val="16"/>
          <w:color w:val="auto"/>
        </w:rPr>
        <w:t>On January 4, 2016 the Company received notification from Sanofi of its election to terminate in its entirety the Sanofi License Agreement. Sanofi’s notice indicated that the termination was pursuant to Sanofi’s right to terminate the Sanofi License Agreement upon Sanofi’s good faith determination that the commercialization of AFREZZA is no longer economically viable in the United States, in which case the effective date of termination (the “Termination Date”) will be April 4, 2016. In the alternative, Sanofi indicated that the termination was also pursuant to its right to terminate the Sanofi License Agreement for any reason, in which case the Termination Date will be July 4, 2016. In the interest of an expedient transition, the Company is working with Sanofi to transfer and wind down the agreement activities by April 4, 2016, or as soon as practicable thereafter.</w:t>
      </w:r>
    </w:p>
    <w:p>
      <w:pPr>
        <w:spacing w:after="0" w:line="39"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Under the Sanofi License Agreement, worldwide profits and losses, which are determined based on the difference between the net sales of AFREZZA and the costs and expenses incurred by the Company and Sanofi that are specifically attributable or related to the development, regulatory filings, manufacturing,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commercialization of AFREZZA, are shared 65% by Sanofi and 35% by the us. As a result of the loss share provision, and because the Company does not have the ability to estimate the amount of costs that would potentially be incurred related to the Sanofi License Agreement, the amount of up-front cash payment or milestone payments that could be recognized as revenue is not fixed or determinable. In connection with the Sanofi License Agreement, an affiliate of Sanofi provided the Company with a secured loan facility (the “Sanofi Loan Facility”) of up to $175.0 million to fund the Company’s share of net losses under the Sanofi License Agreement.</w:t>
      </w:r>
    </w:p>
    <w:p>
      <w:pPr>
        <w:spacing w:after="0" w:line="62"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Additional funding sources that are, or in certain circumstances may be available to the Company, include approximately $30.1 million principal amount of available borrowings under The Mann Group Loan Arrangement. A portion of these available borrowings may be used to capitalize accrued interest into principal, upon mutual agreement of the parties, as it becomes due and payable under The Mann Group Loan Arrangement. (see note 7 — Related-party arrangements). The Company cannot provide assurances that its plans will not change or that changed circumstances will not result in the depletion of its capital resources more rapidly than it currently anticipates. The Company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3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the Company and its wholly-owned subsidiaries.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w:t>
      </w:r>
    </w:p>
    <w:p>
      <w:pPr>
        <w:spacing w:after="0" w:line="5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In accordance with Accounting Standards Codification (“ASC”) 280-10-50</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operating segments are identified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accounting principles generally accepted in the United States of</w:t>
      </w:r>
      <w:r>
        <w:rPr>
          <w:rFonts w:ascii="Arial" w:cs="Arial" w:eastAsia="Arial" w:hAnsi="Arial"/>
          <w:sz w:val="16"/>
          <w:szCs w:val="16"/>
          <w:i w:val="1"/>
          <w:iCs w:val="1"/>
          <w:color w:val="auto"/>
        </w:rPr>
        <w:t xml:space="preserve"> </w:t>
      </w:r>
      <w:r>
        <w:rPr>
          <w:rFonts w:ascii="Arial" w:cs="Arial" w:eastAsia="Arial" w:hAnsi="Arial"/>
          <w:sz w:val="16"/>
          <w:szCs w:val="16"/>
          <w:color w:val="auto"/>
        </w:rPr>
        <w:t>America (“GAAP”) requires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financial statements involve assessing long-lived assets for impairment, accrued expenses, including clinical study expenses, inventory recoverability, valuation of the facility financing obligation, commitment asset, milestone rights, valuation of stock-based compensation and the determination of the provision for income taxes and corresponding deferred tax assets and liabilities and any valuation allowance recorded against net deferred tax assets.</w:t>
      </w:r>
    </w:p>
    <w:p>
      <w:pPr>
        <w:spacing w:after="0" w:line="37" w:lineRule="exact"/>
        <w:rPr>
          <w:sz w:val="20"/>
          <w:szCs w:val="20"/>
          <w:color w:val="auto"/>
        </w:rPr>
      </w:pPr>
    </w:p>
    <w:p>
      <w:pPr>
        <w:jc w:val="both"/>
        <w:ind w:right="80" w:firstLine="228"/>
        <w:spacing w:after="0" w:line="294" w:lineRule="auto"/>
        <w:rPr>
          <w:sz w:val="20"/>
          <w:szCs w:val="20"/>
          <w:color w:val="auto"/>
        </w:rPr>
      </w:pPr>
      <w:r>
        <w:rPr>
          <w:rFonts w:ascii="Arial" w:cs="Arial" w:eastAsia="Arial" w:hAnsi="Arial"/>
          <w:sz w:val="16"/>
          <w:szCs w:val="16"/>
          <w:i w:val="1"/>
          <w:iCs w:val="1"/>
          <w:color w:val="auto"/>
        </w:rPr>
        <w:t xml:space="preserve">License and Collaboration and Supply Agreements </w:t>
      </w:r>
      <w:r>
        <w:rPr>
          <w:rFonts w:ascii="Arial" w:cs="Arial" w:eastAsia="Arial" w:hAnsi="Arial"/>
          <w:sz w:val="16"/>
          <w:szCs w:val="16"/>
          <w:color w:val="auto"/>
        </w:rPr>
        <w:t>— Pursuant to the Sanofi License Agreement and the Sanofi Supply Agreement, the Company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Sanofi exclusive, worldwide licenses to certain of the Company’s patents, trademarks and know-how for the development and commercialization of AFREZZA and retained the right to be the exclusive manufacturer and supplier of AFREZZA until specified conditions are met upon which a portion of the manufacturing activities may be assumed by Sanofi. The terms of the Sanofi License Agreement provide for consideration to the Company in the form of a non-refundable up-front payment, product sales, manufacturing, regulatory and sales milestone payments and profit and loss sharing.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The Company analyzes consideration received under the provisions of ASC 605, Revenue Recognition,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w:t>
      </w:r>
    </w:p>
    <w:p>
      <w:pPr>
        <w:spacing w:after="0" w:line="26"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In arrangements involving the delivery of more than one element, each required deliverable is evaluated to determine whether it qualifies as a separate unit of accounting.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the Company’s best estimate of what the selling price would be if the deliverable was regularly sold by the Company on a stand-alone basis. In general, the consideration allocated to each unit of accounting is recognized as the related goods or services are delivered, limited to the consideration that is not contingent upon future deliverables.</w:t>
      </w:r>
    </w:p>
    <w:p>
      <w:pPr>
        <w:spacing w:after="0" w:line="3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The assessment of multiple element arrangements requires judgment in order to determine the appropriate units of accounting and the points in time that, or periods over which, revenue should be recognized. Given that, as of December 31, 2015, the Company did not have the ability to estimate the amount of costs that would potentially be incurred under the loss share provision related to the Sanofi License Agreement and the Sanofi Supply Agreement, the Company believe the fixed and determinable fee requirement for revenue recognition was not met.</w:t>
      </w:r>
    </w:p>
    <w:p>
      <w:pPr>
        <w:spacing w:after="0" w:line="32"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original or remaining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that are readily convertible into cash to be cash equivalents. As of December 31, 2015 and 2014, cash equivalents were comprised of cash and money market accounts with maturities less than 90 days from the date of purchase.</w:t>
      </w:r>
    </w:p>
    <w:p>
      <w:pPr>
        <w:spacing w:after="0" w:line="59"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which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Cash and cash equivalents consist of interest-bearing accounts, which are regularly monitored by management and held in high credit quality institutions.</w:t>
      </w:r>
    </w:p>
    <w:p>
      <w:pPr>
        <w:spacing w:after="0" w:line="59"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i w:val="1"/>
          <w:iCs w:val="1"/>
          <w:color w:val="auto"/>
        </w:rPr>
        <w:t xml:space="preserve">State Research and Development Credit Exchange Receivable </w:t>
      </w:r>
      <w:r>
        <w:rPr>
          <w:rFonts w:ascii="Arial" w:cs="Arial" w:eastAsia="Arial" w:hAnsi="Arial"/>
          <w:sz w:val="16"/>
          <w:szCs w:val="16"/>
          <w:color w:val="auto"/>
        </w:rPr>
        <w:t>— The State of Connecticut provides certain companies with the opportunity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32"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i w:val="1"/>
          <w:iCs w:val="1"/>
          <w:color w:val="auto"/>
        </w:rPr>
        <w:t xml:space="preserve">Prepaid expenses and other current assets — </w:t>
      </w:r>
      <w:r>
        <w:rPr>
          <w:rFonts w:ascii="Arial" w:cs="Arial" w:eastAsia="Arial" w:hAnsi="Arial"/>
          <w:sz w:val="18"/>
          <w:szCs w:val="18"/>
          <w:color w:val="auto"/>
        </w:rPr>
        <w:t>Prepaid expenses and other current assets primarily consist of prepaid expenses for goods and services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As of December 31, 2015, prepaid and other current assets had a balance of $4.0 million, mainly comprised of prepaid insurance. As of December 31, 2014 prepaid and other current assets had a balance of $20.2 million, mainly comprised of a $15.0 million prepayment for 2015 quantities of insulin, and prepaid insurance.</w:t>
      </w:r>
    </w:p>
    <w:p>
      <w:pPr>
        <w:spacing w:after="0" w:line="62"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i w:val="1"/>
          <w:iCs w:val="1"/>
          <w:color w:val="auto"/>
        </w:rPr>
        <w:t xml:space="preserve">Sale of intellectual property </w:t>
      </w:r>
      <w:r>
        <w:rPr>
          <w:rFonts w:ascii="Arial" w:cs="Arial" w:eastAsia="Arial" w:hAnsi="Arial"/>
          <w:sz w:val="16"/>
          <w:szCs w:val="16"/>
          <w:color w:val="auto"/>
        </w:rPr>
        <w:t>— On July 18, 2014, the Company entered into an assignment agreement with a third party whereby the third party acquired all</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rights, technology and know-how that related to a small molecule inhibitor compound and all pre-clinical data and results related thereto. Under the terms of the assignment agreement, the Company received total consideration of $9.3 million and accrued $1.4 million in expense for a net amount of $7.9 million recorded as other income. In 2015, the Company recorded other income of $1.4 million related to the relief of the $1.4 million accrual for expenses associated with the sale of intellectual property related to oncology in 2014, which was subsequently resolved without payment.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i w:val="1"/>
          <w:iCs w:val="1"/>
          <w:color w:val="auto"/>
        </w:rPr>
        <w:t xml:space="preserve">Milestone Rights </w:t>
      </w:r>
      <w:r>
        <w:rPr>
          <w:rFonts w:ascii="Arial" w:cs="Arial" w:eastAsia="Arial" w:hAnsi="Arial"/>
          <w:sz w:val="16"/>
          <w:szCs w:val="16"/>
          <w:color w:val="auto"/>
        </w:rPr>
        <w:t>— On July 1, 2013, in conjunction with the execution of the Facility Agreement, the Company issued Milestone Rights to Deerfield whereby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agreed to provide Deerfield with pre-specified Milestone Payments upon the achievement of 13 specific Milestone Events related to the commercial release and future cumulative net sales of AFREZZA. The Company analyzed the Milestone Rights under the provisions of ASC 815 and determined that the agreement does not meet the definition of a freestanding derivative. Since the Company has not elected to apply the fair value option to the Milestone Rights Purchase Agreement, the Company recorded the Milestone Rights at their estimated fair value and accounted for the Milestone Rights as a liability by applying the indexed debt guidance contained in paragraphs ASC 470-10-25-3 and 35-4.</w:t>
      </w:r>
    </w:p>
    <w:p>
      <w:pPr>
        <w:spacing w:after="0" w:line="39"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Statement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17 — Facility Agreement). As of December 31, 2015, the remaining liability balance of $8.9 million was classified as long-term liability in other liabilities.</w:t>
      </w:r>
    </w:p>
    <w:p>
      <w:pPr>
        <w:spacing w:after="0" w:line="43"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i w:val="1"/>
          <w:iCs w:val="1"/>
          <w:color w:val="auto"/>
        </w:rPr>
        <w:t xml:space="preserve">Deferred product costs from collaboration </w:t>
      </w:r>
      <w:r>
        <w:rPr>
          <w:rFonts w:ascii="Arial" w:cs="Arial" w:eastAsia="Arial" w:hAnsi="Arial"/>
          <w:sz w:val="18"/>
          <w:szCs w:val="18"/>
          <w:color w:val="auto"/>
        </w:rPr>
        <w:t>— Deferred product costs represent the costs of product manufactured and sold to Sanofi, as long as they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than the 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the Company believes that it is probable that the amount of future revenue will exceed the amount of deferred costs (i.e., the asset would be realizable through the recognition of probable future income), the Company has elected to account for the deferred costs related to the product sold to Sanofi as an asset and carry forward to future periods until the related revenue is recognized.</w:t>
      </w:r>
    </w:p>
    <w:p>
      <w:pPr>
        <w:spacing w:after="0" w:line="63"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utilizes fair value measurement guidance prescribed by GAAP to value its financial instruments.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includes a definition of fair value, prescribes methods for measuring fair value, establishes a fair value hierarchy based on the inputs used to measure fair value and expands disclosures about the use of fair value measurements. 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carrying amounts reflected in the consolidated balance sheets for cash equivalents, other current assets, accounts payable, and accrued expenses and other current liabilities, approximate fair value due to their relatively short maturities.</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market. The Company determines the cost of inventory using the first-in, first-out, or FIFO,</w:t>
      </w:r>
      <w:r>
        <w:rPr>
          <w:rFonts w:ascii="Arial" w:cs="Arial" w:eastAsia="Arial" w:hAnsi="Arial"/>
          <w:sz w:val="16"/>
          <w:szCs w:val="16"/>
          <w:i w:val="1"/>
          <w:iCs w:val="1"/>
          <w:color w:val="auto"/>
        </w:rPr>
        <w:t xml:space="preserve"> </w:t>
      </w:r>
      <w:r>
        <w:rPr>
          <w:rFonts w:ascii="Arial" w:cs="Arial" w:eastAsia="Arial" w:hAnsi="Arial"/>
          <w:sz w:val="16"/>
          <w:szCs w:val="16"/>
          <w:color w:val="auto"/>
        </w:rPr>
        <w:t>method. The Company capitalizes inventory costs associated with the Company’s products based on management’s judgment that future economic benefit is expected to be realized; otherwise, such costs are expensed as product manufacturing. The Company periodically analyzes its inventory levels to identify inventory that may expire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will record a charge to write down such unmarketable inventory to its estimated realizable value. Inventory that is not expected to be used within one year is classified as a long term asset on the accompanying condensed consolidated balance sheet.</w:t>
      </w:r>
    </w:p>
    <w:p>
      <w:pPr>
        <w:spacing w:after="0" w:line="37"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We analyzed our inventory levels to identify inventory that may expire or has a cost basis in excess of its estimated realizable value. We performed an assessment of projected sales and to evaluate the lower of cost or market and the potential excess inventory on hand at December 31, 2015. As a result of this assessment, we recorded a charge of $39.3 million to record the inventory raw materials on hand at the lower of cost or market, inventory expiry, and write-off other inventory related assets.</w:t>
      </w:r>
    </w:p>
    <w:p>
      <w:pPr>
        <w:spacing w:after="0" w:line="62" w:lineRule="exact"/>
        <w:rPr>
          <w:sz w:val="20"/>
          <w:szCs w:val="20"/>
          <w:color w:val="auto"/>
        </w:rPr>
      </w:pPr>
    </w:p>
    <w:p>
      <w:pPr>
        <w:jc w:val="both"/>
        <w:ind w:right="140" w:firstLine="228"/>
        <w:spacing w:after="0" w:line="335" w:lineRule="auto"/>
        <w:rPr>
          <w:sz w:val="20"/>
          <w:szCs w:val="20"/>
          <w:color w:val="auto"/>
        </w:rPr>
      </w:pPr>
      <w:r>
        <w:rPr>
          <w:rFonts w:ascii="Arial" w:cs="Arial" w:eastAsia="Arial" w:hAnsi="Arial"/>
          <w:sz w:val="15"/>
          <w:szCs w:val="15"/>
          <w:color w:val="auto"/>
        </w:rPr>
        <w:t>In connection with the projected sales assessment, we also evaluated our inventory purchase commitments totalling $116.2 million for potential impairment. As a result of this assessment, we recorded a $66.2 million charge related to a loss on future purchase commitments both from a lower of cost or market excess inventory perspective. The purchase commitment obligation has been reduced to reflect our expectation that a portion will be recoverable from a third party.</w:t>
      </w:r>
    </w:p>
    <w:p>
      <w:pPr>
        <w:spacing w:after="0" w:line="7"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recorded at cost and depreciated using the straight-line method over the estimated useful lives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assets. Leasehold improvements are amortized over the term of the lease or the service lives of the improvements, whichever is shorter. Maintenance and repairs are expensed as incurred. Assets under construction are not depreciated until placed into service.</w:t>
      </w:r>
    </w:p>
    <w:p>
      <w:pPr>
        <w:spacing w:after="0" w:line="26"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carrying value of an asset may not be recoverable in accordance with ASC 360-10-35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Assets are considered to be impaired if the carrying value may not be recoverable based upon management’s assessment of the following events or changes in circumstances:</w:t>
      </w:r>
    </w:p>
    <w:p>
      <w:pPr>
        <w:spacing w:after="0" w:line="26" w:lineRule="exact"/>
        <w:rPr>
          <w:sz w:val="20"/>
          <w:szCs w:val="20"/>
          <w:color w:val="auto"/>
        </w:rPr>
      </w:pPr>
    </w:p>
    <w:p>
      <w:pPr>
        <w:ind w:left="440" w:hanging="21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changes in the Company’s strategic business objectives and utilization of the assets;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legal ownership or title to the assets;</w:t>
      </w:r>
    </w:p>
    <w:p>
      <w:pPr>
        <w:spacing w:after="0" w:line="90" w:lineRule="exact"/>
        <w:rPr>
          <w:rFonts w:ascii="Arial" w:cs="Arial" w:eastAsia="Arial" w:hAnsi="Arial"/>
          <w:sz w:val="18"/>
          <w:szCs w:val="18"/>
          <w:color w:val="auto"/>
        </w:rPr>
      </w:pPr>
    </w:p>
    <w:p>
      <w:pPr>
        <w:ind w:left="440" w:right="200" w:hanging="216"/>
        <w:spacing w:after="0" w:line="268"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90"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w:t>
      </w:r>
    </w:p>
    <w:p>
      <w:pPr>
        <w:spacing w:after="0" w:line="4"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Company recorded an asset impairment of $140.4 million for the year ended December 31, 2015 (see Note 5 — Property and Equipment). No asset impairment was recognized during the years ended December 31, 2014, and 2013,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3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 xml:space="preserve">Income tax positions are considered for uncertainty in accordance with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63" w:lineRule="exact"/>
        <w:rPr>
          <w:sz w:val="20"/>
          <w:szCs w:val="20"/>
          <w:color w:val="auto"/>
        </w:rPr>
      </w:pPr>
    </w:p>
    <w:p>
      <w:pPr>
        <w:ind w:right="300" w:firstLine="228"/>
        <w:spacing w:after="0" w:line="291" w:lineRule="auto"/>
        <w:rPr>
          <w:sz w:val="20"/>
          <w:szCs w:val="20"/>
          <w:color w:val="auto"/>
        </w:rPr>
      </w:pPr>
      <w:r>
        <w:rPr>
          <w:rFonts w:ascii="Arial" w:cs="Arial" w:eastAsia="Arial" w:hAnsi="Arial"/>
          <w:sz w:val="16"/>
          <w:szCs w:val="16"/>
          <w:color w:val="auto"/>
        </w:rPr>
        <w:t>Significant management judgment is involved in determining the provision for income taxes, deferred tax assets, deferred tax liabilities, and any valuation allowance recorded against deferred tax assets. Due to uncertainties related to the realization of the Company’s deferred tax assets as a result of its history of operating losses, a valuation allowance has been established against the total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39"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Contingencies are recorded in accordance with ASC 450</w:t>
      </w:r>
      <w:r>
        <w:rPr>
          <w:rFonts w:ascii="Arial" w:cs="Arial" w:eastAsia="Arial" w:hAnsi="Arial"/>
          <w:sz w:val="16"/>
          <w:szCs w:val="16"/>
          <w:i w:val="1"/>
          <w:iCs w:val="1"/>
          <w:color w:val="auto"/>
        </w:rPr>
        <w:t xml:space="preserve"> Contingencies. </w:t>
      </w:r>
      <w:r>
        <w:rPr>
          <w:rFonts w:ascii="Arial" w:cs="Arial" w:eastAsia="Arial" w:hAnsi="Arial"/>
          <w:sz w:val="16"/>
          <w:szCs w:val="16"/>
          <w:color w:val="auto"/>
        </w:rPr>
        <w:t>Accordingly, the Company records a loss contingency for a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Company’s consolidated results of operations and financial position.</w:t>
      </w:r>
    </w:p>
    <w:p>
      <w:pPr>
        <w:spacing w:after="0" w:line="37"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As of December 31, 2015, the Company had three active stock-based compensation plans, which are described more fully in</w:t>
      </w:r>
      <w:r>
        <w:rPr>
          <w:rFonts w:ascii="Arial" w:cs="Arial" w:eastAsia="Arial" w:hAnsi="Arial"/>
          <w:sz w:val="16"/>
          <w:szCs w:val="16"/>
          <w:i w:val="1"/>
          <w:iCs w:val="1"/>
          <w:color w:val="auto"/>
        </w:rPr>
        <w:t xml:space="preserve"> </w:t>
      </w:r>
      <w:r>
        <w:rPr>
          <w:rFonts w:ascii="Arial" w:cs="Arial" w:eastAsia="Arial" w:hAnsi="Arial"/>
          <w:sz w:val="16"/>
          <w:szCs w:val="16"/>
          <w:color w:val="auto"/>
        </w:rPr>
        <w:t>Note 13. The Company accounts for all share-based payments to employees, including grants of stock awards and the compensatory elements of the employee stock purchase plan in accordance with ASC 718</w:t>
      </w:r>
      <w:r>
        <w:rPr>
          <w:rFonts w:ascii="Arial" w:cs="Arial" w:eastAsia="Arial" w:hAnsi="Arial"/>
          <w:sz w:val="16"/>
          <w:szCs w:val="16"/>
          <w:i w:val="1"/>
          <w:iCs w:val="1"/>
          <w:color w:val="auto"/>
        </w:rPr>
        <w:t>.</w:t>
      </w:r>
      <w:r>
        <w:rPr>
          <w:rFonts w:ascii="Arial" w:cs="Arial" w:eastAsia="Arial" w:hAnsi="Arial"/>
          <w:sz w:val="16"/>
          <w:szCs w:val="16"/>
          <w:color w:val="auto"/>
        </w:rPr>
        <w:t xml:space="preserve">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requires all share-based payments to employees, including grants of stock options, restricted stock units, performance-based awards and the compensatory elements of employee stock purchase plans, to be recognized in the statement of operations based upon the fair value of the awards at the grant date. The Company uses the Black-Scholes option valuation model to estimate the grant date fair value of employee stock options and the compensatory elements of employee stock purchase plans. Option valuation models require the input of assumptions, including the expected life of the stock-based awards, the estimated stock price volatility, the risk-free interest rate, and the expected dividend yield. Beginning in the third quarter of 2014, the Company began to assess both historical and implied volatility in order to determine its estimated volatility rate. Implied volatility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was considered due to the change in the Company’s business, which occurred with the approval for the sale of AFREZZA. The expected volatility assumption is based on an assessment of the historical volatility and the implied volatility of the Company’s common stock, derived from an analysis of historical traded and quoted options on the Company’s common stock.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35"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The Company has issued warrants to purchase shares of its common stock. Warrants have been accounted for within equity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provisions of ASC 815-40, Contracts in an Entity’s Own Stock, previously EITF Issue No. 00-19: </w:t>
      </w:r>
      <w:r>
        <w:rPr>
          <w:rFonts w:ascii="Arial" w:cs="Arial" w:eastAsia="Arial" w:hAnsi="Arial"/>
          <w:sz w:val="18"/>
          <w:szCs w:val="18"/>
          <w:i w:val="1"/>
          <w:iCs w:val="1"/>
          <w:color w:val="auto"/>
        </w:rPr>
        <w:t>Accounting for Derivative Financial Instruments Indexed</w:t>
      </w:r>
      <w:r>
        <w:rPr>
          <w:rFonts w:ascii="Arial" w:cs="Arial" w:eastAsia="Arial" w:hAnsi="Arial"/>
          <w:sz w:val="18"/>
          <w:szCs w:val="18"/>
          <w:color w:val="auto"/>
        </w:rPr>
        <w:t xml:space="preserve"> </w:t>
      </w:r>
      <w:r>
        <w:rPr>
          <w:rFonts w:ascii="Arial" w:cs="Arial" w:eastAsia="Arial" w:hAnsi="Arial"/>
          <w:sz w:val="18"/>
          <w:szCs w:val="18"/>
          <w:i w:val="1"/>
          <w:iCs w:val="1"/>
          <w:color w:val="auto"/>
        </w:rPr>
        <w:t>to, and Potentially Settled in, a Company’s Own Stock</w:t>
      </w:r>
      <w:r>
        <w:rPr>
          <w:rFonts w:ascii="Arial" w:cs="Arial" w:eastAsia="Arial" w:hAnsi="Arial"/>
          <w:sz w:val="18"/>
          <w:szCs w:val="18"/>
          <w:color w:val="auto"/>
        </w:rPr>
        <w:t>.</w:t>
      </w:r>
    </w:p>
    <w:p>
      <w:pPr>
        <w:spacing w:after="0" w:line="59"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i w:val="1"/>
          <w:iCs w:val="1"/>
          <w:color w:val="auto"/>
        </w:rPr>
        <w:t xml:space="preserve">Comprehensive Loss </w:t>
      </w:r>
      <w:r>
        <w:rPr>
          <w:rFonts w:ascii="Arial" w:cs="Arial" w:eastAsia="Arial" w:hAnsi="Arial"/>
          <w:sz w:val="18"/>
          <w:szCs w:val="18"/>
          <w:color w:val="auto"/>
        </w:rPr>
        <w:t>— Other comprehensive loss is recorded in accordance with ASC 220-10-45</w:t>
      </w:r>
      <w:r>
        <w:rPr>
          <w:rFonts w:ascii="Arial" w:cs="Arial" w:eastAsia="Arial" w:hAnsi="Arial"/>
          <w:sz w:val="18"/>
          <w:szCs w:val="18"/>
          <w:i w:val="1"/>
          <w:iCs w:val="1"/>
          <w:color w:val="auto"/>
        </w:rPr>
        <w:t xml:space="preserve"> Comprehensive Income, </w:t>
      </w:r>
      <w:r>
        <w:rPr>
          <w:rFonts w:ascii="Arial" w:cs="Arial" w:eastAsia="Arial" w:hAnsi="Arial"/>
          <w:sz w:val="18"/>
          <w:szCs w:val="18"/>
          <w:color w:val="auto"/>
        </w:rPr>
        <w:t>which requires that all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comprehensive loss be reported in the financial statements in the period in which they are recognized. Other comprehensive loss includes certain changes in stockholders’ equity that are excluded from net income. Specifically, the Company includes unrealized gains and foreign exchange translation losses, if any, and cumulative translation gains and losses in other comprehensive loss.</w:t>
      </w:r>
    </w:p>
    <w:p>
      <w:pPr>
        <w:spacing w:after="0" w:line="62"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 Research and development expenses consist of costs associated with the clinical trials of the Company’s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candidates, manufacturing supplies and other development materials,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The Company began commercial manufacturing in the latter part of the fourth quarter of 2014. As such, commercial manufacturing costs incurred in the fourth quarter of 2014 and included in research and development as expenses were immaterial for the year ended December 31, 2014.</w:t>
      </w:r>
    </w:p>
    <w:p>
      <w:pPr>
        <w:spacing w:after="0" w:line="39"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reflected in research and development expenses in the accompanying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39" w:lineRule="exact"/>
        <w:rPr>
          <w:sz w:val="20"/>
          <w:szCs w:val="20"/>
          <w:color w:val="auto"/>
        </w:rPr>
      </w:pPr>
    </w:p>
    <w:p>
      <w:pPr>
        <w:ind w:right="300" w:firstLine="228"/>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costs are expensed as incurred, except to the extent such interest is related to construction in progress, in which case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Interest expense, net of interest capitalized, for the years ended December 31, 2015, 2014 and 2013 was $24.1 million, $20.4 million, and $21.5 million, respectively. Interest costs capitalized for the years ended December 31, 2015, 2014, and 2013 were $0.1 million, $0.8 million, and $0.4 million, respectively.</w:t>
      </w:r>
    </w:p>
    <w:p>
      <w:pPr>
        <w:spacing w:after="0" w:line="62" w:lineRule="exact"/>
        <w:rPr>
          <w:sz w:val="20"/>
          <w:szCs w:val="20"/>
          <w:color w:val="auto"/>
        </w:rPr>
      </w:pPr>
    </w:p>
    <w:p>
      <w:pPr>
        <w:jc w:val="both"/>
        <w:ind w:right="400" w:firstLine="228"/>
        <w:spacing w:after="0" w:line="306" w:lineRule="auto"/>
        <w:rPr>
          <w:sz w:val="20"/>
          <w:szCs w:val="20"/>
          <w:color w:val="auto"/>
        </w:rPr>
      </w:pPr>
      <w:r>
        <w:rPr>
          <w:rFonts w:ascii="Arial" w:cs="Arial" w:eastAsia="Arial" w:hAnsi="Arial"/>
          <w:sz w:val="16"/>
          <w:szCs w:val="16"/>
          <w:i w:val="1"/>
          <w:iCs w:val="1"/>
          <w:color w:val="auto"/>
        </w:rPr>
        <w:t xml:space="preserve">Net Loss Per Share of Common Stock </w:t>
      </w:r>
      <w:r>
        <w:rPr>
          <w:rFonts w:ascii="Arial" w:cs="Arial" w:eastAsia="Arial" w:hAnsi="Arial"/>
          <w:sz w:val="16"/>
          <w:szCs w:val="16"/>
          <w:color w:val="auto"/>
        </w:rPr>
        <w:t>— Basic net loss per common share is computed by dividing net loss by the weighted-average number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outstanding during the period. Diluted net loss per common share is computed by dividing the net loss by the sum of the weighted-average number of common shares outstanding during the period plus the potential dilutive effect of stock options, restricted stock units, warrants,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and shares that could be issued upon conversion of the senior convertible notes outstanding during the period calculated in accordance with the treasury stock method, but are excluded if their effect is anti-dilutive. Because the impact of these items is anti-dilutive during periods of net loss, there was no difference between basic and diluted loss per common share for the years ended December 31, 2015, 2014, and 2013.</w:t>
      </w:r>
    </w:p>
    <w:p>
      <w:pPr>
        <w:spacing w:after="0" w:line="26"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62"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May 2014, the FASB issued ASU 2014-09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In July 2015, the FASB issued ASU 2015-14, which delayed the effective date of the new revenue standard by one year. The FASB also agreed to allow entities to choose to adopt the standard as of the original effective date. The standard is effective beginning the first quarter of the Company’s 2018 fiscal year and is required to be adopted using either a full retrospective or a modified retrospective approach. The Company is assessing the potential impact of the new standard on its consolidated financial statements and has not yet selected a transition method.</w:t>
      </w:r>
    </w:p>
    <w:p>
      <w:pPr>
        <w:spacing w:after="0" w:line="3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39"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In April 2015, the FASB issued ASU 2015-03,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As permitted by the standard, the Company adopted the new presentation prospectively and the adoption did not have an impact on its consolidated financial statements and disclosures.</w:t>
      </w:r>
    </w:p>
    <w:p>
      <w:pPr>
        <w:spacing w:after="0" w:line="32"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is evaluating the impact the adoption of ASU 2015-11 will have on its consolidated financial statements.</w:t>
      </w:r>
    </w:p>
    <w:p>
      <w:pPr>
        <w:spacing w:after="0" w:line="37"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new standard requires that deferred tax assets and liabilities be classified as noncurrent in a classified statement of financial position. For public business entities, the amendments in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Update are effective for financial statements issued for annual periods beginning after December 15, 2016, and interim periods within those annual periods. As permitted by the standard, the Company adopted the new presentation and the adoption did not have an impact on its consolidated financial statements and disclosures.</w:t>
      </w:r>
    </w:p>
    <w:p>
      <w:pPr>
        <w:spacing w:after="0" w:line="59"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January 2016, the FASB issued ASU 2016-01, Financial Instruments — Overall (Subtopic 825-10): Recognition and Measurement of Financial Assets and Financial Liabilities. The update is intended to improve the recognition and measurement of financial instruments. The update are effective for fiscal years beginning after December 15, 2017, including interim periods within those fiscal years. The Company is evaluating the impact the adoption of ASU 2016-01 will have on its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State research and development credit exchange receivable</w:t>
      </w:r>
    </w:p>
    <w:p>
      <w:pPr>
        <w:spacing w:after="0" w:line="96"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2015, 2014 and 2013, research and development expenses were offset by $743,000, $816,000, and $282,000,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consist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58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Work-in-process</w:t>
            </w:r>
          </w:p>
        </w:tc>
        <w:tc>
          <w:tcPr>
            <w:tcW w:w="5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Inventory — current</w:t>
            </w:r>
          </w:p>
        </w:tc>
        <w:tc>
          <w:tcPr>
            <w:tcW w:w="58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6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20" w:type="dxa"/>
            <w:vAlign w:val="bottom"/>
            <w:vMerge w:val="restart"/>
          </w:tcPr>
          <w:p>
            <w:pPr>
              <w:jc w:val="right"/>
              <w:ind w:right="3472"/>
              <w:spacing w:after="0"/>
              <w:rPr>
                <w:sz w:val="20"/>
                <w:szCs w:val="20"/>
                <w:color w:val="auto"/>
              </w:rPr>
            </w:pPr>
            <w:r>
              <w:rPr>
                <w:rFonts w:ascii="Arial" w:cs="Arial" w:eastAsia="Arial" w:hAnsi="Arial"/>
                <w:sz w:val="18"/>
                <w:szCs w:val="18"/>
                <w:color w:val="auto"/>
              </w:rPr>
              <w:t>89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Estimated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Useful</w:t>
            </w:r>
          </w:p>
        </w:tc>
        <w:tc>
          <w:tcPr>
            <w:tcW w:w="80" w:type="dxa"/>
            <w:vAlign w:val="bottom"/>
          </w:tcPr>
          <w:p>
            <w:pPr>
              <w:spacing w:after="0"/>
              <w:rPr>
                <w:sz w:val="12"/>
                <w:szCs w:val="12"/>
                <w:color w:val="auto"/>
              </w:rPr>
            </w:pPr>
          </w:p>
        </w:tc>
        <w:tc>
          <w:tcPr>
            <w:tcW w:w="202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1"/>
        </w:trPr>
        <w:tc>
          <w:tcPr>
            <w:tcW w:w="8180" w:type="dxa"/>
            <w:vAlign w:val="bottom"/>
          </w:tcPr>
          <w:p>
            <w:pPr>
              <w:spacing w:after="0"/>
              <w:rPr>
                <w:sz w:val="10"/>
                <w:szCs w:val="10"/>
                <w:color w:val="auto"/>
              </w:rPr>
            </w:pPr>
          </w:p>
        </w:tc>
        <w:tc>
          <w:tcPr>
            <w:tcW w:w="1140" w:type="dxa"/>
            <w:vAlign w:val="bottom"/>
            <w:gridSpan w:val="2"/>
          </w:tcPr>
          <w:p>
            <w:pPr>
              <w:jc w:val="center"/>
              <w:ind w:right="540"/>
              <w:spacing w:after="0" w:line="114" w:lineRule="exact"/>
              <w:rPr>
                <w:sz w:val="20"/>
                <w:szCs w:val="20"/>
                <w:color w:val="auto"/>
              </w:rPr>
            </w:pPr>
            <w:r>
              <w:rPr>
                <w:rFonts w:ascii="Arial" w:cs="Arial" w:eastAsia="Arial" w:hAnsi="Arial"/>
                <w:sz w:val="12"/>
                <w:szCs w:val="12"/>
                <w:b w:val="1"/>
                <w:bCs w:val="1"/>
                <w:color w:val="auto"/>
              </w:rPr>
              <w:t>Life</w:t>
            </w:r>
          </w:p>
        </w:tc>
        <w:tc>
          <w:tcPr>
            <w:tcW w:w="8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(Years)</w:t>
            </w: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Buildings</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39-40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131,383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114,131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95,182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80,919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308,674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310,348</w:t>
            </w:r>
          </w:p>
        </w:tc>
        <w:tc>
          <w:tcPr>
            <w:tcW w:w="0" w:type="dxa"/>
            <w:vAlign w:val="bottom"/>
          </w:tcPr>
          <w:p>
            <w:pPr>
              <w:spacing w:after="0"/>
              <w:rPr>
                <w:sz w:val="1"/>
                <w:szCs w:val="1"/>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Less impairment</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(140,412)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(119,513)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(118,221)</w:t>
            </w:r>
          </w:p>
        </w:tc>
        <w:tc>
          <w:tcPr>
            <w:tcW w:w="0" w:type="dxa"/>
            <w:vAlign w:val="bottom"/>
          </w:tcPr>
          <w:p>
            <w:pPr>
              <w:spacing w:after="0"/>
              <w:rPr>
                <w:sz w:val="1"/>
                <w:szCs w:val="1"/>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192,127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40" w:firstLine="228"/>
        <w:spacing w:after="0" w:line="259" w:lineRule="auto"/>
        <w:rPr>
          <w:sz w:val="20"/>
          <w:szCs w:val="20"/>
          <w:color w:val="auto"/>
        </w:rPr>
      </w:pPr>
      <w:r>
        <w:rPr>
          <w:rFonts w:ascii="Arial" w:cs="Arial" w:eastAsia="Arial" w:hAnsi="Arial"/>
          <w:sz w:val="18"/>
          <w:szCs w:val="18"/>
          <w:color w:val="auto"/>
        </w:rPr>
        <w:t>Leasehold improvements are amortized over four years which is the shorter of the term or the service lives of the improvements. Depreciation and amortization expense related to property and equipment for the years ended December 31, 2015, 2014, and 2013, was $11.0 million, $9.8 million, and $11.5 million, respectively.</w:t>
      </w:r>
    </w:p>
    <w:p>
      <w:pPr>
        <w:spacing w:after="0" w:line="59"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In connection with the Company’s quarterly assessment of impairment indicators, the Company evaluated the continued lower than expected sales of AFREZZA as reported by Sanofi throughout the fourth quarter of 2015, revised forecasts for sales of AFREZZA provided by Sanofi in the fourth quarter of 2015 and level of commercial production in the fourth quarter of 2015, as well as the uncertainty associated with Sanofi’s announcement during the fourth quarter of their intent to reorganize their diabetes business. These factors indicated potentially significant changes in the timing and extent of cash flows, and the Company therefore determined that an impairment indicator existed in the fourth quarter of 2015.</w:t>
      </w:r>
    </w:p>
    <w:p>
      <w:pPr>
        <w:spacing w:after="0" w:line="35"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On January 4, 2016, the Company received written notice from Sanofi of its election to terminate in its entirety the Sanofi License Agreement. Sanofi’s notice indicated that the termination was pursuant to Sanofi’s right to terminate the agreement upon Sanofi’s good faith determination that the commercialization of AFREZZA is no longer economically viable in the United States, in which case the effective date of termination would be April 4, 2016. In the alternative, Sanofi indicated that the termination was also pursuant to its right to terminate the License Agreement for any reason, in which case the Termination Date would be July 4, 2016. In the interest of an expedient transition, the Company is currently working with Sanofi to transfer and wind down the agreement activities by April 4, 2016, or as soon as practicable thereafter.</w:t>
      </w:r>
    </w:p>
    <w:p>
      <w:pPr>
        <w:spacing w:after="0" w:line="39"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The Company identified two primary asset groups to be evaluated for impairment: the Danbury manufacturing facility, which currently performs all the manufacturing of AFREZZA, and the Valencia facility, which was previously the Company’s corporate headquarters. The Danbury manufacturing facility is the primary asset group that has been impacted by the impairment indicators noted above but the Company also evaluated the Valencia facility for potential impairment given the circumstances and identified an impairment charge of $1.8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based on a valuation utilizing a combination of market, income and cost approaches. Within the Danbury manufacturing facility, the Company identified the machinery and equipment as the primary assets within the asset group as they are associated with the production of AFREZZA. As such, the Company performed the fixed asset impairment test and performed the first step to test for recoverability of the Danbury manufacturing facility by utilizing two undiscounted cash flow projections and applying a probability weighted average to those cash flow projections. The first undiscounted cash flow projection was developed under a scenario assuming Sanofi would continue to sell and market AFREZZA as the termination of the arrangement by Sanofi was not known as of the balance sheet date. The second undiscounted cash flow projection assumed Sanofi would terminate the Sanofi License Agreement and that the Company would manufacture, sell and market AFREZZA independently.</w:t>
      </w:r>
    </w:p>
    <w:p>
      <w:pPr>
        <w:spacing w:after="0" w:line="37" w:lineRule="exact"/>
        <w:rPr>
          <w:sz w:val="20"/>
          <w:szCs w:val="20"/>
          <w:color w:val="auto"/>
        </w:rPr>
      </w:pPr>
    </w:p>
    <w:p>
      <w:pPr>
        <w:ind w:right="260" w:firstLine="228"/>
        <w:spacing w:after="0" w:line="290" w:lineRule="auto"/>
        <w:rPr>
          <w:sz w:val="20"/>
          <w:szCs w:val="20"/>
          <w:color w:val="auto"/>
        </w:rPr>
      </w:pPr>
      <w:r>
        <w:rPr>
          <w:rFonts w:ascii="Arial" w:cs="Arial" w:eastAsia="Arial" w:hAnsi="Arial"/>
          <w:sz w:val="16"/>
          <w:szCs w:val="16"/>
          <w:color w:val="auto"/>
        </w:rPr>
        <w:t>Based on the evaluation performed, the probabilities assigned to the two undiscounted cash flows were not significant to the evaluation due to the projected negative cash flows over the estimation period, and it was determined that the probability weighted undiscounted cash flows were not sufficient to recover the carrying value of the Danbury manufacturing facility. As such, the Company was required to determine the fair value of the Danbury manufacturing facility to recognize an impairment loss if the carrying amount exceeds its fair value. The Company determined the fair value of the Danbury manufacturing facility by applying the highest and best use valuation concept and utilizing the market approach valuation technique to value the machinery and equipment and a combination of the market approach and cost approach in valuing the land, buildings, and building improvements. As a result of this assessment, the Company recorded an impairment charge of $138.6 million for the Danbury manufacturing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3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$5,662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interest</w:t>
            </w:r>
          </w:p>
        </w:tc>
        <w:tc>
          <w:tcPr>
            <w:tcW w:w="4000" w:type="dxa"/>
            <w:vAlign w:val="bottom"/>
            <w:gridSpan w:val="3"/>
          </w:tcPr>
          <w:p>
            <w:pPr>
              <w:jc w:val="right"/>
              <w:ind w:right="200"/>
              <w:spacing w:after="0"/>
              <w:rPr>
                <w:sz w:val="20"/>
                <w:szCs w:val="20"/>
                <w:color w:val="auto"/>
              </w:rPr>
            </w:pPr>
            <w:r>
              <w:rPr>
                <w:rFonts w:ascii="Arial" w:cs="Arial" w:eastAsia="Arial" w:hAnsi="Arial"/>
                <w:sz w:val="18"/>
                <w:szCs w:val="18"/>
                <w:color w:val="auto"/>
              </w:rPr>
              <w:t>615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Related-party arrangements</w:t>
      </w:r>
    </w:p>
    <w:p>
      <w:pPr>
        <w:spacing w:after="0" w:line="96"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October 2007, the Company entered into a $350.0 million loan arrangement with its principal stockholder. The Loan Arrangement has been amended from time to time. On October 31, 2013, the promissory note underlying The Mann Group Loan Arrangement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35"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As of December 31, 2015, the total principal amount outstanding under The Mann Group Loan Arrangement was $49.5 million, and the amount available for future borrowings was $30.1 million. Interest, at a fixed rate of 5.84%, is due and payable quarterly in arrears on the first day of each calendar quarter for the preceding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at such other time as the Company and The Mann Group mutually agree. All or any portion of accrued and unpaid interest that becomes due and payable may be paid-in-kind and capitalized as additional borrowings at any time upon mutual agreement of the parties, and has been classified as non-current.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40"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As of December 31, 2015 and 2014, the Company had accrued and unpaid interest of $6.4 million and $3.5 million, in long term other liabilities respectively, which related to the amount outstanding and had $30.1 million of available borrowings. Interest expense on the Company’s note payable to the Company’s principal stockholder for the years ended December 31, 2015, 2014, and 2013 was $2.9 million, $2.9 million, and $6.3 million, respectively.</w:t>
      </w:r>
    </w:p>
    <w:p>
      <w:pPr>
        <w:spacing w:after="0" w:line="26" w:lineRule="exact"/>
        <w:rPr>
          <w:sz w:val="20"/>
          <w:szCs w:val="20"/>
          <w:color w:val="auto"/>
        </w:rPr>
      </w:pPr>
    </w:p>
    <w:p>
      <w:pPr>
        <w:jc w:val="both"/>
        <w:ind w:right="20" w:firstLine="228"/>
        <w:spacing w:after="0" w:line="298" w:lineRule="auto"/>
        <w:rPr>
          <w:sz w:val="20"/>
          <w:szCs w:val="20"/>
          <w:color w:val="auto"/>
        </w:rPr>
      </w:pPr>
      <w:r>
        <w:rPr>
          <w:rFonts w:ascii="Arial" w:cs="Arial" w:eastAsia="Arial" w:hAnsi="Arial"/>
          <w:sz w:val="16"/>
          <w:szCs w:val="16"/>
          <w:color w:val="auto"/>
        </w:rPr>
        <w:t>In May 2015, the Company entered into sublease agreement with the Alfred Mann Foundation for Scientific Research (the “Mann Foundation”), a California Not-For-Profit Corporation. The lease is for approximately 12,500 square feet of office space in Valencia, California and expires in April 2017. The office space contains the Company’s principal executive offices. Lease payments to the Mann Foundation for the year ended December 31, 2015 were $175,000. There were no lease payments to the Mann Foundation for the years ended December 31, 2014 and 2013.</w:t>
      </w:r>
    </w:p>
    <w:p>
      <w:pPr>
        <w:spacing w:after="0" w:line="32"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principal stockholder approximately $18,000, $79,000, and $82,000, respectively, for the years ended December 31, 2015, 2014, and 2013 on the basis of the corresponding cost of commercial airfare.</w:t>
      </w:r>
    </w:p>
    <w:p>
      <w:pPr>
        <w:spacing w:after="0" w:line="32"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The Company has entered into indemnification agreements with each of its directors and executive officers, in addition to the indemnification provided for in its amended and restated certificate of incorporation and amended and restated bylaws (see Note 14 — Commitments and contingencies).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00"/>
          </w:cols>
          <w:pgMar w:left="24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convertible 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Principal amount</w:t>
            </w:r>
          </w:p>
        </w:tc>
        <w:tc>
          <w:tcPr>
            <w:tcW w:w="3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cost</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Net carrying amount</w:t>
            </w:r>
          </w:p>
        </w:tc>
        <w:tc>
          <w:tcPr>
            <w:tcW w:w="3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2"/>
            <w:vMerge w:val="continue"/>
          </w:tcPr>
          <w:p>
            <w:pPr>
              <w:spacing w:after="0"/>
              <w:rPr>
                <w:sz w:val="19"/>
                <w:szCs w:val="19"/>
                <w:color w:val="auto"/>
              </w:rPr>
            </w:pPr>
          </w:p>
        </w:tc>
        <w:tc>
          <w:tcPr>
            <w:tcW w:w="3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 notes</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Principal amount</w:t>
            </w:r>
          </w:p>
        </w:tc>
        <w:tc>
          <w:tcPr>
            <w:tcW w:w="3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27,690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Unaccreted debt issuance costs</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27,613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Issuance of new 5.75% Convertible Senior Subordinated Exchange Notes due 2018 in exchange for 2015 notes</w:t>
      </w:r>
    </w:p>
    <w:p>
      <w:pPr>
        <w:spacing w:after="0" w:line="90" w:lineRule="exact"/>
        <w:rPr>
          <w:sz w:val="20"/>
          <w:szCs w:val="20"/>
          <w:color w:val="auto"/>
        </w:rPr>
      </w:pPr>
    </w:p>
    <w:p>
      <w:pPr>
        <w:ind w:right="200" w:firstLine="228"/>
        <w:spacing w:after="0" w:line="291" w:lineRule="auto"/>
        <w:rPr>
          <w:sz w:val="20"/>
          <w:szCs w:val="20"/>
          <w:color w:val="auto"/>
        </w:rPr>
      </w:pPr>
      <w:r>
        <w:rPr>
          <w:rFonts w:ascii="Arial" w:cs="Arial" w:eastAsia="Arial" w:hAnsi="Arial"/>
          <w:sz w:val="16"/>
          <w:szCs w:val="16"/>
          <w:color w:val="auto"/>
        </w:rPr>
        <w:t>On July 28, 2015, the Company entered into privately-negotiated exchange agreements (the “Note Exchange Agreements”) with a select holder of the Company’s 5.75% Senior Convertible Notes due 2015 (the “2015 notes”), pursuant to which the Company agreed to issue $27.7 million aggregate principal amount of new 5.75% Convertible Senior Subordinated Exchange Notes due 2018 (the “2018 notes”) to such holders in exchange for the delivery to the Company of the same principal amount of 2015 notes. The 2018 notes were issued at the closing of the exchange on August 10, 2015. The Company analyzed this exchange under the provisions of ASC 470-50 and concluded that the exchange represents an extinguishment of the 2015 notes and a new issuance of 2018 notes and recorded such notes at fair value which resulted in a premium of $0.7 million.</w:t>
      </w:r>
    </w:p>
    <w:p>
      <w:pPr>
        <w:spacing w:after="0" w:line="39"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2018 notes are the Company’s general, unsecured, senior obligations, except that the 2018 notes are subordinated in right of payment to the outstanding notes issued pursuant to the Facility Agreement and the Company’s borrowings under the Sanofi Loan Facility with an affiliate of Sanofi-Aventis U.S. LLC.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w:t>
      </w:r>
    </w:p>
    <w:p>
      <w:pPr>
        <w:spacing w:after="0" w:line="35"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2018 notes are convertible, at the option of the holder, at any time on or prior to the close of business on the business day immediately preceding the stated maturity date, into shares of the Company’s common stock at an initial conversion rate of 147.0859 shares per $1,000 principal amount of 2018 notes, which is equal to a conversion price of approximately $6.80 per share, the same conversion price as that of the 2015 notes on the date of exchange. The conversion rate is subject to adjustment under certain circumstances described in an indenture governing the 2018 notes dated August 10, 2015 with Wells Fargo, National Association, including in connection with a make-whole fundamental change.</w:t>
      </w:r>
    </w:p>
    <w:p>
      <w:pPr>
        <w:spacing w:after="0" w:line="35"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If certain fundamental changes occur, the Company will be obligated to pay a fundamental change make-whole premium on any 2018 notes converted in connection with such fundamental change by increasing the conversion rate on such 2018 notes. In such instances, the amount of the fundamental change make-whole premium will be based on the Company’s common stock price and the effective date of the applicable fundamental change.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59" w:lineRule="exact"/>
        <w:rPr>
          <w:sz w:val="20"/>
          <w:szCs w:val="20"/>
          <w:color w:val="auto"/>
        </w:rPr>
      </w:pPr>
    </w:p>
    <w:p>
      <w:pPr>
        <w:ind w:right="240" w:firstLine="228"/>
        <w:spacing w:after="0" w:line="284" w:lineRule="auto"/>
        <w:rPr>
          <w:sz w:val="20"/>
          <w:szCs w:val="20"/>
          <w:color w:val="auto"/>
        </w:rPr>
      </w:pPr>
      <w:r>
        <w:rPr>
          <w:rFonts w:ascii="Arial" w:cs="Arial" w:eastAsia="Arial" w:hAnsi="Arial"/>
          <w:sz w:val="16"/>
          <w:szCs w:val="16"/>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 30 consecutive trading day period ending on the trading day immediately prior to the date of the redemption notice. The redemption price will equal the sum of</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100% of the principal amount of the 2018 notes to be redeemed, plus accrued and unpaid interest. Under the terms of the 2018 Note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26"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The 2018 notes provide that upon an acceleration of certain indebtedness, including the 9.75% Senior Convertible Notes due 2019 (the “2019 notes”) and the 8.75% Senior Convertible Notes due 2019 (the “Tranche B notes”) issued to Deerfield pursuant to the Facility Agreement (see Note 17 —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32" w:lineRule="exact"/>
        <w:rPr>
          <w:sz w:val="20"/>
          <w:szCs w:val="20"/>
          <w:color w:val="auto"/>
        </w:rPr>
      </w:pPr>
    </w:p>
    <w:p>
      <w:pPr>
        <w:ind w:right="600" w:firstLine="228"/>
        <w:spacing w:after="0" w:line="357" w:lineRule="auto"/>
        <w:rPr>
          <w:sz w:val="20"/>
          <w:szCs w:val="20"/>
          <w:color w:val="auto"/>
        </w:rPr>
      </w:pPr>
      <w:r>
        <w:rPr>
          <w:rFonts w:ascii="Arial" w:cs="Arial" w:eastAsia="Arial" w:hAnsi="Arial"/>
          <w:sz w:val="15"/>
          <w:szCs w:val="15"/>
          <w:color w:val="auto"/>
        </w:rPr>
        <w:t>The Company incurred approximately $0.8 million in issuance costs which are recorded as an offset to the 2018 notes in the accompanying condensed consolidated balance sheet. These costs are being accreted to interest expense using the effective interest method over the term of the 2018 notes.</w:t>
      </w:r>
    </w:p>
    <w:p>
      <w:pPr>
        <w:ind w:right="320" w:firstLine="228"/>
        <w:spacing w:after="0" w:line="268" w:lineRule="auto"/>
        <w:rPr>
          <w:sz w:val="20"/>
          <w:szCs w:val="20"/>
          <w:color w:val="auto"/>
        </w:rPr>
      </w:pPr>
      <w:r>
        <w:rPr>
          <w:rFonts w:ascii="Arial" w:cs="Arial" w:eastAsia="Arial" w:hAnsi="Arial"/>
          <w:sz w:val="18"/>
          <w:szCs w:val="18"/>
          <w:color w:val="auto"/>
        </w:rPr>
        <w:t>Accretion of debt issuance expense in connection with the 2018 notes during the year ended December 31, 2015 was $93,000. Amortization of 2018 notes premium during the year ended December 31, 2015 was $86,000.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Issuance of common stock in exchange for 2015 notes</w:t>
      </w:r>
    </w:p>
    <w:p>
      <w:pPr>
        <w:spacing w:after="0" w:line="9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On July 28, 2015, the Company entered into separate, privately-negotiated exchange agreements (the “Stock-for-Note Exchange Agreements”) with certain holders of the 2015 notes pursuant to which the Company agreed to issue shares of its common stock to such holders in exchange for the delivery to the Company of up to $56.9 million aggregate principal amount of 2015 notes.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Stock-for-Note Exchange Agreements, the parties agreed to price the exchange transactions over a 10 trading day period spanning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July 29, 2015 to and including August 11, 2015. Between July 28, 2015 and August 10, 2015, the Company issued an aggregate of 1.9 million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to such holders in exchange for such holders’ delivery to the Company of $8.0 million aggregate principal amount of 2015 notes, resulting in a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exchange price of $4.40 per share.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Issuance of new 5.75% Convertible Senior Subordinated Exchange Notes due 2015 in exchange for 2015 notes</w:t>
      </w:r>
    </w:p>
    <w:p>
      <w:pPr>
        <w:spacing w:after="0" w:line="90"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On August 14, 2015, the Company exchanged $32.1 million aggregate principal amount of newly issued, 5.75% Convertible Senior Subordinated Exchange Notes due 2015 (the “Exchange Notes”) for the same principal amount of the Company’s previously outstanding 2015 notes. The Exchange Notes, payable at maturity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September 30, 2015, were convertible, at the option of each holder thereof, at any time on or prior to the close of business on the business day immediately preceding the stated maturity date. The holders of the Exchange Notes did not elect to convert any of the outstanding principal amount of the Exchange Notes into shares of the Company’s common stock. As a result, on September 30, 2015, the Company paid $32.1 million to settle the Exchange Notes.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Settlement of 2015 notes and Exchange Notes</w:t>
      </w:r>
    </w:p>
    <w:p>
      <w:pPr>
        <w:spacing w:after="0" w:line="90"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On August 17, 2015, the Company paid $32.2 million to settle the remaining 2015 notes. As of September 30, 2015, all 2015 notes, including the Exchange Notes, have been settled resulting in a total loss on extinguishment equal to $1.0 million. The loss on extinguishment resulted from write-off of debt discount and debt issuance costs associated with the 2015 notes and Exchange Notes and the difference between the principal amounts being exchanged for shares of the Company’s common stock, pursuant to the various Stock-for-Note Exchange Agreements, and the fair market value of the Company’s common stock issued in exchange for such reduction in principal.</w:t>
      </w:r>
    </w:p>
    <w:p>
      <w:pPr>
        <w:spacing w:after="0" w:line="62"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Accretion of debt issuance expense in connection with the 2015 notes during the years ended December 31, 2015, 2014, and 2013 was $0.6 million, $0.9 million, and $0.9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arrangement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Sanofi License Agreement and Sanofi Supply Agreement</w:t>
      </w:r>
    </w:p>
    <w:p>
      <w:pPr>
        <w:spacing w:after="0" w:line="90"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On August 11, 2014, the Company and Sanofi entered into the Sanofi License Agreement, which became effective on September 23, 2014. Under the terms of the Sanofi License Agreement, the Company granted to Sanofi exclusive, worldwide licenses to certain of the Company’s patents, trademarks and know-how for the development and commercialization of AFREZZA. Under the terms of the Sanofi License Agreement, Sanofi has the exclusive right and responsibility to develop AFREZZA worldwide, subject to certain development activities that will be performed by the Company.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Pursuant to the terms of the Sanofi Supply Agreement, the Company is responsible for the manufacture and supply to Sanofi of its requirements of AFREZZA.</w:t>
      </w:r>
    </w:p>
    <w:p>
      <w:pPr>
        <w:spacing w:after="0" w:line="3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Under the Sanofi License Agreement, Sanofi paid the Company an up-front cash payment of $150.0 million in the third quarter of 2014. If certain manufacturing, regulatory and sales milestones are achieved, the Company will also be eligible to receive up to $775.0 million in milestone payments, of which $75.0 million relates to certain development and manufacturing milestone events, $50.0 million relates to the filing and completion of regulatory approvals and $650.0 million relates to the achievement of certain product sales milestones. As of December 31, 2014, the Company earned and recorded a total of $50.0 million in milestone payments in connection with the satisfaction of manufacturing milestones specified in the Sanofi agreement, which were received subsequent to December 31, 2014. In addition, worldwide profits and losses, which are determined based on the difference between the net sales of AFREZZA and the costs and expenses incurred by the Company and Sanofi that are specifically attributable or related to the development, improvement, regulatory filings, manufacturing, and commercialization of AFREZZA will be shared 65% by Sanofi and 35% by the Company. In accordance with the terms of the Sanofi License Agreement, profit and loss sharing commenced in the fourth quarter of 2014.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Pursuant to the terms of the Sanofi Supply Agreement, the Company will be the exclusive manufacturer and supplier of AFREZZA until the specified conditions are met, upon which a portion of the manufacturing activities may be assumed by Sanofi.</w:t>
      </w:r>
    </w:p>
    <w:p>
      <w:pPr>
        <w:spacing w:after="0" w:line="51"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The Company analyzed the agreements entered into with Sanofi under the provisions of ASC 605, Revenue Recognition,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39"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39"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In order for revenue to be recognized, the seller’s price to the buyer must be fixed and determinable. Given that as of December 31, 2015, the Company did not have the ability to estimate the amount of costs that would potentially be incurred under the loss share provision related to the Sanofi License Agreement and the Sanofi Supply Agreement, the Company believes this requirement for revenue recognition has not been met.</w:t>
      </w:r>
    </w:p>
    <w:p>
      <w:pPr>
        <w:spacing w:after="0" w:line="26"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As such, the Company did not recognize any revenue pursuant to the Sanofi License Agreement or the Sanofi Supply Agreement for the years ended December 31, 2015 and 2014. The Company has recorded the $150.0 million up-front payment and $50.0 million from milestone payments as deferred payments from collaboration. In addition, as of December 31, 2015 the Company has recorded $17.5 million in AFREZZA product shipments to Sanofi as deferred product sales from collaboration and recorded $13.5 million as deferred product costs from collaboration. Deferred product costs represent the costs of product manufactured and shipped to Sanofi, not to exceed the amount of deferred product sales, for which recognition of revenue has been deferred. During the year ended December 31, 2015, the Company’s portion of the loss sharing was $57.7 million, which resulted in the reclassification from current deferred payments from collaboration to Sanofi loan facility and loss share obligation to reflect amounts owed to Sanofi.</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Sanofi Loan Facility</w:t>
      </w:r>
    </w:p>
    <w:p>
      <w:pPr>
        <w:spacing w:after="0" w:line="90"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On September 23, 2014, the Company entered into the Sanofi Loan Facility, consisting of a senior secured revolving promissory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the Company is not able to obtain waivers, the lender under the Sanofi Loan Facility may accelerate all of the Company’s repayment obligations, and take control of the Company’s pledged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assets, potentially requiring the Company to renegotiate the terms of its indebtedness on terms less favorable to the Company, or to immediately cease operations.</w:t>
      </w:r>
    </w:p>
    <w:p>
      <w:pPr>
        <w:spacing w:after="0" w:line="125"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The obligations of the Company under the Sanofi Loan Facility are guaranteed by the Company’s wholly-owned subsidiary, MannKind LLC, and are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granted to Sanofi, as additional security for the obligations under the Sanofi Loan Facility, a first priority mortgage on the Company’s facility in Valencia, California, which has a carrying value of $17.9 million as of December 31, 2015.</w:t>
      </w:r>
    </w:p>
    <w:p>
      <w:pPr>
        <w:spacing w:after="0" w:line="35"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62"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from the net cash proceeds of the sale within five business days of receipt.</w:t>
      </w:r>
    </w:p>
    <w:p>
      <w:pPr>
        <w:spacing w:after="0" w:line="59" w:lineRule="exact"/>
        <w:rPr>
          <w:sz w:val="20"/>
          <w:szCs w:val="20"/>
          <w:color w:val="auto"/>
        </w:rPr>
      </w:pPr>
    </w:p>
    <w:p>
      <w:pPr>
        <w:ind w:right="360" w:firstLine="228"/>
        <w:spacing w:after="0" w:line="256" w:lineRule="auto"/>
        <w:rPr>
          <w:sz w:val="20"/>
          <w:szCs w:val="20"/>
          <w:color w:val="auto"/>
        </w:rPr>
      </w:pPr>
      <w:r>
        <w:rPr>
          <w:rFonts w:ascii="Arial" w:cs="Arial" w:eastAsia="Arial" w:hAnsi="Arial"/>
          <w:sz w:val="18"/>
          <w:szCs w:val="18"/>
          <w:color w:val="auto"/>
        </w:rPr>
        <w:t>The Company’s total portion of the loss sharing was $57.7 million for the year ended December 31, 2015, of which $44.5 million was borrowed under the Sanofi Loan Facility as of December 31, 2015. Subsequent to December 31, 2015, the Company borrowed $17.9 million under the Sanofi Loan Facility to finance the portion of the Company’s loss for the quarter ended December 31, 2015. The total amount owed to Sanofi is $62.4 million, which includes $1.7 million in paid-in-kind interest.</w:t>
      </w:r>
    </w:p>
    <w:p>
      <w:pPr>
        <w:spacing w:after="0" w:line="62"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The Sanofi Loan Facility includes customary representations, warranties and covenants by the Company, including restrictions on its ability to incur additional indebtedness, grant certain liens and make certain changes to its organizational documents. Events of default under the Sanofi Loan Facility include: the Company’s failure to timely make payments due under the Sanofi Loan Facility; inaccuracies in the Company’s representations and warranties to the noteholder; the Company’s failure to comply with any of its covenants under any of the Sanofi Loan Facility or certain other related security agreements and documents entered into in connection with the Sanofi Loan Facility, subject to a cure period with respect to most covenants; the Company’s insolvency or the occurrence of certain bankruptcy-related events; termination by Sanofi of the Sanofi License Agreement as a result of the Company’s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Sanofi may terminate its obligation to make advances under the Sanofi Loan Facility, and, if certain specified events of default (including the Company’s failure to timely make payments due under the Sanofi Loan Facility; the Company’s failure to comply with the negative covenants under the Sanofi Loan Facility limiting the Company’s ability to incur additional indebtedness or grant certain liens; the Company’s insolvency or the occurrence of certain bankruptcy-related events; termination by Sanofi of the Sanofi License Agreement as a result of the Company’s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the Company’s repayment obligations under the Sanofi Loan Facility and otherwise exercise any of its remedies as a secured creditor. There can be no assurance that the noteholder would not choose to exercise these rights in the event such events were to occur.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Subsequent to December 31, 2015, the Company received written notice on January 4, 2016 from Sanofi of its election to terminate in its entirety the Sanofi License Agreement. Pursuant to its terms, the Sanofi Supply Agreement will terminate concurrently with the Sanofi License Agreement. Sanofi’s notice indicated that the termination was pursuant to Sanofi’s right to terminate the Sanofi License Agreement upon Sanofi’s good faith determination that the commercialization of AFREZZA is no longer economically viable in the United States, in which case the effective date of termination will be April 4, 2016. In the alternative, Sanofi indicated that the termination was also pursuant to its right to terminate the Sanofi License Agreement for any reason, in which case the effective date of termination will be July 4, 2016. In the interest of an expedient transition, the Company is currently working with Sanofi to transfer and wind down the agreement activities by April 4, 2016, or as soon as practicable thereafter.</w:t>
      </w:r>
    </w:p>
    <w:p>
      <w:pPr>
        <w:spacing w:after="0" w:line="37"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Pursuant to the terms of the Sanofi License Agreement, the Company and Sanofi are required to use diligent efforts to facilitate the smooth and orderly transition of relevant obligations and rights to the Company with respect to development and commercialization activities related to AFREZZA, and are also required to negotiate in good faith a written transition agreement for this purpose. As a result of the foregoing termination, effective on the Termination Date and thereafter during any period which Sanofi is required to perform any wind-down activities pursuant to the terms of the Sanofi License Agreement, the rights granted to Sanofi under the Sanofi License Agreement to develop and commercialize AFREZZA will become non-exclusive and the Company will have the right to engage one or more other distributors and/or licensees of AFREZZA. Sanofi will continue to distribute AFREZZA during the wind-down period as required by the agreement until such time that the Company or its designee takes over responsibility for distribution. All profits and losses from AFREZZA product sales by Sanofi or its affiliates after the Termination Date, if any, will continue to be shared 65% by Sanofi and 35% by the Company pursuant to the terms of the License Agreement.</w:t>
      </w:r>
    </w:p>
    <w:p>
      <w:pPr>
        <w:spacing w:after="0" w:line="39"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addition to the Sanofi License Agreement and Sanofi Supply Agreement, as discussed above, the Company and Aventisub LLC, an affiliate of Sanofi, are parties to a Senior Secured Revolving Promissory Note, dated September 23, 2014 and a Guaranty and Security Agreement. Both the Sanofi Loan Facility and the Security Agreement remain in effect. The original maturity date of September 23, 2024 for repayment of the outstanding principal amount of the loans under the Sanofi Loan Facility will not be affected by the termination of the Sanofi License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96"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The carrying amounts of financial instruments, which include cash equivalents and accounts payable, approximate their fair values due to their relatively short maturities. The fair value of the note payable to the Company’s principal stockholder cannot be reasonably estimated as the Company would not be able to obtain a similar credit arrangement in the current economic environment.</w:t>
      </w:r>
    </w:p>
    <w:p>
      <w:pPr>
        <w:spacing w:after="0" w:line="59"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As of December 31, 2015 and 2014, the Company held $59.1 million and $120.8 million, respectively of cash and cash equivalents, consisting of money market funds of $55.8 million and $118.5 million, respectively, and the remaining funds in non-interest bearing checking accounts. The fair value of these money market funds was determined by using quoted prices for identical investments in an active market (Level 1 in the fair value hierarchy).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2018 notes, facility financing obligation and Sanofi Loan Facility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summary of the carrying values and estimated fair values of the 2018 notes, the facility financing obligation (i.e., the 2019 notes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Tranche B notes), and the Sanofi Loan Facility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w w:val="85"/>
              </w:rPr>
              <w:t>December 31, 2015</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7240" w:type="dxa"/>
            <w:vAlign w:val="bottom"/>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value</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2015 notes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2018 notes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21.3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Facility financing obligation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78.4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Sanofi Loan Facility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36.5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2015 notes</w:t>
      </w:r>
    </w:p>
    <w:p>
      <w:pPr>
        <w:spacing w:after="0" w:line="90"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The estimated fair value of the 2015 notes was calculated based on model-derived valuations whose inputs were observable, such as the Company’s stock price, and non-observable, such as the Company’s longer-term historical volatility (55%) (Level 3 in the fair value hierarchy). As there was no current active and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 As of December 31, 2015, all 2015 notes, including the Exchange Notes, have been extinguished through exchange for stock, exchange for 2018 notes or settlement in cash. (See Note 8 —Senior convertible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2018 notes</w:t>
      </w:r>
    </w:p>
    <w:p>
      <w:pPr>
        <w:spacing w:after="0" w:line="90"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estimated fair value of the 2018 notes was calculated based on model-derived valuations whose inputs were observable, such 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(90%) and recent price quotes and trading information regarding Company issued debt instruments and shares of common stock into which the notes are convertible (Level 3 in the fair value hierarchy).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Facility financing agreement</w:t>
      </w:r>
    </w:p>
    <w:p>
      <w:pPr>
        <w:spacing w:after="0" w:line="90"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As discussed in Note 17 — Facility Agreement, in connection with the Facility Agreement, the Company issued 2019 notes and subsequently issued Tranche B notes (the “Facility Financing Obligation”).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December 31, 2015 the market discount rate was recalculated at 12.0% for the 2019 notes and the Tranche B notes (Level 3 in the fair value hierarchy).</w:t>
      </w:r>
    </w:p>
    <w:p>
      <w:pPr>
        <w:spacing w:after="0" w:line="63"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In addition to the 2019 notes and Tranche B notes, the Company also issued certain rights to receive payments of up to $90.0 million upon occurrence of specified strategic and sales milestones (the “Milestone Rights”). These rights are not reflected in the facility financing obligation. The estimated fair value of the Milestone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(15.0%) was selected based on an estimation of required rate of returns for similar investment opportunities using available market data. As of December 31, 2015, the carrying value of the Milestone Rights is $8.9 million, classified as a long-term liability in other liabilities and the fair value is estimated at $14.4 million.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Sanofi Loan Facility</w:t>
      </w:r>
    </w:p>
    <w:p>
      <w:pPr>
        <w:spacing w:after="0" w:line="90"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As discussed in Note 9 — the Sanofi Loan Facility, consists of a senior secured revolving promissory note and a guaranty and security agreement with an affiliate of Sanofi which provides the Company with a secured loan facility of up to $175.0 million to fund the Company’s share of net losses under the Sanofi License Agreement. The estimated fair value was determined using a discounted cash flow model in which time outstanding and discount rate were primary variables. This method considered the key elements of the contractual terms of the Sanofi Loan Facility, market-based estimated cost of capital, and time value of money, namely the amount of time to settlement and the estimated discount rate (11%) appropriate for the liability (Level 3 in the fair value hierarchy). As of December 31, 2015 the carrying value of the Sanofi Loan Facility is $44.5 million and the fair value is estimated at $36.5 million.</w:t>
      </w:r>
    </w:p>
    <w:p>
      <w:pPr>
        <w:spacing w:after="0" w:line="39"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There were no material re-measurements to fair value during the year ended December 31, 2015 of financial assets and liabilities that are not measured at fair value on a recurring basis. There were no transfers of assets or liabilities between the fair value measurement levels during the twelve months ended December 31, 2015, 2014, and 2013.</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90"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land, buildings, and machinery and equipment, with a carrying amount of $189.2 million, were written down to a fair value of $48.8 million, resulting in an impairment charge of $140.4 million, which is included in our Statements of Operations and Comprehensive Loss for the year ended December 31, 2015.</w:t>
      </w:r>
    </w:p>
    <w:p>
      <w:pPr>
        <w:spacing w:after="0" w:line="59"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Our assessment of the real property includes Level 3 inputs, and was based on a combination of the income, market and cost approaches and the market approach was used for machinery and equipment which required Level 3 inputs.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Embedded Derivatives</w:t>
      </w:r>
    </w:p>
    <w:p>
      <w:pPr>
        <w:spacing w:after="0" w:line="9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 xml:space="preserve">The Company identified and evaluated a number of embedded features in the notes issued under the Facility Agreement to determine if they represented embedded derivatives that are required to be separated from the notes and accounted for as freestanding instruments pursuant to ASC 815. In 2014, the Company analyzed the Tranche B notes and identified embedded derivatives which required separate accounting under ASC 815; however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At December 31, 2015, all of the embedded derivatives identified in the Tranche B notes were deemed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and preferred stock</w:t>
      </w:r>
    </w:p>
    <w:p>
      <w:pPr>
        <w:spacing w:after="0" w:line="96"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December 31, 2015 and 2014, 428,670,943 and 406,059,089 shares of common stock, respectively, were issued and outstanding and no shares of preferred stock were outstanding.</w:t>
      </w:r>
    </w:p>
    <w:p>
      <w:pPr>
        <w:spacing w:after="0" w:line="62"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On November 9, 2015, the Company entered into a series of stock purchase agreements to sell up to an aggregate of 50,000,000 shares its common stock in a registered direct offering to selected investment funds in Israel that hold securities included within certain stock indexes of the Tel Aviv Stock Exchange (the “TASE”). Pursuant to the agreements, the shares of common stock were sold at a price per share equal to 97% of the closing price of the Company’s common stock on the TASE on November 12, 2015. During November 2015, the Company sold 13,852,435 shares of common stock for an aggregate price of approximately $34,710,000, or $2.61 per share, which is net of $1,433,000 of issuance costs.</w:t>
      </w:r>
    </w:p>
    <w:p>
      <w:pPr>
        <w:spacing w:after="0" w:line="35"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The Company engaged Sunrise Securities Corporation as its exclusive placement agent in connection with the offering of 50,000,000 shares. In connection with the services provided the Company issued to Sunrise Securities Corporation, or its designee, restricted warrants to purchase a number of shares of the Company’s common stock in an aggregate equal to 1.15% of the aggregate shares sold in the offering, which totaled 159,303 shares on November 16, 2015. The warrants are exercisable for a five year period at an exercise price of $2.61, the price paid per share in connection with the offering. The Company had an obligation to register the common stock that may be issued pursuant to the exercise of the warrants, which resulted in their initial classification as liability and were deemed immaterial. On December 15, 2015 the warrants were reclassified to equity as the Company registered the common stock pursuant to registration statement. As of December 31, 2015 the warrants were classified within equity.</w:t>
      </w:r>
    </w:p>
    <w:p>
      <w:pPr>
        <w:spacing w:after="0" w:line="3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Included in the common stock outstanding as of December 31, 2014 is 9,000,000 shares of common stock loaned to Bank of America under a share lending agreement in connection with the offering of the $100.0 million aggregate principal amount of 2015 notes. Bank of America was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On October 23, 2015, the 9,000,000 shares of common stock loaned to Bank of America were returned, as the Company settled all payments and deliveries in respect of such convertible notes on August 17, 2015. The Company did not receive any proceeds from the sale of the borrowed shares by Bank of America, but the Company did receive a nominal lending fee of $0.01 per share from Bank of America for the use of borrowed shares.</w:t>
      </w:r>
    </w:p>
    <w:p>
      <w:pPr>
        <w:spacing w:after="0" w:line="37"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shares of common stock underlying the warrants are exercisable at $2.40 per share and expire four years from the date of the issuance.</w:t>
      </w:r>
    </w:p>
    <w:p>
      <w:pPr>
        <w:spacing w:after="0" w:line="35" w:lineRule="exact"/>
        <w:rPr>
          <w:sz w:val="20"/>
          <w:szCs w:val="20"/>
          <w:color w:val="auto"/>
        </w:rPr>
      </w:pPr>
    </w:p>
    <w:p>
      <w:pPr>
        <w:ind w:right="320" w:firstLine="228"/>
        <w:spacing w:after="0" w:line="370" w:lineRule="auto"/>
        <w:rPr>
          <w:sz w:val="20"/>
          <w:szCs w:val="20"/>
          <w:color w:val="auto"/>
        </w:rPr>
      </w:pPr>
      <w:r>
        <w:rPr>
          <w:rFonts w:ascii="Arial" w:cs="Arial" w:eastAsia="Arial" w:hAnsi="Arial"/>
          <w:sz w:val="15"/>
          <w:szCs w:val="15"/>
          <w:color w:val="auto"/>
        </w:rPr>
        <w:t>For the years ended December 31, 2015, 2014, and 2013, the Company received $10.1 million, $27.8 million, and $94.2 million in proceeds, respectively, from the exercise of the February 2012 public offering warrants. Any unexercised February 2012 public offering warrants expired on February 8, 2016.</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common share</w:t>
      </w:r>
    </w:p>
    <w:p>
      <w:pPr>
        <w:spacing w:after="0" w:line="96" w:lineRule="exact"/>
        <w:rPr>
          <w:sz w:val="20"/>
          <w:szCs w:val="20"/>
          <w:color w:val="auto"/>
        </w:rPr>
      </w:pPr>
    </w:p>
    <w:p>
      <w:pPr>
        <w:ind w:right="20" w:firstLine="228"/>
        <w:spacing w:after="0" w:line="308" w:lineRule="auto"/>
        <w:rPr>
          <w:sz w:val="20"/>
          <w:szCs w:val="20"/>
          <w:color w:val="auto"/>
        </w:rPr>
      </w:pPr>
      <w:r>
        <w:rPr>
          <w:rFonts w:ascii="Arial" w:cs="Arial" w:eastAsia="Arial" w:hAnsi="Arial"/>
          <w:sz w:val="15"/>
          <w:szCs w:val="15"/>
          <w:color w:val="auto"/>
        </w:rPr>
        <w:t>Basic net loss per share excludes dilution for potentially dilutive securities and is computed by dividing net loss by the weighted average number of common shares outstanding during the period excluding the 9,000,000 shares loaned to Bank of America under a share lending arrangement (see Note 11 — Common and preferred stock). In the third quarter of 2015, the 9,000,000 million shares loaned to Bank of America were returned. Prior to the return of those shares, the borrowed shares were not considered outstanding for the purpose of computing and reporting basic or diluted earnings (loss) per share because the share borrower had to return all borrowed shares to the Company (or, in certain circumstances, the cash value thereof).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and excluded the 9,000,000 shares of the Company’s common stock loaned under the share lending arrangement as of December 31, 2014, and 2013.</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Potentially dilutive securities outstanding are summarized as follows (in shares):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94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92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Exercise of common stock options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19,779,229</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21,541,664</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24,237,940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4,072,809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17,323,080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25,415,366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9,987,876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19,706,240</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1,804,620</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2,610,720</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9,115,821</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29,731,254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51,463,340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78,475,367</w:t>
            </w:r>
          </w:p>
        </w:tc>
      </w:tr>
      <w:tr>
        <w:trPr>
          <w:trHeight w:val="20"/>
        </w:trPr>
        <w:tc>
          <w:tcPr>
            <w:tcW w:w="7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award plans</w:t>
      </w:r>
    </w:p>
    <w:p>
      <w:pPr>
        <w:spacing w:after="0" w:line="9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On May 23, 2013, the Company adopted the 2013 Equity Incentive Plan (the “2013 Plan”) as the successor to and continuation of the 2004 Equity Incentive Plan (the “2004 Plan”). The 2013 Plan consists of 21.5 million newly requested shares and the number of unallocated shares remaining available for grant for new awards under the 2004 Plan. The 2013 Plan provides for the granting of stock awards including stock options and restricted stock units, to employees, directors and consultants. The Plan also provides for the automatic, non-discretionary grant of options to the Company’s non-employee directors. No additional awards will be granted under the 2004 Plan or under the 2004 Non-Employee Directors’ Stock Option Plan (the “NED Plan”) as all future awards will be made out of the 2013 Plan.</w:t>
      </w:r>
    </w:p>
    <w:p>
      <w:pPr>
        <w:spacing w:after="0" w:line="63" w:lineRule="exact"/>
        <w:rPr>
          <w:sz w:val="20"/>
          <w:szCs w:val="20"/>
          <w:color w:val="auto"/>
        </w:rPr>
      </w:pPr>
    </w:p>
    <w:p>
      <w:pPr>
        <w:ind w:right="260" w:firstLine="228"/>
        <w:spacing w:after="0" w:line="331" w:lineRule="auto"/>
        <w:rPr>
          <w:sz w:val="20"/>
          <w:szCs w:val="20"/>
          <w:color w:val="auto"/>
        </w:rPr>
      </w:pPr>
      <w:r>
        <w:rPr>
          <w:rFonts w:ascii="Arial" w:cs="Arial" w:eastAsia="Arial" w:hAnsi="Arial"/>
          <w:sz w:val="16"/>
          <w:szCs w:val="16"/>
          <w:color w:val="auto"/>
        </w:rPr>
        <w:t>As of December 31, 2015, the Company has two active stock-based compensation plans — the 2013 Plan and the 2004 Employee Stock Purchase Plan (the “ESPP”). The following table summarizes information about the Company’s stock-based award plans as of December 31, 2015:</w:t>
      </w:r>
    </w:p>
    <w:tbl>
      <w:tblPr>
        <w:tblLayout w:type="fixed"/>
        <w:tblInd w:w="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7"/>
              </w:rPr>
              <w:t>Outstanding</w:t>
            </w:r>
          </w:p>
        </w:tc>
        <w:tc>
          <w:tcPr>
            <w:tcW w:w="440" w:type="dxa"/>
            <w:vAlign w:val="bottom"/>
          </w:tcPr>
          <w:p>
            <w:pPr>
              <w:spacing w:after="0"/>
              <w:rPr>
                <w:sz w:val="13"/>
                <w:szCs w:val="13"/>
                <w:color w:val="auto"/>
              </w:rPr>
            </w:pPr>
          </w:p>
        </w:tc>
        <w:tc>
          <w:tcPr>
            <w:tcW w:w="112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85"/>
              </w:rPr>
              <w:t>Shares Available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4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Options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4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2004</w:t>
            </w:r>
          </w:p>
        </w:tc>
        <w:tc>
          <w:tcPr>
            <w:tcW w:w="420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Incentive Plan</w:t>
            </w:r>
          </w:p>
        </w:tc>
        <w:tc>
          <w:tcPr>
            <w:tcW w:w="3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11,309,136</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276,784</w:t>
            </w:r>
          </w:p>
        </w:tc>
        <w:tc>
          <w:tcPr>
            <w:tcW w:w="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42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8,026,762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1,527,836</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15,540,652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2004</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3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443,331</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4200" w:type="dxa"/>
            <w:vAlign w:val="bottom"/>
          </w:tcPr>
          <w:p>
            <w:pPr>
              <w:spacing w:after="0"/>
              <w:rPr>
                <w:sz w:val="19"/>
                <w:szCs w:val="19"/>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19,779,229</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1,804,620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15,540,652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180" w:type="dxa"/>
            <w:vAlign w:val="bottom"/>
            <w:vMerge w:val="restart"/>
          </w:tcPr>
          <w:p>
            <w:pPr>
              <w:jc w:val="right"/>
              <w:ind w:right="1832"/>
              <w:spacing w:after="0"/>
              <w:rPr>
                <w:sz w:val="20"/>
                <w:szCs w:val="20"/>
                <w:color w:val="auto"/>
              </w:rPr>
            </w:pPr>
            <w:r>
              <w:rPr>
                <w:rFonts w:ascii="Arial" w:cs="Arial" w:eastAsia="Arial" w:hAnsi="Arial"/>
                <w:sz w:val="18"/>
                <w:szCs w:val="18"/>
                <w:color w:val="auto"/>
              </w:rPr>
              <w:t>102</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In March 2004, the Company’s board of directors approved the ESPP, which became effective upon the closing of the Company’s initial public offering. Initially, the aggregate number of shares that could be sold under the 2004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2013 and 2014 the ESPP share reserve was increased by 700,000 and 700,000 shares, respectively. There was no ESPP share reserve increase during 2015. As of December 31, 2015, 2,752,703 shares were available for issuance under the ESPP. For the years ended December 31, 2015, 2014 and 2013 the Company sold 321,228, 305,076, and 463,290 shares, respectively, of its common stock to employees participating in the ESPP. The ESPP purchase for the period ending December 31, 2015 was initiated prior to year-end but did not settle until January 5, 2016. As a result, the shares sold are reflected in the ESPP share reserves but is excluded from common stock outstanding as of December 31, 2015.</w:t>
      </w:r>
    </w:p>
    <w:p>
      <w:pPr>
        <w:spacing w:after="0" w:line="4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The Company’s board of directors determines eligibility, vesting schedules and exercise prices for stock awards granted under the 2013 Plan. Options and other stock awards under the 2013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There are no outstanding performance-based awards as all milestones have been achieved as of December 31, 2015. The 2013 Plan provides for full acceleration of vesting if an employee is terminated within three months of a change in control, as defined in the 2013 Plan.</w:t>
      </w:r>
    </w:p>
    <w:p>
      <w:pPr>
        <w:spacing w:after="0" w:line="39"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which is determined using the Black-Scholes option valuation model and amortizes such expense on a straight-line basis over the service period for time-based awards and over the expected dates of achievement for performance-based awards. These awards are subject to re-measurement until service is complete. As of December 31, 2015, there were options to purchase 523,487 shares of common stock outstanding to consultants.</w:t>
      </w:r>
    </w:p>
    <w:p>
      <w:pPr>
        <w:spacing w:after="0" w:line="35"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During the years ended December 31, 2015, 2014 and 2013 the Company recorded stock-based compensation expense related to its stock award plans and the ESPP of $8.7 million, $48.6 million, and $45.2 million, respectively.</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Employee-related</w:t>
            </w:r>
          </w:p>
        </w:tc>
        <w:tc>
          <w:tcPr>
            <w:tcW w:w="5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$8,407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$48,622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Consultant-related</w:t>
            </w:r>
          </w:p>
        </w:tc>
        <w:tc>
          <w:tcPr>
            <w:tcW w:w="5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8,725</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60" w:type="dxa"/>
            <w:vAlign w:val="bottom"/>
            <w:vMerge w:val="restart"/>
          </w:tcPr>
          <w:p>
            <w:pPr>
              <w:jc w:val="right"/>
              <w:ind w:right="2872"/>
              <w:spacing w:after="0"/>
              <w:rPr>
                <w:sz w:val="20"/>
                <w:szCs w:val="20"/>
                <w:color w:val="auto"/>
              </w:rPr>
            </w:pPr>
            <w:r>
              <w:rPr>
                <w:rFonts w:ascii="Arial" w:cs="Arial" w:eastAsia="Arial" w:hAnsi="Arial"/>
                <w:sz w:val="18"/>
                <w:szCs w:val="18"/>
                <w:color w:val="auto"/>
              </w:rPr>
              <w:t>103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$3,029</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$22,357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$20,409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8,725</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26"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Beginning in the third quarter of 2014, the Company began to assess both historical and implied volatility in order to determine its estimated volatility rate. Implied volatility was considered due to the change in the Company’s business, which occurred with the approval for the sale of AFREEZA.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2015, 2014 and 2013 using the following assumptions: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63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639"/>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65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 1.86%</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 2.11%</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 1.82%</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lives</w:t>
            </w:r>
          </w:p>
        </w:tc>
        <w:tc>
          <w:tcPr>
            <w:tcW w:w="2040" w:type="dxa"/>
            <w:vAlign w:val="bottom"/>
            <w:gridSpan w:val="2"/>
          </w:tcPr>
          <w:p>
            <w:pPr>
              <w:ind w:left="420"/>
              <w:spacing w:after="0"/>
              <w:rPr>
                <w:sz w:val="20"/>
                <w:szCs w:val="20"/>
                <w:color w:val="auto"/>
              </w:rPr>
            </w:pPr>
            <w:r>
              <w:rPr>
                <w:rFonts w:ascii="Arial" w:cs="Arial" w:eastAsia="Arial" w:hAnsi="Arial"/>
                <w:sz w:val="18"/>
                <w:szCs w:val="18"/>
                <w:color w:val="auto"/>
              </w:rPr>
              <w:t>5.79 — 5.86 years</w:t>
            </w:r>
          </w:p>
        </w:tc>
        <w:tc>
          <w:tcPr>
            <w:tcW w:w="2040" w:type="dxa"/>
            <w:vAlign w:val="bottom"/>
            <w:gridSpan w:val="2"/>
          </w:tcPr>
          <w:p>
            <w:pPr>
              <w:ind w:left="420"/>
              <w:spacing w:after="0"/>
              <w:rPr>
                <w:sz w:val="20"/>
                <w:szCs w:val="20"/>
                <w:color w:val="auto"/>
              </w:rPr>
            </w:pPr>
            <w:r>
              <w:rPr>
                <w:rFonts w:ascii="Arial" w:cs="Arial" w:eastAsia="Arial" w:hAnsi="Arial"/>
                <w:sz w:val="18"/>
                <w:szCs w:val="18"/>
                <w:color w:val="auto"/>
              </w:rPr>
              <w:t>5.77 — 6.09 years</w:t>
            </w:r>
          </w:p>
        </w:tc>
        <w:tc>
          <w:tcPr>
            <w:tcW w:w="1880" w:type="dxa"/>
            <w:vAlign w:val="bottom"/>
            <w:gridSpan w:val="2"/>
          </w:tcPr>
          <w:p>
            <w:pPr>
              <w:ind w:left="460"/>
              <w:spacing w:after="0"/>
              <w:rPr>
                <w:sz w:val="20"/>
                <w:szCs w:val="20"/>
                <w:color w:val="auto"/>
              </w:rPr>
            </w:pPr>
            <w:r>
              <w:rPr>
                <w:rFonts w:ascii="Arial" w:cs="Arial" w:eastAsia="Arial" w:hAnsi="Arial"/>
                <w:sz w:val="18"/>
                <w:szCs w:val="18"/>
                <w:color w:val="auto"/>
                <w:w w:val="95"/>
              </w:rPr>
              <w:t>2.64 — 5.77 years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69.76% — 71.84%</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73.98% — 84.85%</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75.83% — 86.26%</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Dividends</w:t>
            </w:r>
          </w:p>
        </w:tc>
        <w:tc>
          <w:tcPr>
            <w:tcW w:w="20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49"/>
        </w:trPr>
        <w:tc>
          <w:tcPr>
            <w:tcW w:w="81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812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per Share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000)</w:t>
            </w:r>
          </w:p>
        </w:tc>
      </w:tr>
      <w:tr>
        <w:trPr>
          <w:trHeight w:val="210"/>
        </w:trPr>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21,541,664</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1,541,100</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(1,700,964)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(706,387)</w:t>
            </w:r>
          </w:p>
        </w:tc>
        <w:tc>
          <w:tcPr>
            <w:tcW w:w="560" w:type="dxa"/>
            <w:vAlign w:val="bottom"/>
          </w:tcPr>
          <w:p>
            <w:pPr>
              <w:jc w:val="right"/>
              <w:spacing w:after="0"/>
              <w:rPr>
                <w:sz w:val="20"/>
                <w:szCs w:val="20"/>
                <w:color w:val="auto"/>
              </w:rPr>
            </w:pPr>
            <w:r>
              <w:rPr>
                <w:rFonts w:ascii="Arial" w:cs="Arial" w:eastAsia="Arial" w:hAnsi="Arial"/>
                <w:sz w:val="18"/>
                <w:szCs w:val="18"/>
                <w:color w:val="auto"/>
              </w:rPr>
              <w:t>5.78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(896,184)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19,779,229</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19,597,097</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17,217,332</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The weighted average grant date fair value of the stock options granted during the years ended December 31, 2015, 2014 and 2013 was $2.56, $4.76 and $3.26 per option, respectively. The total intrinsic value of options exercised during the years ended December 31, 2015, 2014 and 2013 was $6.2 million, $14.9 million and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million, respectively. Intrinsic value is measured using the fair market value at the date of exercise (for options exercised) or at December 31 (for outstanding options), less the applicable exercise price.</w:t>
      </w:r>
    </w:p>
    <w:p>
      <w:pPr>
        <w:spacing w:after="0" w:line="5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Cash received from the exercise of options during the years ended December 31, 2015, 2014 and 2013 was approximately $3.3 million, $11.0 million and $2.3 million, respectively. The weighted-average remaining contractual terms for options outstanding, vested and expected to vest, and exercisable at December 31, 2015 was 6.34 years, 6.31 years and 5.97 years, respectively.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restricted stock unit activity for the year ended December 31, 2015 is presented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2,610,720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1,133,404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(1,111,134)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(828,370)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1,804,620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00" w:firstLine="228"/>
        <w:spacing w:after="0" w:line="259" w:lineRule="auto"/>
        <w:rPr>
          <w:sz w:val="20"/>
          <w:szCs w:val="20"/>
          <w:color w:val="auto"/>
        </w:rPr>
      </w:pPr>
      <w:r>
        <w:rPr>
          <w:rFonts w:ascii="Arial" w:cs="Arial" w:eastAsia="Arial" w:hAnsi="Arial"/>
          <w:sz w:val="18"/>
          <w:szCs w:val="18"/>
          <w:color w:val="auto"/>
        </w:rPr>
        <w:t>The total restricted stock units expected to vest as of December 31, 2015 was 1,651,859 with a weighted average grant date fair value of $4.86. The total intrinsic value of restricted stock units expected to vest as of December 31, 2015 was $2.4 million. Intrinsic value of restricted stock units expected to vest is measured using the closing share price at December 31, 2015.</w:t>
      </w:r>
    </w:p>
    <w:p>
      <w:pPr>
        <w:spacing w:after="0" w:line="59"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Total intrinsic value of restricted stock units vested during the years ended December 31, 2015, 2014 and 2013 was $5.2 million, $62.7 million and $13.9 million, respectively. Intrinsic value of restricted stock units vested is measured using the closing share price on the day prior to the vest date. The total grant date fair value of restricted stock units vested during the years ended December 31, 2015, 2014 and 2013 was $5.5million, $36.4 million and $14.9 million, respectively.</w:t>
      </w:r>
    </w:p>
    <w:p>
      <w:pPr>
        <w:spacing w:after="0" w:line="62" w:lineRule="exact"/>
        <w:rPr>
          <w:sz w:val="20"/>
          <w:szCs w:val="20"/>
          <w:color w:val="auto"/>
        </w:rPr>
      </w:pPr>
    </w:p>
    <w:p>
      <w:pPr>
        <w:ind w:right="200" w:firstLine="228"/>
        <w:spacing w:after="0" w:line="323" w:lineRule="auto"/>
        <w:rPr>
          <w:sz w:val="20"/>
          <w:szCs w:val="20"/>
          <w:color w:val="auto"/>
        </w:rPr>
      </w:pPr>
      <w:r>
        <w:rPr>
          <w:rFonts w:ascii="Arial" w:cs="Arial" w:eastAsia="Arial" w:hAnsi="Arial"/>
          <w:sz w:val="15"/>
          <w:szCs w:val="15"/>
          <w:color w:val="auto"/>
        </w:rPr>
        <w:t>As of December 31, 2015, there was $4.9 million and $6.7 million of unrecognized compensation expense related to options and restricted stock units, respectively, which is expected to be recognized over the weighted average vesting period of 2.7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December 31, 2015, all milestones have been achieved.</w:t>
      </w:r>
    </w:p>
    <w:p>
      <w:pPr>
        <w:spacing w:after="0" w:line="17"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During the year ended December 31, 2015, there was $1.6 million of stock compensation expense related to certain Executives who entered into severance agreements which resulted in a modification to the terms of their awards. The severance agreements generally allowed for the separated Executives to continue to vest under their original award terms for a stated period of time without providing substantive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 Company leases certain facilities and equipment under various operating leases, which expire at various dates through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beyond. Future payments are deemed insignificant.</w:t>
      </w:r>
    </w:p>
    <w:p>
      <w:pPr>
        <w:spacing w:after="0" w:line="51"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Rent expense under all operating leases, including office space and equipment, for the years ended December 31, 2015, 2014, and 2013 was approximately $426,000, $737,000, and $645,000 respectively.</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Company’s capital leases were not material for the years ended December 31, 2015, 2014 and 2013.</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228"/>
        <w:spacing w:after="0" w:line="310" w:lineRule="auto"/>
        <w:rPr>
          <w:sz w:val="20"/>
          <w:szCs w:val="20"/>
          <w:color w:val="auto"/>
        </w:rPr>
      </w:pPr>
      <w:r>
        <w:rPr>
          <w:rFonts w:ascii="Arial" w:cs="Arial" w:eastAsia="Arial" w:hAnsi="Arial"/>
          <w:sz w:val="15"/>
          <w:szCs w:val="15"/>
          <w:i w:val="1"/>
          <w:iCs w:val="1"/>
          <w:color w:val="auto"/>
        </w:rPr>
        <w:t xml:space="preserve">Guarantees and Indemnifications </w:t>
      </w:r>
      <w:r>
        <w:rPr>
          <w:rFonts w:ascii="Arial" w:cs="Arial" w:eastAsia="Arial" w:hAnsi="Arial"/>
          <w:sz w:val="15"/>
          <w:szCs w:val="15"/>
          <w:color w:val="auto"/>
        </w:rPr>
        <w:t>— In the ordinary course of its business, the Company makes certain indemnities, commitments and guarantees under which</w:t>
      </w:r>
      <w:r>
        <w:rPr>
          <w:rFonts w:ascii="Arial" w:cs="Arial" w:eastAsia="Arial" w:hAnsi="Arial"/>
          <w:sz w:val="15"/>
          <w:szCs w:val="15"/>
          <w:i w:val="1"/>
          <w:iCs w:val="1"/>
          <w:color w:val="auto"/>
        </w:rPr>
        <w:t xml:space="preserve"> </w:t>
      </w:r>
      <w:r>
        <w:rPr>
          <w:rFonts w:ascii="Arial" w:cs="Arial" w:eastAsia="Arial" w:hAnsi="Arial"/>
          <w:sz w:val="15"/>
          <w:szCs w:val="15"/>
          <w:color w:val="auto"/>
        </w:rPr>
        <w:t>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2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The Company is subject to legal proceedings and claims which arise in the ordinary course of its business. As of December 31,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records a provision for a liability when it is both probable that a liability has been incurred and the amount of the loss can be reasonably estimated. The Company’s policy is to accrue for legal expenses in connection with legal proceeding and claims as they are incurred.</w:t>
      </w:r>
    </w:p>
    <w:p>
      <w:pPr>
        <w:spacing w:after="0" w:line="39"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addition, several complaints were filed in the U.S. District Court for the Central District of California against the Company and certain of its officers and directors on behalf of certain purchasers of its common stock. The complaints include claims asserted under Sections 10(b) and 20(a) of the Exchange Act and have been pled as putative shareholder class actions. In general, the complaints allege that the Company and certain of its officers and directors violated federal securities laws by making materially false and misleading statements regarding the prospects for AFREZZA, thereby artificially inflating the price of its common stock. The plaintiffs are seeking monetary damages and other relief. The Company expects the complaints to be transferred to a single court and consolidated for all purposes, following which the court would be expected to appoint a lead plaintiff and lead counsel and to order the lead plaintiff to file a consolidated complaint. The Company will vigorously defend against the claims advanced.</w:t>
      </w:r>
    </w:p>
    <w:p>
      <w:pPr>
        <w:spacing w:after="0" w:line="37"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Following the receipt by the Company of the notice of termination from Sanofi regarding the Sanofi License Agreement and the subsequent decline of the price of its common stock,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The Company will vigorously defend against these claims.</w:t>
      </w:r>
    </w:p>
    <w:p>
      <w:pPr>
        <w:spacing w:after="0" w:line="35"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17 — Facility Agreement).</w:t>
      </w:r>
    </w:p>
    <w:p>
      <w:pPr>
        <w:spacing w:after="0" w:line="62"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i w:val="1"/>
          <w:iCs w:val="1"/>
          <w:color w:val="auto"/>
        </w:rPr>
        <w:t xml:space="preserve">Commitment — </w:t>
      </w:r>
      <w:r>
        <w:rPr>
          <w:rFonts w:ascii="Arial" w:cs="Arial" w:eastAsia="Arial" w:hAnsi="Arial"/>
          <w:sz w:val="18"/>
          <w:szCs w:val="18"/>
          <w:color w:val="auto"/>
        </w:rPr>
        <w:t>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which Amphastar will manufacture for and supply to the Company certain quantities of recombinant human insulin for use in AFREZZA. Under the terms of the Insulin Supply Agreement, Amphastar will be responsible for manufacturing the insulin in accordance with the Company’s specifications and agreed-upon quality standards. The Company has agreed to purchase annual minimum quantities of insulin for calendar years 2015 through 2019 under the Insulin Supply Agreement of an aggregate total of approximately €120.1 million, of which €98.5 million is remaining at December 31, 2015. The Company has contracted for the purchase of €28.8 million in 2016 and the remaining annual minimum quantities will be €23.3 million for the years ending December 31, 2017 through 2019. The Company may request to purchase additional quantities of insulin over such annual minimum quantities and will incur a cancellation fee of approximately $5.2 million if not purchased (see Note 2 — Summary of Significant accounting policies).</w:t>
      </w:r>
    </w:p>
    <w:p>
      <w:pPr>
        <w:spacing w:after="0" w:line="37" w:lineRule="exact"/>
        <w:rPr>
          <w:sz w:val="20"/>
          <w:szCs w:val="20"/>
          <w:color w:val="auto"/>
        </w:rPr>
      </w:pPr>
    </w:p>
    <w:p>
      <w:pPr>
        <w:ind w:right="180" w:firstLine="228"/>
        <w:spacing w:after="0" w:line="290" w:lineRule="auto"/>
        <w:rPr>
          <w:sz w:val="20"/>
          <w:szCs w:val="20"/>
          <w:color w:val="auto"/>
        </w:rPr>
      </w:pPr>
      <w:r>
        <w:rPr>
          <w:rFonts w:ascii="Arial" w:cs="Arial" w:eastAsia="Arial" w:hAnsi="Arial"/>
          <w:sz w:val="16"/>
          <w:szCs w:val="16"/>
          <w:color w:val="auto"/>
        </w:rPr>
        <w:t>Unless earlier terminated, the term of the Insulin Supply Agreement expires on December 31, 2019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96"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The Company administers a 401(k) Savings Retirement Plan (the “MannKind Retirement Plan”) for its employees. For the years ended December 31, 2015, 2014, and 2013, the Company contributed $593,000, $623,000, and $533,000 respectively, to the MannKind Retirement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280" w:firstLine="228"/>
        <w:spacing w:after="0" w:line="306" w:lineRule="auto"/>
        <w:rPr>
          <w:sz w:val="20"/>
          <w:szCs w:val="20"/>
          <w:color w:val="auto"/>
        </w:rPr>
      </w:pPr>
      <w:r>
        <w:rPr>
          <w:rFonts w:ascii="Arial" w:cs="Arial" w:eastAsia="Arial" w:hAnsi="Arial"/>
          <w:sz w:val="16"/>
          <w:szCs w:val="16"/>
          <w:color w:val="auto"/>
        </w:rPr>
        <w:t>There is no provision for income taxes because the Company has incurred operating losses since inception. At December 31, 2015, the Company has concluded that it is more likely than not that the Company may not realize the benefit of its deferred tax assets due to its history of losses. Accordingly, the net deferred tax assets have been fully reserved. The provision for income taxes consists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state</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Non-U.S.</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Deferred</w:t>
            </w:r>
          </w:p>
        </w:tc>
        <w:tc>
          <w:tcPr>
            <w:tcW w:w="4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109,512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57,873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59,379</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U.S. state</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(29,394)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(80,118)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(65,504)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(66,849)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vMerge w:val="continue"/>
          </w:tcPr>
          <w:p>
            <w:pPr>
              <w:spacing w:after="0"/>
              <w:rPr>
                <w:sz w:val="19"/>
                <w:szCs w:val="19"/>
                <w:color w:val="auto"/>
              </w:rPr>
            </w:pP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140" w:type="dxa"/>
            <w:vAlign w:val="bottom"/>
            <w:vMerge w:val="restart"/>
          </w:tcPr>
          <w:p>
            <w:pPr>
              <w:jc w:val="right"/>
              <w:ind w:right="1852"/>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2015 and 2014 are approximately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721,588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699,997</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credits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73,227</w:t>
            </w: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Capitalized research</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28,516</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from collaboration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19,217</w:t>
            </w: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Milestone Rights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5,321</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Loss on purchase commitment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Non-qualified stock option expense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43,691</w:t>
            </w: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Capitalized patent costs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8,574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8,624</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deferred tax 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962,623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882,502</w:t>
            </w: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(962,623)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(882,502)</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228"/>
        <w:spacing w:after="0" w:line="298" w:lineRule="auto"/>
        <w:rPr>
          <w:sz w:val="20"/>
          <w:szCs w:val="20"/>
          <w:color w:val="auto"/>
        </w:rPr>
      </w:pPr>
      <w:r>
        <w:rPr>
          <w:rFonts w:ascii="Arial" w:cs="Arial" w:eastAsia="Arial" w:hAnsi="Arial"/>
          <w:sz w:val="16"/>
          <w:szCs w:val="16"/>
          <w:color w:val="auto"/>
        </w:rPr>
        <w:t xml:space="preserve">As a result of certain realization requirements of ASC 718, the table of deferred tax assets and liabilities does not include certain deferred tax assets as of December 31, 2015 that arose directly from tax deductions related to equity compensation which are greater than the compensation recognized for financial reporting. Equity would be increased by $10.0 million if and when such deferred tax assets are ultimately realized. The Company considered the requirements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when determining when excess tax benefits have been realized.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December 31, 2015, 2014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benefit rate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Intercompany transfer of intellectual property</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80" w:type="dxa"/>
            <w:vAlign w:val="bottom"/>
            <w:vMerge w:val="continue"/>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As required by ASC 740,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2015, 2014 and 2013, the change in the valuation allowance was $80.1 million, $65.5 million and $66.8 million, respectively, for income taxes.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40" w:firstLine="228"/>
        <w:spacing w:after="0" w:line="287" w:lineRule="auto"/>
        <w:rPr>
          <w:sz w:val="20"/>
          <w:szCs w:val="20"/>
          <w:color w:val="auto"/>
        </w:rPr>
      </w:pPr>
      <w:r>
        <w:rPr>
          <w:rFonts w:ascii="Arial" w:cs="Arial" w:eastAsia="Arial" w:hAnsi="Arial"/>
          <w:sz w:val="16"/>
          <w:szCs w:val="16"/>
          <w:color w:val="auto"/>
        </w:rPr>
        <w:t>At December 31, 2015, the Company had federal and state net operating loss carryforwards of approximately $1.9 billion and $1.3 billion available, respectively, to reduce future taxable income. The federal net operating loss carryforwards will expire at various dates beginning in 2018 and the state net operating loss carryforwards have started expiring, starting current year through various future dates.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2015, the Company had research and development credits of $49.1 million and $37.7 million for federal and state purposes, respectively. The federal credits begin to expire in 2024, and the state credits may be carried forward indefinitely.</w:t>
      </w:r>
    </w:p>
    <w:p>
      <w:pPr>
        <w:spacing w:after="0" w:line="42"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 xml:space="preserve">The Company has evaluated the impact of ASC 740, previously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on its financial statements, which was effective beginning January 1, 2007. The evaluation of a tax position in accordance with this guidance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Tax years since 2011 remain subject to examination by the major tax jurisdictions in which the Company is subject to tax.</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Facility Agreement</w:t>
      </w:r>
    </w:p>
    <w:p>
      <w:pPr>
        <w:spacing w:after="0" w:line="96"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As of December 31, 2015 and 2014, there were $60.0 million principal amount of 2019 notes and $20.0 million principal amount of Tranche B notes outstanding. The 2019 notes accrue interest at annual rate of 9.75% and the Tranche B notes accrue interest at an annual rate of 8.75% and is paid quarterly in arrears on the last day of each March, June, September, and December. The Facility Agreement principal repayment schedule is comprised of annual payments beginning on July 1, 2016 and ending December 9, 2019. Future principal payments for the years ended December 31, 2016, 2017, 2018, and 2019 are $5.0 million, $20.0 million, $20.0 million, and $35.0 million, respectively.</w:t>
      </w:r>
    </w:p>
    <w:p>
      <w:pPr>
        <w:spacing w:after="0" w:line="35"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 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During the first quarter of 2015, a milestone triggering event was achieved following the Company’s product launch on February 3, 2015, which resulted in a $5.8 million incremental charge to</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expense due to the increase in carrying value of the liability to the required $10.0 million payment made in February of 2015. During the year ended December 31, 2014, the first milestone triggering event was achieved following the Company’s entry into the Sanofi License Agreement, which resulted in a $1.9 million incremental charge to interest expense due to the increase in carrying value of the liability to the required $5.0 million payment, which was paid to Deerfield pursuant to the terms of the Milestone Agreement. As of December 31, 2015, the remaining liability balance of $8.9 million is classified as long-term liability in other liabilities.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2015, the uncreated debt discount and debt issuance costs were $5.3 million and $0.1 million, respectively.</w:t>
      </w:r>
    </w:p>
    <w:p>
      <w:pPr>
        <w:spacing w:after="0" w:line="90"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Accretion of debt issuance cost and debt discount in connection with the Deerfield financing during the year ended December 31, 2015 and 2014 are as follows (in thousands):</w:t>
      </w:r>
    </w:p>
    <w:p>
      <w:pPr>
        <w:spacing w:after="0" w:line="47"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6282690</wp:posOffset>
            </wp:positionH>
            <wp:positionV relativeFrom="paragraph">
              <wp:posOffset>0</wp:posOffset>
            </wp:positionV>
            <wp:extent cx="909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ind w:left="10000"/>
        <w:spacing w:after="0"/>
        <w:tabs>
          <w:tab w:leader="none" w:pos="109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tbl>
      <w:tblPr>
        <w:tblLayout w:type="fixed"/>
        <w:tblInd w:w="0" w:type="dxa"/>
        <w:tblCellMar>
          <w:top w:w="0" w:type="dxa"/>
          <w:left w:w="0" w:type="dxa"/>
          <w:bottom w:w="0" w:type="dxa"/>
          <w:right w:w="0" w:type="dxa"/>
        </w:tblCellMar>
      </w:tblP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3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1,553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7,550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The Facility Agreement includes customary representations, warranties and covenants, including, a restriction on the incurrence of additional indebtedness, and a financial covenant which requires the Company’s cash and cash equivalents, which includes available borrowings on the principal stockholder note, on the last day of each fiscal quarter to not be less than $25.0 million. As discussed in Note 1 — Basis of Presentation, the Company will need to raise additional capital to support its current operating plans. Due to the uncertainties related to maintaining sufficient resources to comply with the aforementioned covenant, the 2019 notes have been classified as current liabilities in the accompanying balance sheet as of December 31, 2015. In the event of non-compliance, Deerfield may declare all or any portion of the 2019 notes and/or Tranche B notes to be immediately due and payable.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Milestone Rights</w:t>
      </w:r>
    </w:p>
    <w:p>
      <w:pPr>
        <w:spacing w:after="0" w:line="90"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w:t>
      </w:r>
    </w:p>
    <w:p>
      <w:pPr>
        <w:spacing w:after="0" w:line="59"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 xml:space="preserve">The Company analyzed the Milestone Rights under the provisions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determined that the instruments do not meet the definition of a freestanding derivative. Since the Company has not elected to apply the fair value option to the Milestone Rights, the Company has initially recorded the Milestone Rights at their estimated fair value and accounted for the Milestone Rights as a liability by applying the indexed debt guidance contained in paragraphs ASC 470-10-25-3 and 35-4.</w:t>
      </w:r>
    </w:p>
    <w:p>
      <w:pPr>
        <w:spacing w:after="0" w:line="62"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In determining the fair value of the Milestone Rights, the 13 individual milestone payments were adjusted for both (i) the expected timing and (ii) the probability of achieving the milestones, and then discounted to present value using a discount rate of 17.5%. Once the initial valuation of each specified milestone payment was determined, the individual milestone payments were then aggregated to arrive at a total fair value of $16.3 million. The discount rate was based on the estimated cost of equity which was derived using the capital asset pricing model. In addition, a 5% risk premium was added to the computation of the cost of equity to adjust for non-systemic risk factors, such as the Company’s lack of product diversification and history of financial losses, which were not captured in other model inputs.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Agreement</w:t>
      </w:r>
    </w:p>
    <w:p>
      <w:pPr>
        <w:spacing w:after="0" w:line="90"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connection with the Facility Agreement, the Company and its subsidiary, MannKind LLC, entered into a Guaranty and Security Agreement (the “Security Agreement”) with Deerfield and HS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2019 notes and tranche B notes, if applicable, in full. The Company’s obligations under the Facility Agreement and the Milestone Agreement are also secured by the mortgage on the Company’s facilities in Danbury, Connecticut, which has a carrying value of $23.0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Embedded Derivatives</w:t>
      </w:r>
    </w:p>
    <w:p>
      <w:pPr>
        <w:spacing w:after="0" w:line="90"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 xml:space="preserve">The Company identified and evaluated a number of embedded features in the notes issued under the Facility Agreement to determine if they represented embedded derivatives that are required to be separated from the notes and accounted for as freestanding instruments pursuant to ASC 815. In 2014, the Company analyzed the Tranche B notes and identified embedded derivatives which required separate accounting under ASC 815; however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At December 31, 2015, all of the embedded derivatives identified in the Tranche B notes were deemed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Charges</w:t>
      </w:r>
    </w:p>
    <w:p>
      <w:pPr>
        <w:spacing w:after="0" w:line="96"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On September 2015, the Company initiated a restructuring of the organization as a result of its shift to commercial production of AFREZZA. In connection with the restructuring, the Company reduced its total workforce by approximately 26% to 198 employees. The Company recorded restructuring charges of $5.9 million, $1.9 million, and $0.4 million for the years ended December 31, 2015, 2014, and 2013, respectively. As of December 31, 2015, the Company paid $2.8 million and the remaining balance is expected to be paid in the first quarter of 2016.</w:t>
      </w:r>
    </w:p>
    <w:p>
      <w:pPr>
        <w:spacing w:after="0" w:line="32"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The $5.9 million of costs associated with the restructuring are included in “Research and development” and “General and administrative” operating expenses in the condensed consolidated statements of operations as $3.0 million and $2.9 million, respectively, for the year ended December 31, 2015.</w:t>
      </w:r>
    </w:p>
    <w:p>
      <w:pPr>
        <w:spacing w:after="0" w:line="4"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As of December 31, 2015 and 2014, the Company had a restructuring accrual of $3.0 million and $0.3 million, respectively. The Company did not have a restructuring accrual as of December 31, 2013.</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Summarized quarterly financial data for the years ended December 31, 2015 and 2014 are set forth in the following tables: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0"/>
              </w:rPr>
              <w:t>June 30</w:t>
            </w:r>
          </w:p>
        </w:tc>
        <w:tc>
          <w:tcPr>
            <w:tcW w:w="2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11"/>
          </w:tcPr>
          <w:p>
            <w:pPr>
              <w:ind w:left="20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6"/>
          </w:tcPr>
          <w:p>
            <w:pPr>
              <w:jc w:val="right"/>
              <w:ind w:right="260"/>
              <w:spacing w:after="0"/>
              <w:rPr>
                <w:sz w:val="20"/>
                <w:szCs w:val="20"/>
                <w:color w:val="auto"/>
              </w:rPr>
            </w:pPr>
            <w:r>
              <w:rPr>
                <w:rFonts w:ascii="Arial" w:cs="Arial" w:eastAsia="Arial" w:hAnsi="Arial"/>
                <w:sz w:val="18"/>
                <w:szCs w:val="18"/>
                <w:color w:val="auto"/>
              </w:rPr>
              <w:t>$ (30,658)</w:t>
            </w:r>
          </w:p>
        </w:tc>
        <w:tc>
          <w:tcPr>
            <w:tcW w:w="1220" w:type="dxa"/>
            <w:vAlign w:val="bottom"/>
            <w:gridSpan w:val="6"/>
          </w:tcPr>
          <w:p>
            <w:pPr>
              <w:jc w:val="right"/>
              <w:ind w:right="260"/>
              <w:spacing w:after="0"/>
              <w:rPr>
                <w:sz w:val="20"/>
                <w:szCs w:val="20"/>
                <w:color w:val="auto"/>
              </w:rPr>
            </w:pPr>
            <w:r>
              <w:rPr>
                <w:rFonts w:ascii="Arial" w:cs="Arial" w:eastAsia="Arial" w:hAnsi="Arial"/>
                <w:sz w:val="18"/>
                <w:szCs w:val="18"/>
                <w:color w:val="auto"/>
              </w:rPr>
              <w:t>$ (28,910)</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(31,857)</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 (277,020)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w w:val="91"/>
              </w:rPr>
              <w:t>Weighted average common shares used to compute basic and diluted net loss per share</w:t>
            </w: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398,916</w:t>
            </w:r>
          </w:p>
        </w:tc>
        <w:tc>
          <w:tcPr>
            <w:tcW w:w="280" w:type="dxa"/>
            <w:vAlign w:val="bottom"/>
          </w:tcPr>
          <w:p>
            <w:pPr>
              <w:spacing w:after="0"/>
              <w:rPr>
                <w:sz w:val="18"/>
                <w:szCs w:val="18"/>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401,018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405,199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419,314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8"/>
              </w:rPr>
              <w:t>June 30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11"/>
          </w:tcPr>
          <w:p>
            <w:pPr>
              <w:ind w:left="22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6"/>
          </w:tcPr>
          <w:p>
            <w:pPr>
              <w:jc w:val="right"/>
              <w:ind w:right="220"/>
              <w:spacing w:after="0"/>
              <w:rPr>
                <w:sz w:val="20"/>
                <w:szCs w:val="20"/>
                <w:color w:val="auto"/>
              </w:rPr>
            </w:pPr>
            <w:r>
              <w:rPr>
                <w:rFonts w:ascii="Arial" w:cs="Arial" w:eastAsia="Arial" w:hAnsi="Arial"/>
                <w:sz w:val="18"/>
                <w:szCs w:val="18"/>
                <w:color w:val="auto"/>
              </w:rPr>
              <w:t>$ (52,056)</w:t>
            </w:r>
          </w:p>
        </w:tc>
        <w:tc>
          <w:tcPr>
            <w:tcW w:w="1220" w:type="dxa"/>
            <w:vAlign w:val="bottom"/>
            <w:gridSpan w:val="6"/>
          </w:tcPr>
          <w:p>
            <w:pPr>
              <w:jc w:val="right"/>
              <w:ind w:right="240"/>
              <w:spacing w:after="0"/>
              <w:rPr>
                <w:sz w:val="20"/>
                <w:szCs w:val="20"/>
                <w:color w:val="auto"/>
              </w:rPr>
            </w:pPr>
            <w:r>
              <w:rPr>
                <w:rFonts w:ascii="Arial" w:cs="Arial" w:eastAsia="Arial" w:hAnsi="Arial"/>
                <w:sz w:val="18"/>
                <w:szCs w:val="18"/>
                <w:color w:val="auto"/>
              </w:rPr>
              <w:t>$ (73,365)</w:t>
            </w: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(36,520)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(36,439)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w w:val="91"/>
              </w:rPr>
              <w:t>Weighted average common shares used to compute basic and diluted net loss per share</w:t>
            </w: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368,784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380,770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394,163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396,793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Impairment charges were recorded in 2015 for $242.7 million related to long-lived assets, inventory and loss on purchase commitments.</w:t>
      </w:r>
    </w:p>
    <w:p>
      <w:pPr>
        <w:spacing w:after="0" w:line="165" w:lineRule="exact"/>
        <w:rPr>
          <w:sz w:val="20"/>
          <w:szCs w:val="20"/>
          <w:color w:val="auto"/>
        </w:rPr>
      </w:pPr>
    </w:p>
    <w:p>
      <w:pPr>
        <w:ind w:left="240" w:right="9720" w:hanging="232"/>
        <w:spacing w:after="0" w:line="417" w:lineRule="auto"/>
        <w:tabs>
          <w:tab w:leader="none" w:pos="275"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Sanofi Termination</w:t>
      </w:r>
    </w:p>
    <w:p>
      <w:pPr>
        <w:spacing w:after="0" w:line="1"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On January 4, 2016, the Company received written notice from Sanofi of its election to terminate in its entirety the Sanofi License Agreement. Sanofi’s notice indicated that the termination was pursuant to Sanofi’s right to terminate the agreement upon Sanofi’s good faith determination that the commercialization of AFREZZA is no longer economically viable in the United States, in which case the effective date of termination would be April 4, 2016. In the alternative, Sanofi indicated that the termination was also pursuant to its right to terminate the Sanofi License Agreement for any reason, in which case the Termination Date would be July 4, 2016. In the interest of an expedient transition, the Company is currently working with Sanofi to transfer and wind down the agreement activities by April 4, 2016, or as soon as practicable thereafter.</w:t>
      </w:r>
    </w:p>
    <w:p>
      <w:pPr>
        <w:spacing w:after="0" w:line="39"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Pursuant to the terms of the Sanofi License Agreement, the Company and Sanofi are required to use diligent efforts to facilitate the smooth and orderly transition of relevant obligations and rights to the Company with respect to development and commercialization activities related to AFREZZA, and are also required to negotiate in good faith a written transition agreement for this purpose. As a result of the foregoing termination, effective on the Termination Date and thereafter during any period which Sanofi is required to perform any wind-down activities pursuant to the terms of the Sanofi License Agreement, the rights granted to Sanofi under the Sanofi License Agreement to develop and commercialize AFREZZA will become non-exclusive and the Company will have the right to engage one or more other distributors and/or licensees of AFREZZA. Sanofi will continue to distribute AFREZZA during the wind-down period as required by the agreement until such time that the Company or its designee takes over responsibility for distribution. All profits and losses from AFREZZA product sales by Sanofi or its affiliates after the Termination Date, if any, will continue to be shared 65% by Sanofi and 35% by the Company pursuant to the terms of the Sanofi License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Company and Sanofi are also parties to the Sanofi Supply Agreement, pursuant to which the Company is required to supply Sanofi or its affiliates or its sublicensees such quantities of AFREZZA as requested by Sanofi to cover its commercial requirements. As a result of the termination of the Sanofi License Agreement, the Sanofi Supply Agreement will terminate by its terms on the Termination Date.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Sanofi Loan Facility</w:t>
      </w:r>
    </w:p>
    <w:p>
      <w:pPr>
        <w:spacing w:after="0" w:line="90"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On February 10, 2016, the Company borrowed $17.9 million under the Sanofi Loan Facility to finance the portion of its losses for the quarter ended December 31, 2015 (see Note 9 — Collaboration arrangement).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5" w:name="page116"/>
    <w:bookmarkEnd w:id="115"/>
    <w:p>
      <w:pPr>
        <w:ind w:left="10480"/>
        <w:spacing w:after="0"/>
        <w:rPr>
          <w:sz w:val="20"/>
          <w:szCs w:val="20"/>
          <w:color w:val="auto"/>
        </w:rPr>
      </w:pPr>
      <w:r>
        <w:rPr>
          <w:rFonts w:ascii="Arial" w:cs="Arial" w:eastAsia="Arial" w:hAnsi="Arial"/>
          <w:sz w:val="16"/>
          <w:szCs w:val="16"/>
          <w:b w:val="1"/>
          <w:bCs w:val="1"/>
          <w:color w:val="auto"/>
        </w:rPr>
        <w:t>Exhibit 4.17</w:t>
      </w:r>
    </w:p>
    <w:p>
      <w:pPr>
        <w:spacing w:after="0" w:line="2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THIS WARRANT AND THE UNDERLYING SECURITIES HAVE NOT BEEN REGISTERED UNDER THE SECURITIES ACT OF 1933, AS AMENDED (THE “ACT”). THEY MAY NOT BE SOLD, OFFERED FOR SALE, PLEDGED OR HYPOTHECATED IN THE ABSENCE OF AN EFFECTIVE REGISTRATION STATEMENT AS TO SUCH SECURITIES UNDER THE ACT OR AN OPINION OF COUNSEL SATISFACTORY TO THE COMPANY THAT SUCH REGISTRATION IS NOT REQUIRED.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 xml:space="preserve">Warrant No.: </w:t>
      </w: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-7620</wp:posOffset>
            </wp:positionV>
            <wp:extent cx="1143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Issuance Date: </w:t>
      </w:r>
      <w:r>
        <w:rPr>
          <w:rFonts w:ascii="Arial" w:cs="Arial" w:eastAsia="Arial" w:hAnsi="Arial"/>
          <w:sz w:val="18"/>
          <w:szCs w:val="18"/>
          <w:color w:val="auto"/>
        </w:rPr>
        <w:t>November 16,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November 16,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460"/>
              <w:spacing w:after="0"/>
              <w:rPr>
                <w:sz w:val="20"/>
                <w:szCs w:val="20"/>
                <w:color w:val="auto"/>
              </w:rPr>
            </w:pPr>
            <w:r>
              <w:rPr>
                <w:rFonts w:ascii="Arial" w:cs="Arial" w:eastAsia="Arial" w:hAnsi="Arial"/>
                <w:sz w:val="18"/>
                <w:szCs w:val="18"/>
                <w:b w:val="1"/>
                <w:bCs w:val="1"/>
                <w:color w:val="auto"/>
                <w:w w:val="96"/>
              </w:rPr>
              <w:t>T</w:t>
            </w:r>
            <w:r>
              <w:rPr>
                <w:rFonts w:ascii="Arial" w:cs="Arial" w:eastAsia="Arial" w:hAnsi="Arial"/>
                <w:sz w:val="15"/>
                <w:szCs w:val="15"/>
                <w:b w:val="1"/>
                <w:bCs w:val="1"/>
                <w:color w:val="auto"/>
                <w:w w:val="96"/>
              </w:rPr>
              <w:t>HIS</w:t>
            </w:r>
            <w:r>
              <w:rPr>
                <w:rFonts w:ascii="Arial" w:cs="Arial" w:eastAsia="Arial" w:hAnsi="Arial"/>
                <w:sz w:val="18"/>
                <w:szCs w:val="18"/>
                <w:b w:val="1"/>
                <w:bCs w:val="1"/>
                <w:color w:val="auto"/>
                <w:w w:val="96"/>
              </w:rPr>
              <w:t xml:space="preserve"> C</w:t>
            </w:r>
            <w:r>
              <w:rPr>
                <w:rFonts w:ascii="Arial" w:cs="Arial" w:eastAsia="Arial" w:hAnsi="Arial"/>
                <w:sz w:val="15"/>
                <w:szCs w:val="15"/>
                <w:b w:val="1"/>
                <w:bCs w:val="1"/>
                <w:color w:val="auto"/>
                <w:w w:val="96"/>
              </w:rPr>
              <w:t>ERTIFIES</w:t>
            </w:r>
            <w:r>
              <w:rPr>
                <w:rFonts w:ascii="Arial" w:cs="Arial" w:eastAsia="Arial" w:hAnsi="Arial"/>
                <w:sz w:val="18"/>
                <w:szCs w:val="18"/>
                <w:b w:val="1"/>
                <w:bCs w:val="1"/>
                <w:color w:val="auto"/>
                <w:w w:val="96"/>
              </w:rPr>
              <w:t xml:space="preserve"> T</w:t>
            </w:r>
            <w:r>
              <w:rPr>
                <w:rFonts w:ascii="Arial" w:cs="Arial" w:eastAsia="Arial" w:hAnsi="Arial"/>
                <w:sz w:val="15"/>
                <w:szCs w:val="15"/>
                <w:b w:val="1"/>
                <w:bCs w:val="1"/>
                <w:color w:val="auto"/>
                <w:w w:val="96"/>
              </w:rPr>
              <w:t>HAT</w:t>
            </w:r>
            <w:r>
              <w:rPr>
                <w:rFonts w:ascii="Arial" w:cs="Arial" w:eastAsia="Arial" w:hAnsi="Arial"/>
                <w:sz w:val="18"/>
                <w:szCs w:val="18"/>
                <w:color w:val="auto"/>
                <w:w w:val="96"/>
              </w:rPr>
              <w:t>, for value received,</w:t>
            </w:r>
            <w:r>
              <w:rPr>
                <w:rFonts w:ascii="Arial" w:cs="Arial" w:eastAsia="Arial" w:hAnsi="Arial"/>
                <w:sz w:val="18"/>
                <w:szCs w:val="18"/>
                <w:b w:val="1"/>
                <w:bCs w:val="1"/>
                <w:color w:val="auto"/>
                <w:w w:val="96"/>
              </w:rPr>
              <w:t xml:space="preserve"> [</w:t>
            </w:r>
          </w:p>
        </w:tc>
        <w:tc>
          <w:tcPr>
            <w:tcW w:w="1620" w:type="dxa"/>
            <w:vAlign w:val="bottom"/>
            <w:tcBorders>
              <w:bottom w:val="single" w:sz="8" w:color="auto"/>
            </w:tcBorders>
          </w:tcPr>
          <w:p>
            <w:pPr>
              <w:spacing w:after="0"/>
              <w:rPr>
                <w:sz w:val="17"/>
                <w:szCs w:val="17"/>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or its assigns (the “</w:t>
            </w:r>
            <w:r>
              <w:rPr>
                <w:rFonts w:ascii="Arial" w:cs="Arial" w:eastAsia="Arial" w:hAnsi="Arial"/>
                <w:sz w:val="18"/>
                <w:szCs w:val="18"/>
                <w:b w:val="1"/>
                <w:bCs w:val="1"/>
                <w:i w:val="1"/>
                <w:iCs w:val="1"/>
                <w:color w:val="auto"/>
                <w:w w:val="90"/>
              </w:rPr>
              <w:t>Holder</w:t>
            </w:r>
            <w:r>
              <w:rPr>
                <w:rFonts w:ascii="Arial" w:cs="Arial" w:eastAsia="Arial" w:hAnsi="Arial"/>
                <w:sz w:val="18"/>
                <w:szCs w:val="18"/>
                <w:color w:val="auto"/>
                <w:w w:val="90"/>
              </w:rPr>
              <w:t>”), is entitled to subscribe for and purchase at the</w:t>
            </w:r>
          </w:p>
        </w:tc>
      </w:tr>
      <w:tr>
        <w:trPr>
          <w:trHeight w:val="196"/>
        </w:trPr>
        <w:tc>
          <w:tcPr>
            <w:tcW w:w="8960" w:type="dxa"/>
            <w:vAlign w:val="bottom"/>
            <w:gridSpan w:val="4"/>
          </w:tcPr>
          <w:p>
            <w:pPr>
              <w:spacing w:after="0" w:line="196" w:lineRule="exact"/>
              <w:rPr>
                <w:sz w:val="20"/>
                <w:szCs w:val="20"/>
                <w:color w:val="auto"/>
              </w:rPr>
            </w:pPr>
            <w:r>
              <w:rPr>
                <w:rFonts w:ascii="Arial" w:cs="Arial" w:eastAsia="Arial" w:hAnsi="Arial"/>
                <w:sz w:val="18"/>
                <w:szCs w:val="18"/>
                <w:color w:val="auto"/>
              </w:rPr>
              <w:t xml:space="preserve">Exercise Price (defined below) from </w:t>
            </w: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ORPORATION</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up to [</w:t>
            </w:r>
          </w:p>
        </w:tc>
        <w:tc>
          <w:tcPr>
            <w:tcW w:w="1920" w:type="dxa"/>
            <w:vAlign w:val="bottom"/>
          </w:tcPr>
          <w:p>
            <w:pPr>
              <w:spacing w:after="0" w:line="196" w:lineRule="exact"/>
              <w:rPr>
                <w:sz w:val="20"/>
                <w:szCs w:val="20"/>
                <w:color w:val="auto"/>
              </w:rPr>
            </w:pPr>
            <w:r>
              <w:rPr>
                <w:rFonts w:ascii="Arial" w:cs="Arial" w:eastAsia="Arial" w:hAnsi="Arial"/>
                <w:sz w:val="18"/>
                <w:szCs w:val="18"/>
                <w:color w:val="auto"/>
                <w:w w:val="90"/>
              </w:rPr>
              <w:t>] shares of the Company’s</w:t>
            </w: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bl>
    <w:p>
      <w:pPr>
        <w:spacing w:after="0" w:line="20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This Warrant is being issued pursuant to the terms of the Investment Banking Agreement, dated October 5, 2015, by and between the Company and Sunrise Securities Corp.</w:t>
      </w:r>
    </w:p>
    <w:p>
      <w:pPr>
        <w:spacing w:after="0" w:line="166"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terms shall have the following respective meanings:</w:t>
      </w:r>
    </w:p>
    <w:p>
      <w:pPr>
        <w:spacing w:after="0" w:line="121"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means the period commencing with the date hereof and ending five (5) years later, unless sooner terminated as provided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below.</w:t>
      </w:r>
    </w:p>
    <w:p>
      <w:pPr>
        <w:spacing w:after="0" w:line="210" w:lineRule="exact"/>
        <w:rPr>
          <w:rFonts w:ascii="Arial" w:cs="Arial" w:eastAsia="Arial" w:hAnsi="Arial"/>
          <w:sz w:val="16"/>
          <w:szCs w:val="16"/>
          <w:b w:val="1"/>
          <w:bCs w:val="1"/>
          <w:color w:val="auto"/>
        </w:rPr>
      </w:pPr>
    </w:p>
    <w:p>
      <w:pPr>
        <w:ind w:left="1180" w:hanging="259"/>
        <w:spacing w:after="0"/>
        <w:tabs>
          <w:tab w:leader="none" w:pos="118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$2.61 (USD) per share, subject to adjustment pursuant to Section 5 below.</w:t>
      </w:r>
    </w:p>
    <w:p>
      <w:pPr>
        <w:spacing w:after="0" w:line="225" w:lineRule="exact"/>
        <w:rPr>
          <w:rFonts w:ascii="Arial" w:cs="Arial" w:eastAsia="Arial" w:hAnsi="Arial"/>
          <w:sz w:val="18"/>
          <w:szCs w:val="18"/>
          <w:b w:val="1"/>
          <w:bCs w:val="1"/>
          <w:color w:val="auto"/>
        </w:rPr>
      </w:pPr>
    </w:p>
    <w:p>
      <w:pPr>
        <w:ind w:right="300" w:firstLine="921"/>
        <w:spacing w:after="0" w:line="277" w:lineRule="auto"/>
        <w:tabs>
          <w:tab w:leader="none" w:pos="1157"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Shares</w:t>
      </w:r>
      <w:r>
        <w:rPr>
          <w:rFonts w:ascii="Arial" w:cs="Arial" w:eastAsia="Arial" w:hAnsi="Arial"/>
          <w:sz w:val="18"/>
          <w:szCs w:val="18"/>
          <w:color w:val="auto"/>
        </w:rPr>
        <w:t>” means the shares of Common Stock issuable upon exercise of this Warrant, subject to adjustment pursuant to the terms herein, including but not limited to adjustment pursuant to Section 5 below.</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right="920" w:firstLine="921"/>
        <w:spacing w:after="0" w:line="277" w:lineRule="auto"/>
        <w:tabs>
          <w:tab w:leader="none" w:pos="1157"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rFonts w:ascii="Arial" w:cs="Arial" w:eastAsia="Arial" w:hAnsi="Arial"/>
          <w:sz w:val="18"/>
          <w:szCs w:val="18"/>
          <w:b w:val="1"/>
          <w:bCs w:val="1"/>
          <w:color w:val="auto"/>
        </w:rPr>
      </w:pPr>
    </w:p>
    <w:p>
      <w:pPr>
        <w:ind w:right="40" w:firstLine="921"/>
        <w:spacing w:after="0" w:line="297" w:lineRule="auto"/>
        <w:tabs>
          <w:tab w:leader="none" w:pos="1138"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any day on which the Common Stock is traded on The NASDAQ Global Market, or, if The NASDAQ Global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6" w:name="page117"/>
    <w:bookmarkEnd w:id="116"/>
    <w:p>
      <w:pPr>
        <w:ind w:left="640" w:hanging="176"/>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XERCISE OF</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b w:val="1"/>
          <w:bCs w:val="1"/>
          <w:color w:val="auto"/>
        </w:rPr>
        <w:t xml:space="preserve">2.1 Mechanics of Exercise. </w:t>
      </w:r>
      <w:r>
        <w:rPr>
          <w:rFonts w:ascii="Arial" w:cs="Arial" w:eastAsia="Arial" w:hAnsi="Arial"/>
          <w:sz w:val="16"/>
          <w:szCs w:val="16"/>
          <w:color w:val="auto"/>
        </w:rPr>
        <w:t>This Warrant may be exercised in whole or in part at any time during the Exercise Period by delivery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to the Company at its address set forth on the signature page hereto (or at such other address as it may designate by notice in writing to the Holder):</w:t>
      </w:r>
    </w:p>
    <w:p>
      <w:pPr>
        <w:spacing w:after="0" w:line="1" w:lineRule="exact"/>
        <w:rPr>
          <w:sz w:val="20"/>
          <w:szCs w:val="20"/>
          <w:color w:val="auto"/>
        </w:rPr>
      </w:pPr>
    </w:p>
    <w:p>
      <w:pPr>
        <w:ind w:firstLine="8"/>
        <w:spacing w:after="0" w:line="283" w:lineRule="auto"/>
        <w:tabs>
          <w:tab w:leader="none" w:pos="2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duly executed and completed Notice of Exercise in the form attached hereto; and (b) if the Holder is not electing a Cashless Exercise (as defined below) to the extent permitted pursuant to Section 2.2 below, payment to the Company of an amount equal to the Exercise Price multiplied by the number of Exercise Shares as to which this Warrant is being exercised (the “</w:t>
      </w:r>
      <w:r>
        <w:rPr>
          <w:rFonts w:ascii="Arial" w:cs="Arial" w:eastAsia="Arial" w:hAnsi="Arial"/>
          <w:sz w:val="16"/>
          <w:szCs w:val="16"/>
          <w:b w:val="1"/>
          <w:bCs w:val="1"/>
          <w:i w:val="1"/>
          <w:iCs w:val="1"/>
          <w:color w:val="auto"/>
        </w:rPr>
        <w:t>Aggregate Exercise Price</w:t>
      </w:r>
      <w:r>
        <w:rPr>
          <w:rFonts w:ascii="Arial" w:cs="Arial" w:eastAsia="Arial" w:hAnsi="Arial"/>
          <w:sz w:val="16"/>
          <w:szCs w:val="16"/>
          <w:color w:val="auto"/>
        </w:rPr>
        <w:t>”) in cash, by check or wire transfer of immediately available funds to an account designated by the Company (a “</w:t>
      </w:r>
      <w:r>
        <w:rPr>
          <w:rFonts w:ascii="Arial" w:cs="Arial" w:eastAsia="Arial" w:hAnsi="Arial"/>
          <w:sz w:val="16"/>
          <w:szCs w:val="16"/>
          <w:b w:val="1"/>
          <w:bCs w:val="1"/>
          <w:i w:val="1"/>
          <w:iCs w:val="1"/>
          <w:color w:val="auto"/>
        </w:rPr>
        <w:t>Cash Exercise</w:t>
      </w:r>
      <w:r>
        <w:rPr>
          <w:rFonts w:ascii="Arial" w:cs="Arial" w:eastAsia="Arial" w:hAnsi="Arial"/>
          <w:sz w:val="16"/>
          <w:szCs w:val="16"/>
          <w:color w:val="auto"/>
        </w:rPr>
        <w:t>”). All payments hereunder shall be made in U.S. Dollars. The Holder shall not be required to surrender this Warrant in order to effect an exercise hereunder, provided that in the event of an exercise of this Warrant for all Exercise Shares then issuable hereunder, this Warrant is surrendered to the Company by the second (2nd) Trading Day (as defined below) following the date on which the Company has received each of (i) the Notice of Exercise and, if this Warrant is being exercised pursuant to a Cash Exercise, the Aggregate Exercise Price (collectively, the “</w:t>
      </w:r>
      <w:r>
        <w:rPr>
          <w:rFonts w:ascii="Arial" w:cs="Arial" w:eastAsia="Arial" w:hAnsi="Arial"/>
          <w:sz w:val="16"/>
          <w:szCs w:val="16"/>
          <w:b w:val="1"/>
          <w:bCs w:val="1"/>
          <w:i w:val="1"/>
          <w:iCs w:val="1"/>
          <w:color w:val="auto"/>
        </w:rPr>
        <w:t>Exercise Delivery Documents</w:t>
      </w:r>
      <w:r>
        <w:rPr>
          <w:rFonts w:ascii="Arial" w:cs="Arial" w:eastAsia="Arial" w:hAnsi="Arial"/>
          <w:sz w:val="16"/>
          <w:szCs w:val="16"/>
          <w:color w:val="auto"/>
        </w:rPr>
        <w:t>”). On or before the first (1st) Trading Day following the date on which the Company has received the Exercise Delivery Documents, the Company shall transmit by email or facsimile an acknowledgment of confirmation of receipt of the Exercise Delivery Documents to the Holder and the Company’s transfer agent for the Common Stock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The Company shall deliver any objection to the Exercise Delivery Documents on or before the first (1st) Trading Day following the date on which the Company has received all of the Exercise Delivery Documents. In the event of any discrepancy or dispute, the records of the Company shall be controlling and determinative in the absence of manifest error. On or before the third (3rd) Trading Day following the date on which the Company has received the Exercise Delivery Documents (the “</w:t>
      </w:r>
      <w:r>
        <w:rPr>
          <w:rFonts w:ascii="Arial" w:cs="Arial" w:eastAsia="Arial" w:hAnsi="Arial"/>
          <w:sz w:val="16"/>
          <w:szCs w:val="16"/>
          <w:b w:val="1"/>
          <w:bCs w:val="1"/>
          <w:i w:val="1"/>
          <w:iCs w:val="1"/>
          <w:color w:val="auto"/>
        </w:rPr>
        <w:t>Share Delivery Date</w:t>
      </w:r>
      <w:r>
        <w:rPr>
          <w:rFonts w:ascii="Arial" w:cs="Arial" w:eastAsia="Arial" w:hAnsi="Arial"/>
          <w:sz w:val="16"/>
          <w:szCs w:val="16"/>
          <w:color w:val="auto"/>
        </w:rPr>
        <w:t>”), the Company shall, upon the request of the Holder, credit such aggregate number of shares of Common Stock to which the Holder is entitled pursuant to such exercise to the Holder’s or its designee’s balance account with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through its Deposit Withdrawal Agent Commission system, or if the Transfer Agent is not participating in the Fast Automated Securities Transfer Program (the “</w:t>
      </w:r>
      <w:r>
        <w:rPr>
          <w:rFonts w:ascii="Arial" w:cs="Arial" w:eastAsia="Arial" w:hAnsi="Arial"/>
          <w:sz w:val="16"/>
          <w:szCs w:val="16"/>
          <w:b w:val="1"/>
          <w:bCs w:val="1"/>
          <w:i w:val="1"/>
          <w:iCs w:val="1"/>
          <w:color w:val="auto"/>
        </w:rPr>
        <w:t>FAST Program</w:t>
      </w:r>
      <w:r>
        <w:rPr>
          <w:rFonts w:ascii="Arial" w:cs="Arial" w:eastAsia="Arial" w:hAnsi="Arial"/>
          <w:sz w:val="16"/>
          <w:szCs w:val="16"/>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Upon delivery of the Exercise Delivery Documents, the Holder shall be deemed for all purposes to have become the holder of record of the Exercise Shares with respect to which this Warrant has been exercised, irrespective of the date such Exercise Shares are credited to the Holder’s DTC account or the date of delivery of the certificates evidencing such Exercise Shares, as the case may be. If this Warrant is submitted to the Company in connection with an exercise and the number of Exercise Shares represented by this Warrant submitted for exercise is greater than the number of Exercise Shares being acquired upon an exercise, then the Company shall as soon as practicable and in no event later than five (5) Trading Days after any exercise and at its own expense, issue a new Warrant representing the right to purchase the number of Exercise Shares purchasable immediately prior to such exercise under this Warrant, less the number of Exercise Shares with respect to which this Warrant is exercised. The Holder shall be responsible for all other tax liability that may arise as a result of holding or transferring this Warrant or receiving Exercise Shares upon exercise hereof.</w:t>
      </w:r>
    </w:p>
    <w:p>
      <w:pPr>
        <w:spacing w:after="0" w:line="175"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 xml:space="preserve">2.2 Cashless Exercise. </w:t>
      </w:r>
      <w:r>
        <w:rPr>
          <w:rFonts w:ascii="Arial" w:cs="Arial" w:eastAsia="Arial" w:hAnsi="Arial"/>
          <w:sz w:val="18"/>
          <w:szCs w:val="18"/>
          <w:color w:val="auto"/>
        </w:rPr>
        <w:t>Notwithstanding anything contained herein to the contrary, if (i) a registration statement registering for resale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Shares under the Securities Act is not effective or available for the Exercise Shares and (ii) an exemption from registration under the Securities Act for resale of the Exercise Shares is not available for the Exercise Shares, then the Holder may, in its sole discretion, exercise this Warrant in whole or in part and, in lieu of making the cash payment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17" w:name="page118"/>
    <w:bookmarkEnd w:id="117"/>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w:t>
      </w:r>
    </w:p>
    <w:p>
      <w:pPr>
        <w:spacing w:after="0" w:line="17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w:t>
      </w:r>
    </w:p>
    <w:p>
      <w:pPr>
        <w:spacing w:after="0" w:line="11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For purposes of the foregoing formula:</w:t>
      </w:r>
    </w:p>
    <w:p>
      <w:pPr>
        <w:sectPr>
          <w:pgSz w:w="11900" w:h="16838" w:orient="portrait"/>
          <w:cols w:equalWidth="0" w:num="1">
            <w:col w:w="11360"/>
          </w:cols>
          <w:pgMar w:left="240" w:top="274" w:right="299" w:bottom="1440" w:gutter="0" w:footer="0" w:header="0"/>
        </w:sectPr>
      </w:pPr>
    </w:p>
    <w:p>
      <w:pPr>
        <w:spacing w:after="0" w:line="11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660"/>
        <w:spacing w:after="0" w:line="277" w:lineRule="auto"/>
        <w:rPr>
          <w:sz w:val="20"/>
          <w:szCs w:val="20"/>
          <w:color w:val="auto"/>
        </w:rPr>
      </w:pPr>
      <w:r>
        <w:rPr>
          <w:rFonts w:ascii="Arial" w:cs="Arial" w:eastAsia="Arial" w:hAnsi="Arial"/>
          <w:sz w:val="18"/>
          <w:szCs w:val="18"/>
          <w:color w:val="auto"/>
        </w:rPr>
        <w:t>the total number of Exercise Shares with respect to which this Warrant is then being exercised.</w:t>
      </w:r>
    </w:p>
    <w:p>
      <w:pPr>
        <w:spacing w:after="0" w:line="62" w:lineRule="exact"/>
        <w:rPr>
          <w:sz w:val="20"/>
          <w:szCs w:val="20"/>
          <w:color w:val="auto"/>
        </w:rPr>
      </w:pPr>
    </w:p>
    <w:p>
      <w:pPr>
        <w:sectPr>
          <w:pgSz w:w="11900" w:h="16838" w:orient="portrait"/>
          <w:cols w:equalWidth="0" w:num="2">
            <w:col w:w="2520" w:space="140"/>
            <w:col w:w="8700"/>
          </w:cols>
          <w:pgMar w:left="240" w:top="274" w:right="299" w:bottom="1440" w:gutter="0" w:footer="0" w:header="0"/>
          <w:type w:val="continuous"/>
        </w:sectPr>
      </w:pPr>
    </w:p>
    <w:p>
      <w:pPr>
        <w:ind w:left="2300"/>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2240"/>
        <w:spacing w:after="0" w:line="264" w:lineRule="auto"/>
        <w:rPr>
          <w:sz w:val="20"/>
          <w:szCs w:val="20"/>
          <w:color w:val="auto"/>
        </w:rPr>
      </w:pPr>
      <w:r>
        <w:rPr>
          <w:rFonts w:ascii="Arial" w:cs="Arial" w:eastAsia="Arial" w:hAnsi="Arial"/>
          <w:sz w:val="18"/>
          <w:szCs w:val="18"/>
          <w:color w:val="auto"/>
        </w:rPr>
        <w:t>the Weighted Average Price (as defined below) of the shares of Common Stock (as reported by Bloomberg (as defined below)) on the date immediately preceding the date of the Exercise Notice.</w:t>
      </w:r>
    </w:p>
    <w:p>
      <w:pPr>
        <w:spacing w:after="0" w:line="73" w:lineRule="exact"/>
        <w:rPr>
          <w:sz w:val="20"/>
          <w:szCs w:val="20"/>
          <w:color w:val="auto"/>
        </w:rPr>
      </w:pPr>
    </w:p>
    <w:p>
      <w:pPr>
        <w:sectPr>
          <w:pgSz w:w="11900" w:h="16838" w:orient="portrait"/>
          <w:cols w:equalWidth="0" w:num="2">
            <w:col w:w="2520" w:space="140"/>
            <w:col w:w="8700"/>
          </w:cols>
          <w:pgMar w:left="240" w:top="274" w:right="29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2540"/>
        <w:spacing w:after="0" w:line="277" w:lineRule="auto"/>
        <w:rPr>
          <w:sz w:val="20"/>
          <w:szCs w:val="20"/>
          <w:color w:val="auto"/>
        </w:rPr>
      </w:pPr>
      <w:r>
        <w:rPr>
          <w:rFonts w:ascii="Arial" w:cs="Arial" w:eastAsia="Arial" w:hAnsi="Arial"/>
          <w:sz w:val="18"/>
          <w:szCs w:val="18"/>
          <w:color w:val="auto"/>
        </w:rPr>
        <w:t>the Exercise Price then in effect for the applicable Exercise Shares at the time of such exercise.</w:t>
      </w:r>
    </w:p>
    <w:p>
      <w:pPr>
        <w:spacing w:after="0" w:line="170" w:lineRule="exact"/>
        <w:rPr>
          <w:sz w:val="20"/>
          <w:szCs w:val="20"/>
          <w:color w:val="auto"/>
        </w:rPr>
      </w:pPr>
    </w:p>
    <w:p>
      <w:pPr>
        <w:sectPr>
          <w:pgSz w:w="11900" w:h="16838" w:orient="portrait"/>
          <w:cols w:equalWidth="0" w:num="2">
            <w:col w:w="2520" w:space="140"/>
            <w:col w:w="8700"/>
          </w:cols>
          <w:pgMar w:left="240" w:top="274" w:right="299" w:bottom="1440" w:gutter="0" w:footer="0" w:header="0"/>
          <w:type w:val="continuous"/>
        </w:sectPr>
      </w:pPr>
    </w:p>
    <w:p>
      <w:pPr>
        <w:ind w:firstLine="456"/>
        <w:spacing w:after="0" w:line="286" w:lineRule="auto"/>
        <w:rPr>
          <w:sz w:val="20"/>
          <w:szCs w:val="20"/>
          <w:color w:val="auto"/>
        </w:rPr>
      </w:pPr>
      <w:r>
        <w:rPr>
          <w:rFonts w:ascii="Arial" w:cs="Arial" w:eastAsia="Arial" w:hAnsi="Arial"/>
          <w:sz w:val="16"/>
          <w:szCs w:val="16"/>
          <w:color w:val="auto"/>
        </w:rPr>
        <w:t>For purposes of the above calculation, “</w:t>
      </w:r>
      <w:r>
        <w:rPr>
          <w:rFonts w:ascii="Arial" w:cs="Arial" w:eastAsia="Arial" w:hAnsi="Arial"/>
          <w:sz w:val="16"/>
          <w:szCs w:val="16"/>
          <w:b w:val="1"/>
          <w:bCs w:val="1"/>
          <w:i w:val="1"/>
          <w:iCs w:val="1"/>
          <w:color w:val="auto"/>
        </w:rPr>
        <w:t>Weighted Average Price</w:t>
      </w:r>
      <w:r>
        <w:rPr>
          <w:rFonts w:ascii="Arial" w:cs="Arial" w:eastAsia="Arial" w:hAnsi="Arial"/>
          <w:sz w:val="16"/>
          <w:szCs w:val="16"/>
          <w:color w:val="auto"/>
        </w:rPr>
        <w:t>” means, for any security as of any date, the dollar volume-weighted average price for such security on The NASDAQ Global Market during the period beginning at 9:30:01 a.m., New York City time, and ending at 4:00:00 p.m., New York City time, as reported by Bloomberg Financial Markets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through its “Volume at Price” function; or, if the foregoing does not apply, the volume-weighted average price of such security on the Tel Aviv Stock Exchange (“</w:t>
      </w:r>
      <w:r>
        <w:rPr>
          <w:rFonts w:ascii="Arial" w:cs="Arial" w:eastAsia="Arial" w:hAnsi="Arial"/>
          <w:sz w:val="16"/>
          <w:szCs w:val="16"/>
          <w:b w:val="1"/>
          <w:bCs w:val="1"/>
          <w:i w:val="1"/>
          <w:iCs w:val="1"/>
          <w:color w:val="auto"/>
        </w:rPr>
        <w:t>TASE</w:t>
      </w:r>
      <w:r>
        <w:rPr>
          <w:rFonts w:ascii="Arial" w:cs="Arial" w:eastAsia="Arial" w:hAnsi="Arial"/>
          <w:sz w:val="16"/>
          <w:szCs w:val="16"/>
          <w:color w:val="auto"/>
        </w:rPr>
        <w:t>”) in U.S. Dollars (based on the exchange rate between the New Israeli Shekel and the U.S. Dollar on such day) during the period beginning at 8:30:01 a.m., Israel Time, and ending at 4:30:00 p.m., Israel time as reported by Bloomberg, or, if no volume-weighted average price is reported for such security by Bloomberg for such hours, the average of the highest closing bid price and the lowest closing ask price in U.S. Dollars (based on the exchange rate between the New Israeli Shekel and the U.S. Dollar on such day) of any of the market makers for such security as reported by any reliable financial reporting medium; or if the foregoing doesn’t apply,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OTC Markets Inc. If the Weighted Average Price cannot be calculated for such security on such date on any of the foregoing bases, the Weighted Average Price of such security on such date shall be the fair market value as mutually determined by the Company and the Holder. All such determinations shall be appropriately adjusted for any share dividend, share split or other similar transaction during such period.</w:t>
      </w:r>
    </w:p>
    <w:p>
      <w:pPr>
        <w:spacing w:after="0" w:line="168" w:lineRule="exact"/>
        <w:rPr>
          <w:sz w:val="20"/>
          <w:szCs w:val="20"/>
          <w:color w:val="auto"/>
        </w:rPr>
      </w:pPr>
    </w:p>
    <w:p>
      <w:pPr>
        <w:ind w:right="120" w:firstLine="913"/>
        <w:spacing w:after="0" w:line="277" w:lineRule="auto"/>
        <w:rPr>
          <w:sz w:val="20"/>
          <w:szCs w:val="20"/>
          <w:color w:val="auto"/>
        </w:rPr>
      </w:pPr>
      <w:r>
        <w:rPr>
          <w:rFonts w:ascii="Arial" w:cs="Arial" w:eastAsia="Arial" w:hAnsi="Arial"/>
          <w:sz w:val="17"/>
          <w:szCs w:val="17"/>
          <w:b w:val="1"/>
          <w:bCs w:val="1"/>
          <w:color w:val="auto"/>
        </w:rPr>
        <w:t>2.3 Limitations on Exercise</w:t>
      </w:r>
      <w:r>
        <w:rPr>
          <w:rFonts w:ascii="Arial" w:cs="Arial" w:eastAsia="Arial" w:hAnsi="Arial"/>
          <w:sz w:val="17"/>
          <w:szCs w:val="17"/>
          <w:color w:val="auto"/>
        </w:rPr>
        <w:t>. The Company shall not effect the exercise of this Warrant, and the Holder shall not have the right to exercise this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to the extent that after giving effect to such exercise, such Holder (together with such Holder’s affiliates and any other Persons acting as a group together) would beneficially own in excess of 4.99% (the “</w:t>
      </w:r>
      <w:r>
        <w:rPr>
          <w:rFonts w:ascii="Arial" w:cs="Arial" w:eastAsia="Arial" w:hAnsi="Arial"/>
          <w:sz w:val="17"/>
          <w:szCs w:val="17"/>
          <w:b w:val="1"/>
          <w:bCs w:val="1"/>
          <w:i w:val="1"/>
          <w:iCs w:val="1"/>
          <w:color w:val="auto"/>
        </w:rPr>
        <w:t>Maximum Percentage</w:t>
      </w:r>
      <w:r>
        <w:rPr>
          <w:rFonts w:ascii="Arial" w:cs="Arial" w:eastAsia="Arial" w:hAnsi="Arial"/>
          <w:sz w:val="17"/>
          <w:szCs w:val="17"/>
          <w:color w:val="auto"/>
        </w:rPr>
        <w:t>”) of the shares of Common Stock outstanding immediately after giving effect to such exercise. For purposes of the foregoing sentence, the aggregate number of shares of Common Stock beneficially owned by the Holder and its affiliates shall include the number of shares of Common Stock issuable upon exercise of this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with respect to which the determination of such sentence is being made, but shall exclude shares of Common Stock which would be issuable upon</w:t>
      </w:r>
    </w:p>
    <w:p>
      <w:pPr>
        <w:spacing w:after="0" w:line="46" w:lineRule="exact"/>
        <w:rPr>
          <w:sz w:val="20"/>
          <w:szCs w:val="20"/>
          <w:color w:val="auto"/>
        </w:rPr>
      </w:pPr>
    </w:p>
    <w:p>
      <w:pPr>
        <w:ind w:firstLine="8"/>
        <w:spacing w:after="0" w:line="284" w:lineRule="auto"/>
        <w:tabs>
          <w:tab w:leader="none" w:pos="2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exercise of the remaining, unexercised portion of this Warrant beneficially owned by the Holder and its affiliates and (ii) exercise or conversion of the unexercised or unconverted portion of any other securities of the Company beneficially owned by the Holder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it being acknowledged that the Company is not representing to the Holder that such calculation is in compliance with Section 13(d) of the Exchange Act, and the Holder is solely responsible for any schedules required to be filed in accordance therewith. For purposes of this Warrant, in determining the number of outstanding shares of Common Stock, the Holder may rely on the number of outstanding shares of Common Stock as reflected in (1) the Company’s most recent Form 10-K, Proxy Statement,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For any reason at any time, upon the written or oral request of the Holder, where such request indicates that it is being made pursuant to this Warrant,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the Warrant, by the Holder and its affiliates since the date as of which such number of outstanding shares of Common Stock was reported. By written notice to the Company, the Holder may increase or decrease the Maximum Percentage to any other percentage not in excess of 9.99% specified in such notice; provided, that any such increase will not be effective until the 61st day after such notice is delivered to the Company.</w:t>
      </w:r>
    </w:p>
    <w:p>
      <w:pPr>
        <w:spacing w:after="0" w:line="171" w:lineRule="exact"/>
        <w:rPr>
          <w:rFonts w:ascii="Arial" w:cs="Arial" w:eastAsia="Arial" w:hAnsi="Arial"/>
          <w:sz w:val="16"/>
          <w:szCs w:val="16"/>
          <w:color w:val="auto"/>
        </w:rPr>
      </w:pPr>
    </w:p>
    <w:p>
      <w:pPr>
        <w:ind w:left="640" w:hanging="176"/>
        <w:spacing w:after="0"/>
        <w:tabs>
          <w:tab w:leader="none" w:pos="64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b w:val="1"/>
          <w:bCs w:val="1"/>
          <w:color w:val="auto"/>
        </w:rPr>
        <w:t xml:space="preserve">3.1 Covenants to Register Exercise Shares. </w:t>
      </w:r>
      <w:r>
        <w:rPr>
          <w:rFonts w:ascii="Arial" w:cs="Arial" w:eastAsia="Arial" w:hAnsi="Arial"/>
          <w:sz w:val="16"/>
          <w:szCs w:val="16"/>
          <w:color w:val="auto"/>
        </w:rPr>
        <w:t>The Company covenants and agrees, within 30 days from the date hereof or such later time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agreed upon by Sunrise Securities Corp. and the Company, to register for resale the Exercise Shares pursuant to a prospectus supplement under the Company’s Registration Statement on Form S-3 (Registration No. 333-206778), subject to Holder’s timely delivery to the Company of any information reasonably requested by the Company in connection with such registration. The Holder acknowledges that the Company has no obligation to register this Warrant. The Holder agrees to indemnify and holder harmless the Company and each of its directors and officers from and against any losses, claims, damages or liabilities (joint or several) to which the Company or any of its directors or officers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prospectus supplement or incorporated by reference therein or in any amendments or supplements thereto, (ii) the omission or alleged omission to state therein a material fact required to be stated therein, or necessary to make the statements therein not misleading, or (iii) any violation or alleged violation by the Company of the Securities Act (each, a “</w:t>
      </w:r>
      <w:r>
        <w:rPr>
          <w:rFonts w:ascii="Arial" w:cs="Arial" w:eastAsia="Arial" w:hAnsi="Arial"/>
          <w:sz w:val="16"/>
          <w:szCs w:val="16"/>
          <w:b w:val="1"/>
          <w:bCs w:val="1"/>
          <w:i w:val="1"/>
          <w:iCs w:val="1"/>
          <w:color w:val="auto"/>
        </w:rPr>
        <w:t>Holder Violation</w:t>
      </w:r>
      <w:r>
        <w:rPr>
          <w:rFonts w:ascii="Arial" w:cs="Arial" w:eastAsia="Arial" w:hAnsi="Arial"/>
          <w:sz w:val="16"/>
          <w:szCs w:val="16"/>
          <w:color w:val="auto"/>
        </w:rPr>
        <w:t>”), in each case to the extent (and only to the extent) that such Holder Violation occurs in reliance upon and in conformity with written information furnished by the Holder to the Company or its attorneys and stated to be specifically for use in connection with such registration; and the Holder will reimburse any legal or other expenses reasonably incurred by the Company or any of its director or officer in connection with investigating or defending any such loss, claim, damage, liability or action if it is judicially determined that there was such a Holder Violation.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9" w:name="page120"/>
    <w:bookmarkEnd w:id="119"/>
    <w:p>
      <w:pPr>
        <w:ind w:right="140"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Covenants as to Exercise Shares. </w:t>
      </w:r>
      <w:r>
        <w:rPr>
          <w:rFonts w:ascii="Arial" w:cs="Arial" w:eastAsia="Arial" w:hAnsi="Arial"/>
          <w:sz w:val="18"/>
          <w:szCs w:val="18"/>
          <w:color w:val="auto"/>
        </w:rPr>
        <w:t>The Company covenants and agrees that all Exercise Shares that may be issued upon the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represented by this Warrant will, upon issuance, be validly issued and outstanding, fully paid and nonassessable, and free from all taxes, liens and charges with respect to the issuance thereof. The Company further covenants and agrees that the Company will at all times during the Exercise Period, have authorized and reserved, free from preemptive rights, a sufficient number of shares of its Common Stock to provide for the exercise of the rights represented by this Warrant.</w:t>
      </w:r>
    </w:p>
    <w:p>
      <w:pPr>
        <w:spacing w:after="0" w:line="184"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OF</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OLDER</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b w:val="1"/>
          <w:bCs w:val="1"/>
          <w:color w:val="auto"/>
        </w:rPr>
        <w:t xml:space="preserve">4.1 Acquisition of Warrant for Personal Account. </w:t>
      </w:r>
      <w:r>
        <w:rPr>
          <w:rFonts w:ascii="Arial" w:cs="Arial" w:eastAsia="Arial" w:hAnsi="Arial"/>
          <w:sz w:val="17"/>
          <w:szCs w:val="17"/>
          <w:color w:val="auto"/>
        </w:rPr>
        <w:t>The Holder represents and warrants that it is acquiring this Warrant and the Exercise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solely for its account for investment and not with a present view toward the public distribution of this Warrant or Exercise Shares or any part thereof and has no present intention of selling or distributing this Warrant or Exercise Shares or any arrangement or understanding with any other persons regarding the sale or distribution of this Warrant or the Exercise Shares. The Holder will not, directly or indirectly, offer, sell, pledge, transfer or otherwise dispose of (or solicit any offers to buy, purchase or otherwise acquire or take a pledge of) this Warrant or the Exercise Shares in violation of any applicable law or regulation, including, without limitation: the Securities Act and the rules and regulations thereunder; the Exchange Act and the rules and regulations thereunder; the rules and regulations of the Financial Industry Regulatory Authority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including, if applicable, FINRA Rule 5110(g); and the rules and regulations of The NASDAQ Global Market or the Tel Aviv Stock Exchange, as applicable. The Holder represents and warrants that (i) it is aware of the Company’s business affairs and financial condition and has acquired sufficient information about the Company to reach an informed and knowledgeable decision regarding its investment in this Warrant and, upon exercise of this Warrant, any Exercise Shares and (ii) it is experienced in making investments of this type and has such knowledge and background in financial and business matters that the Holder is capable of evaluating the merits and risks of this investment and protecting the Holder’s own interests.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4.2 Securities Are Not Registered.</w:t>
      </w:r>
    </w:p>
    <w:p>
      <w:pPr>
        <w:spacing w:after="0" w:line="229" w:lineRule="exact"/>
        <w:rPr>
          <w:sz w:val="20"/>
          <w:szCs w:val="20"/>
          <w:color w:val="auto"/>
        </w:rPr>
      </w:pPr>
    </w:p>
    <w:p>
      <w:pPr>
        <w:ind w:left="1740" w:hanging="248"/>
        <w:spacing w:after="0"/>
        <w:tabs>
          <w:tab w:leader="none" w:pos="17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Holder understands that this Warrant and the Exercise Shares have not been registered under the Securities Act.</w:t>
      </w:r>
    </w:p>
    <w:p>
      <w:pPr>
        <w:spacing w:after="0" w:line="225" w:lineRule="exact"/>
        <w:rPr>
          <w:rFonts w:ascii="Arial" w:cs="Arial" w:eastAsia="Arial" w:hAnsi="Arial"/>
          <w:sz w:val="18"/>
          <w:szCs w:val="18"/>
          <w:b w:val="1"/>
          <w:bCs w:val="1"/>
          <w:color w:val="auto"/>
        </w:rPr>
      </w:pPr>
    </w:p>
    <w:p>
      <w:pPr>
        <w:ind w:right="340" w:firstLine="1492"/>
        <w:spacing w:after="0" w:line="277" w:lineRule="auto"/>
        <w:tabs>
          <w:tab w:leader="none" w:pos="174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Holder recognizes that this Warrant and the Exercise Shares must be held indefinitely unless they are subsequently registered under the Securities Act or an exemption from such registration is available.</w:t>
      </w:r>
    </w:p>
    <w:p>
      <w:pPr>
        <w:spacing w:after="0" w:line="170" w:lineRule="exact"/>
        <w:rPr>
          <w:rFonts w:ascii="Arial" w:cs="Arial" w:eastAsia="Arial" w:hAnsi="Arial"/>
          <w:sz w:val="18"/>
          <w:szCs w:val="18"/>
          <w:b w:val="1"/>
          <w:bCs w:val="1"/>
          <w:color w:val="auto"/>
        </w:rPr>
      </w:pPr>
    </w:p>
    <w:p>
      <w:pPr>
        <w:ind w:firstLine="1492"/>
        <w:spacing w:after="0" w:line="255" w:lineRule="auto"/>
        <w:tabs>
          <w:tab w:leader="none" w:pos="172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Holder acknowledges and agrees that the Securities are “restricted securities” as defined in Rule 144 promulgated under the Securities Act as in effect from time to time and must be held indefinitely unless they are subsequently registered under the Securities Act or an exemption from such registration is available. The Holder has been advised or is aware of the provisions of Rule 144, which permits limited resale of securities purchased in a private placement subject to the satisfaction of certain conditions, including, among other things: the availability of certain current public information about the Company, the resale occurring following the required holding period under Rule 144 and the number of securities being sold during any three-month period not exceeding specified limitations.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20" w:name="page121"/>
    <w:bookmarkEnd w:id="12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 Disposition of Warrant and Exercise Shares.</w:t>
      </w:r>
    </w:p>
    <w:p>
      <w:pPr>
        <w:spacing w:after="0" w:line="229" w:lineRule="exact"/>
        <w:rPr>
          <w:sz w:val="20"/>
          <w:szCs w:val="20"/>
          <w:color w:val="auto"/>
        </w:rPr>
      </w:pPr>
    </w:p>
    <w:p>
      <w:pPr>
        <w:ind w:left="1740" w:hanging="248"/>
        <w:spacing w:after="0"/>
        <w:tabs>
          <w:tab w:leader="none" w:pos="174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Holder further agrees not to make any disposition of all or any part of this Warrant or Exercise Shares in any event unless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until:</w:t>
      </w:r>
    </w:p>
    <w:p>
      <w:pPr>
        <w:spacing w:after="0" w:line="103" w:lineRule="exact"/>
        <w:rPr>
          <w:sz w:val="20"/>
          <w:szCs w:val="20"/>
          <w:color w:val="auto"/>
        </w:rPr>
      </w:pPr>
    </w:p>
    <w:p>
      <w:pPr>
        <w:ind w:right="80" w:firstLine="1948"/>
        <w:spacing w:after="0" w:line="277" w:lineRule="auto"/>
        <w:tabs>
          <w:tab w:leader="none" w:pos="215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said registration statement; or</w:t>
      </w:r>
    </w:p>
    <w:p>
      <w:pPr>
        <w:spacing w:after="0" w:line="170" w:lineRule="exact"/>
        <w:rPr>
          <w:rFonts w:ascii="Arial" w:cs="Arial" w:eastAsia="Arial" w:hAnsi="Arial"/>
          <w:sz w:val="18"/>
          <w:szCs w:val="18"/>
          <w:b w:val="1"/>
          <w:bCs w:val="1"/>
          <w:color w:val="auto"/>
        </w:rPr>
      </w:pPr>
    </w:p>
    <w:p>
      <w:pPr>
        <w:ind w:right="60" w:firstLine="1948"/>
        <w:spacing w:after="0" w:line="259" w:lineRule="auto"/>
        <w:tabs>
          <w:tab w:leader="none" w:pos="220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for the Holder to the effect that such disposition will not require registration of such Warrant or Exercise Shares under the Securities Act or any applicable state securities laws.</w:t>
      </w:r>
    </w:p>
    <w:p>
      <w:pPr>
        <w:spacing w:after="0" w:line="187" w:lineRule="exact"/>
        <w:rPr>
          <w:sz w:val="20"/>
          <w:szCs w:val="20"/>
          <w:color w:val="auto"/>
        </w:rPr>
      </w:pPr>
    </w:p>
    <w:p>
      <w:pPr>
        <w:ind w:right="20" w:firstLine="1492"/>
        <w:spacing w:after="0" w:line="277" w:lineRule="auto"/>
        <w:tabs>
          <w:tab w:leader="none" w:pos="174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Holder understands and agrees that all certificates evidencing the shares to be issued to the Holder may bear the following legend prior to being registered under the Securities Act:</w:t>
      </w:r>
    </w:p>
    <w:p>
      <w:pPr>
        <w:spacing w:after="0" w:line="62"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THEY MAY NOT BE SOLD, OFFERED FOR SALE, PLEDGED OR HYPOTHECATED IN THE ABSENCE OF AN EFFECTIVE REGISTRATION STATEMENT AS TO THE SECURITIES UNDER THE ACT OR AN OPINION OF COUNSEL SATISFACTORY TO THE COMPANY THAT SUCH REGISTRATION IS NOT REQUIRED.</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4.4 Accredited Investor Status. </w:t>
      </w:r>
      <w:r>
        <w:rPr>
          <w:rFonts w:ascii="Arial" w:cs="Arial" w:eastAsia="Arial" w:hAnsi="Arial"/>
          <w:sz w:val="17"/>
          <w:szCs w:val="17"/>
          <w:color w:val="auto"/>
        </w:rPr>
        <w:t>The Holder is an “accredited investor” as such term is defined in Rule 501 under the Securities Act.</w:t>
      </w:r>
    </w:p>
    <w:p>
      <w:pPr>
        <w:spacing w:after="0" w:line="23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4.5 Further Assurances. </w:t>
      </w:r>
      <w:r>
        <w:rPr>
          <w:rFonts w:ascii="Arial" w:cs="Arial" w:eastAsia="Arial" w:hAnsi="Arial"/>
          <w:sz w:val="18"/>
          <w:szCs w:val="18"/>
          <w:color w:val="auto"/>
        </w:rPr>
        <w:t>The Holder agrees and covenants that at any time and from time to time it will promptly execute and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such further instruments and documents and take such further action as the Company may reasonably require in order to carry out the full intent and purpose of this Warrant and to comply with state or federal securities laws or other regulatory approvals.</w:t>
      </w:r>
    </w:p>
    <w:p>
      <w:pPr>
        <w:spacing w:after="0" w:line="176" w:lineRule="exact"/>
        <w:rPr>
          <w:sz w:val="20"/>
          <w:szCs w:val="20"/>
          <w:color w:val="auto"/>
        </w:rPr>
      </w:pPr>
    </w:p>
    <w:p>
      <w:pPr>
        <w:ind w:right="80" w:firstLine="464"/>
        <w:spacing w:after="0" w:line="291" w:lineRule="auto"/>
        <w:tabs>
          <w:tab w:leader="none" w:pos="63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3"/>
          <w:szCs w:val="13"/>
          <w:b w:val="1"/>
          <w:bCs w:val="1"/>
          <w:color w:val="auto"/>
        </w:rPr>
        <w:t>DJUSTMENT OF</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RICE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changes in the outstanding Common Stock of the Company by reason of stock dividends, split-ups, recapitalizations, reclassifications, combinations or exchanges of shares, separations, reorganizations, liquidations, or the like, the number and class of shares available under this Warrant in the aggregate and the Exercise Price shall be correspondingly adjusted to give the Holder of this Warrant, on exercise for the same aggregate Exercise Price, the total number, class, and kind of shares as the Holder would have owned had this Warrant been exercised prior to the event and had the Holder continued to hold such shares until after the event requiring adjustment; provided, however, that such adjustment shall not be made with respect to, and this Warrant shall terminate if not exercised prior to, the events set forth in Section 7 below. The form of this Warrant need not be changed because of any adjustment in the number of Exercise Shares subject to this Warrant. Notwithstanding anything to the contrary in this Warrant, in no event shall the Exercise Price be reduced below the par value of the Company’s Common Stock.</w:t>
      </w:r>
    </w:p>
    <w:p>
      <w:pPr>
        <w:spacing w:after="0" w:line="160" w:lineRule="exact"/>
        <w:rPr>
          <w:rFonts w:ascii="Arial" w:cs="Arial" w:eastAsia="Arial" w:hAnsi="Arial"/>
          <w:sz w:val="16"/>
          <w:szCs w:val="16"/>
          <w:b w:val="1"/>
          <w:bCs w:val="1"/>
          <w:color w:val="auto"/>
        </w:rPr>
      </w:pPr>
    </w:p>
    <w:p>
      <w:pPr>
        <w:ind w:right="80" w:firstLine="464"/>
        <w:spacing w:after="0" w:line="298" w:lineRule="auto"/>
        <w:tabs>
          <w:tab w:leader="none" w:pos="63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F</w:t>
      </w:r>
      <w:r>
        <w:rPr>
          <w:rFonts w:ascii="Arial" w:cs="Arial" w:eastAsia="Arial" w:hAnsi="Arial"/>
          <w:sz w:val="13"/>
          <w:szCs w:val="13"/>
          <w:b w:val="1"/>
          <w:bCs w:val="1"/>
          <w:color w:val="auto"/>
        </w:rPr>
        <w:t>RACTIONAL</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16"/>
          <w:szCs w:val="16"/>
          <w:b w:val="1"/>
          <w:bCs w:val="1"/>
          <w:color w:val="auto"/>
        </w:rPr>
        <w:t xml:space="preserve">. </w:t>
      </w:r>
      <w:r>
        <w:rPr>
          <w:rFonts w:ascii="Arial" w:cs="Arial" w:eastAsia="Arial" w:hAnsi="Arial"/>
          <w:sz w:val="16"/>
          <w:szCs w:val="16"/>
          <w:color w:val="auto"/>
        </w:rPr>
        <w:t>No fractional shares shall be issued upon the exercise of this Warrant as a consequence of any adjustment pursuant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All Exercise Shares (including fractions) issuable upon exercise of this Warrant may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closing price of the Common Stock on the principal securities exchange on which the Common Stock is listed by such fraction.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21" w:name="page122"/>
    <w:bookmarkEnd w:id="121"/>
    <w:p>
      <w:pPr>
        <w:ind w:right="20" w:firstLine="464"/>
        <w:spacing w:after="0" w:line="287" w:lineRule="auto"/>
        <w:tabs>
          <w:tab w:leader="none" w:pos="636"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3"/>
          <w:szCs w:val="13"/>
          <w:b w:val="1"/>
          <w:bCs w:val="1"/>
          <w:color w:val="auto"/>
        </w:rPr>
        <w:t>ARLY</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at any time during the Exercise Period, (i) any consolidation or merger of the Company with or into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(ii) the transfer of all or substantially all of the assets of the Company to another Person or (iii) the consummation of a stock purchase agreement or other business combination (including, without limitation, a reorganization, recapitalization, spin-off or scheme of arrangement) with another Person whereby such other Person acquires more than 50% of the outstanding shares of Common Stock of the Company, then the Company shall provide to the Holder five</w:t>
      </w:r>
    </w:p>
    <w:p>
      <w:pPr>
        <w:spacing w:after="0" w:line="2" w:lineRule="exact"/>
        <w:rPr>
          <w:rFonts w:ascii="Arial" w:cs="Arial" w:eastAsia="Arial" w:hAnsi="Arial"/>
          <w:sz w:val="16"/>
          <w:szCs w:val="16"/>
          <w:b w:val="1"/>
          <w:bCs w:val="1"/>
          <w:color w:val="auto"/>
        </w:rPr>
      </w:pPr>
    </w:p>
    <w:p>
      <w:pPr>
        <w:ind w:right="600" w:firstLine="8"/>
        <w:spacing w:after="0" w:line="290"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days’ advance written notice of such transaction (which notice shall be deemed given in the event the Company makes a broadly accessible public announcement of such transaction), and this Warrant shall terminate unless exercised prior to the closing of such transaction.</w:t>
      </w:r>
    </w:p>
    <w:p>
      <w:pPr>
        <w:spacing w:after="0" w:line="157" w:lineRule="exact"/>
        <w:rPr>
          <w:rFonts w:ascii="Arial" w:cs="Arial" w:eastAsia="Arial" w:hAnsi="Arial"/>
          <w:sz w:val="17"/>
          <w:szCs w:val="17"/>
          <w:color w:val="auto"/>
        </w:rPr>
      </w:pPr>
    </w:p>
    <w:p>
      <w:pPr>
        <w:ind w:right="160" w:firstLine="464"/>
        <w:spacing w:after="0" w:line="266" w:lineRule="auto"/>
        <w:tabs>
          <w:tab w:leader="none" w:pos="636"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TOCKHOLDER</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in and of itself shall not entitle the Holder to any voting rights, any rights to receive notices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 to the Company’s stockholders, any rights to receive any dividend or other distribution of assets, or any other rights as a stockholder of the Company.</w:t>
      </w:r>
    </w:p>
    <w:p>
      <w:pPr>
        <w:spacing w:after="0" w:line="176" w:lineRule="exact"/>
        <w:rPr>
          <w:rFonts w:ascii="Arial" w:cs="Arial" w:eastAsia="Arial" w:hAnsi="Arial"/>
          <w:sz w:val="18"/>
          <w:szCs w:val="18"/>
          <w:b w:val="1"/>
          <w:bCs w:val="1"/>
          <w:color w:val="auto"/>
        </w:rPr>
      </w:pPr>
    </w:p>
    <w:p>
      <w:pPr>
        <w:ind w:right="20" w:firstLine="464"/>
        <w:spacing w:after="0" w:line="272" w:lineRule="auto"/>
        <w:tabs>
          <w:tab w:leader="none" w:pos="636" w:val="left"/>
        </w:tabs>
        <w:numPr>
          <w:ilvl w:val="1"/>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RANSFER OF</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Exercise Period and prior to the full exercise of this Warrant for all Exercise Shares, Holder may,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all applicable laws and regulations and the transfer restrictions set forth herein, transfer this Warrant and all rights hereunder by surrendering this Warrant to the Company or its Transfer Agent, as directed by the Company, together with all applicable transfer taxes, whereupon the Company will, or will cause its Transfer Agent to, forthwith issue and deliver upon the order of the Holder a new Warrant registered in the name of the transferee designated by Holder, representing the right to purchase the number of Exercise Shares being transferred by the Holder and, if less than the total number of Exercise Shares then underlying this Warrant is being transferred, a new Warrant) to the Holder representing the right to purchase the number of Exercise Shares not being transferred. The acceptance of the new Warrant by the transferee thereof shall be deemed the acceptance by such transferee of all of the rights and obligations in respect of the new Warrant that the Holder has in respect of this Warrant.</w:t>
      </w:r>
    </w:p>
    <w:p>
      <w:pPr>
        <w:spacing w:after="0" w:line="172" w:lineRule="exact"/>
        <w:rPr>
          <w:rFonts w:ascii="Arial" w:cs="Arial" w:eastAsia="Arial" w:hAnsi="Arial"/>
          <w:sz w:val="17"/>
          <w:szCs w:val="17"/>
          <w:b w:val="1"/>
          <w:bCs w:val="1"/>
          <w:color w:val="auto"/>
        </w:rPr>
      </w:pPr>
    </w:p>
    <w:p>
      <w:pPr>
        <w:jc w:val="both"/>
        <w:ind w:firstLine="464"/>
        <w:spacing w:after="0" w:line="303" w:lineRule="auto"/>
        <w:tabs>
          <w:tab w:leader="none" w:pos="726"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3"/>
          <w:szCs w:val="13"/>
          <w:b w:val="1"/>
          <w:bCs w:val="1"/>
          <w:color w:val="auto"/>
        </w:rPr>
        <w:t>OST</w:t>
      </w:r>
      <w:r>
        <w:rPr>
          <w:rFonts w:ascii="Arial" w:cs="Arial" w:eastAsia="Arial" w:hAnsi="Arial"/>
          <w:sz w:val="16"/>
          <w:szCs w:val="16"/>
          <w:b w:val="1"/>
          <w:bCs w:val="1"/>
          <w:color w:val="auto"/>
        </w:rPr>
        <w:t>, S</w:t>
      </w:r>
      <w:r>
        <w:rPr>
          <w:rFonts w:ascii="Arial" w:cs="Arial" w:eastAsia="Arial" w:hAnsi="Arial"/>
          <w:sz w:val="13"/>
          <w:szCs w:val="13"/>
          <w:b w:val="1"/>
          <w:bCs w:val="1"/>
          <w:color w:val="auto"/>
        </w:rPr>
        <w:t>TOLEN</w:t>
      </w:r>
      <w:r>
        <w:rPr>
          <w:rFonts w:ascii="Arial" w:cs="Arial" w:eastAsia="Arial" w:hAnsi="Arial"/>
          <w:sz w:val="16"/>
          <w:szCs w:val="16"/>
          <w:b w:val="1"/>
          <w:bCs w:val="1"/>
          <w:color w:val="auto"/>
        </w:rPr>
        <w:t>, M</w:t>
      </w:r>
      <w:r>
        <w:rPr>
          <w:rFonts w:ascii="Arial" w:cs="Arial" w:eastAsia="Arial" w:hAnsi="Arial"/>
          <w:sz w:val="13"/>
          <w:szCs w:val="13"/>
          <w:b w:val="1"/>
          <w:bCs w:val="1"/>
          <w:color w:val="auto"/>
        </w:rPr>
        <w:t>UTILATED OR</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ESTROYED</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ARRANT</w:t>
      </w:r>
      <w:r>
        <w:rPr>
          <w:rFonts w:ascii="Arial" w:cs="Arial" w:eastAsia="Arial" w:hAnsi="Arial"/>
          <w:sz w:val="16"/>
          <w:szCs w:val="16"/>
          <w:b w:val="1"/>
          <w:bCs w:val="1"/>
          <w:color w:val="auto"/>
        </w:rPr>
        <w:t xml:space="preserve">. </w:t>
      </w:r>
      <w:r>
        <w:rPr>
          <w:rFonts w:ascii="Arial" w:cs="Arial" w:eastAsia="Arial" w:hAnsi="Arial"/>
          <w:sz w:val="16"/>
          <w:szCs w:val="16"/>
          <w:color w:val="auto"/>
        </w:rPr>
        <w:t>If this Warrant is lost, stolen, mutilated or destroyed, the Company may, on such terms</w:t>
      </w:r>
      <w:r>
        <w:rPr>
          <w:rFonts w:ascii="Arial" w:cs="Arial" w:eastAsia="Arial" w:hAnsi="Arial"/>
          <w:sz w:val="16"/>
          <w:szCs w:val="16"/>
          <w:b w:val="1"/>
          <w:bCs w:val="1"/>
          <w:color w:val="auto"/>
        </w:rPr>
        <w:t xml:space="preserve"> </w:t>
      </w:r>
      <w:r>
        <w:rPr>
          <w:rFonts w:ascii="Arial" w:cs="Arial" w:eastAsia="Arial" w:hAnsi="Arial"/>
          <w:sz w:val="16"/>
          <w:szCs w:val="16"/>
          <w:color w:val="auto"/>
        </w:rPr>
        <w:t>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51" w:lineRule="exact"/>
        <w:rPr>
          <w:rFonts w:ascii="Arial" w:cs="Arial" w:eastAsia="Arial" w:hAnsi="Arial"/>
          <w:sz w:val="16"/>
          <w:szCs w:val="16"/>
          <w:b w:val="1"/>
          <w:bCs w:val="1"/>
          <w:color w:val="auto"/>
        </w:rPr>
      </w:pPr>
    </w:p>
    <w:p>
      <w:pPr>
        <w:ind w:right="80" w:firstLine="464"/>
        <w:spacing w:after="0" w:line="286" w:lineRule="auto"/>
        <w:tabs>
          <w:tab w:leader="none" w:pos="717"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ETC</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required or permitted hereunder shall be in writing and shall be deemed effectively given: (a) upon personal delivery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party to be notified, (b) when sent by confirmed email or facsimile if sent during normal business hours of the recipient, if not, then on the next business day, (c) five (5) days after having been sent by registered or certified mail, return receipt requested, postage prepaid, or (d) one (1) day after deposit with a internationally recognized overnight courier, specifying next day delivery, with written verification of delivery. All communications shall be sent to the party to be notified at the address listed below such party’s signature on the signature page hereto, or at such other address as the party may designate by ten</w:t>
      </w:r>
    </w:p>
    <w:p>
      <w:pPr>
        <w:spacing w:after="0" w:line="2" w:lineRule="exact"/>
        <w:rPr>
          <w:rFonts w:ascii="Arial" w:cs="Arial" w:eastAsia="Arial" w:hAnsi="Arial"/>
          <w:sz w:val="16"/>
          <w:szCs w:val="16"/>
          <w:b w:val="1"/>
          <w:bCs w:val="1"/>
          <w:color w:val="auto"/>
        </w:rPr>
      </w:pPr>
    </w:p>
    <w:p>
      <w:pPr>
        <w:ind w:left="360" w:hanging="35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days’ advance written notice to the other party hereto.</w:t>
      </w:r>
    </w:p>
    <w:p>
      <w:pPr>
        <w:spacing w:after="0" w:line="206" w:lineRule="exact"/>
        <w:rPr>
          <w:rFonts w:ascii="Arial" w:cs="Arial" w:eastAsia="Arial" w:hAnsi="Arial"/>
          <w:sz w:val="18"/>
          <w:szCs w:val="18"/>
          <w:color w:val="auto"/>
        </w:rPr>
      </w:pPr>
    </w:p>
    <w:p>
      <w:pPr>
        <w:ind w:left="720" w:hanging="256"/>
        <w:spacing w:after="0"/>
        <w:tabs>
          <w:tab w:leader="none" w:pos="720" w:val="left"/>
        </w:tabs>
        <w:numPr>
          <w:ilvl w:val="1"/>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CCEPTANCE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this Warrant by the Holder shall constitute acceptance of and agreement to all of the terms and conditions contained</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herein.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22" w:name="page123"/>
    <w:bookmarkEnd w:id="122"/>
    <w:p>
      <w:pPr>
        <w:ind w:left="-464" w:firstLine="464"/>
        <w:spacing w:after="0" w:line="282" w:lineRule="auto"/>
        <w:tabs>
          <w:tab w:leader="none" w:pos="26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rights, obligations and liabilities hereunder shall be governed by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laws principles that would cause the application of laws of any other jurisdiction.</w:t>
      </w:r>
    </w:p>
    <w:p>
      <w:pPr>
        <w:spacing w:after="0" w:line="162"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96"/>
          </w:cols>
          <w:pgMar w:left="704" w:top="270" w:right="799" w:bottom="1440" w:gutter="0" w:footer="0" w:header="0"/>
        </w:sectPr>
      </w:pPr>
    </w:p>
    <w:bookmarkStart w:id="123" w:name="page124"/>
    <w:bookmarkEnd w:id="123"/>
    <w:p>
      <w:pPr>
        <w:ind w:right="3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Company has caused this Warrant to be executed by its duly authorized officer as of the Issuance Date set forth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page of this Warrant.</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Corporate Vice President and Chief Financial</w:t>
            </w:r>
          </w:p>
        </w:tc>
      </w:tr>
      <w:tr>
        <w:trPr>
          <w:trHeight w:val="230"/>
        </w:trPr>
        <w:tc>
          <w:tcPr>
            <w:tcW w:w="78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Officer</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Pr>
          <w:p>
            <w:pPr>
              <w:ind w:left="100"/>
              <w:spacing w:after="0"/>
              <w:rPr>
                <w:sz w:val="20"/>
                <w:szCs w:val="20"/>
                <w:color w:val="auto"/>
              </w:rPr>
            </w:pPr>
            <w:r>
              <w:rPr>
                <w:rFonts w:ascii="Arial" w:cs="Arial" w:eastAsia="Arial" w:hAnsi="Arial"/>
                <w:sz w:val="18"/>
                <w:szCs w:val="18"/>
                <w:color w:val="auto"/>
              </w:rPr>
              <w:t>25134 Rye Canyon Loop, Suite 300</w:t>
            </w:r>
          </w:p>
        </w:tc>
      </w:tr>
      <w:tr>
        <w:trPr>
          <w:trHeight w:val="216"/>
        </w:trPr>
        <w:tc>
          <w:tcPr>
            <w:tcW w:w="78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Valencia, California 91355</w:t>
            </w:r>
          </w:p>
        </w:tc>
      </w:tr>
      <w:tr>
        <w:trPr>
          <w:trHeight w:val="230"/>
        </w:trPr>
        <w:tc>
          <w:tcPr>
            <w:tcW w:w="78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Attn: Rose Alinaya</w:t>
            </w:r>
          </w:p>
        </w:tc>
      </w:tr>
    </w:tbl>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860"/>
        <w:spacing w:after="0"/>
        <w:tabs>
          <w:tab w:leader="none" w:pos="81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-7620</wp:posOffset>
            </wp:positionV>
            <wp:extent cx="8001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14605</wp:posOffset>
            </wp:positionV>
            <wp:extent cx="24352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14605</wp:posOffset>
            </wp:positionV>
            <wp:extent cx="2435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14605</wp:posOffset>
            </wp:positionV>
            <wp:extent cx="24352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14605</wp:posOffset>
            </wp:positionV>
            <wp:extent cx="24352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88" w:lineRule="exact"/>
        <w:rPr>
          <w:sz w:val="20"/>
          <w:szCs w:val="20"/>
          <w:color w:val="auto"/>
        </w:rPr>
      </w:pPr>
    </w:p>
    <w:p>
      <w:pPr>
        <w:ind w:left="460"/>
        <w:spacing w:after="0" w:line="207" w:lineRule="exact"/>
        <w:tabs>
          <w:tab w:leader="none" w:pos="6260" w:val="left"/>
        </w:tabs>
        <w:rPr>
          <w:sz w:val="20"/>
          <w:szCs w:val="20"/>
          <w:color w:val="auto"/>
        </w:rPr>
      </w:pPr>
      <w:r>
        <w:rPr>
          <w:rFonts w:ascii="Arial" w:cs="Arial" w:eastAsia="Arial" w:hAnsi="Arial"/>
          <w:sz w:val="18"/>
          <w:szCs w:val="18"/>
          <w:b w:val="1"/>
          <w:bCs w:val="1"/>
          <w:color w:val="auto"/>
        </w:rPr>
        <w:t xml:space="preserve">(1)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Cash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hereby elects to purchase</w:t>
      </w:r>
      <w:r>
        <w:rPr>
          <w:sz w:val="20"/>
          <w:szCs w:val="20"/>
          <w:color w:val="auto"/>
        </w:rPr>
        <w:tab/>
      </w:r>
      <w:r>
        <w:rPr>
          <w:rFonts w:ascii="Arial" w:cs="Arial" w:eastAsia="Arial" w:hAnsi="Arial"/>
          <w:sz w:val="17"/>
          <w:szCs w:val="17"/>
          <w:color w:val="auto"/>
        </w:rPr>
        <w:t xml:space="preserve">shares of the Common Stock of </w:t>
      </w: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b w:val="1"/>
          <w:bCs w:val="1"/>
          <w:color w:val="auto"/>
        </w:rPr>
        <w:t>K</w:t>
      </w:r>
      <w:r>
        <w:rPr>
          <w:rFonts w:ascii="Arial" w:cs="Arial" w:eastAsia="Arial" w:hAnsi="Arial"/>
          <w:sz w:val="14"/>
          <w:szCs w:val="14"/>
          <w:b w:val="1"/>
          <w:bCs w:val="1"/>
          <w:color w:val="auto"/>
        </w:rPr>
        <w:t>IND</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ORPORATION</w:t>
      </w:r>
      <w:r>
        <w:rPr>
          <w:rFonts w:ascii="Arial" w:cs="Arial" w:eastAsia="Arial" w:hAnsi="Arial"/>
          <w:sz w:val="17"/>
          <w:szCs w:val="17"/>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10160</wp:posOffset>
            </wp:positionV>
            <wp:extent cx="6858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Cash Exercise terms of the attached Warrant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and tenders herewith payment of the Aggregate Exercise Price in full, together with all applicable transfer taxes, if 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i w:val="1"/>
                <w:iCs w:val="1"/>
                <w:color w:val="auto"/>
                <w:w w:val="88"/>
              </w:rPr>
              <w:t xml:space="preserve"> Cashless Exercise. </w:t>
            </w:r>
            <w:r>
              <w:rPr>
                <w:rFonts w:ascii="Arial" w:cs="Arial" w:eastAsia="Arial" w:hAnsi="Arial"/>
                <w:sz w:val="18"/>
                <w:szCs w:val="18"/>
                <w:color w:val="auto"/>
                <w:w w:val="88"/>
              </w:rPr>
              <w:t>The undersigned hereby elects to purchase</w:t>
            </w:r>
          </w:p>
        </w:tc>
        <w:tc>
          <w:tcPr>
            <w:tcW w:w="1080" w:type="dxa"/>
            <w:vAlign w:val="bottom"/>
            <w:tcBorders>
              <w:bottom w:val="single" w:sz="8" w:color="auto"/>
            </w:tcBorders>
            <w:gridSpan w:val="2"/>
          </w:tcPr>
          <w:p>
            <w:pPr>
              <w:spacing w:after="0"/>
              <w:rPr>
                <w:sz w:val="19"/>
                <w:szCs w:val="19"/>
                <w:color w:val="auto"/>
              </w:rPr>
            </w:pPr>
          </w:p>
        </w:tc>
        <w:tc>
          <w:tcPr>
            <w:tcW w:w="4840" w:type="dxa"/>
            <w:vAlign w:val="bottom"/>
            <w:gridSpan w:val="2"/>
          </w:tcPr>
          <w:p>
            <w:pPr>
              <w:ind w:left="40"/>
              <w:spacing w:after="0"/>
              <w:rPr>
                <w:sz w:val="20"/>
                <w:szCs w:val="20"/>
                <w:color w:val="auto"/>
              </w:rPr>
            </w:pPr>
            <w:r>
              <w:rPr>
                <w:rFonts w:ascii="Arial" w:cs="Arial" w:eastAsia="Arial" w:hAnsi="Arial"/>
                <w:sz w:val="18"/>
                <w:szCs w:val="18"/>
                <w:color w:val="auto"/>
                <w:w w:val="97"/>
              </w:rPr>
              <w:t>shares of the Common Stock of the Company pursuant to the</w:t>
            </w:r>
          </w:p>
        </w:tc>
      </w:tr>
      <w:tr>
        <w:trPr>
          <w:trHeight w:val="237"/>
        </w:trPr>
        <w:tc>
          <w:tcPr>
            <w:tcW w:w="11320" w:type="dxa"/>
            <w:vAlign w:val="bottom"/>
            <w:gridSpan w:val="7"/>
          </w:tcPr>
          <w:p>
            <w:pPr>
              <w:spacing w:after="0"/>
              <w:rPr>
                <w:sz w:val="20"/>
                <w:szCs w:val="20"/>
                <w:color w:val="auto"/>
              </w:rPr>
            </w:pPr>
            <w:r>
              <w:rPr>
                <w:rFonts w:ascii="Arial" w:cs="Arial" w:eastAsia="Arial" w:hAnsi="Arial"/>
                <w:sz w:val="18"/>
                <w:szCs w:val="18"/>
                <w:color w:val="auto"/>
              </w:rPr>
              <w:t>Cashless Exercise terms of the Warrant, and shall tender payment of all applicable transfer taxes, if any.</w:t>
            </w:r>
          </w:p>
        </w:tc>
      </w:tr>
      <w:tr>
        <w:trPr>
          <w:trHeight w:val="392"/>
        </w:trPr>
        <w:tc>
          <w:tcPr>
            <w:tcW w:w="6480" w:type="dxa"/>
            <w:vAlign w:val="bottom"/>
            <w:gridSpan w:val="5"/>
          </w:tcPr>
          <w:p>
            <w:pPr>
              <w:ind w:left="4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Delivery of Exercise Shares. The Company shall deliver to the Holder</w:t>
            </w:r>
          </w:p>
        </w:tc>
        <w:tc>
          <w:tcPr>
            <w:tcW w:w="4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w w:val="89"/>
              </w:rPr>
              <w:t>Exercise Shares in accordance with the terms of the Warrant.</w:t>
            </w:r>
          </w:p>
        </w:tc>
      </w:tr>
      <w:tr>
        <w:trPr>
          <w:trHeight w:val="20"/>
        </w:trPr>
        <w:tc>
          <w:tcPr>
            <w:tcW w:w="7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229"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The undersigned represents that (i) unless the aforesaid shares have been registered for resale under the Securities Act of 1933, as amended (the</w:t>
      </w: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aforesaid shares are being acquired for the account of the undersigned for investment and not with a view to, or for resale in connection with, the distribution thereof and that the undersigned has no present intention of distributing or reselling such shares; (ii) the undersigned is aware of the Company’s business affairs and financial condition and has acquired sufficient information about the Company to reach an informed and knowledgeable decision regarding its investment in the Company; (iii) the undersigned is experienced in making investments of this type and has such knowledge and background in financial and business matters that the undersigned is capable of evaluating the merits and risks of this investment and protecting the undersigned’s own interests; (iv) unless the aforesaid shares have been registered for resale under an effective registration statement, prospectus and prospectus supplement filed with the Securities and Exchange Commission, the undersigned understands that the shares of Common Stock issuable upon exercise of the Warrant have not been registered under the Securities Act by reason of a specific exemption from the registration provisions of the Securities Act, which exemption depends upon, among other things, the bona fide nature of the investment intent as expressed herein, and, because such securities have not been registered under the Securities Act, they must be held indefinitely unless subsequently registered under the Securities Act or an exemption from such registration is available; (v) unless the aforesaid shares have been registered for resale under the Securities Act, the undersigned is aware that the aforesaid shares of Common Stock may not be sold pursuant to Rule 144 adopted under the Securities Act unless certain conditions are met and until the undersigned has held the shares for the period of time prescribed by Rule 144, that among the conditions for use of Rule 144 is the availability of current information to the public about the Company; and (vi) the undersigned agrees not to make any disposition of all or any part of the aforesaid shares of Common Stock unless and until there is then in effect a registration statement under the Securities Act covering such proposed disposition and such disposition is made in accordance with said registration statement, or the undersigned has provided the Company with an opinion of counsel satisfactory to the Company, stating that such registration is not required.</w:t>
      </w:r>
    </w:p>
    <w:p>
      <w:pPr>
        <w:spacing w:after="0" w:line="200" w:lineRule="exact"/>
        <w:rPr>
          <w:sz w:val="20"/>
          <w:szCs w:val="20"/>
          <w:color w:val="auto"/>
        </w:rPr>
      </w:pPr>
    </w:p>
    <w:p>
      <w:pPr>
        <w:spacing w:after="0" w:line="34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5" w:name="page126"/>
    <w:bookmarkEnd w:id="12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2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(To assign the foregoing Warrant, execute this form and</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supply required information. Do not use this form to</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purchase shares.)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ECEIVED</w:t>
      </w:r>
      <w:r>
        <w:rPr>
          <w:rFonts w:ascii="Arial" w:cs="Arial" w:eastAsia="Arial" w:hAnsi="Arial"/>
          <w:sz w:val="18"/>
          <w:szCs w:val="18"/>
          <w:color w:val="auto"/>
        </w:rPr>
        <w:t>, the foregoing Warrant and all rights evidenced thereby are hereby assigned to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67322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67322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-10160</wp:posOffset>
            </wp:positionV>
            <wp:extent cx="9715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34131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404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The signature to this Assignment Form must correspond with the name as it appears on the face of the Warrant, without alteration or enlargement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change whatever. Officers of corporations and those acting in a fiduciary or other representative capacity should file proper evidence of authority to assign the foregoing Warrant.</w:t>
      </w:r>
    </w:p>
    <w:p>
      <w:pPr>
        <w:sectPr>
          <w:pgSz w:w="11900" w:h="16838" w:orient="portrait"/>
          <w:cols w:equalWidth="0" w:num="1">
            <w:col w:w="11260"/>
          </w:cols>
          <w:pgMar w:left="240" w:top="270" w:right="3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10.8</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25134 Rye Canyon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478405" cy="643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78405" cy="643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Valencia, CA 91355</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Main: (661) 775-5300</w:t>
      </w:r>
    </w:p>
    <w:p>
      <w:pPr>
        <w:spacing w:after="0" w:line="32"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Fax: (661) 775-2081</w:t>
      </w:r>
    </w:p>
    <w:p>
      <w:pPr>
        <w:spacing w:after="0" w:line="32"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www.mannkindcorp.com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Juergen Martens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4444 Jardin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Irving, Texas 75038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Separation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Juergen: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letter sets forth the terms of the separation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that MannKind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offering to you to aid in your employment transition.</w:t>
      </w:r>
    </w:p>
    <w:p>
      <w:pPr>
        <w:spacing w:after="0" w:line="166" w:lineRule="exact"/>
        <w:rPr>
          <w:sz w:val="20"/>
          <w:szCs w:val="20"/>
          <w:color w:val="auto"/>
        </w:rPr>
      </w:pPr>
    </w:p>
    <w:p>
      <w:pPr>
        <w:ind w:right="660" w:firstLine="464"/>
        <w:spacing w:after="0" w:line="282" w:lineRule="auto"/>
        <w:tabs>
          <w:tab w:leader="none" w:pos="63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w:t>
      </w:r>
      <w:r>
        <w:rPr>
          <w:rFonts w:ascii="Arial" w:cs="Arial" w:eastAsia="Arial" w:hAnsi="Arial"/>
          <w:sz w:val="18"/>
          <w:szCs w:val="18"/>
          <w:color w:val="auto"/>
        </w:rPr>
        <w:t>. Your employment with the Company will continue through no later than March 18, 2016, which will become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120" w:firstLine="464"/>
        <w:spacing w:after="0" w:line="266" w:lineRule="auto"/>
        <w:tabs>
          <w:tab w:leader="none" w:pos="63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Accrued Salary and Paid Time Off</w:t>
      </w:r>
      <w:r>
        <w:rPr>
          <w:rFonts w:ascii="Arial" w:cs="Arial" w:eastAsia="Arial" w:hAnsi="Arial"/>
          <w:sz w:val="18"/>
          <w:szCs w:val="18"/>
          <w:color w:val="auto"/>
        </w:rPr>
        <w:t>. Upon your Separation Date, the Company will pay you all accrued salary, and all accrued and unused paid</w:t>
      </w:r>
      <w:r>
        <w:rPr>
          <w:rFonts w:ascii="Arial" w:cs="Arial" w:eastAsia="Arial" w:hAnsi="Arial"/>
          <w:sz w:val="18"/>
          <w:szCs w:val="18"/>
          <w:b w:val="1"/>
          <w:bCs w:val="1"/>
          <w:color w:val="auto"/>
        </w:rPr>
        <w:t xml:space="preserve"> </w:t>
      </w:r>
      <w:r>
        <w:rPr>
          <w:rFonts w:ascii="Arial" w:cs="Arial" w:eastAsia="Arial" w:hAnsi="Arial"/>
          <w:sz w:val="18"/>
          <w:szCs w:val="18"/>
          <w:color w:val="auto"/>
        </w:rPr>
        <w:t>time off earned through the Separation Date, subject to standard payroll deductions and withholdings. You will receive these payments regardless of whether you enter into this Agreement.</w:t>
      </w:r>
    </w:p>
    <w:p>
      <w:pPr>
        <w:spacing w:after="0" w:line="176" w:lineRule="exact"/>
        <w:rPr>
          <w:rFonts w:ascii="Arial" w:cs="Arial" w:eastAsia="Arial" w:hAnsi="Arial"/>
          <w:sz w:val="18"/>
          <w:szCs w:val="18"/>
          <w:b w:val="1"/>
          <w:bCs w:val="1"/>
          <w:color w:val="auto"/>
        </w:rPr>
      </w:pPr>
    </w:p>
    <w:p>
      <w:pPr>
        <w:ind w:right="200" w:firstLine="464"/>
        <w:spacing w:after="0" w:line="289" w:lineRule="auto"/>
        <w:tabs>
          <w:tab w:leader="none" w:pos="636"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Severance Benefits. </w:t>
      </w:r>
      <w:r>
        <w:rPr>
          <w:rFonts w:ascii="Arial" w:cs="Arial" w:eastAsia="Arial" w:hAnsi="Arial"/>
          <w:sz w:val="17"/>
          <w:szCs w:val="17"/>
          <w:color w:val="auto"/>
        </w:rPr>
        <w:t>You will be paid the severance benefits described in this Section 4 (the “</w:t>
      </w:r>
      <w:r>
        <w:rPr>
          <w:rFonts w:ascii="Arial" w:cs="Arial" w:eastAsia="Arial" w:hAnsi="Arial"/>
          <w:sz w:val="17"/>
          <w:szCs w:val="17"/>
          <w:b w:val="1"/>
          <w:bCs w:val="1"/>
          <w:i w:val="1"/>
          <w:iCs w:val="1"/>
          <w:color w:val="auto"/>
        </w:rPr>
        <w:t>Severance Benefits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on or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twenty-one (21) days from the Separation Date, you sign, date, and return to the Company, the General Release of Claims (the “</w:t>
      </w:r>
      <w:r>
        <w:rPr>
          <w:rFonts w:ascii="Arial" w:cs="Arial" w:eastAsia="Arial" w:hAnsi="Arial"/>
          <w:sz w:val="17"/>
          <w:szCs w:val="17"/>
          <w:b w:val="1"/>
          <w:bCs w:val="1"/>
          <w:i w:val="1"/>
          <w:iCs w:val="1"/>
          <w:color w:val="auto"/>
        </w:rPr>
        <w:t>General Release</w:t>
      </w:r>
      <w:r>
        <w:rPr>
          <w:rFonts w:ascii="Arial" w:cs="Arial" w:eastAsia="Arial" w:hAnsi="Arial"/>
          <w:sz w:val="17"/>
          <w:szCs w:val="17"/>
          <w:color w:val="auto"/>
        </w:rPr>
        <w:t xml:space="preserve">”) attached hereto as </w:t>
      </w:r>
      <w:r>
        <w:rPr>
          <w:rFonts w:ascii="Arial" w:cs="Arial" w:eastAsia="Arial" w:hAnsi="Arial"/>
          <w:sz w:val="17"/>
          <w:szCs w:val="17"/>
          <w:b w:val="1"/>
          <w:bCs w:val="1"/>
          <w:i w:val="1"/>
          <w:iCs w:val="1"/>
          <w:u w:val="single" w:color="auto"/>
          <w:color w:val="auto"/>
        </w:rPr>
        <w:t>Exhibit A</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and allow it to become effective in accordance with its terms. The Severance Benefits are as follows:</w:t>
      </w:r>
    </w:p>
    <w:p>
      <w:pPr>
        <w:spacing w:after="0" w:line="50" w:lineRule="exact"/>
        <w:rPr>
          <w:sz w:val="20"/>
          <w:szCs w:val="20"/>
          <w:color w:val="auto"/>
        </w:rPr>
      </w:pPr>
    </w:p>
    <w:p>
      <w:pPr>
        <w:ind w:right="640" w:firstLine="921"/>
        <w:spacing w:after="0" w:line="282" w:lineRule="auto"/>
        <w:tabs>
          <w:tab w:leader="none" w:pos="116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 Payment</w:t>
      </w:r>
      <w:r>
        <w:rPr>
          <w:rFonts w:ascii="Arial" w:cs="Arial" w:eastAsia="Arial" w:hAnsi="Arial"/>
          <w:sz w:val="18"/>
          <w:szCs w:val="18"/>
          <w:color w:val="auto"/>
        </w:rPr>
        <w:t>. Continuation of your annual base salary as of the Separation Date for a period of twelve (12) months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20" w:firstLine="921"/>
        <w:spacing w:after="0" w:line="272" w:lineRule="auto"/>
        <w:tabs>
          <w:tab w:leader="none" w:pos="1178"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COBRA Coverage. </w:t>
      </w:r>
      <w:r>
        <w:rPr>
          <w:rFonts w:ascii="Arial" w:cs="Arial" w:eastAsia="Arial" w:hAnsi="Arial"/>
          <w:sz w:val="17"/>
          <w:szCs w:val="17"/>
          <w:color w:val="auto"/>
        </w:rPr>
        <w:t>If you timely elect continued coverage under the Consolidated Omnibus Budget Reconciliation Act of 1985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or any state equivalent, for yourself and your covered dependents under the Company’s group health plans following the Separation Date, then the Company shall pay the premiums for such health care coverage (such payments, the “</w:t>
      </w:r>
      <w:r>
        <w:rPr>
          <w:rFonts w:ascii="Arial" w:cs="Arial" w:eastAsia="Arial" w:hAnsi="Arial"/>
          <w:sz w:val="17"/>
          <w:szCs w:val="17"/>
          <w:b w:val="1"/>
          <w:bCs w:val="1"/>
          <w:i w:val="1"/>
          <w:iCs w:val="1"/>
          <w:color w:val="auto"/>
        </w:rPr>
        <w:t>COBRA Premiums</w:t>
      </w:r>
      <w:r>
        <w:rPr>
          <w:rFonts w:ascii="Arial" w:cs="Arial" w:eastAsia="Arial" w:hAnsi="Arial"/>
          <w:sz w:val="17"/>
          <w:szCs w:val="17"/>
          <w:color w:val="auto"/>
        </w:rPr>
        <w:t>”) necessary to continue your health insurance coverage in effect for yourself and your eligible dependents on the Separation Date until the earliest of (i) the close of the Severance Period, (ii) the expiration of your eligibility for continuation coverage under COBRA, and (iii) the date when you become eligible for substantially equivalent health insurance coverage in connection with new employment or self-employment (such period from the termination date through the earliest of (i) through (iii), the “</w:t>
      </w:r>
      <w:r>
        <w:rPr>
          <w:rFonts w:ascii="Arial" w:cs="Arial" w:eastAsia="Arial" w:hAnsi="Arial"/>
          <w:sz w:val="17"/>
          <w:szCs w:val="17"/>
          <w:b w:val="1"/>
          <w:bCs w:val="1"/>
          <w:i w:val="1"/>
          <w:iCs w:val="1"/>
          <w:color w:val="auto"/>
        </w:rPr>
        <w:t>COBRA 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If you become eligible for coverage under another employer’s group health plan or otherwise cease to be eligible for COBRA coverage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provided in this section, you must</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Juergen Martens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immediately notify the Company of such event, and the Company’s obligation to pay COBRA Premiums on your behalf shall cease. In addition, during the COBRA Payment Period, to the extent permitted under the terms of the applicable plans, the Company will pay for continued additional health coverage (such as Exec-U-Care), life, accidental death and disability and other insurance programs for you and your family members, if applicable, to the extent such programs existed on the Separation Date (such additional coverage, the “</w:t>
      </w:r>
      <w:r>
        <w:rPr>
          <w:rFonts w:ascii="Arial" w:cs="Arial" w:eastAsia="Arial" w:hAnsi="Arial"/>
          <w:sz w:val="17"/>
          <w:szCs w:val="17"/>
          <w:b w:val="1"/>
          <w:bCs w:val="1"/>
          <w:i w:val="1"/>
          <w:iCs w:val="1"/>
          <w:color w:val="auto"/>
        </w:rPr>
        <w:t>Supplemental Coverage</w:t>
      </w:r>
      <w:r>
        <w:rPr>
          <w:rFonts w:ascii="Arial" w:cs="Arial" w:eastAsia="Arial" w:hAnsi="Arial"/>
          <w:sz w:val="17"/>
          <w:szCs w:val="17"/>
          <w:color w:val="auto"/>
        </w:rPr>
        <w:t>”). Notwithstanding the foregoing, if at any time the Company determines, in its sole discretion, that its payment of the COBRA Premiums or, as applicable, the premiums for the Supplemental Coverage on your behalf would result in a violation of applicable law (including, without limitation, Section 2716 of the Public Health Service Act), then in lieu of paying such premiums on your behalf, the Company will pay you on the last day of each remaining month of the COBRA Payment Period a cash payment equal to the amount of such premiums for that month on a post-tax basis, which payment shall be subject to applicable tax withholding (such amount, the “</w:t>
      </w:r>
      <w:r>
        <w:rPr>
          <w:rFonts w:ascii="Arial" w:cs="Arial" w:eastAsia="Arial" w:hAnsi="Arial"/>
          <w:sz w:val="17"/>
          <w:szCs w:val="17"/>
          <w:b w:val="1"/>
          <w:bCs w:val="1"/>
          <w:color w:val="auto"/>
        </w:rPr>
        <w:t>Special</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Payment</w:t>
      </w:r>
      <w:r>
        <w:rPr>
          <w:rFonts w:ascii="Arial" w:cs="Arial" w:eastAsia="Arial" w:hAnsi="Arial"/>
          <w:sz w:val="17"/>
          <w:szCs w:val="17"/>
          <w:color w:val="auto"/>
        </w:rPr>
        <w:t>”), such Special Severance Payment to be made without regard to the expiration of the COBRA Payment Period prior to the end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Period. Such Special Severance Payment shall end on the earlier of (x) the date on which you commence other employment and (y) the close of the Severance Period.</w:t>
      </w:r>
    </w:p>
    <w:p>
      <w:pPr>
        <w:spacing w:after="0" w:line="179" w:lineRule="exact"/>
        <w:rPr>
          <w:sz w:val="20"/>
          <w:szCs w:val="20"/>
          <w:color w:val="auto"/>
        </w:rPr>
      </w:pPr>
    </w:p>
    <w:p>
      <w:pPr>
        <w:ind w:right="120" w:firstLine="921"/>
        <w:spacing w:after="0" w:line="261" w:lineRule="auto"/>
        <w:tabs>
          <w:tab w:leader="none" w:pos="1158"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Equity Acceleration</w:t>
      </w:r>
      <w:r>
        <w:rPr>
          <w:rFonts w:ascii="Arial" w:cs="Arial" w:eastAsia="Arial" w:hAnsi="Arial"/>
          <w:sz w:val="18"/>
          <w:szCs w:val="18"/>
          <w:color w:val="auto"/>
        </w:rPr>
        <w:t>. The vesting of each of your time-based RSUs and Options will be accelerated such that you will become vested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those RSUs and Options that would have vested during the Severance Period had you remained an employee of the Company through such date. Please note that your vested Option shares will be exercisable pursuant to the terms of the Plans and applicable grant documents, which typically provide that vested Options may be exercised during a specified period that commences on the Separation Date.</w:t>
      </w:r>
    </w:p>
    <w:p>
      <w:pPr>
        <w:spacing w:after="0" w:line="180" w:lineRule="exact"/>
        <w:rPr>
          <w:rFonts w:ascii="Arial" w:cs="Arial" w:eastAsia="Arial" w:hAnsi="Arial"/>
          <w:sz w:val="18"/>
          <w:szCs w:val="18"/>
          <w:b w:val="1"/>
          <w:bCs w:val="1"/>
          <w:color w:val="auto"/>
        </w:rPr>
      </w:pPr>
    </w:p>
    <w:p>
      <w:pPr>
        <w:ind w:right="20" w:firstLine="464"/>
        <w:spacing w:after="0" w:line="295" w:lineRule="auto"/>
        <w:tabs>
          <w:tab w:leader="none" w:pos="636"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Compensation or Benefits. </w:t>
      </w:r>
      <w:r>
        <w:rPr>
          <w:rFonts w:ascii="Arial" w:cs="Arial" w:eastAsia="Arial" w:hAnsi="Arial"/>
          <w:sz w:val="16"/>
          <w:szCs w:val="16"/>
          <w:color w:val="auto"/>
        </w:rPr>
        <w:t>You acknowledge that, except as expressly provided in this Agreement, you have not earned, you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and you are not entitled to receive from the Company any additional compensation (including base salary, bonus, or incentive compensation), severance, or benefits prior to, on, or after the Separation Date, including, but not limited to the Executive Severance Agreement between you and the Company dated October 10, 2007. For clarity, if all other Senior Executives employed by the Company do not receive an annual bonus for work performed in 2015, you shall not be entitled to receive such a bonus. In addition, if one or more Senior Executives receives additional equity awards prior to the Separation Date as part of a retention or long-term incentive program, you will not be eligible to receive any such equity awards.</w:t>
      </w:r>
    </w:p>
    <w:p>
      <w:pPr>
        <w:spacing w:after="0" w:line="155" w:lineRule="exact"/>
        <w:rPr>
          <w:rFonts w:ascii="Arial" w:cs="Arial" w:eastAsia="Arial" w:hAnsi="Arial"/>
          <w:sz w:val="16"/>
          <w:szCs w:val="16"/>
          <w:b w:val="1"/>
          <w:bCs w:val="1"/>
          <w:color w:val="auto"/>
        </w:rPr>
      </w:pPr>
    </w:p>
    <w:p>
      <w:pPr>
        <w:ind w:right="40" w:firstLine="464"/>
        <w:spacing w:after="0" w:line="281" w:lineRule="auto"/>
        <w:tabs>
          <w:tab w:leader="none" w:pos="636"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Reimbursements. </w:t>
      </w:r>
      <w:r>
        <w:rPr>
          <w:rFonts w:ascii="Arial" w:cs="Arial" w:eastAsia="Arial" w:hAnsi="Arial"/>
          <w:sz w:val="17"/>
          <w:szCs w:val="17"/>
          <w:color w:val="auto"/>
        </w:rPr>
        <w:t>You agree that, within thirty (30) days after the Separation Date, you will submit your final documented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statement reflecting all business expenses you incurred through the Separation Date, if any, for which you seek reimbursement. The Company will reimburse such expenses pursuant to its regular business practice. If you are required to travel before or during the Transition Period to discharge your duties, then you shall be subject to the same travel expense guidelines as apply to Executive Leadership Team members.</w:t>
      </w:r>
    </w:p>
    <w:p>
      <w:pPr>
        <w:sectPr>
          <w:pgSz w:w="11900" w:h="16838" w:orient="portrait"/>
          <w:cols w:equalWidth="0" w:num="1">
            <w:col w:w="11400"/>
          </w:cols>
          <w:pgMar w:left="240" w:top="274"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11,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Juergen Martens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39" w:lineRule="exact"/>
        <w:rPr>
          <w:sz w:val="20"/>
          <w:szCs w:val="20"/>
          <w:color w:val="auto"/>
        </w:rPr>
      </w:pPr>
    </w:p>
    <w:p>
      <w:pPr>
        <w:ind w:right="60" w:firstLine="464"/>
        <w:spacing w:after="0" w:line="287" w:lineRule="auto"/>
        <w:tabs>
          <w:tab w:leader="none" w:pos="636"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shall return to the Company all Company documents (and all copies or reproductions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and other Company property within your possession or control, including, but not limited to, Company hardcopy and electronic files, email, notes, drawings, records, reports, studies, compilations of data, business plans and forecasts, proposals, agreements, financial and operational information, sales and marketing information, research and development information, product and prototype information, personnel information, specifications, computer-recorded information, tangible property and equipment including, but not limited to, credit cards, entry cards, identification badges, keys, computing and communication devices; and any materials of any kind that contain or embody any proprietary or confidential information of the Company (and all reproductions or embodiments thereof, in whole or in part). Your timely return of all such Company documents and other property is a condition precedent to your receipt of the benefits provided under this Agreement; provided that you are permitted to retain copies of any agreement that you signed with the Company (after leaving with the Company the original or another copy, if you do not possess the original). Your return of property and information shall include return of a copy of any Company information stored on any personal computing device, and deletion of all such information from your personal devices without retention of any copy or embodiment; and you agree to permit the Company to inspect any such device, if there is a reasonable basis to suspect that you retained any such documents, to ensure that such return and deletion of information has taken place.</w:t>
      </w:r>
    </w:p>
    <w:p>
      <w:pPr>
        <w:spacing w:after="0" w:line="168" w:lineRule="exact"/>
        <w:rPr>
          <w:rFonts w:ascii="Arial" w:cs="Arial" w:eastAsia="Arial" w:hAnsi="Arial"/>
          <w:sz w:val="16"/>
          <w:szCs w:val="16"/>
          <w:b w:val="1"/>
          <w:bCs w:val="1"/>
          <w:color w:val="auto"/>
        </w:rPr>
      </w:pPr>
    </w:p>
    <w:p>
      <w:pPr>
        <w:ind w:right="20" w:firstLine="464"/>
        <w:spacing w:after="0" w:line="295" w:lineRule="auto"/>
        <w:tabs>
          <w:tab w:leader="none" w:pos="636"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Proprietary Information Protection and Assignment of Rights to Work Product. </w:t>
      </w:r>
      <w:r>
        <w:rPr>
          <w:rFonts w:ascii="Arial" w:cs="Arial" w:eastAsia="Arial" w:hAnsi="Arial"/>
          <w:sz w:val="16"/>
          <w:szCs w:val="16"/>
          <w:color w:val="auto"/>
        </w:rPr>
        <w:t>You acknowledge and agree to abide by your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your Employee Proprietary Information and Inventions Agreement. You further agree that, both during and after your employment, you will make no use or disclosure of any Company proprietary or confidential information unless specifically authorized in writing by a Company officer. You hereby assign to the Company all right, title, and interest you may have in any and all inventions, developments, concepts, methods, trade secrets, intellectual property, or other work product developed or obtained by you during your employment with the Company that relates to any actual or anticipated line of business, product, service, or activity of the Company, or your performance of services for the Company, or was produced on Company time or equipment.</w:t>
      </w:r>
    </w:p>
    <w:p>
      <w:pPr>
        <w:spacing w:after="0" w:line="155" w:lineRule="exact"/>
        <w:rPr>
          <w:rFonts w:ascii="Arial" w:cs="Arial" w:eastAsia="Arial" w:hAnsi="Arial"/>
          <w:sz w:val="16"/>
          <w:szCs w:val="16"/>
          <w:b w:val="1"/>
          <w:bCs w:val="1"/>
          <w:color w:val="auto"/>
        </w:rPr>
      </w:pPr>
    </w:p>
    <w:p>
      <w:pPr>
        <w:ind w:firstLine="464"/>
        <w:spacing w:after="0" w:line="277" w:lineRule="auto"/>
        <w:tabs>
          <w:tab w:leader="none" w:pos="636"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the Company and will not be publicized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in any manner whatsoever; provided, however, that: (a) you may disclose this Agreement in confidence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w:t>
      </w:r>
    </w:p>
    <w:p>
      <w:pPr>
        <w:spacing w:after="0" w:line="168" w:lineRule="exact"/>
        <w:rPr>
          <w:rFonts w:ascii="Arial" w:cs="Arial" w:eastAsia="Arial" w:hAnsi="Arial"/>
          <w:sz w:val="17"/>
          <w:szCs w:val="17"/>
          <w:b w:val="1"/>
          <w:bCs w:val="1"/>
          <w:color w:val="auto"/>
        </w:rPr>
      </w:pPr>
    </w:p>
    <w:p>
      <w:pPr>
        <w:ind w:firstLine="464"/>
        <w:spacing w:after="0" w:line="266" w:lineRule="auto"/>
        <w:tabs>
          <w:tab w:leader="none" w:pos="63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Both parties agree not to disparage the other party and its officers, directors, employees, shareholders and agents,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be harmful to them or their business, business reputations or personal reputations, provided that a party may respond accurately and fully to any inquiry to the extent required by legal process.</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Juergen Martens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39" w:lineRule="exact"/>
        <w:rPr>
          <w:sz w:val="20"/>
          <w:szCs w:val="20"/>
          <w:color w:val="auto"/>
        </w:rPr>
      </w:pPr>
    </w:p>
    <w:p>
      <w:pPr>
        <w:ind w:right="460" w:firstLine="464"/>
        <w:spacing w:after="0" w:line="313" w:lineRule="auto"/>
        <w:tabs>
          <w:tab w:leader="none" w:pos="72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Admissions. </w:t>
      </w:r>
      <w:r>
        <w:rPr>
          <w:rFonts w:ascii="Arial" w:cs="Arial" w:eastAsia="Arial" w:hAnsi="Arial"/>
          <w:sz w:val="17"/>
          <w:szCs w:val="17"/>
          <w:color w:val="auto"/>
        </w:rPr>
        <w:t>You understand and agree that the promises and payments in consideration of this Agreement shall not be construed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admission of any liability or obligation by the Company to you or to any other person, and that the Company makes no such admission.</w:t>
      </w:r>
    </w:p>
    <w:p>
      <w:pPr>
        <w:spacing w:after="0" w:line="138" w:lineRule="exact"/>
        <w:rPr>
          <w:rFonts w:ascii="Arial" w:cs="Arial" w:eastAsia="Arial" w:hAnsi="Arial"/>
          <w:sz w:val="17"/>
          <w:szCs w:val="17"/>
          <w:b w:val="1"/>
          <w:bCs w:val="1"/>
          <w:color w:val="auto"/>
        </w:rPr>
      </w:pPr>
    </w:p>
    <w:p>
      <w:pPr>
        <w:ind w:firstLine="464"/>
        <w:spacing w:after="0" w:line="269" w:lineRule="auto"/>
        <w:tabs>
          <w:tab w:leader="none" w:pos="717"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Dispute Resolution. </w:t>
      </w:r>
      <w:r>
        <w:rPr>
          <w:rFonts w:ascii="Arial" w:cs="Arial" w:eastAsia="Arial" w:hAnsi="Arial"/>
          <w:sz w:val="17"/>
          <w:szCs w:val="17"/>
          <w:color w:val="auto"/>
        </w:rPr>
        <w:t>To aid in the rapid and economical resolution of any disputes which may arise under this Agreement, you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 that any and all claims, disputes or controversies of any nature whatsoever arising from or regarding the interpretation, performance, negotiation, execution, enforcement or breach of this Agreement, your employment, or the termination of your employment, shall be resolved by confidential, final and binding arbitration conducted before a single arbitrator with JAMS, Inc. (“JAMS”) in the Los Angeles, California area, in accordance with JAMS’ then-applicable arbitration rules, which appear at the following link: http://www.jamsadr.com/rules-comprehensive-arbitration/. </w:t>
      </w:r>
      <w:r>
        <w:rPr>
          <w:rFonts w:ascii="Arial" w:cs="Arial" w:eastAsia="Arial" w:hAnsi="Arial"/>
          <w:sz w:val="17"/>
          <w:szCs w:val="17"/>
          <w:b w:val="1"/>
          <w:bCs w:val="1"/>
          <w:color w:val="auto"/>
        </w:rPr>
        <w:t>The parties acknowledge that by</w:t>
      </w:r>
      <w:r>
        <w:rPr>
          <w:rFonts w:ascii="Arial" w:cs="Arial" w:eastAsia="Arial" w:hAnsi="Arial"/>
          <w:sz w:val="17"/>
          <w:szCs w:val="17"/>
          <w:color w:val="auto"/>
        </w:rPr>
        <w:t xml:space="preserve"> </w:t>
      </w:r>
      <w:r>
        <w:rPr>
          <w:rFonts w:ascii="Arial" w:cs="Arial" w:eastAsia="Arial" w:hAnsi="Arial"/>
          <w:sz w:val="17"/>
          <w:szCs w:val="17"/>
          <w:b w:val="1"/>
          <w:bCs w:val="1"/>
          <w:color w:val="auto"/>
        </w:rPr>
        <w:t>agreeing to this arbitration procedure, they waive the right to resolve any such dispute through a trial by jury, judge or administrative proceeding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have the right to be represented by legal counsel at any arbitration proceeding.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bear JAMS’ arbitration fees and administrative costs. Nothing in this Agreement shall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12 Miscellaneous. </w:t>
      </w:r>
      <w:r>
        <w:rPr>
          <w:rFonts w:ascii="Arial" w:cs="Arial" w:eastAsia="Arial" w:hAnsi="Arial"/>
          <w:sz w:val="16"/>
          <w:szCs w:val="16"/>
          <w:color w:val="auto"/>
        </w:rPr>
        <w:t>This Agreement, including all exhibits, constitutes the complete, final and exclusive embodiment of the entire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you and the Company with regard to its subject matter. It is entered into without reliance on any promise or representation, written or oral, other than those expressly contained herein, and it supersedes any other such promises, warranties or representations, including, but not limited to, your employment offer letter, Executive Severance Agreement and Employee Proprietary Information and Inventions Agreement (insofar as it may be inconsistent with this Agreement). This Agreement may not be modified or amended except in a written agreement signed by both you and a duly authorized officer of the Company. If any provision of this Agreement (including, but not limited to, the Employee Proprietary Information and Inventions Agreement, incorporated by reference herein) becomes or is declared illegal, unenforceable or void, this Agreement shall continue in full force and effect, and said provision shall be deemed modified and enforceable consistent with the intent of the parties insofar as possible under applicable law. This Agreement will be construed and enforced in accordance with the laws of the State of California without respect to conflicts of law principles. Any ambiguity in this Agreement shall not be construed against either party as the drafter. Any waiver of a breach of this Agreement must be in writing and shall not be deemed a waiver of any successive breach. This Agreement may be executed in counterparts and facsimile signatures will suffice as original signatures.</w:t>
      </w:r>
    </w:p>
    <w:p>
      <w:pPr>
        <w:sectPr>
          <w:pgSz w:w="11900" w:h="16838" w:orient="portrait"/>
          <w:cols w:equalWidth="0" w:num="1">
            <w:col w:w="11380"/>
          </w:cols>
          <w:pgMar w:left="240" w:top="274" w:right="2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11,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Juergen Martens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If this Agreement is acceptable to you, please sign below on or within fourteen (14) calendar days and then promptly return the fully signed original to 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offer contained herein will automatically expire if we do not receive the fully signed Agreement from you within this timeframe.</w:t>
      </w:r>
    </w:p>
    <w:p>
      <w:pPr>
        <w:sectPr>
          <w:pgSz w:w="11900" w:h="16838" w:orient="portrait"/>
          <w:cols w:equalWidth="0" w:num="1">
            <w:col w:w="11160"/>
          </w:cols>
          <w:pgMar w:left="240" w:top="274" w:right="4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11,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Juergen Martens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Six</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wish you the best in your future endeavors.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Pfeffer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Matthew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Exhibit A – General Release of Claims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NDERSTOOD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 Juergen Martens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Juergen Martens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11, 2016</w:t>
      </w:r>
    </w:p>
    <w:p>
      <w:pPr>
        <w:sectPr>
          <w:pgSz w:w="11900" w:h="16838" w:orient="portrait"/>
          <w:cols w:equalWidth="0" w:num="1">
            <w:col w:w="10219"/>
          </w:cols>
          <w:pgMar w:left="240" w:top="274"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DATE RELEASE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signed on or within 21 days after the Separation Date.)</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In consideration for the various benefits provided to me by MannKind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pursuant to my Separation Agreement with the Company dated March 11, 2016 (the “</w:t>
      </w:r>
      <w:r>
        <w:rPr>
          <w:rFonts w:ascii="Arial" w:cs="Arial" w:eastAsia="Arial" w:hAnsi="Arial"/>
          <w:sz w:val="18"/>
          <w:szCs w:val="18"/>
          <w:b w:val="1"/>
          <w:bCs w:val="1"/>
          <w:color w:val="auto"/>
        </w:rPr>
        <w:t>Agreement</w:t>
      </w:r>
      <w:r>
        <w:rPr>
          <w:rFonts w:ascii="Arial" w:cs="Arial" w:eastAsia="Arial" w:hAnsi="Arial"/>
          <w:sz w:val="18"/>
          <w:szCs w:val="18"/>
          <w:color w:val="auto"/>
        </w:rPr>
        <w:t>”), I agree to the terms below.</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hereby confirm that: I have been paid all compensation owed for all hours worked by me for the Company; I have received all leave and leave benefits and protections for which I was eligible (pursuant to the Family and Medical Leave Act, the California Family Rights Act or otherwise) in connection with my work with the Company; and I have not suffered any injury or illness in connection with my work with the Company for which I have not already filed a claim.</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prior to and including the time I sign this Separation Date Release (the “</w:t>
      </w:r>
      <w:r>
        <w:rPr>
          <w:rFonts w:ascii="Arial" w:cs="Arial" w:eastAsia="Arial" w:hAnsi="Arial"/>
          <w:sz w:val="16"/>
          <w:szCs w:val="16"/>
          <w:b w:val="1"/>
          <w:bCs w:val="1"/>
          <w:color w:val="auto"/>
        </w:rPr>
        <w:t>Release</w:t>
      </w:r>
      <w:r>
        <w:rPr>
          <w:rFonts w:ascii="Arial" w:cs="Arial" w:eastAsia="Arial" w:hAnsi="Arial"/>
          <w:sz w:val="16"/>
          <w:szCs w:val="16"/>
          <w:color w:val="auto"/>
        </w:rPr>
        <w:t>”). This general release includes, but is not limited to: (1) all claims arising from or in any way related to my employment with the Company, or the termination of that employment; (2) all claims related to compensation or benefits from the Company, including salary, bonuses, commissions, vacation pay, paid time off, expense reimbursements, severance pay, fringe benefits, stock, stock options, or any other ownership interests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b w:val="1"/>
          <w:bCs w:val="1"/>
          <w:color w:val="auto"/>
        </w:rPr>
        <w:t>ADEA</w:t>
      </w:r>
      <w:r>
        <w:rPr>
          <w:rFonts w:ascii="Arial" w:cs="Arial" w:eastAsia="Arial" w:hAnsi="Arial"/>
          <w:sz w:val="16"/>
          <w:szCs w:val="16"/>
          <w:color w:val="auto"/>
        </w:rPr>
        <w:t>”), ERISA, the California Fair Employment and Housing Act (as amended), the California Labor Code (as amended), and the California Family Rights Act.</w:t>
      </w:r>
    </w:p>
    <w:p>
      <w:pPr>
        <w:spacing w:after="0" w:line="173" w:lineRule="exact"/>
        <w:rPr>
          <w:sz w:val="20"/>
          <w:szCs w:val="20"/>
          <w:color w:val="auto"/>
        </w:rPr>
      </w:pPr>
    </w:p>
    <w:p>
      <w:pPr>
        <w:ind w:right="400" w:firstLine="456"/>
        <w:spacing w:after="0" w:line="286" w:lineRule="auto"/>
        <w:rPr>
          <w:sz w:val="20"/>
          <w:szCs w:val="20"/>
          <w:color w:val="auto"/>
        </w:rPr>
      </w:pPr>
      <w:r>
        <w:rPr>
          <w:rFonts w:ascii="Arial" w:cs="Arial" w:eastAsia="Arial" w:hAnsi="Arial"/>
          <w:sz w:val="16"/>
          <w:szCs w:val="16"/>
          <w:color w:val="auto"/>
        </w:rPr>
        <w:t xml:space="preserve">I am not releasing: (i) any rights or claims for indemnification I may have pursuant to any written indemnification agreement with the Company to which I am a party or under applicable law; (ii) any rights which cannot be waived as a matter of law; (iii) any rights I have to file or pursue a claim for workers’ compensation or unemployment insurance; and (iv) any rights I have pursuant to my Separation Agreement with the Company dated March 11, 2016. </w:t>
      </w:r>
      <w:r>
        <w:rPr>
          <w:rFonts w:ascii="Arial" w:cs="Arial" w:eastAsia="Arial" w:hAnsi="Arial"/>
          <w:sz w:val="16"/>
          <w:szCs w:val="16"/>
          <w:b w:val="1"/>
          <w:bCs w:val="1"/>
          <w:color w:val="auto"/>
        </w:rPr>
        <w:t>In addition, nothing in this Agreement prevents me from filing, cooperating with, or participating in any proceeding before the Equal</w:t>
      </w:r>
    </w:p>
    <w:p>
      <w:pPr>
        <w:spacing w:after="0" w:line="2" w:lineRule="exact"/>
        <w:rPr>
          <w:sz w:val="20"/>
          <w:szCs w:val="20"/>
          <w:color w:val="auto"/>
        </w:rPr>
      </w:pPr>
    </w:p>
    <w:p>
      <w:pPr>
        <w:ind w:right="760"/>
        <w:spacing w:after="0" w:line="323" w:lineRule="auto"/>
        <w:rPr>
          <w:sz w:val="20"/>
          <w:szCs w:val="20"/>
          <w:color w:val="auto"/>
        </w:rPr>
      </w:pPr>
      <w:r>
        <w:rPr>
          <w:rFonts w:ascii="Arial" w:cs="Arial" w:eastAsia="Arial" w:hAnsi="Arial"/>
          <w:sz w:val="16"/>
          <w:szCs w:val="16"/>
          <w:b w:val="1"/>
          <w:bCs w:val="1"/>
          <w:color w:val="auto"/>
        </w:rPr>
        <w:t>Employment Opportunity Commission, the Department of Labor, or any other analogous federal or state government agency, except that I acknowledge and agree that I hereby waive my right to any monetary benefits in connection with any such claim, charge or proceeding</w:t>
      </w:r>
      <w:r>
        <w:rPr>
          <w:rFonts w:ascii="Arial" w:cs="Arial" w:eastAsia="Arial" w:hAnsi="Arial"/>
          <w:sz w:val="16"/>
          <w:szCs w:val="16"/>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33" w:name="page134"/>
    <w:bookmarkEnd w:id="133"/>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also acknowledge that I am knowingly and voluntarily waiving and releasing any rights I may have under the ADEA (“</w:t>
      </w:r>
      <w:r>
        <w:rPr>
          <w:rFonts w:ascii="Arial" w:cs="Arial" w:eastAsia="Arial" w:hAnsi="Arial"/>
          <w:sz w:val="16"/>
          <w:szCs w:val="16"/>
          <w:b w:val="1"/>
          <w:bCs w:val="1"/>
          <w:color w:val="auto"/>
        </w:rPr>
        <w:t>Release ADEA Waiver</w:t>
      </w:r>
      <w:r>
        <w:rPr>
          <w:rFonts w:ascii="Arial" w:cs="Arial" w:eastAsia="Arial" w:hAnsi="Arial"/>
          <w:sz w:val="16"/>
          <w:szCs w:val="16"/>
          <w:color w:val="auto"/>
        </w:rPr>
        <w:t>”). I also acknowledge that the consideration given for the Release ADEA Waiver is in addition to anything of value to which I was already entitled. I further acknowledge that I have been advised by this writing, as required by the ADEA, that: (a) my release and waiver herein does not apply to any rights or claims that arise after the date I sign this Release; (b) I should consult with an attorney prior to signing this Release (although I may choose voluntarily not to do so);</w:t>
      </w:r>
    </w:p>
    <w:p>
      <w:pPr>
        <w:spacing w:after="0" w:line="3" w:lineRule="exact"/>
        <w:rPr>
          <w:sz w:val="20"/>
          <w:szCs w:val="20"/>
          <w:color w:val="auto"/>
        </w:rPr>
      </w:pPr>
    </w:p>
    <w:p>
      <w:pPr>
        <w:ind w:firstLine="8"/>
        <w:spacing w:after="0" w:line="302" w:lineRule="auto"/>
        <w:tabs>
          <w:tab w:leader="none" w:pos="2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twenty-one (21) days to consider this Release (although I may choose to voluntarily sign it sooner); (d) I have seven (7) days following the date I sign this Release to revoke it (by sending written revocation directly to the Company’s Chief Executive Officer); and (e) the Release will not be effective until the date upon which the revocation period has expired unexercised, which will be the eighth day after I sign this Release (the “</w:t>
      </w:r>
      <w:r>
        <w:rPr>
          <w:rFonts w:ascii="Arial" w:cs="Arial" w:eastAsia="Arial" w:hAnsi="Arial"/>
          <w:sz w:val="16"/>
          <w:szCs w:val="16"/>
          <w:b w:val="1"/>
          <w:bCs w:val="1"/>
          <w:color w:val="auto"/>
        </w:rPr>
        <w:t>Release Effective Date</w:t>
      </w:r>
      <w:r>
        <w:rPr>
          <w:rFonts w:ascii="Arial" w:cs="Arial" w:eastAsia="Arial" w:hAnsi="Arial"/>
          <w:sz w:val="16"/>
          <w:szCs w:val="16"/>
          <w:color w:val="auto"/>
        </w:rPr>
        <w:t>”).</w:t>
      </w:r>
    </w:p>
    <w:p>
      <w:pPr>
        <w:spacing w:after="0" w:line="15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I UNDERSTAND THAT THIS RELEASE INCLUDES A RELEASE OF ALL KNOWN AND UNKNOWN CLAIMS. 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 claims which the creditor does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know 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 or legal principle of</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effect in any jurisdiction with respect to my release of claims herein, including but not limited to the release of unknown and unsuspected claims.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Release, together with the Agreement (including all exhibits thereto), constitutes the complete, final and exclusive embodiment of the entire agreement between me and the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00" w:lineRule="exact"/>
        <w:rPr>
          <w:sz w:val="20"/>
          <w:szCs w:val="20"/>
          <w:color w:val="auto"/>
        </w:r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Juergen Martens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172085</wp:posOffset>
            </wp:positionV>
            <wp:extent cx="5488305" cy="7372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883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23312 Happy Valley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Newhall, CA 91321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Separation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Hakan: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letter supersedes any previous employment, severance or change of control agreement and sets forth the terms of the transition and separation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that MannKind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is offering to you.</w:t>
      </w:r>
    </w:p>
    <w:p>
      <w:pPr>
        <w:spacing w:after="0" w:line="166" w:lineRule="exact"/>
        <w:rPr>
          <w:sz w:val="20"/>
          <w:szCs w:val="20"/>
          <w:color w:val="auto"/>
        </w:rPr>
      </w:pPr>
    </w:p>
    <w:p>
      <w:pPr>
        <w:ind w:right="60" w:firstLine="464"/>
        <w:spacing w:after="0" w:line="282" w:lineRule="auto"/>
        <w:tabs>
          <w:tab w:leader="none" w:pos="63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EPARATION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As we have discussed, your employment termination date will be July 1, 2017, or such earlier date as your employment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either you or the Company pursuant to Section 3 below (the “</w:t>
      </w:r>
      <w:r>
        <w:rPr>
          <w:rFonts w:ascii="Arial" w:cs="Arial" w:eastAsia="Arial" w:hAnsi="Arial"/>
          <w:sz w:val="18"/>
          <w:szCs w:val="18"/>
          <w:b w:val="1"/>
          <w:bCs w:val="1"/>
          <w:color w:val="auto"/>
        </w:rPr>
        <w:t>Separation Date</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600" w:firstLine="464"/>
        <w:spacing w:after="0" w:line="282" w:lineRule="auto"/>
        <w:tabs>
          <w:tab w:leader="none" w:pos="63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RANSITION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color w:val="auto"/>
        </w:rPr>
        <w:t>. During the period between now and December 31, 2015 (the “</w:t>
      </w:r>
      <w:r>
        <w:rPr>
          <w:rFonts w:ascii="Arial" w:cs="Arial" w:eastAsia="Arial" w:hAnsi="Arial"/>
          <w:sz w:val="18"/>
          <w:szCs w:val="18"/>
          <w:b w:val="1"/>
          <w:bCs w:val="1"/>
          <w:color w:val="auto"/>
        </w:rPr>
        <w:t>Transition Date</w:t>
      </w:r>
      <w:r>
        <w:rPr>
          <w:rFonts w:ascii="Arial" w:cs="Arial" w:eastAsia="Arial" w:hAnsi="Arial"/>
          <w:sz w:val="18"/>
          <w:szCs w:val="18"/>
          <w:color w:val="auto"/>
        </w:rPr>
        <w:t>”), you may be required to perform some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transitioning responsibilities to the new or interim Chief Executive Officer.</w:t>
      </w:r>
    </w:p>
    <w:p>
      <w:pPr>
        <w:spacing w:after="0" w:line="161" w:lineRule="exact"/>
        <w:rPr>
          <w:rFonts w:ascii="Arial" w:cs="Arial" w:eastAsia="Arial" w:hAnsi="Arial"/>
          <w:sz w:val="18"/>
          <w:szCs w:val="18"/>
          <w:b w:val="1"/>
          <w:bCs w:val="1"/>
          <w:color w:val="auto"/>
        </w:rPr>
      </w:pPr>
    </w:p>
    <w:p>
      <w:pPr>
        <w:ind w:left="640" w:hanging="17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RANSITION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ERIOD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40" w:firstLine="921"/>
        <w:spacing w:after="0" w:line="254" w:lineRule="auto"/>
        <w:tabs>
          <w:tab w:leader="none" w:pos="1093"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Period Duties</w:t>
      </w:r>
      <w:r>
        <w:rPr>
          <w:rFonts w:ascii="Arial" w:cs="Arial" w:eastAsia="Arial" w:hAnsi="Arial"/>
          <w:sz w:val="18"/>
          <w:szCs w:val="18"/>
          <w:color w:val="auto"/>
        </w:rPr>
        <w:t>. During the period between now and the Separation Date (the “</w:t>
      </w:r>
      <w:r>
        <w:rPr>
          <w:rFonts w:ascii="Arial" w:cs="Arial" w:eastAsia="Arial" w:hAnsi="Arial"/>
          <w:sz w:val="18"/>
          <w:szCs w:val="18"/>
          <w:b w:val="1"/>
          <w:bCs w:val="1"/>
          <w:color w:val="auto"/>
        </w:rPr>
        <w:t>Transition Period</w:t>
      </w:r>
      <w:r>
        <w:rPr>
          <w:rFonts w:ascii="Arial" w:cs="Arial" w:eastAsia="Arial" w:hAnsi="Arial"/>
          <w:sz w:val="18"/>
          <w:szCs w:val="18"/>
          <w:color w:val="auto"/>
        </w:rPr>
        <w:t>”), you will remain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serving in a non-executive capacity, reporting to the new or interim CEO. You agree that, during the Transition Period, you will comply with all Company policies and procedures and with all of your contractual obligations to the Company (including, without limitation, your obligations under your Employee Proprietary Information and Inventions Agreement). Your Transition Period duties will include, but are not limited to, providing information to the Company, as requested. During the Transition Period, you will not be expected to work from the Company’s office locations on a full-time basis, although you will be expected to be available as needed. While you will ordinarily be working from home during this period, you will receive from the Company such administrative support for your performance of your Company duties as needed. For clarity, during the Transition Period, you are entitled to obtain employment from another employer provided such employment does not conflict with your then current Transition Period duties and applicable Company policies and procedures.</w:t>
      </w:r>
    </w:p>
    <w:p>
      <w:pPr>
        <w:spacing w:after="0" w:line="189" w:lineRule="exact"/>
        <w:rPr>
          <w:rFonts w:ascii="Arial" w:cs="Arial" w:eastAsia="Arial" w:hAnsi="Arial"/>
          <w:sz w:val="18"/>
          <w:szCs w:val="18"/>
          <w:b w:val="1"/>
          <w:bCs w:val="1"/>
          <w:color w:val="auto"/>
        </w:rPr>
      </w:pPr>
    </w:p>
    <w:p>
      <w:pPr>
        <w:ind w:right="300" w:firstLine="921"/>
        <w:spacing w:after="0" w:line="313" w:lineRule="auto"/>
        <w:tabs>
          <w:tab w:leader="none" w:pos="1103"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Standard Compensation/Benefits. </w:t>
      </w:r>
      <w:r>
        <w:rPr>
          <w:rFonts w:ascii="Arial" w:cs="Arial" w:eastAsia="Arial" w:hAnsi="Arial"/>
          <w:sz w:val="17"/>
          <w:szCs w:val="17"/>
          <w:color w:val="auto"/>
        </w:rPr>
        <w:t>During the Transition Period, you will continue to receive your current base salary,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withholdings and deductions; you will continue to accrue paid time off (“</w:t>
      </w:r>
      <w:r>
        <w:rPr>
          <w:rFonts w:ascii="Arial" w:cs="Arial" w:eastAsia="Arial" w:hAnsi="Arial"/>
          <w:sz w:val="17"/>
          <w:szCs w:val="17"/>
          <w:b w:val="1"/>
          <w:bCs w:val="1"/>
          <w:color w:val="auto"/>
        </w:rPr>
        <w:t>PTO</w:t>
      </w:r>
      <w:r>
        <w:rPr>
          <w:rFonts w:ascii="Arial" w:cs="Arial" w:eastAsia="Arial" w:hAnsi="Arial"/>
          <w:sz w:val="17"/>
          <w:szCs w:val="17"/>
          <w:color w:val="auto"/>
        </w:rPr>
        <w:t>”) according to Company policy; and you will be eligible for the</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Company’s standard benefits, including but not limited to the Company’s Exec-U-Care plan, subject to the terms of such plans and programs and applicable law. On the Separation Date, or as soon as feasible thereafter, you will receive a final paycheck for all wages earned through the Separation Date (subject to standard withholdings and deductions), and all accrued and unused PTO. Your coverage under the Company’s group health plan will continue through the Transition Period, and your premiums will be paid by the Company to the extent provided by the Company’s current health insurance policies. If at any time during the Transition Period, you become eligible to continue your group health benefits at your own expense under the federal COBRA law, or applicable state insurance laws, the Company will pay your monthly COBRA premiums through the Separation Date. Thereafter, to the extent provided by the federal COBRA law, or applicable state insurance laws, and by the Company’s current health insurance policies, you will be eligible to continue your group health insurance benefits at your own expense. Later, you may be able to convert to an individual policy through the provider of the Company’s health insurance, if you wish.</w:t>
      </w:r>
    </w:p>
    <w:p>
      <w:pPr>
        <w:spacing w:after="0" w:line="178" w:lineRule="exact"/>
        <w:rPr>
          <w:sz w:val="20"/>
          <w:szCs w:val="20"/>
          <w:color w:val="auto"/>
        </w:rPr>
      </w:pPr>
    </w:p>
    <w:p>
      <w:pPr>
        <w:ind w:right="340" w:firstLine="913"/>
        <w:spacing w:after="0" w:line="313" w:lineRule="auto"/>
        <w:rPr>
          <w:sz w:val="20"/>
          <w:szCs w:val="20"/>
          <w:color w:val="auto"/>
        </w:rPr>
      </w:pPr>
      <w:r>
        <w:rPr>
          <w:rFonts w:ascii="Arial" w:cs="Arial" w:eastAsia="Arial" w:hAnsi="Arial"/>
          <w:sz w:val="17"/>
          <w:szCs w:val="17"/>
          <w:b w:val="1"/>
          <w:bCs w:val="1"/>
          <w:color w:val="auto"/>
        </w:rPr>
        <w:t xml:space="preserve">c. Annual Bonus. </w:t>
      </w:r>
      <w:r>
        <w:rPr>
          <w:rFonts w:ascii="Arial" w:cs="Arial" w:eastAsia="Arial" w:hAnsi="Arial"/>
          <w:sz w:val="17"/>
          <w:szCs w:val="17"/>
          <w:color w:val="auto"/>
        </w:rPr>
        <w:t>During the Transition Period, you will be eligible to receive an annual bonus for work performed in 2015 (scheduled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in March following the conclusion of the applicable performance year), under the standard bonus plan applicable to Senior Executives.</w:t>
      </w:r>
    </w:p>
    <w:p>
      <w:pPr>
        <w:spacing w:after="0" w:line="138"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b w:val="1"/>
          <w:bCs w:val="1"/>
          <w:color w:val="auto"/>
        </w:rPr>
        <w:t>d. Stock Options and Restricted Stock Units</w:t>
      </w:r>
      <w:r>
        <w:rPr>
          <w:rFonts w:ascii="Arial" w:cs="Arial" w:eastAsia="Arial" w:hAnsi="Arial"/>
          <w:sz w:val="16"/>
          <w:szCs w:val="16"/>
          <w:color w:val="auto"/>
        </w:rPr>
        <w:t>. You were granted restricted stock units (the “</w:t>
      </w:r>
      <w:r>
        <w:rPr>
          <w:rFonts w:ascii="Arial" w:cs="Arial" w:eastAsia="Arial" w:hAnsi="Arial"/>
          <w:sz w:val="16"/>
          <w:szCs w:val="16"/>
          <w:b w:val="1"/>
          <w:bCs w:val="1"/>
          <w:color w:val="auto"/>
        </w:rPr>
        <w:t>RSUs</w:t>
      </w:r>
      <w:r>
        <w:rPr>
          <w:rFonts w:ascii="Arial" w:cs="Arial" w:eastAsia="Arial" w:hAnsi="Arial"/>
          <w:sz w:val="16"/>
          <w:szCs w:val="16"/>
          <w:color w:val="auto"/>
        </w:rPr>
        <w:t>”) in, and options (the “</w:t>
      </w:r>
      <w:r>
        <w:rPr>
          <w:rFonts w:ascii="Arial" w:cs="Arial" w:eastAsia="Arial" w:hAnsi="Arial"/>
          <w:sz w:val="16"/>
          <w:szCs w:val="16"/>
          <w:b w:val="1"/>
          <w:bCs w:val="1"/>
          <w:color w:val="auto"/>
        </w:rPr>
        <w:t>Options</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shares of the Company’s common stock, pursuant to the Company’s applicable equity incentive plan documents (collectively, the “</w:t>
      </w:r>
      <w:r>
        <w:rPr>
          <w:rFonts w:ascii="Arial" w:cs="Arial" w:eastAsia="Arial" w:hAnsi="Arial"/>
          <w:sz w:val="16"/>
          <w:szCs w:val="16"/>
          <w:b w:val="1"/>
          <w:bCs w:val="1"/>
          <w:color w:val="auto"/>
        </w:rPr>
        <w:t>Plan</w:t>
      </w:r>
      <w:r>
        <w:rPr>
          <w:rFonts w:ascii="Arial" w:cs="Arial" w:eastAsia="Arial" w:hAnsi="Arial"/>
          <w:sz w:val="16"/>
          <w:szCs w:val="16"/>
          <w:color w:val="auto"/>
        </w:rPr>
        <w:t>”) and your Option and RSU grant documents. During the Transition Period, your Options and RSUs will continue to vest pursuant to the Plan, will continue to be governed by the Plan and applicable grant documents, and will cease vesting as of the Separation Date. Thereafter, your vested Option shares will be exercisable pursuant to the terms of the Plan and applicable grant documents. You will not receive any additional equity awards during the Transition Period.</w:t>
      </w:r>
    </w:p>
    <w:p>
      <w:pPr>
        <w:spacing w:after="0" w:line="154"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e. Termination for Cause</w:t>
      </w:r>
      <w:r>
        <w:rPr>
          <w:rFonts w:ascii="Arial" w:cs="Arial" w:eastAsia="Arial" w:hAnsi="Arial"/>
          <w:sz w:val="18"/>
          <w:szCs w:val="18"/>
          <w:color w:val="auto"/>
        </w:rPr>
        <w:t>. During the Transition Period, you are entitled to resign from your employment at any time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Additionally, during the Transition Period, the Company is entitled to terminate your employment with or without Cause (as defined below). If the Company terminates your employment </w:t>
      </w:r>
      <w:r>
        <w:rPr>
          <w:rFonts w:ascii="Arial" w:cs="Arial" w:eastAsia="Arial" w:hAnsi="Arial"/>
          <w:sz w:val="18"/>
          <w:szCs w:val="18"/>
          <w:i w:val="1"/>
          <w:iCs w:val="1"/>
          <w:color w:val="auto"/>
        </w:rPr>
        <w:t>with Cause</w:t>
      </w:r>
      <w:r>
        <w:rPr>
          <w:rFonts w:ascii="Arial" w:cs="Arial" w:eastAsia="Arial" w:hAnsi="Arial"/>
          <w:sz w:val="18"/>
          <w:szCs w:val="18"/>
          <w:color w:val="auto"/>
        </w:rPr>
        <w:t xml:space="preserve"> during the Transition Period, your employment ends due to your death or disability, or you resign for any reason, your employment will end immediately and you will not receive any further compensation or benefits from the Company (including the severance payments set forth in Section 4 below), except for any unpaid salary and PTO accrued through your Separation Date and any vested benefit under a written ERISA-qualified benefit program.</w:t>
      </w:r>
    </w:p>
    <w:p>
      <w:pPr>
        <w:spacing w:after="0" w:line="18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f. “Cause” Definition</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for termination of your employment will mean any of the following: (i) your</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of any act of fraud, embezzlement, dishonesty or any other willful misconduct that has caused or is reasonably likely to cause injury to the Company; (ii) your unauthorized use or disclosure of any proprietary information or trade secrets of the Company or any other party in breach of a contractual commitment; (iii) your willful breach of any of your obligations under any written agreement with the Company or any Company policy; or (iv) your engaging in employment or performing any work activities competitive with the Company.</w:t>
      </w:r>
    </w:p>
    <w:p>
      <w:pPr>
        <w:spacing w:after="0" w:line="184" w:lineRule="exact"/>
        <w:rPr>
          <w:sz w:val="20"/>
          <w:szCs w:val="20"/>
          <w:color w:val="auto"/>
        </w:rPr>
      </w:pPr>
    </w:p>
    <w:p>
      <w:pPr>
        <w:jc w:val="both"/>
        <w:ind w:right="280" w:firstLine="464"/>
        <w:spacing w:after="0" w:line="266" w:lineRule="auto"/>
        <w:tabs>
          <w:tab w:leader="none" w:pos="63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EPARATION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ELEASE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EVERANCE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color w:val="auto"/>
        </w:rPr>
        <w:t>. Subject to the terms and conditions set forth in Section 3 (Transition Period), if you</w:t>
      </w:r>
      <w:r>
        <w:rPr>
          <w:rFonts w:ascii="Arial" w:cs="Arial" w:eastAsia="Arial" w:hAnsi="Arial"/>
          <w:sz w:val="18"/>
          <w:szCs w:val="18"/>
          <w:b w:val="1"/>
          <w:bCs w:val="1"/>
          <w:color w:val="auto"/>
        </w:rPr>
        <w:t xml:space="preserve"> </w:t>
      </w:r>
      <w:r>
        <w:rPr>
          <w:rFonts w:ascii="Arial" w:cs="Arial" w:eastAsia="Arial" w:hAnsi="Arial"/>
          <w:sz w:val="18"/>
          <w:szCs w:val="18"/>
          <w:color w:val="auto"/>
        </w:rPr>
        <w:t>remain a Company employee through July 1, 2017, you remain in compliance with this Agreement and all Company policies, and you sign the Separation Date Release on the Separation Date or within forty-five (45) days thereafter and allow it to become effective,</w:t>
      </w:r>
    </w:p>
    <w:p>
      <w:pPr>
        <w:sectPr>
          <w:pgSz w:w="11900" w:h="16838" w:orient="portrait"/>
          <w:cols w:equalWidth="0" w:num="1">
            <w:col w:w="11420"/>
          </w:cols>
          <w:pgMar w:left="240" w:top="27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then the Company will pay you as severance, an amount equal to the average bonus that you received in respect of calendar years 2013, 2014 and 2015 (each of which was paid in March following the conclusion of the applicable performance year) (the “</w:t>
      </w:r>
      <w:r>
        <w:rPr>
          <w:rFonts w:ascii="Arial" w:cs="Arial" w:eastAsia="Arial" w:hAnsi="Arial"/>
          <w:sz w:val="16"/>
          <w:szCs w:val="16"/>
          <w:b w:val="1"/>
          <w:bCs w:val="1"/>
          <w:color w:val="auto"/>
        </w:rPr>
        <w:t>Severance</w:t>
      </w:r>
      <w:r>
        <w:rPr>
          <w:rFonts w:ascii="Arial" w:cs="Arial" w:eastAsia="Arial" w:hAnsi="Arial"/>
          <w:sz w:val="16"/>
          <w:szCs w:val="16"/>
          <w:color w:val="auto"/>
        </w:rPr>
        <w:t>”). The Severance will be subject to standard employment and income tax deductions and withholdings and will be paid to you in a lump sum on or before the date in 2018 on which the annual bonuses for work performed in 2017 are paid, or on or within seven (7) days after the effective date of the Separation Date Release, if it occurs later.</w:t>
      </w:r>
    </w:p>
    <w:p>
      <w:pPr>
        <w:spacing w:after="0" w:line="150" w:lineRule="exact"/>
        <w:rPr>
          <w:sz w:val="20"/>
          <w:szCs w:val="20"/>
          <w:color w:val="auto"/>
        </w:rPr>
      </w:pPr>
    </w:p>
    <w:p>
      <w:pPr>
        <w:ind w:firstLine="464"/>
        <w:spacing w:after="0" w:line="282" w:lineRule="auto"/>
        <w:tabs>
          <w:tab w:leader="none" w:pos="63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ENEFITS</w:t>
      </w:r>
      <w:r>
        <w:rPr>
          <w:rFonts w:ascii="Arial" w:cs="Arial" w:eastAsia="Arial" w:hAnsi="Arial"/>
          <w:sz w:val="18"/>
          <w:szCs w:val="18"/>
          <w:color w:val="auto"/>
        </w:rPr>
        <w:t>. 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161" w:lineRule="exact"/>
        <w:rPr>
          <w:rFonts w:ascii="Arial" w:cs="Arial" w:eastAsia="Arial" w:hAnsi="Arial"/>
          <w:sz w:val="18"/>
          <w:szCs w:val="18"/>
          <w:b w:val="1"/>
          <w:bCs w:val="1"/>
          <w:color w:val="auto"/>
        </w:rPr>
      </w:pPr>
    </w:p>
    <w:p>
      <w:pPr>
        <w:ind w:right="40" w:firstLine="464"/>
        <w:spacing w:after="0" w:line="258" w:lineRule="auto"/>
        <w:tabs>
          <w:tab w:leader="none" w:pos="63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XPENSE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EIMBURSEMENTS</w:t>
      </w:r>
      <w:r>
        <w:rPr>
          <w:rFonts w:ascii="Arial" w:cs="Arial" w:eastAsia="Arial" w:hAnsi="Arial"/>
          <w:sz w:val="18"/>
          <w:szCs w:val="18"/>
          <w:color w:val="auto"/>
        </w:rPr>
        <w:t>. You agree that, within thirty (30) days after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such expenses pursuant to its regular business practice. If you are required to travel before or during the Transition Period or the Consulting Period to discharge your duties or perform Consulting Services, then you shall be subject to the same travel expense guidelines as apply to Executive Leadership Team members.</w:t>
      </w:r>
    </w:p>
    <w:p>
      <w:pPr>
        <w:spacing w:after="0" w:line="183" w:lineRule="exact"/>
        <w:rPr>
          <w:rFonts w:ascii="Arial" w:cs="Arial" w:eastAsia="Arial" w:hAnsi="Arial"/>
          <w:sz w:val="18"/>
          <w:szCs w:val="18"/>
          <w:b w:val="1"/>
          <w:bCs w:val="1"/>
          <w:color w:val="auto"/>
        </w:rPr>
      </w:pPr>
    </w:p>
    <w:p>
      <w:pPr>
        <w:ind w:right="80" w:firstLine="464"/>
        <w:spacing w:after="0" w:line="269" w:lineRule="auto"/>
        <w:tabs>
          <w:tab w:leader="none" w:pos="636"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ETURN</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7"/>
          <w:szCs w:val="17"/>
          <w:color w:val="auto"/>
        </w:rPr>
        <w:t>. By the Separation Date, you shall return to the Company all Company documents (and all copies or</w:t>
      </w:r>
      <w:r>
        <w:rPr>
          <w:rFonts w:ascii="Arial" w:cs="Arial" w:eastAsia="Arial" w:hAnsi="Arial"/>
          <w:sz w:val="17"/>
          <w:szCs w:val="17"/>
          <w:b w:val="1"/>
          <w:bCs w:val="1"/>
          <w:color w:val="auto"/>
        </w:rPr>
        <w:t xml:space="preserve"> </w:t>
      </w:r>
      <w:r>
        <w:rPr>
          <w:rFonts w:ascii="Arial" w:cs="Arial" w:eastAsia="Arial" w:hAnsi="Arial"/>
          <w:sz w:val="17"/>
          <w:szCs w:val="17"/>
          <w:color w:val="auto"/>
        </w:rPr>
        <w:t>reproductions thereof) and other Company property within your possession or control, including, but not limited to, Company hardcopy and electronic files, email, notes, drawings, records, reports, studies, compilations of data, business plans and forecasts, proposals, agreements, financial and operational information, sales and marketing information, research and development information, product and prototype information, personnel information, specifications, computer-recorded information, tangible property and equipment including, but not limited to, credit cards, entry cards, identification badges, keys, computing and communication devices; and any materials of any kind that contain or embody any proprietary or confidential information of the Company (and all reproductions or embodiments thereof, in whole or in part). Your timely return of all such Company documents and other property is a condition precedent to your receipt of the benefits provided under this Agreement; provided that you are permitted to retain copies of any agreement that you signed with the Company (after leaving with the Company the original or another copy, if you do not possess the original). Your return of property and information shall include return of a copy of any Company information stored on any personal computing device, and deletion of all such information from your personal devices without retention of any copy or embodiment; and you agree to permit the Company to inspect any such device to ensure that such return and deletion of information has taken place.</w:t>
      </w:r>
    </w:p>
    <w:p>
      <w:pPr>
        <w:spacing w:after="0" w:line="179" w:lineRule="exact"/>
        <w:rPr>
          <w:rFonts w:ascii="Arial" w:cs="Arial" w:eastAsia="Arial" w:hAnsi="Arial"/>
          <w:sz w:val="17"/>
          <w:szCs w:val="17"/>
          <w:b w:val="1"/>
          <w:bCs w:val="1"/>
          <w:color w:val="auto"/>
        </w:rPr>
      </w:pPr>
    </w:p>
    <w:p>
      <w:pPr>
        <w:ind w:right="40" w:firstLine="464"/>
        <w:spacing w:after="0" w:line="255" w:lineRule="auto"/>
        <w:tabs>
          <w:tab w:leader="none" w:pos="63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SSIGNMENT</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ORK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w:t>
      </w:r>
      <w:r>
        <w:rPr>
          <w:rFonts w:ascii="Arial" w:cs="Arial" w:eastAsia="Arial" w:hAnsi="Arial"/>
          <w:sz w:val="18"/>
          <w:szCs w:val="18"/>
          <w:color w:val="auto"/>
        </w:rPr>
        <w:t>. You acknowledge and agree to abide by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under your Employee Proprietary Information and Inventions Agreement. You further agree that, both during and after your employment, you will make no use or disclosure of any Company proprietary or confidential information unless specifically authorized in writing by a Company officer. You hereby assign to the Company all right, title, and interest you may have in any and all inventions, developments, concepts, methods, trade secrets, intellectual property, or other work product developed or obtained by you during your employment with the Company that relates to any actual or anticipated line of business, product, service, or activity of the Company, or your performance of services for the Company, or was produced on Company time or equipment.</w:t>
      </w:r>
    </w:p>
    <w:p>
      <w:pPr>
        <w:sectPr>
          <w:pgSz w:w="11900" w:h="16838" w:orient="portrait"/>
          <w:cols w:equalWidth="0" w:num="1">
            <w:col w:w="11400"/>
          </w:cols>
          <w:pgMar w:left="240" w:top="274"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firstLine="464"/>
        <w:spacing w:after="0" w:line="277" w:lineRule="auto"/>
        <w:tabs>
          <w:tab w:leader="none" w:pos="636"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ONFIDENTIALITY</w:t>
      </w:r>
      <w:r>
        <w:rPr>
          <w:rFonts w:ascii="Arial" w:cs="Arial" w:eastAsia="Arial" w:hAnsi="Arial"/>
          <w:sz w:val="17"/>
          <w:szCs w:val="17"/>
          <w:color w:val="auto"/>
        </w:rPr>
        <w:t>. The provisions of this Agreement will be held in strictest confidence by you and the Company and will not be publicized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in any manner whatsoever; provided, however, that: (a) you may disclose this Agreement in confidence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w:t>
      </w:r>
    </w:p>
    <w:p>
      <w:pPr>
        <w:spacing w:after="0" w:line="168" w:lineRule="exact"/>
        <w:rPr>
          <w:rFonts w:ascii="Arial" w:cs="Arial" w:eastAsia="Arial" w:hAnsi="Arial"/>
          <w:sz w:val="17"/>
          <w:szCs w:val="17"/>
          <w:b w:val="1"/>
          <w:bCs w:val="1"/>
          <w:color w:val="auto"/>
        </w:rPr>
      </w:pPr>
    </w:p>
    <w:p>
      <w:pPr>
        <w:ind w:right="80" w:firstLine="464"/>
        <w:spacing w:after="0" w:line="266" w:lineRule="auto"/>
        <w:tabs>
          <w:tab w:leader="none" w:pos="72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not to disparage the Company and its officers, directors, employees, shareholders and agents,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be harmful to them or their business, business reputations or personal reputations, provided that you may respond accurately and fully to any inquiry to the extent required by legal process.</w:t>
      </w:r>
    </w:p>
    <w:p>
      <w:pPr>
        <w:spacing w:after="0" w:line="176" w:lineRule="exact"/>
        <w:rPr>
          <w:rFonts w:ascii="Arial" w:cs="Arial" w:eastAsia="Arial" w:hAnsi="Arial"/>
          <w:sz w:val="18"/>
          <w:szCs w:val="18"/>
          <w:b w:val="1"/>
          <w:bCs w:val="1"/>
          <w:color w:val="auto"/>
        </w:rPr>
      </w:pPr>
    </w:p>
    <w:p>
      <w:pPr>
        <w:ind w:right="380" w:firstLine="464"/>
        <w:spacing w:after="0" w:line="313" w:lineRule="auto"/>
        <w:tabs>
          <w:tab w:leader="none" w:pos="717"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DMISSIONS</w:t>
      </w:r>
      <w:r>
        <w:rPr>
          <w:rFonts w:ascii="Arial" w:cs="Arial" w:eastAsia="Arial" w:hAnsi="Arial"/>
          <w:sz w:val="17"/>
          <w:szCs w:val="17"/>
          <w:color w:val="auto"/>
        </w:rPr>
        <w:t>. You understand and agree that the promises and payments in consideration of this Agreement shall not be construed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admission of any liability or obligation by the Company to you or to any other person, and that the Company makes no such admission.</w:t>
      </w:r>
    </w:p>
    <w:p>
      <w:pPr>
        <w:spacing w:after="0" w:line="138" w:lineRule="exact"/>
        <w:rPr>
          <w:rFonts w:ascii="Arial" w:cs="Arial" w:eastAsia="Arial" w:hAnsi="Arial"/>
          <w:sz w:val="17"/>
          <w:szCs w:val="17"/>
          <w:b w:val="1"/>
          <w:bCs w:val="1"/>
          <w:color w:val="auto"/>
        </w:rPr>
      </w:pPr>
    </w:p>
    <w:p>
      <w:pPr>
        <w:ind w:firstLine="464"/>
        <w:spacing w:after="0" w:line="285" w:lineRule="auto"/>
        <w:tabs>
          <w:tab w:leader="none" w:pos="72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ELEASE</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LAIMS</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consideration under this Agreement to which you would not otherwise be entitled, you hereby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completely release the Company and its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at any time prior to and including the time you sign this Agreement. This general release includes, but is not limited to: (a) all claims arising from or in any way related to your employment with the Company or the termination of that employment; (b) all claims related to your compensation or benefits from the Company, including salary, bonuses, commissions, fees,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Arial" w:cs="Arial" w:eastAsia="Arial" w:hAnsi="Arial"/>
          <w:sz w:val="16"/>
          <w:szCs w:val="16"/>
          <w:b w:val="1"/>
          <w:bCs w:val="1"/>
          <w:color w:val="auto"/>
        </w:rPr>
        <w:t>ADEA</w:t>
      </w:r>
      <w:r>
        <w:rPr>
          <w:rFonts w:ascii="Arial" w:cs="Arial" w:eastAsia="Arial" w:hAnsi="Arial"/>
          <w:sz w:val="16"/>
          <w:szCs w:val="16"/>
          <w:color w:val="auto"/>
        </w:rPr>
        <w:t>”), and the California Fair Employment and Housing Act (as amended). Notwithstanding the foregoing, you are not releasing the Company hereby from any breach of this Agreement subsequent to its Effective Date, or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 You are not waiving your right to bring proceedings before administrative agencies such as the Equal Employment Opportunity Commission, Department of Labor, or the California Department of Fair Employment and Housing, provided that you are waiving any monetary recovery from such proceedings. You represent that you have no lawsuits, claims or actions pending in your name, or on behalf of any other person or entity, against the Company or any other person or entity subject to the release granted in this paragraph.</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jc w:val="both"/>
        <w:ind w:right="160" w:firstLine="464"/>
        <w:spacing w:after="0" w:line="286" w:lineRule="auto"/>
        <w:tabs>
          <w:tab w:leader="none" w:pos="726" w:val="left"/>
        </w:tabs>
        <w:numPr>
          <w:ilvl w:val="1"/>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ADEA R</w:t>
      </w:r>
      <w:r>
        <w:rPr>
          <w:rFonts w:ascii="Arial" w:cs="Arial" w:eastAsia="Arial" w:hAnsi="Arial"/>
          <w:sz w:val="13"/>
          <w:szCs w:val="13"/>
          <w:b w:val="1"/>
          <w:bCs w:val="1"/>
          <w:color w:val="auto"/>
        </w:rPr>
        <w:t>ELEASE</w:t>
      </w:r>
      <w:r>
        <w:rPr>
          <w:rFonts w:ascii="Arial" w:cs="Arial" w:eastAsia="Arial" w:hAnsi="Arial"/>
          <w:sz w:val="16"/>
          <w:szCs w:val="16"/>
          <w:color w:val="auto"/>
        </w:rPr>
        <w:t>. You acknowledge that you are knowingly and voluntarily waiving and releasing any rights you have under the ADEA, 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forty-five (45) days to consider this Agreement (although you may choose voluntarily to sign it sooner); (d) you have seven</w:t>
      </w:r>
    </w:p>
    <w:p>
      <w:pPr>
        <w:spacing w:after="0" w:line="2" w:lineRule="exact"/>
        <w:rPr>
          <w:rFonts w:ascii="Arial" w:cs="Arial" w:eastAsia="Arial" w:hAnsi="Arial"/>
          <w:sz w:val="16"/>
          <w:szCs w:val="16"/>
          <w:b w:val="1"/>
          <w:bCs w:val="1"/>
          <w:color w:val="auto"/>
        </w:rPr>
      </w:pPr>
    </w:p>
    <w:p>
      <w:pPr>
        <w:ind w:right="340" w:firstLine="8"/>
        <w:spacing w:after="0" w:line="255"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80" w:firstLine="464"/>
        <w:spacing w:after="0" w:line="282" w:lineRule="auto"/>
        <w:tabs>
          <w:tab w:leader="none" w:pos="726"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1542 W</w:t>
      </w:r>
      <w:r>
        <w:rPr>
          <w:rFonts w:ascii="Arial" w:cs="Arial" w:eastAsia="Arial" w:hAnsi="Arial"/>
          <w:sz w:val="15"/>
          <w:szCs w:val="15"/>
          <w:b w:val="1"/>
          <w:bCs w:val="1"/>
          <w:color w:val="auto"/>
        </w:rPr>
        <w:t>AIVER</w:t>
      </w:r>
      <w:r>
        <w:rPr>
          <w:rFonts w:ascii="Arial" w:cs="Arial" w:eastAsia="Arial" w:hAnsi="Arial"/>
          <w:sz w:val="18"/>
          <w:szCs w:val="18"/>
          <w:color w:val="auto"/>
        </w:rPr>
        <w:t>. In granting the release herein, which includes claims that may be unknown to you at present, you acknowledge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read and understand Section 1542 of the California Civil Code:</w:t>
      </w:r>
    </w:p>
    <w:p>
      <w:pPr>
        <w:spacing w:after="0" w:line="54" w:lineRule="exact"/>
        <w:rPr>
          <w:sz w:val="20"/>
          <w:szCs w:val="20"/>
          <w:color w:val="auto"/>
        </w:rPr>
      </w:pPr>
    </w:p>
    <w:p>
      <w:pPr>
        <w:ind w:left="460" w:right="20"/>
        <w:spacing w:after="0" w:line="282"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You hereby expressly waive and relinquish all rights and benefits under that section and any law or legal principle of similar effect in any jurisdiction with respect to the releases granted herein, including but not limited to the release of unknown and unsuspected claims granted in this Agreement.</w:t>
      </w:r>
    </w:p>
    <w:p>
      <w:pPr>
        <w:spacing w:after="0" w:line="143" w:lineRule="exact"/>
        <w:rPr>
          <w:sz w:val="20"/>
          <w:szCs w:val="20"/>
          <w:color w:val="auto"/>
        </w:rPr>
      </w:pPr>
    </w:p>
    <w:p>
      <w:pPr>
        <w:ind w:right="20" w:firstLine="464"/>
        <w:spacing w:after="0" w:line="284" w:lineRule="auto"/>
        <w:tabs>
          <w:tab w:leader="none" w:pos="726" w:val="left"/>
        </w:tabs>
        <w:numPr>
          <w:ilvl w:val="1"/>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3"/>
          <w:szCs w:val="13"/>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ESOLUTION</w:t>
      </w:r>
      <w:r>
        <w:rPr>
          <w:rFonts w:ascii="Arial" w:cs="Arial" w:eastAsia="Arial" w:hAnsi="Arial"/>
          <w:sz w:val="16"/>
          <w:szCs w:val="16"/>
          <w:color w:val="auto"/>
        </w:rPr>
        <w:t>. To aid in the rapid and economical resolution of any disputes which may arise under this Agreement,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agree that any and all claims, disputes or controversies of any nature whatsoever arising from or regarding the interpretation, performance, negotiation, execution, enforcement or breach of this Agreement, your employment, or the termination of your employment, shall be resolved by confidential, final and binding arbitration conducted before a single arbitrator with JAMS, Inc. (“</w:t>
      </w:r>
      <w:r>
        <w:rPr>
          <w:rFonts w:ascii="Arial" w:cs="Arial" w:eastAsia="Arial" w:hAnsi="Arial"/>
          <w:sz w:val="16"/>
          <w:szCs w:val="16"/>
          <w:b w:val="1"/>
          <w:bCs w:val="1"/>
          <w:color w:val="auto"/>
        </w:rPr>
        <w:t>JAMS</w:t>
      </w:r>
      <w:r>
        <w:rPr>
          <w:rFonts w:ascii="Arial" w:cs="Arial" w:eastAsia="Arial" w:hAnsi="Arial"/>
          <w:sz w:val="16"/>
          <w:szCs w:val="16"/>
          <w:color w:val="auto"/>
        </w:rPr>
        <w:t xml:space="preserve">”) in the Los Angeles, California area, in accordance with JAMS’ then-applicable arbitration rules, which appear at the following link: </w:t>
      </w:r>
      <w:r>
        <w:rPr>
          <w:rFonts w:ascii="Arial" w:cs="Arial" w:eastAsia="Arial" w:hAnsi="Arial"/>
          <w:sz w:val="16"/>
          <w:szCs w:val="16"/>
          <w:u w:val="single" w:color="auto"/>
          <w:color w:val="auto"/>
        </w:rPr>
        <w:t>http://www.jamsadr.com/rules-comprehensive-arbitration/</w:t>
      </w:r>
      <w:r>
        <w:rPr>
          <w:rFonts w:ascii="Arial" w:cs="Arial" w:eastAsia="Arial" w:hAnsi="Arial"/>
          <w:sz w:val="16"/>
          <w:szCs w:val="16"/>
          <w:color w:val="auto"/>
        </w:rPr>
        <w:t xml:space="preserve">. </w:t>
      </w:r>
      <w:r>
        <w:rPr>
          <w:rFonts w:ascii="Arial" w:cs="Arial" w:eastAsia="Arial" w:hAnsi="Arial"/>
          <w:sz w:val="16"/>
          <w:szCs w:val="16"/>
          <w:b w:val="1"/>
          <w:bCs w:val="1"/>
          <w:color w:val="auto"/>
        </w:rPr>
        <w:t>The parties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that by agreeing to this arbitration procedure, they waive the right to resolve any such dispute through a trial by jury, judge or administrative proceeding</w:t>
      </w:r>
      <w:r>
        <w:rPr>
          <w:rFonts w:ascii="Arial" w:cs="Arial" w:eastAsia="Arial" w:hAnsi="Arial"/>
          <w:sz w:val="16"/>
          <w:szCs w:val="16"/>
          <w:color w:val="auto"/>
        </w:rPr>
        <w:t>. You will have the right to be represented by legal counsel at any arbitration proceeding. The arbitrator shall: (a) have the authority to compel</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discovery for the resolution of the dispute and to award such relief as would otherwise be available under applicable law in a court proceeding; and</w:t>
      </w:r>
    </w:p>
    <w:p>
      <w:pPr>
        <w:spacing w:after="0" w:line="5" w:lineRule="exact"/>
        <w:rPr>
          <w:rFonts w:ascii="Arial" w:cs="Arial" w:eastAsia="Arial" w:hAnsi="Arial"/>
          <w:sz w:val="16"/>
          <w:szCs w:val="16"/>
          <w:b w:val="1"/>
          <w:bCs w:val="1"/>
          <w:color w:val="auto"/>
        </w:rPr>
      </w:pPr>
    </w:p>
    <w:p>
      <w:pPr>
        <w:ind w:firstLine="8"/>
        <w:spacing w:after="0" w:line="253"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issue a written statement signed by the arbitrator regarding the disposition of each claim and the relief, if any, awarded as to each claim, the reasons for the award, and the arbitrator’s essential findings and conclusions on which the award is based. The Company shall bear JAMS’ arbitration fees and administrative costs. Nothing in this Agreement shall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7" w:lineRule="exact"/>
        <w:rPr>
          <w:rFonts w:ascii="Arial" w:cs="Arial" w:eastAsia="Arial" w:hAnsi="Arial"/>
          <w:sz w:val="18"/>
          <w:szCs w:val="18"/>
          <w:color w:val="auto"/>
        </w:rPr>
      </w:pPr>
    </w:p>
    <w:p>
      <w:pPr>
        <w:ind w:firstLine="464"/>
        <w:spacing w:after="0" w:line="266" w:lineRule="auto"/>
        <w:tabs>
          <w:tab w:leader="none" w:pos="726"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represent that you have been paid all compensation owed and for all hours worked; have received all the leave and</w:t>
      </w:r>
      <w:r>
        <w:rPr>
          <w:rFonts w:ascii="Arial" w:cs="Arial" w:eastAsia="Arial" w:hAnsi="Arial"/>
          <w:sz w:val="18"/>
          <w:szCs w:val="18"/>
          <w:b w:val="1"/>
          <w:bCs w:val="1"/>
          <w:color w:val="auto"/>
        </w:rPr>
        <w:t xml:space="preserve"> </w:t>
      </w:r>
      <w:r>
        <w:rPr>
          <w:rFonts w:ascii="Arial" w:cs="Arial" w:eastAsia="Arial" w:hAnsi="Arial"/>
          <w:sz w:val="18"/>
          <w:szCs w:val="18"/>
          <w:color w:val="auto"/>
        </w:rPr>
        <w:t>leave benefits and protections for which you are eligible pursuant to the Family and Medical Leave Act, the California Family Rights Act, or otherwise, and have not suffered any on-the-job injury for which you have not already filed a workers’ compensation claim.</w:t>
      </w:r>
    </w:p>
    <w:p>
      <w:pPr>
        <w:sectPr>
          <w:pgSz w:w="11900" w:h="16838" w:orient="portrait"/>
          <w:cols w:equalWidth="0" w:num="1">
            <w:col w:w="11420"/>
          </w:cols>
          <w:pgMar w:left="240" w:top="27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right="40" w:firstLine="464"/>
        <w:spacing w:after="0" w:line="288" w:lineRule="auto"/>
        <w:tabs>
          <w:tab w:leader="none" w:pos="726"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3"/>
          <w:szCs w:val="13"/>
          <w:b w:val="1"/>
          <w:bCs w:val="1"/>
          <w:color w:val="auto"/>
        </w:rPr>
        <w:t>ISCELLANEOUS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all exhibits, constitutes the complete, final and exclusive embodiment of the 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you and the Company with regard to its subject matter. It is entered into without reliance on any promise or representation, written or oral, other than those expressly contained herein, and it supersedes any other such promises, warranties or representations, including, but not limited to, your employment offer letter, Executive Severance Agreement and Employee Proprietary Information and Inventions Agreement (insofar as it may be inconsistent with this Agreement). This Agreement may not be modified or amended except in a written agreement signed by both you and a duly authorized officer of the Company. If any provision of this Agreement (including, but not limited to, the Employee Proprietary Information and Inventions Agreement, incorporated by reference herein) becomes or is declared illegal, unenforceable or void, this Agreement shall continue in full force and effect, and said provision shall be deemed modified and enforceable consistent with the intent of the parties insofar as possible under applicable law. This Agreement will be construed and enforced in accordance with the laws of the State of California without respect to conflicts of law principles. Any ambiguity in this Agreement shall not be construed against either party as the drafter. Any waiver of a breach of this Agreement must be in writing and shall not be deemed a waiver of any successive breach. This Agreement may be executed in counterparts and facsimile signatures will suffice as original signatures.</w:t>
      </w:r>
    </w:p>
    <w:p>
      <w:pPr>
        <w:spacing w:after="0" w:line="1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You have forty-five (45) calendar days to decide whether to accept this Agreement, and the Company’s offer contained herein will automatically expire if you do not sign and return it within this timeframe.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Alfred E. Mann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Chairman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READ, UNDERSTAND AND ACCEPT THE FOREGOING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12/1/15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DATE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 or within 45 days after the Separation Date.)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consideration for the various benefits provided to me by MannKind Corporation (the “Company”) pursuant to my letter Transition and Separation Agreement with the Company dated November 30, 2015 (the “Agreement”), I agree to the terms below.</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hereby confirm that: I have been paid all compensation owed for all hours worked by me for the Company; I have received all leave and leave benefits and protections for which I was eligible (pursuant to the Family and Medical Leave Act, the California Family Rights Act or otherwise) in connection with my work with the Company; and I have not suffered any injury or illness in connection with my work with the Company for which I have not already filed a claim.</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prior to and including the time I sign this Separation Date Release (the “Release”). This general release includes, but is not limited to: (1) all claims arising from or in any way related to my employment with the Company, or the termination of that employment; (2) all claims related to compensation or benefits from the Company, including salary, bonuses, commissions, vacation pay, paid time off, expense reimbursements, severance pay, fringe benefits, stock, stock options, or any other ownership interests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(“ADEA’’), ERISA, the California Fair Employment and Housing Act (as amended), the California Labor Code (as amended), the California Family Rights Act.</w:t>
      </w:r>
    </w:p>
    <w:p>
      <w:pPr>
        <w:spacing w:after="0" w:line="17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I am not releasing: (i) any rights or claims for indemnification I may have pursuant to any written indemnification agreement with the Company to which I am a party or under applicable law; (ii) any rights which cannot be waived as a matter of law; (iii) any rights I have to file or pursue a claim for workers’ compensation or unemployment insurance; and (iv) any claims for breach of this Release. </w:t>
      </w:r>
      <w:r>
        <w:rPr>
          <w:rFonts w:ascii="Arial" w:cs="Arial" w:eastAsia="Arial" w:hAnsi="Arial"/>
          <w:sz w:val="17"/>
          <w:szCs w:val="17"/>
          <w:b w:val="1"/>
          <w:bCs w:val="1"/>
          <w:color w:val="auto"/>
        </w:rPr>
        <w:t>In addition, nothing in this Agreement prevents me</w:t>
      </w:r>
      <w:r>
        <w:rPr>
          <w:rFonts w:ascii="Arial" w:cs="Arial" w:eastAsia="Arial" w:hAnsi="Arial"/>
          <w:sz w:val="17"/>
          <w:szCs w:val="17"/>
          <w:color w:val="auto"/>
        </w:rPr>
        <w:t xml:space="preserve"> </w:t>
      </w:r>
      <w:r>
        <w:rPr>
          <w:rFonts w:ascii="Arial" w:cs="Arial" w:eastAsia="Arial" w:hAnsi="Arial"/>
          <w:sz w:val="17"/>
          <w:szCs w:val="17"/>
          <w:b w:val="1"/>
          <w:bCs w:val="1"/>
          <w:color w:val="auto"/>
        </w:rPr>
        <w:t>from filing, cooperating with, or participating in any proceeding before the Equal Employment Opportunity Commission, the Department of Labor, or any other analogous federal or state government agency, except that I acknowledge and agree that I hereby waive my right to any monetary benefits in connection with any such claim, charge or proceeding.</w:t>
      </w:r>
    </w:p>
    <w:p>
      <w:pPr>
        <w:sectPr>
          <w:pgSz w:w="11900" w:h="16838" w:orient="portrait"/>
          <w:cols w:equalWidth="0" w:num="1">
            <w:col w:w="11420"/>
          </w:cols>
          <w:pgMar w:left="240" w:top="274"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 also acknowledge that I am knowingly and voluntarily waiving and releasing any right I may waiving and releasing any rights I may have under the ADEA (“</w:t>
      </w:r>
      <w:r>
        <w:rPr>
          <w:rFonts w:ascii="Arial" w:cs="Arial" w:eastAsia="Arial" w:hAnsi="Arial"/>
          <w:sz w:val="16"/>
          <w:szCs w:val="16"/>
          <w:b w:val="1"/>
          <w:bCs w:val="1"/>
          <w:color w:val="auto"/>
        </w:rPr>
        <w:t>Release ADEA Waiver</w:t>
      </w:r>
      <w:r>
        <w:rPr>
          <w:rFonts w:ascii="Arial" w:cs="Arial" w:eastAsia="Arial" w:hAnsi="Arial"/>
          <w:sz w:val="16"/>
          <w:szCs w:val="16"/>
          <w:color w:val="auto"/>
        </w:rPr>
        <w:t>”). I also acknowledge that the consideration given for the Release ADEA Waiver is in addition to anything of value to which I was already entitled. I further acknowledge that I have been advised by this writing, as required by the ADEA, that: (a) my release and waiver herein does not apply to any rights or claims that arise after the date I sign this Release; (b) I should consult with an attorney prior to signing this Release (although I may choose voluntarily not to do so); (c) I have forty-five (45) days to consider this Release (although I may choose to voluntarily sign it sooner); (d) I have seven (7) days following the date I sign this Release to revoke it (by sending written revocation directly to the Company’s Chief Executive Officer); and</w:t>
      </w:r>
    </w:p>
    <w:p>
      <w:pPr>
        <w:spacing w:after="0" w:line="5" w:lineRule="exact"/>
        <w:rPr>
          <w:sz w:val="20"/>
          <w:szCs w:val="20"/>
          <w:color w:val="auto"/>
        </w:rPr>
      </w:pPr>
    </w:p>
    <w:p>
      <w:pPr>
        <w:ind w:right="320" w:firstLine="8"/>
        <w:spacing w:after="0" w:line="261"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Release will not be effective until the date upon which the revocation period has expired unexercised, which will be the eighth day after I sign this Release (the “</w:t>
      </w:r>
      <w:r>
        <w:rPr>
          <w:rFonts w:ascii="Arial" w:cs="Arial" w:eastAsia="Arial" w:hAnsi="Arial"/>
          <w:sz w:val="18"/>
          <w:szCs w:val="18"/>
          <w:b w:val="1"/>
          <w:bCs w:val="1"/>
          <w:color w:val="auto"/>
        </w:rPr>
        <w:t>Release Effective Date</w:t>
      </w:r>
      <w:r>
        <w:rPr>
          <w:rFonts w:ascii="Arial" w:cs="Arial" w:eastAsia="Arial" w:hAnsi="Arial"/>
          <w:sz w:val="18"/>
          <w:szCs w:val="18"/>
          <w:color w:val="auto"/>
        </w:rPr>
        <w:t>”).</w:t>
      </w:r>
    </w:p>
    <w:p>
      <w:pPr>
        <w:spacing w:after="0" w:line="18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 UNDERSTAND THAT THIS RELEASE INCLUDES A RELEASE OF ALL KNOWN AND UNKNOWN CLAIMS. 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 claims which the creditor does</w:t>
      </w:r>
      <w:r>
        <w:rPr>
          <w:rFonts w:ascii="Arial" w:cs="Arial" w:eastAsia="Arial" w:hAnsi="Arial"/>
          <w:sz w:val="16"/>
          <w:szCs w:val="16"/>
          <w:color w:val="auto"/>
        </w:rPr>
        <w:t xml:space="preserve"> </w:t>
      </w:r>
      <w:r>
        <w:rPr>
          <w:rFonts w:ascii="Arial" w:cs="Arial" w:eastAsia="Arial" w:hAnsi="Arial"/>
          <w:sz w:val="16"/>
          <w:szCs w:val="16"/>
          <w:b w:val="1"/>
          <w:bCs w:val="1"/>
          <w:color w:val="auto"/>
        </w:rPr>
        <w:t>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 section and any law or legal principle of</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effect in any jurisdiction with respect to my release of claims herein, including but not limited to the release of unknown and unsuspected claims.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Release, together with the Agreement (including all exhibits thereto), constitutes the complete, final and exclusive embodiment of the entire agreement between me and the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Hakan S. Edstrom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EMPLOYEE PROPRIETARY INFORMATION AND INVENTIONS AGREEMENT</w:t>
      </w:r>
    </w:p>
    <w:p>
      <w:pPr>
        <w:sectPr>
          <w:pgSz w:w="11900" w:h="16838" w:orient="portrait"/>
          <w:cols w:equalWidth="0" w:num="1">
            <w:col w:w="10219"/>
          </w:cols>
          <w:pgMar w:left="240" w:top="274" w:right="1440" w:bottom="1440" w:gutter="0" w:footer="0" w:header="0"/>
        </w:sectPr>
      </w:pPr>
    </w:p>
    <w:bookmarkStart w:id="143" w:name="page144"/>
    <w:bookmarkEnd w:id="143"/>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MANNKIND CORPORATION</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EMPLOYEE PROPRIETARY INFORMATION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INVENTIONS AGREEMENT</w:t>
      </w:r>
    </w:p>
    <w:p>
      <w:pPr>
        <w:spacing w:after="0" w:line="20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In consideration of my employment or continued employment by </w:t>
      </w:r>
      <w:r>
        <w:rPr>
          <w:rFonts w:ascii="Arial" w:cs="Arial" w:eastAsia="Arial" w:hAnsi="Arial"/>
          <w:sz w:val="18"/>
          <w:szCs w:val="18"/>
          <w:b w:val="1"/>
          <w:bCs w:val="1"/>
          <w:color w:val="auto"/>
        </w:rPr>
        <w:t>MANNKIND CORPORATION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and the compensation now and hereafter paid to me, I hereby agree as follows:</w:t>
      </w:r>
    </w:p>
    <w:p>
      <w:pPr>
        <w:sectPr>
          <w:pgSz w:w="11900" w:h="16838" w:orient="portrait"/>
          <w:cols w:equalWidth="0" w:num="1">
            <w:col w:w="11300"/>
          </w:cols>
          <w:pgMar w:left="240" w:top="270" w:right="359" w:bottom="1440" w:gutter="0" w:footer="0" w:header="0"/>
        </w:sectPr>
      </w:pPr>
    </w:p>
    <w:p>
      <w:pPr>
        <w:spacing w:after="0" w:line="243"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ONDISCLOSURE</w:t>
      </w:r>
    </w:p>
    <w:p>
      <w:pPr>
        <w:spacing w:after="0" w:line="22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color w:val="auto"/>
        </w:rPr>
        <w:t xml:space="preserve">1.1 Recognition of Company’s Rights; Nondisclosure. </w:t>
      </w:r>
      <w:r>
        <w:rPr>
          <w:rFonts w:ascii="Arial" w:cs="Arial" w:eastAsia="Arial" w:hAnsi="Arial"/>
          <w:sz w:val="16"/>
          <w:szCs w:val="16"/>
          <w:color w:val="auto"/>
        </w:rPr>
        <w:t>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and thereafter, I will hold in strictest confidence and will not disclose, use, lecture upon or publish any of the Company’s Proprietary Information (defined below), except as such disclosure, use or publication may be required in connection with my work for the Company, or unless an officer of the Company expressly authorizes such in writing. I will obtain Company’s written approval before publishing or submitting for publication any material (written, verbal, or otherwise) that relates to my work at Company and/or incorporates any Proprietary Information. I hereby assign to the Company any rights I may have or acquire in such Proprietary Information and recognize that all Proprietary Information shall be the sole property of the Company and its assigns.</w:t>
      </w:r>
    </w:p>
    <w:p>
      <w:pPr>
        <w:spacing w:after="0" w:line="169"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b w:val="1"/>
          <w:bCs w:val="1"/>
          <w:color w:val="auto"/>
        </w:rPr>
        <w:t xml:space="preserve">1.2 Proprietary Information. </w:t>
      </w:r>
      <w:r>
        <w:rPr>
          <w:rFonts w:ascii="Arial" w:cs="Arial" w:eastAsia="Arial" w:hAnsi="Arial"/>
          <w:sz w:val="16"/>
          <w:szCs w:val="16"/>
          <w:color w:val="auto"/>
        </w:rPr>
        <w:t>The term “</w:t>
      </w:r>
      <w:r>
        <w:rPr>
          <w:rFonts w:ascii="Arial" w:cs="Arial" w:eastAsia="Arial" w:hAnsi="Arial"/>
          <w:sz w:val="16"/>
          <w:szCs w:val="16"/>
          <w:b w:val="1"/>
          <w:bCs w:val="1"/>
          <w:color w:val="auto"/>
        </w:rPr>
        <w:t>Proprietary 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mean any and all confidential and/or proprietary knowledge, data or information of the Company. By way of illustration but not limitation </w:t>
      </w:r>
      <w:r>
        <w:rPr>
          <w:rFonts w:ascii="Arial" w:cs="Arial" w:eastAsia="Arial" w:hAnsi="Arial"/>
          <w:sz w:val="16"/>
          <w:szCs w:val="16"/>
          <w:b w:val="1"/>
          <w:bCs w:val="1"/>
          <w:color w:val="auto"/>
        </w:rPr>
        <w:t xml:space="preserve">“Proprietary Information” </w:t>
      </w:r>
      <w:r>
        <w:rPr>
          <w:rFonts w:ascii="Arial" w:cs="Arial" w:eastAsia="Arial" w:hAnsi="Arial"/>
          <w:sz w:val="16"/>
          <w:szCs w:val="16"/>
          <w:color w:val="auto"/>
        </w:rPr>
        <w:t>includes (a) tangible and intangible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relating to antibodies and other biological materials, cell lines, samples of assay components, media and/or cell lines and procedures and formulations for producing any such assay components, media and/or cell lines, formulations, products, processes, know-how, designs, formulas, methods, developmental or experimental work, clinical data, improvements, discoveries, plans for research, new products, marketing and selling, business plans, budgets and unpublished financial statements, licenses, prices and costs, suppliers and customers, and information regarding the skills and compensation of other employees of the Company (hereinafter collectively referred to as </w:t>
      </w:r>
      <w:r>
        <w:rPr>
          <w:rFonts w:ascii="Arial" w:cs="Arial" w:eastAsia="Arial" w:hAnsi="Arial"/>
          <w:sz w:val="16"/>
          <w:szCs w:val="16"/>
          <w:b w:val="1"/>
          <w:bCs w:val="1"/>
          <w:color w:val="auto"/>
        </w:rPr>
        <w:t>“Inventions”</w:t>
      </w:r>
      <w:r>
        <w:rPr>
          <w:rFonts w:ascii="Arial" w:cs="Arial" w:eastAsia="Arial" w:hAnsi="Arial"/>
          <w:sz w:val="16"/>
          <w:szCs w:val="16"/>
          <w:color w:val="auto"/>
        </w:rPr>
        <w:t>); and (b) information regarding plans for research, development, new products, marketing and selling, business plans, budgets and unpolished financial statements, licenses, prices and costs, suppliers and customers; and (c) information regarding the skills and compensation of other employees of the Company. Notwithstanding the foregoing, it is understood that, at all such</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times, I am free to use information which is generally known in the trade or industry, which is not gained as result of a breach of this Agreement, and my own, skill, knowledge, know-how and experience to whatever extent and in whichever way I wish.</w:t>
      </w:r>
    </w:p>
    <w:p>
      <w:pPr>
        <w:spacing w:after="0" w:line="18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color w:val="auto"/>
        </w:rPr>
        <w:t xml:space="preserve">1.3 Third Party Information. </w:t>
      </w:r>
      <w:r>
        <w:rPr>
          <w:rFonts w:ascii="Arial" w:cs="Arial" w:eastAsia="Arial" w:hAnsi="Arial"/>
          <w:sz w:val="17"/>
          <w:szCs w:val="17"/>
          <w:color w:val="auto"/>
        </w:rPr>
        <w:t>I understand, in addition,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received and in the future will receive from third parties confidential or proprietary information (“</w:t>
      </w:r>
      <w:r>
        <w:rPr>
          <w:rFonts w:ascii="Arial" w:cs="Arial" w:eastAsia="Arial" w:hAnsi="Arial"/>
          <w:sz w:val="17"/>
          <w:szCs w:val="17"/>
          <w:b w:val="1"/>
          <w:bCs w:val="1"/>
          <w:color w:val="auto"/>
        </w:rPr>
        <w:t>Third Party Information</w:t>
      </w:r>
      <w:r>
        <w:rPr>
          <w:rFonts w:ascii="Arial" w:cs="Arial" w:eastAsia="Arial" w:hAnsi="Arial"/>
          <w:sz w:val="17"/>
          <w:szCs w:val="17"/>
          <w:color w:val="auto"/>
        </w:rPr>
        <w:t>”)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174"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b w:val="1"/>
          <w:bCs w:val="1"/>
          <w:color w:val="auto"/>
        </w:rPr>
        <w:t xml:space="preserve">1.4 No Improper Use of Information of Prior Employers and Others. </w:t>
      </w:r>
      <w:r>
        <w:rPr>
          <w:rFonts w:ascii="Arial" w:cs="Arial" w:eastAsia="Arial" w:hAnsi="Arial"/>
          <w:sz w:val="17"/>
          <w:szCs w:val="17"/>
          <w:color w:val="auto"/>
        </w:rPr>
        <w:t>During my employment by the Company I will not improperly use</w:t>
      </w:r>
      <w:r>
        <w:rPr>
          <w:rFonts w:ascii="Arial" w:cs="Arial" w:eastAsia="Arial" w:hAnsi="Arial"/>
          <w:sz w:val="17"/>
          <w:szCs w:val="17"/>
          <w:b w:val="1"/>
          <w:bCs w:val="1"/>
          <w:color w:val="auto"/>
        </w:rPr>
        <w:t xml:space="preserve"> </w:t>
      </w:r>
      <w:r>
        <w:rPr>
          <w:rFonts w:ascii="Arial" w:cs="Arial" w:eastAsia="Arial" w:hAnsi="Arial"/>
          <w:sz w:val="17"/>
          <w:szCs w:val="17"/>
          <w:color w:val="auto"/>
        </w:rPr>
        <w:t>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7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SSIGNMENT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NVENTIONS</w:t>
      </w:r>
      <w:r>
        <w:rPr>
          <w:rFonts w:ascii="Arial" w:cs="Arial" w:eastAsia="Arial" w:hAnsi="Arial"/>
          <w:sz w:val="18"/>
          <w:szCs w:val="18"/>
          <w:b w:val="1"/>
          <w:bCs w:val="1"/>
          <w:color w:val="auto"/>
        </w:rPr>
        <w:t>.</w:t>
      </w:r>
    </w:p>
    <w:p>
      <w:pPr>
        <w:spacing w:after="0" w:line="225" w:lineRule="exact"/>
        <w:rPr>
          <w:sz w:val="20"/>
          <w:szCs w:val="20"/>
          <w:color w:val="auto"/>
        </w:rPr>
      </w:pPr>
    </w:p>
    <w:p>
      <w:pPr>
        <w:ind w:firstLine="360"/>
        <w:spacing w:after="0" w:line="266" w:lineRule="auto"/>
        <w:rPr>
          <w:sz w:val="20"/>
          <w:szCs w:val="20"/>
          <w:color w:val="auto"/>
        </w:rPr>
      </w:pPr>
      <w:r>
        <w:rPr>
          <w:rFonts w:ascii="Arial" w:cs="Arial" w:eastAsia="Arial" w:hAnsi="Arial"/>
          <w:sz w:val="18"/>
          <w:szCs w:val="18"/>
          <w:b w:val="1"/>
          <w:bCs w:val="1"/>
          <w:color w:val="auto"/>
        </w:rPr>
        <w:t xml:space="preserve">2.1 Proprietary Rights. </w:t>
      </w:r>
      <w:r>
        <w:rPr>
          <w:rFonts w:ascii="Arial" w:cs="Arial" w:eastAsia="Arial" w:hAnsi="Arial"/>
          <w:sz w:val="18"/>
          <w:szCs w:val="18"/>
          <w:color w:val="auto"/>
        </w:rPr>
        <w:t>The term “</w:t>
      </w:r>
      <w:r>
        <w:rPr>
          <w:rFonts w:ascii="Arial" w:cs="Arial" w:eastAsia="Arial" w:hAnsi="Arial"/>
          <w:sz w:val="18"/>
          <w:szCs w:val="18"/>
          <w:b w:val="1"/>
          <w:bCs w:val="1"/>
          <w:color w:val="auto"/>
        </w:rPr>
        <w:t>Proprietary Rights</w:t>
      </w:r>
      <w:r>
        <w:rPr>
          <w:rFonts w:ascii="Arial" w:cs="Arial" w:eastAsia="Arial" w:hAnsi="Arial"/>
          <w:sz w:val="18"/>
          <w:szCs w:val="18"/>
          <w:color w:val="auto"/>
        </w:rPr>
        <w:t>” shall mean</w:t>
      </w:r>
      <w:r>
        <w:rPr>
          <w:rFonts w:ascii="Arial" w:cs="Arial" w:eastAsia="Arial" w:hAnsi="Arial"/>
          <w:sz w:val="18"/>
          <w:szCs w:val="18"/>
          <w:b w:val="1"/>
          <w:bCs w:val="1"/>
          <w:color w:val="auto"/>
        </w:rPr>
        <w:t xml:space="preserve"> </w:t>
      </w:r>
      <w:r>
        <w:rPr>
          <w:rFonts w:ascii="Arial" w:cs="Arial" w:eastAsia="Arial" w:hAnsi="Arial"/>
          <w:sz w:val="18"/>
          <w:szCs w:val="18"/>
          <w:color w:val="auto"/>
        </w:rPr>
        <w:t>all trade secret, patent, copyright, mask work and other intellectual property rights throughout the world.</w:t>
      </w:r>
    </w:p>
    <w:p>
      <w:pPr>
        <w:spacing w:after="0" w:line="200" w:lineRule="exact"/>
        <w:rPr>
          <w:sz w:val="20"/>
          <w:szCs w:val="20"/>
          <w:color w:val="auto"/>
        </w:rPr>
      </w:pPr>
    </w:p>
    <w:p>
      <w:pPr>
        <w:sectPr>
          <w:pgSz w:w="11900" w:h="16838" w:orient="portrait"/>
          <w:cols w:equalWidth="0" w:num="2">
            <w:col w:w="5460" w:space="360"/>
            <w:col w:w="5480"/>
          </w:cols>
          <w:pgMar w:left="240" w:top="270" w:right="359" w:bottom="1440" w:gutter="0" w:footer="0" w:header="0"/>
          <w:type w:val="continuous"/>
        </w:sectPr>
      </w:pP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00"/>
          </w:cols>
          <w:pgMar w:left="240" w:top="270" w:right="359" w:bottom="1440" w:gutter="0" w:footer="0" w:header="0"/>
          <w:type w:val="continuous"/>
        </w:sectPr>
      </w:pPr>
    </w:p>
    <w:bookmarkStart w:id="144" w:name="page145"/>
    <w:bookmarkEnd w:id="144"/>
    <w:p>
      <w:pPr>
        <w:ind w:firstLine="360"/>
        <w:spacing w:after="0" w:line="284" w:lineRule="auto"/>
        <w:rPr>
          <w:sz w:val="20"/>
          <w:szCs w:val="20"/>
          <w:color w:val="auto"/>
        </w:rPr>
      </w:pPr>
      <w:r>
        <w:rPr>
          <w:rFonts w:ascii="Arial" w:cs="Arial" w:eastAsia="Arial" w:hAnsi="Arial"/>
          <w:sz w:val="16"/>
          <w:szCs w:val="16"/>
          <w:b w:val="1"/>
          <w:bCs w:val="1"/>
          <w:color w:val="auto"/>
        </w:rPr>
        <w:t xml:space="preserve">2.2 Prior Inventions. </w:t>
      </w:r>
      <w:r>
        <w:rPr>
          <w:rFonts w:ascii="Arial" w:cs="Arial" w:eastAsia="Arial" w:hAnsi="Arial"/>
          <w:sz w:val="16"/>
          <w:szCs w:val="16"/>
          <w:color w:val="auto"/>
        </w:rPr>
        <w:t>Inventions, if any, patented or unpatented,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 made prior to the commencement of my employment with the Company are excluded from the scope of this Agreement. To preclude any possible uncertainty, I have set forth on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(Previous Inventions) attached hereto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xml:space="preserve">”). If disclosure of any such Prior Invention would cause me to violate any prior confidentiality agreement, I understand that I am not to list such Prior Inventions in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but am only to disclose a cursory name for each such invention, a listing of the party(ies) to whom it belongs and the fact that full disclosure as to such inventions has not been made for that reason. A space is provided on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for such purpose. If no such disclosure is attached, I represent that there are no Prior Inventions. If, in the course of my employment with the Company, I incorporate a Prior Invention into a Company product, process or machine, the Company is hereby granted and shall have a nonexclusive, royalty-free, irrevocable, perpetual, worldwide license (with rights to sublicense through multiple tiers of sublicensees) to make, have made, modify, use and sell such Prior Invention. Notwithstanding the foregoing, I agree that I will not incorporate, or permit to be incorporated, Prior Inventions in any Company Inventions without the Company’s prior written consent.</w:t>
      </w:r>
    </w:p>
    <w:p>
      <w:pPr>
        <w:spacing w:after="0" w:line="39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b w:val="1"/>
          <w:bCs w:val="1"/>
          <w:color w:val="auto"/>
        </w:rPr>
        <w:t xml:space="preserve">2.3 Assignment of Inventions. </w:t>
      </w:r>
      <w:r>
        <w:rPr>
          <w:rFonts w:ascii="Arial" w:cs="Arial" w:eastAsia="Arial" w:hAnsi="Arial"/>
          <w:sz w:val="17"/>
          <w:szCs w:val="17"/>
          <w:color w:val="auto"/>
        </w:rPr>
        <w:t>Subject to Sections 2.4, and 2.6, I</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assign and agree to assign in the future (when any such Inventions or Proprietary Rights are first reduced to practice or first fixed in a tangible medium, as applicable) to the Company all my right, title and interest in and to any and all Inventions (and all Proprietary Rights with respect thereto) whether or not patentable or registrable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w:t>
      </w:r>
      <w:r>
        <w:rPr>
          <w:rFonts w:ascii="Arial" w:cs="Arial" w:eastAsia="Arial" w:hAnsi="Arial"/>
          <w:sz w:val="17"/>
          <w:szCs w:val="17"/>
          <w:b w:val="1"/>
          <w:bCs w:val="1"/>
          <w:color w:val="auto"/>
        </w:rPr>
        <w:t>Company Inventions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firstLine="360"/>
        <w:spacing w:after="0" w:line="256" w:lineRule="auto"/>
        <w:rPr>
          <w:sz w:val="20"/>
          <w:szCs w:val="20"/>
          <w:color w:val="auto"/>
        </w:rPr>
      </w:pPr>
      <w:r>
        <w:rPr>
          <w:rFonts w:ascii="Arial" w:cs="Arial" w:eastAsia="Arial" w:hAnsi="Arial"/>
          <w:sz w:val="18"/>
          <w:szCs w:val="18"/>
          <w:b w:val="1"/>
          <w:bCs w:val="1"/>
          <w:color w:val="auto"/>
        </w:rPr>
        <w:t xml:space="preserve">2.4 Nonassignable Inventions. </w:t>
      </w:r>
      <w:r>
        <w:rPr>
          <w:rFonts w:ascii="Arial" w:cs="Arial" w:eastAsia="Arial" w:hAnsi="Arial"/>
          <w:sz w:val="18"/>
          <w:szCs w:val="18"/>
          <w:color w:val="auto"/>
        </w:rPr>
        <w:t>This Agreement does not apply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 which qualifies fully as a nonassignable Invention under Section 2870 of the California Labor Code (hereinafter “</w:t>
      </w:r>
      <w:r>
        <w:rPr>
          <w:rFonts w:ascii="Arial" w:cs="Arial" w:eastAsia="Arial" w:hAnsi="Arial"/>
          <w:sz w:val="18"/>
          <w:szCs w:val="18"/>
          <w:b w:val="1"/>
          <w:bCs w:val="1"/>
          <w:color w:val="auto"/>
        </w:rPr>
        <w:t>Section 2870</w:t>
      </w:r>
      <w:r>
        <w:rPr>
          <w:rFonts w:ascii="Arial" w:cs="Arial" w:eastAsia="Arial" w:hAnsi="Arial"/>
          <w:sz w:val="18"/>
          <w:szCs w:val="18"/>
          <w:color w:val="auto"/>
        </w:rPr>
        <w:t xml:space="preserve">”). I have reviewed the notification on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(Limited Exclusion Notification) and agree that my signature acknowledges receipt of the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-957580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8"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b w:val="1"/>
          <w:bCs w:val="1"/>
          <w:color w:val="auto"/>
        </w:rPr>
        <w:t xml:space="preserve">2.5 Obligation to Keep Company Informed. </w:t>
      </w:r>
      <w:r>
        <w:rPr>
          <w:rFonts w:ascii="Arial" w:cs="Arial" w:eastAsia="Arial" w:hAnsi="Arial"/>
          <w:sz w:val="17"/>
          <w:szCs w:val="17"/>
          <w:color w:val="auto"/>
        </w:rPr>
        <w:t>During the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my employment and for six (6) months after 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At the time of each such disclosure, I will advise the Company in writing of any Inventions that I believe fully qualify for protection under Section 2870; and I will at that time provide to the Company in writing all evidence necessary to substantiate that belief. The Company will keep in confidence and will not use for any purpose or disclose to third parties without my consent any confidential information disclosed in writing to the Company pursuant to this Agreement relating to Inventions that qualify fully for protection under the provisions of Section 2870. I will preserve the confidentiality of any Invention that does not fully qualify for protection under Section 2870.</w:t>
      </w:r>
    </w:p>
    <w:p>
      <w:pPr>
        <w:spacing w:after="0" w:line="179" w:lineRule="exact"/>
        <w:rPr>
          <w:sz w:val="20"/>
          <w:szCs w:val="20"/>
          <w:color w:val="auto"/>
        </w:rPr>
      </w:pPr>
    </w:p>
    <w:p>
      <w:pPr>
        <w:ind w:right="140" w:firstLine="360"/>
        <w:spacing w:after="0" w:line="261" w:lineRule="auto"/>
        <w:rPr>
          <w:sz w:val="20"/>
          <w:szCs w:val="20"/>
          <w:color w:val="auto"/>
        </w:rPr>
      </w:pPr>
      <w:r>
        <w:rPr>
          <w:rFonts w:ascii="Arial" w:cs="Arial" w:eastAsia="Arial" w:hAnsi="Arial"/>
          <w:sz w:val="18"/>
          <w:szCs w:val="18"/>
          <w:b w:val="1"/>
          <w:bCs w:val="1"/>
          <w:color w:val="auto"/>
        </w:rPr>
        <w:t xml:space="preserve">2.6 Government or Third Party. </w:t>
      </w:r>
      <w:r>
        <w:rPr>
          <w:rFonts w:ascii="Arial" w:cs="Arial" w:eastAsia="Arial" w:hAnsi="Arial"/>
          <w:sz w:val="18"/>
          <w:szCs w:val="18"/>
          <w:color w:val="auto"/>
        </w:rPr>
        <w:t>I also agree to assign all my right,</w:t>
      </w:r>
      <w:r>
        <w:rPr>
          <w:rFonts w:ascii="Arial" w:cs="Arial" w:eastAsia="Arial" w:hAnsi="Arial"/>
          <w:sz w:val="18"/>
          <w:szCs w:val="18"/>
          <w:b w:val="1"/>
          <w:bCs w:val="1"/>
          <w:color w:val="auto"/>
        </w:rPr>
        <w:t xml:space="preserve"> </w:t>
      </w:r>
      <w:r>
        <w:rPr>
          <w:rFonts w:ascii="Arial" w:cs="Arial" w:eastAsia="Arial" w:hAnsi="Arial"/>
          <w:sz w:val="18"/>
          <w:szCs w:val="18"/>
          <w:color w:val="auto"/>
        </w:rPr>
        <w:t>title and interest in and to any particular Company Invention to a third party, including without limitation the United States, as directed by the Company.</w:t>
      </w:r>
    </w:p>
    <w:p>
      <w:pPr>
        <w:spacing w:after="0" w:line="180" w:lineRule="exact"/>
        <w:rPr>
          <w:sz w:val="20"/>
          <w:szCs w:val="20"/>
          <w:color w:val="auto"/>
        </w:rPr>
      </w:pPr>
    </w:p>
    <w:p>
      <w:pPr>
        <w:ind w:firstLine="360"/>
        <w:spacing w:after="0" w:line="258" w:lineRule="auto"/>
        <w:rPr>
          <w:sz w:val="20"/>
          <w:szCs w:val="20"/>
          <w:color w:val="auto"/>
        </w:rPr>
      </w:pPr>
      <w:r>
        <w:rPr>
          <w:rFonts w:ascii="Arial" w:cs="Arial" w:eastAsia="Arial" w:hAnsi="Arial"/>
          <w:sz w:val="18"/>
          <w:szCs w:val="18"/>
          <w:b w:val="1"/>
          <w:bCs w:val="1"/>
          <w:color w:val="auto"/>
        </w:rPr>
        <w:t xml:space="preserve">2.7 Works for Hire. </w:t>
      </w:r>
      <w:r>
        <w:rPr>
          <w:rFonts w:ascii="Arial" w:cs="Arial" w:eastAsia="Arial" w:hAnsi="Arial"/>
          <w:sz w:val="18"/>
          <w:szCs w:val="18"/>
          <w:color w:val="auto"/>
        </w:rPr>
        <w:t>I acknowledge that all original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authorship which are made by me (solely or jointly with others) within the scope of my employment and which are protectable by copyright are “works made for hire,” pursuant to United States Copyright Act (17 U.S.C., Section 101).</w:t>
      </w:r>
    </w:p>
    <w:p>
      <w:pPr>
        <w:spacing w:after="0" w:line="18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color w:val="auto"/>
        </w:rPr>
        <w:t xml:space="preserve">2.8 Enforcement of Proprietary Rights. </w:t>
      </w:r>
      <w:r>
        <w:rPr>
          <w:rFonts w:ascii="Arial" w:cs="Arial" w:eastAsia="Arial" w:hAnsi="Arial"/>
          <w:sz w:val="18"/>
          <w:szCs w:val="18"/>
          <w:color w:val="auto"/>
        </w:rPr>
        <w:t>I will assist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w:t>
      </w:r>
    </w:p>
    <w:p>
      <w:pPr>
        <w:spacing w:after="0" w:line="200" w:lineRule="exact"/>
        <w:rPr>
          <w:sz w:val="20"/>
          <w:szCs w:val="20"/>
          <w:color w:val="auto"/>
        </w:rPr>
      </w:pPr>
    </w:p>
    <w:p>
      <w:pPr>
        <w:sectPr>
          <w:pgSz w:w="11900" w:h="16838" w:orient="portrait"/>
          <w:cols w:equalWidth="0" w:num="2">
            <w:col w:w="5480" w:space="340"/>
            <w:col w:w="5460"/>
          </w:cols>
          <w:pgMar w:left="240" w:top="324" w:right="379" w:bottom="1440" w:gutter="0" w:footer="0" w:header="0"/>
        </w:sectPr>
      </w:pPr>
    </w:p>
    <w:p>
      <w:pPr>
        <w:spacing w:after="0" w:line="7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240" w:top="324" w:right="379" w:bottom="1440" w:gutter="0" w:footer="0" w:header="0"/>
          <w:type w:val="continuous"/>
        </w:sectPr>
      </w:pPr>
    </w:p>
    <w:bookmarkStart w:id="145" w:name="page146"/>
    <w:bookmarkEnd w:id="145"/>
    <w:p>
      <w:pPr>
        <w:ind w:right="40"/>
        <w:spacing w:after="0" w:line="291" w:lineRule="auto"/>
        <w:rPr>
          <w:sz w:val="20"/>
          <w:szCs w:val="20"/>
          <w:color w:val="auto"/>
        </w:rPr>
      </w:pPr>
      <w:r>
        <w:rPr>
          <w:rFonts w:ascii="Arial" w:cs="Arial" w:eastAsia="Arial" w:hAnsi="Arial"/>
          <w:sz w:val="16"/>
          <w:szCs w:val="16"/>
          <w:color w:val="auto"/>
        </w:rPr>
        <w:t>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w:t>
      </w:r>
    </w:p>
    <w:p>
      <w:pPr>
        <w:spacing w:after="0" w:line="169" w:lineRule="exact"/>
        <w:rPr>
          <w:sz w:val="20"/>
          <w:szCs w:val="20"/>
          <w:color w:val="auto"/>
        </w:rPr>
      </w:pPr>
    </w:p>
    <w:p>
      <w:pPr>
        <w:ind w:right="40" w:firstLine="8"/>
        <w:spacing w:after="0" w:line="274" w:lineRule="auto"/>
        <w:tabs>
          <w:tab w:leader="none" w:pos="18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ECORDS</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keep and maintain adequate and current records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form of notes, sketches, drawings and in any other form that 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3" w:lineRule="exact"/>
        <w:rPr>
          <w:rFonts w:ascii="Arial" w:cs="Arial" w:eastAsia="Arial" w:hAnsi="Arial"/>
          <w:sz w:val="17"/>
          <w:szCs w:val="17"/>
          <w:b w:val="1"/>
          <w:bCs w:val="1"/>
          <w:color w:val="auto"/>
        </w:rPr>
      </w:pPr>
    </w:p>
    <w:p>
      <w:pPr>
        <w:ind w:right="60" w:firstLine="8"/>
        <w:spacing w:after="0" w:line="270" w:lineRule="auto"/>
        <w:tabs>
          <w:tab w:leader="none" w:pos="18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DDITIONAL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that during the period of my</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by the Company I will not, without the Company’s express written consent, engage in any employment or business activity which is competitive with, or would otherwise conflict with, my employment by the Company. I agree further that for the period of my employment by the Company and for five (5) years after the date of termination of my employment by the Company I will not, either directly or through others, solicit or attempt to solicit any employee, independent contractor or consultant of the company to terminate his or her relationship with the Company in order to become and employee, consultant or independent contractor to or for any other person or entity.</w:t>
      </w:r>
    </w:p>
    <w:p>
      <w:pPr>
        <w:spacing w:after="0" w:line="174" w:lineRule="exact"/>
        <w:rPr>
          <w:rFonts w:ascii="Arial" w:cs="Arial" w:eastAsia="Arial" w:hAnsi="Arial"/>
          <w:sz w:val="17"/>
          <w:szCs w:val="17"/>
          <w:b w:val="1"/>
          <w:bCs w:val="1"/>
          <w:color w:val="auto"/>
        </w:rPr>
      </w:pPr>
    </w:p>
    <w:p>
      <w:pPr>
        <w:ind w:right="40" w:firstLine="8"/>
        <w:spacing w:after="0" w:line="261" w:lineRule="auto"/>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ONFLICTING</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 represent that my performance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Agreement and as an employee of the Company does not and will not breach any agreement to keep in confidence information acquired by me in</w:t>
      </w:r>
    </w:p>
    <w:p>
      <w:pPr>
        <w:spacing w:after="0" w:line="20" w:lineRule="exact"/>
        <w:rPr>
          <w:sz w:val="20"/>
          <w:szCs w:val="20"/>
          <w:color w:val="auto"/>
        </w:rPr>
      </w:pPr>
      <w:r>
        <w:rPr>
          <w:sz w:val="20"/>
          <w:szCs w:val="20"/>
          <w:color w:val="auto"/>
        </w:rPr>
        <w:br w:type="column"/>
      </w:r>
    </w:p>
    <w:p>
      <w:pPr>
        <w:jc w:val="both"/>
        <w:ind w:right="100"/>
        <w:spacing w:after="0" w:line="264" w:lineRule="auto"/>
        <w:rPr>
          <w:sz w:val="20"/>
          <w:szCs w:val="20"/>
          <w:color w:val="auto"/>
        </w:rPr>
      </w:pPr>
      <w:r>
        <w:rPr>
          <w:rFonts w:ascii="Arial" w:cs="Arial" w:eastAsia="Arial" w:hAnsi="Arial"/>
          <w:sz w:val="18"/>
          <w:szCs w:val="18"/>
          <w:color w:val="auto"/>
        </w:rPr>
        <w:t>confidence or in trust prior to my employment by the Company. I have not entered into, and I agree I will not enter into, any agreement either written or oral in conflict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-552450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7" w:lineRule="exact"/>
        <w:rPr>
          <w:sz w:val="20"/>
          <w:szCs w:val="20"/>
          <w:color w:val="auto"/>
        </w:rPr>
      </w:pPr>
    </w:p>
    <w:p>
      <w:pPr>
        <w:ind w:firstLine="8"/>
        <w:spacing w:after="0" w:line="270" w:lineRule="auto"/>
        <w:tabs>
          <w:tab w:leader="none" w:pos="18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ETURN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When I leave the employ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w:t>
      </w:r>
    </w:p>
    <w:p>
      <w:pPr>
        <w:spacing w:after="0" w:line="174" w:lineRule="exact"/>
        <w:rPr>
          <w:rFonts w:ascii="Arial" w:cs="Arial" w:eastAsia="Arial" w:hAnsi="Arial"/>
          <w:sz w:val="17"/>
          <w:szCs w:val="17"/>
          <w:b w:val="1"/>
          <w:bCs w:val="1"/>
          <w:color w:val="auto"/>
        </w:rPr>
      </w:pPr>
    </w:p>
    <w:p>
      <w:pPr>
        <w:ind w:firstLine="8"/>
        <w:spacing w:after="0" w:line="273" w:lineRule="auto"/>
        <w:tabs>
          <w:tab w:leader="none" w:pos="18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L</w:t>
      </w:r>
      <w:r>
        <w:rPr>
          <w:rFonts w:ascii="Arial" w:cs="Arial" w:eastAsia="Arial" w:hAnsi="Arial"/>
          <w:sz w:val="14"/>
          <w:szCs w:val="14"/>
          <w:b w:val="1"/>
          <w:bCs w:val="1"/>
          <w:color w:val="auto"/>
        </w:rPr>
        <w:t>EGAL AND</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QUITABLE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my services are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72" w:lineRule="exact"/>
        <w:rPr>
          <w:rFonts w:ascii="Arial" w:cs="Arial" w:eastAsia="Arial" w:hAnsi="Arial"/>
          <w:sz w:val="17"/>
          <w:szCs w:val="17"/>
          <w:b w:val="1"/>
          <w:bCs w:val="1"/>
          <w:color w:val="auto"/>
        </w:rPr>
      </w:pPr>
    </w:p>
    <w:p>
      <w:pPr>
        <w:ind w:right="20" w:firstLine="8"/>
        <w:spacing w:after="0" w:line="298" w:lineRule="auto"/>
        <w:tabs>
          <w:tab w:leader="none" w:pos="18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required or permitted hereunder shall be given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appropriate party at the address specified below or at such other address as the party shall specify in writing. Such notice shall be deemed given upon personal delivery to the appropriate address or if sent by certified or registered mail, three (3) days after the date of mailing.</w:t>
      </w:r>
    </w:p>
    <w:p>
      <w:pPr>
        <w:spacing w:after="0" w:line="154" w:lineRule="exact"/>
        <w:rPr>
          <w:rFonts w:ascii="Arial" w:cs="Arial" w:eastAsia="Arial" w:hAnsi="Arial"/>
          <w:sz w:val="16"/>
          <w:szCs w:val="16"/>
          <w:b w:val="1"/>
          <w:bCs w:val="1"/>
          <w:color w:val="auto"/>
        </w:rPr>
      </w:pPr>
    </w:p>
    <w:p>
      <w:pPr>
        <w:ind w:right="320" w:firstLine="8"/>
        <w:spacing w:after="0" w:line="289" w:lineRule="auto"/>
        <w:tabs>
          <w:tab w:leader="none" w:pos="18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OTIFICATION OF</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MPLOYER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I leave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 of the Company, I hereby consent to the notification of my new employer of my rights and obligations under this Agreement.</w:t>
      </w:r>
    </w:p>
    <w:p>
      <w:pPr>
        <w:spacing w:after="0" w:line="158" w:lineRule="exact"/>
        <w:rPr>
          <w:rFonts w:ascii="Arial" w:cs="Arial" w:eastAsia="Arial" w:hAnsi="Arial"/>
          <w:sz w:val="17"/>
          <w:szCs w:val="17"/>
          <w:b w:val="1"/>
          <w:bCs w:val="1"/>
          <w:color w:val="auto"/>
        </w:rPr>
      </w:pPr>
    </w:p>
    <w:p>
      <w:pPr>
        <w:ind w:left="280" w:hanging="272"/>
        <w:spacing w:after="0"/>
        <w:tabs>
          <w:tab w:leader="none" w:pos="2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ind w:firstLine="360"/>
        <w:spacing w:after="0" w:line="292" w:lineRule="auto"/>
        <w:rPr>
          <w:sz w:val="20"/>
          <w:szCs w:val="20"/>
          <w:color w:val="auto"/>
        </w:rPr>
      </w:pPr>
      <w:r>
        <w:rPr>
          <w:rFonts w:ascii="Arial" w:cs="Arial" w:eastAsia="Arial" w:hAnsi="Arial"/>
          <w:sz w:val="16"/>
          <w:szCs w:val="16"/>
          <w:b w:val="1"/>
          <w:bCs w:val="1"/>
          <w:color w:val="auto"/>
        </w:rPr>
        <w:t xml:space="preserve">10.1 Governing Law; Consent to Personal Jurisdiction.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be governed by and construed according to the laws of the State of California, as such laws are applied to agreements entered into and to be performed entirely within California between California residents. I hereby expressly consent to the personal jurisdiction of the state and federal courts located in Los Angeles County, California for any lawsuit filed there against me by Company arising from or related to this Agreement.</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00"/>
          </w:cols>
          <w:pgMar w:left="240" w:top="328" w:right="359" w:bottom="1440" w:gutter="0" w:footer="0" w:header="0"/>
          <w:type w:val="continuous"/>
        </w:sectPr>
      </w:pPr>
    </w:p>
    <w:bookmarkStart w:id="146" w:name="page147"/>
    <w:bookmarkEnd w:id="146"/>
    <w:p>
      <w:pPr>
        <w:ind w:firstLine="360"/>
        <w:spacing w:after="0" w:line="289" w:lineRule="auto"/>
        <w:rPr>
          <w:sz w:val="20"/>
          <w:szCs w:val="20"/>
          <w:color w:val="auto"/>
        </w:rPr>
      </w:pPr>
      <w:r>
        <w:rPr>
          <w:rFonts w:ascii="Arial" w:cs="Arial" w:eastAsia="Arial" w:hAnsi="Arial"/>
          <w:sz w:val="16"/>
          <w:szCs w:val="16"/>
          <w:b w:val="1"/>
          <w:bCs w:val="1"/>
          <w:color w:val="auto"/>
        </w:rPr>
        <w:t xml:space="preserve">10.2 Severability. </w:t>
      </w:r>
      <w:r>
        <w:rPr>
          <w:rFonts w:ascii="Arial" w:cs="Arial" w:eastAsia="Arial" w:hAnsi="Arial"/>
          <w:sz w:val="16"/>
          <w:szCs w:val="16"/>
          <w:color w:val="auto"/>
        </w:rPr>
        <w:t>In case any one or more of the provisions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61" w:lineRule="exact"/>
        <w:rPr>
          <w:sz w:val="20"/>
          <w:szCs w:val="20"/>
          <w:color w:val="auto"/>
        </w:rPr>
      </w:pPr>
    </w:p>
    <w:p>
      <w:pPr>
        <w:ind w:right="60" w:firstLine="360"/>
        <w:spacing w:after="0" w:line="314" w:lineRule="auto"/>
        <w:rPr>
          <w:sz w:val="20"/>
          <w:szCs w:val="20"/>
          <w:color w:val="auto"/>
        </w:rPr>
      </w:pPr>
      <w:r>
        <w:rPr>
          <w:rFonts w:ascii="Arial" w:cs="Arial" w:eastAsia="Arial" w:hAnsi="Arial"/>
          <w:sz w:val="16"/>
          <w:szCs w:val="16"/>
          <w:b w:val="1"/>
          <w:bCs w:val="1"/>
          <w:color w:val="auto"/>
        </w:rPr>
        <w:t xml:space="preserve">10.3 Successors and Assigns. </w:t>
      </w:r>
      <w:r>
        <w:rPr>
          <w:rFonts w:ascii="Arial" w:cs="Arial" w:eastAsia="Arial" w:hAnsi="Arial"/>
          <w:sz w:val="16"/>
          <w:szCs w:val="16"/>
          <w:color w:val="auto"/>
        </w:rPr>
        <w:t>This Agreement will be binding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my heirs, executors, administrators and other legal representatives and will be for the benefit of the Company, its successors, and its assigns.</w:t>
      </w:r>
    </w:p>
    <w:p>
      <w:pPr>
        <w:spacing w:after="0" w:line="142" w:lineRule="exact"/>
        <w:rPr>
          <w:sz w:val="20"/>
          <w:szCs w:val="20"/>
          <w:color w:val="auto"/>
        </w:rPr>
      </w:pPr>
    </w:p>
    <w:p>
      <w:pPr>
        <w:ind w:right="220" w:firstLine="360"/>
        <w:spacing w:after="0" w:line="314" w:lineRule="auto"/>
        <w:rPr>
          <w:sz w:val="20"/>
          <w:szCs w:val="20"/>
          <w:color w:val="auto"/>
        </w:rPr>
      </w:pPr>
      <w:r>
        <w:rPr>
          <w:rFonts w:ascii="Arial" w:cs="Arial" w:eastAsia="Arial" w:hAnsi="Arial"/>
          <w:sz w:val="16"/>
          <w:szCs w:val="16"/>
          <w:b w:val="1"/>
          <w:bCs w:val="1"/>
          <w:color w:val="auto"/>
        </w:rPr>
        <w:t xml:space="preserve">10.4 Survival. </w:t>
      </w:r>
      <w:r>
        <w:rPr>
          <w:rFonts w:ascii="Arial" w:cs="Arial" w:eastAsia="Arial" w:hAnsi="Arial"/>
          <w:sz w:val="16"/>
          <w:szCs w:val="16"/>
          <w:color w:val="auto"/>
        </w:rPr>
        <w:t>The provisions of this Agreement shall survive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my employment and the assignment of this Agreement by the Company to any successor in interest or other assignee.</w:t>
      </w:r>
    </w:p>
    <w:p>
      <w:pPr>
        <w:spacing w:after="0" w:line="142" w:lineRule="exact"/>
        <w:rPr>
          <w:sz w:val="20"/>
          <w:szCs w:val="20"/>
          <w:color w:val="auto"/>
        </w:rPr>
      </w:pPr>
    </w:p>
    <w:p>
      <w:pPr>
        <w:ind w:right="20" w:firstLine="360"/>
        <w:spacing w:after="0" w:line="258" w:lineRule="auto"/>
        <w:rPr>
          <w:sz w:val="20"/>
          <w:szCs w:val="20"/>
          <w:color w:val="auto"/>
        </w:rPr>
      </w:pPr>
      <w:r>
        <w:rPr>
          <w:rFonts w:ascii="Arial" w:cs="Arial" w:eastAsia="Arial" w:hAnsi="Arial"/>
          <w:sz w:val="18"/>
          <w:szCs w:val="18"/>
          <w:b w:val="1"/>
          <w:bCs w:val="1"/>
          <w:color w:val="auto"/>
        </w:rPr>
        <w:t xml:space="preserve">10.5 Employment. </w:t>
      </w:r>
      <w:r>
        <w:rPr>
          <w:rFonts w:ascii="Arial" w:cs="Arial" w:eastAsia="Arial" w:hAnsi="Arial"/>
          <w:sz w:val="18"/>
          <w:szCs w:val="18"/>
          <w:color w:val="auto"/>
        </w:rPr>
        <w:t>I agree and understand that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confer any right with respect to continuation of employment by the Company, nor shall it interfere in any way with my right or the Company’s right to terminate my employment at any time, with or without cause.</w:t>
      </w:r>
    </w:p>
    <w:p>
      <w:pPr>
        <w:spacing w:after="0" w:line="184" w:lineRule="exact"/>
        <w:rPr>
          <w:sz w:val="20"/>
          <w:szCs w:val="20"/>
          <w:color w:val="auto"/>
        </w:rPr>
      </w:pPr>
    </w:p>
    <w:p>
      <w:pPr>
        <w:ind w:right="260" w:firstLine="360"/>
        <w:spacing w:after="0" w:line="256" w:lineRule="auto"/>
        <w:rPr>
          <w:sz w:val="20"/>
          <w:szCs w:val="20"/>
          <w:color w:val="auto"/>
        </w:rPr>
      </w:pPr>
      <w:r>
        <w:rPr>
          <w:rFonts w:ascii="Arial" w:cs="Arial" w:eastAsia="Arial" w:hAnsi="Arial"/>
          <w:sz w:val="18"/>
          <w:szCs w:val="18"/>
          <w:b w:val="1"/>
          <w:bCs w:val="1"/>
          <w:color w:val="auto"/>
        </w:rPr>
        <w:t xml:space="preserve">10.6 Waiver. </w:t>
      </w:r>
      <w:r>
        <w:rPr>
          <w:rFonts w:ascii="Arial" w:cs="Arial" w:eastAsia="Arial" w:hAnsi="Arial"/>
          <w:sz w:val="18"/>
          <w:szCs w:val="18"/>
          <w:color w:val="auto"/>
        </w:rPr>
        <w:t>No waiver by the Company of any breach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a waiver of any preceding or succeeding breach. No waiver by the Company of any right under this Agreement shall be construed as a waiver of any other right. The Company shall not be required to give notice to enforce strict adherence to all terms of this Agreement.</w:t>
      </w:r>
    </w:p>
    <w:p>
      <w:pPr>
        <w:spacing w:after="0" w:line="188" w:lineRule="exact"/>
        <w:rPr>
          <w:sz w:val="20"/>
          <w:szCs w:val="20"/>
          <w:color w:val="auto"/>
        </w:rPr>
      </w:pPr>
    </w:p>
    <w:p>
      <w:pPr>
        <w:ind w:right="20" w:firstLine="360"/>
        <w:spacing w:after="0" w:line="298" w:lineRule="auto"/>
        <w:rPr>
          <w:sz w:val="20"/>
          <w:szCs w:val="20"/>
          <w:color w:val="auto"/>
        </w:rPr>
      </w:pPr>
      <w:r>
        <w:rPr>
          <w:rFonts w:ascii="Arial" w:cs="Arial" w:eastAsia="Arial" w:hAnsi="Arial"/>
          <w:sz w:val="16"/>
          <w:szCs w:val="16"/>
          <w:b w:val="1"/>
          <w:bCs w:val="1"/>
          <w:color w:val="auto"/>
        </w:rPr>
        <w:t xml:space="preserve">10.7 Advice of Counsel. </w:t>
      </w:r>
      <w:r>
        <w:rPr>
          <w:rFonts w:ascii="Arial" w:cs="Arial" w:eastAsia="Arial" w:hAnsi="Arial"/>
          <w:sz w:val="16"/>
          <w:szCs w:val="16"/>
          <w:color w:val="auto"/>
        </w:rPr>
        <w:t>I acknowledge that, in executing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 have had the opportunity to seek the advice of independent legal counsel, and I have read and understood all of the terms and provisions of this agreement. This agreement shall not be construed against any party by reason of the drafting or preparation hereof.</w:t>
      </w:r>
    </w:p>
    <w:p>
      <w:pPr>
        <w:spacing w:after="0" w:line="20" w:lineRule="exact"/>
        <w:rPr>
          <w:sz w:val="20"/>
          <w:szCs w:val="20"/>
          <w:color w:val="auto"/>
        </w:rPr>
      </w:pPr>
      <w:r>
        <w:rPr>
          <w:sz w:val="20"/>
          <w:szCs w:val="20"/>
          <w:color w:val="auto"/>
        </w:rPr>
        <w:br w:type="column"/>
      </w:r>
    </w:p>
    <w:p>
      <w:pPr>
        <w:ind w:left="180" w:firstLine="360"/>
        <w:spacing w:after="0" w:line="288" w:lineRule="auto"/>
        <w:rPr>
          <w:sz w:val="20"/>
          <w:szCs w:val="20"/>
          <w:color w:val="auto"/>
        </w:rPr>
      </w:pPr>
      <w:r>
        <w:rPr>
          <w:rFonts w:ascii="Arial" w:cs="Arial" w:eastAsia="Arial" w:hAnsi="Arial"/>
          <w:sz w:val="16"/>
          <w:szCs w:val="16"/>
          <w:b w:val="1"/>
          <w:bCs w:val="1"/>
          <w:color w:val="auto"/>
        </w:rPr>
        <w:t xml:space="preserve">10.8 Entire Agreement. </w:t>
      </w:r>
      <w:r>
        <w:rPr>
          <w:rFonts w:ascii="Arial" w:cs="Arial" w:eastAsia="Arial" w:hAnsi="Arial"/>
          <w:sz w:val="16"/>
          <w:szCs w:val="16"/>
          <w:color w:val="auto"/>
        </w:rPr>
        <w:t>The obligations pursuant to Sections 1 and 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shall apply to any time during which I was previously employed, or am in the future employed, by the Company as a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-1658620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8" w:lineRule="exact"/>
        <w:rPr>
          <w:sz w:val="20"/>
          <w:szCs w:val="20"/>
          <w:color w:val="auto"/>
        </w:rPr>
      </w:pPr>
    </w:p>
    <w:p>
      <w:pPr>
        <w:ind w:left="180" w:right="900" w:firstLine="360"/>
        <w:spacing w:after="0" w:line="308" w:lineRule="auto"/>
        <w:rPr>
          <w:sz w:val="20"/>
          <w:szCs w:val="20"/>
          <w:color w:val="auto"/>
        </w:rPr>
      </w:pPr>
      <w:r>
        <w:rPr>
          <w:rFonts w:ascii="Arial" w:cs="Arial" w:eastAsia="Arial" w:hAnsi="Arial"/>
          <w:sz w:val="17"/>
          <w:szCs w:val="17"/>
          <w:color w:val="auto"/>
        </w:rPr>
        <w:t xml:space="preserve">This Agreement shall be effective as of the first day of my employment with the Company, namely: </w:t>
      </w:r>
      <w:r>
        <w:rPr>
          <w:rFonts w:ascii="Arial" w:cs="Arial" w:eastAsia="Arial" w:hAnsi="Arial"/>
          <w:sz w:val="17"/>
          <w:szCs w:val="17"/>
          <w:u w:val="single" w:color="auto"/>
          <w:color w:val="auto"/>
        </w:rPr>
        <w:t>April 20, 2001</w:t>
      </w:r>
      <w:r>
        <w:rPr>
          <w:rFonts w:ascii="Arial" w:cs="Arial" w:eastAsia="Arial" w:hAnsi="Arial"/>
          <w:sz w:val="17"/>
          <w:szCs w:val="17"/>
          <w:color w:val="auto"/>
        </w:rPr>
        <w:t>.</w:t>
      </w:r>
    </w:p>
    <w:p>
      <w:pPr>
        <w:spacing w:after="0" w:line="251" w:lineRule="exact"/>
        <w:rPr>
          <w:sz w:val="20"/>
          <w:szCs w:val="20"/>
          <w:color w:val="auto"/>
        </w:rPr>
      </w:pPr>
    </w:p>
    <w:p>
      <w:pPr>
        <w:ind w:left="180" w:right="220" w:firstLine="360"/>
        <w:spacing w:after="0" w:line="266"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5"/>
          <w:szCs w:val="15"/>
          <w:b w:val="1"/>
          <w:bCs w:val="1"/>
          <w:color w:val="auto"/>
        </w:rPr>
        <w:t>HAVE READ THIS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 CAREFULLY AND UNDERSTAND</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ITS TERMS</w:t>
      </w:r>
      <w:r>
        <w:rPr>
          <w:rFonts w:ascii="Arial" w:cs="Arial" w:eastAsia="Arial" w:hAnsi="Arial"/>
          <w:sz w:val="18"/>
          <w:szCs w:val="18"/>
          <w:b w:val="1"/>
          <w:bCs w:val="1"/>
          <w:color w:val="auto"/>
        </w:rPr>
        <w:t>. I</w:t>
      </w:r>
      <w:r>
        <w:rPr>
          <w:rFonts w:ascii="Arial" w:cs="Arial" w:eastAsia="Arial" w:hAnsi="Arial"/>
          <w:sz w:val="15"/>
          <w:szCs w:val="15"/>
          <w:b w:val="1"/>
          <w:bCs w:val="1"/>
          <w:color w:val="auto"/>
        </w:rPr>
        <w:t xml:space="preserve"> HAVE COMPLETELY FILLED OUT </w:t>
      </w:r>
      <w:r>
        <w:rPr>
          <w:rFonts w:ascii="Arial" w:cs="Arial" w:eastAsia="Arial" w:hAnsi="Arial"/>
          <w:sz w:val="18"/>
          <w:szCs w:val="18"/>
          <w:b w:val="1"/>
          <w:bCs w:val="1"/>
          <w:color w:val="auto"/>
        </w:rPr>
        <w:t>E</w:t>
      </w:r>
      <w:r>
        <w:rPr>
          <w:rFonts w:ascii="Arial" w:cs="Arial" w:eastAsia="Arial" w:hAnsi="Arial"/>
          <w:sz w:val="15"/>
          <w:szCs w:val="15"/>
          <w:b w:val="1"/>
          <w:bCs w:val="1"/>
          <w:color w:val="auto"/>
        </w:rPr>
        <w:t xml:space="preserve">XHIBIT </w:t>
      </w:r>
      <w:r>
        <w:rPr>
          <w:rFonts w:ascii="Arial" w:cs="Arial" w:eastAsia="Arial" w:hAnsi="Arial"/>
          <w:sz w:val="18"/>
          <w:szCs w:val="18"/>
          <w:b w:val="1"/>
          <w:bCs w:val="1"/>
          <w:color w:val="auto"/>
        </w:rPr>
        <w:t>B</w:t>
      </w:r>
      <w:r>
        <w:rPr>
          <w:rFonts w:ascii="Arial" w:cs="Arial" w:eastAsia="Arial" w:hAnsi="Arial"/>
          <w:sz w:val="15"/>
          <w:szCs w:val="15"/>
          <w:b w:val="1"/>
          <w:bCs w:val="1"/>
          <w:color w:val="auto"/>
        </w:rPr>
        <w:t xml:space="preserve"> TO THIS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10/13/03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Hakan Edstrom</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-130810</wp:posOffset>
            </wp:positionV>
            <wp:extent cx="34734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Hakan Edstrom</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-130810</wp:posOffset>
            </wp:positionV>
            <wp:extent cx="34734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-127635</wp:posOffset>
            </wp:positionV>
            <wp:extent cx="34734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CCEPTED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MANNKIND CORPORATION</w:t>
      </w:r>
    </w:p>
    <w:p>
      <w:pPr>
        <w:spacing w:after="0" w:line="256"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Monique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14605</wp:posOffset>
            </wp:positionV>
            <wp:extent cx="3224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Title:</w:t>
        <w:tab/>
        <w:t>HR Generalist</w:t>
      </w:r>
    </w:p>
    <w:p>
      <w:pPr>
        <w:spacing w:after="0" w:line="22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10/13/03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60" w:space="180"/>
            <w:col w:w="5640"/>
          </w:cols>
          <w:pgMar w:left="240" w:top="324" w:right="379" w:bottom="1440" w:gutter="0" w:footer="0" w:header="0"/>
        </w:sectPr>
      </w:pPr>
    </w:p>
    <w:bookmarkStart w:id="147" w:name="page148"/>
    <w:bookmarkEnd w:id="14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ectPr>
          <w:pgSz w:w="11900" w:h="16838" w:orient="portrait"/>
          <w:cols w:equalWidth="0" w:num="1">
            <w:col w:w="11260"/>
          </w:cols>
          <w:pgMar w:left="240" w:top="270" w:right="3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w:t>
      </w:r>
    </w:p>
    <w:p>
      <w:pPr>
        <w:spacing w:after="0" w:line="200" w:lineRule="exact"/>
        <w:rPr>
          <w:sz w:val="20"/>
          <w:szCs w:val="20"/>
          <w:color w:val="auto"/>
        </w:rPr>
      </w:pPr>
    </w:p>
    <w:p>
      <w:pPr>
        <w:sectPr>
          <w:pgSz w:w="11900" w:h="16838" w:orient="portrait"/>
          <w:cols w:equalWidth="0" w:num="2">
            <w:col w:w="440" w:space="720"/>
            <w:col w:w="10100"/>
          </w:cols>
          <w:pgMar w:left="240" w:top="270" w:right="3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Hakan Edstrom</w:t>
      </w:r>
    </w:p>
    <w:p>
      <w:pPr>
        <w:spacing w:after="0" w:line="222" w:lineRule="exact"/>
        <w:rPr>
          <w:sz w:val="20"/>
          <w:szCs w:val="20"/>
          <w:color w:val="auto"/>
        </w:rPr>
      </w:pPr>
    </w:p>
    <w:p>
      <w:pPr>
        <w:sectPr>
          <w:pgSz w:w="11900" w:h="16838" w:orient="portrait"/>
          <w:cols w:equalWidth="0" w:num="2">
            <w:col w:w="620" w:space="540"/>
            <w:col w:w="10100"/>
          </w:cols>
          <w:pgMar w:left="240" w:top="270" w:right="3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10/13/03</w:t>
      </w:r>
    </w:p>
    <w:p>
      <w:pPr>
        <w:spacing w:after="0" w:line="222" w:lineRule="exact"/>
        <w:rPr>
          <w:sz w:val="20"/>
          <w:szCs w:val="20"/>
          <w:color w:val="auto"/>
        </w:rPr>
      </w:pPr>
    </w:p>
    <w:p>
      <w:pPr>
        <w:sectPr>
          <w:pgSz w:w="11900" w:h="16838" w:orient="portrait"/>
          <w:cols w:equalWidth="0" w:num="2">
            <w:col w:w="560" w:space="600"/>
            <w:col w:w="10100"/>
          </w:cols>
          <w:pgMar w:left="240" w:top="270" w:right="399" w:bottom="1440" w:gutter="0" w:footer="0" w:header="0"/>
          <w:type w:val="continuous"/>
        </w:sectPr>
      </w:pPr>
    </w:p>
    <w:p>
      <w:pPr>
        <w:spacing w:after="0" w:line="25"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SUBJECT:</w:t>
      </w:r>
      <w:r>
        <w:rPr>
          <w:sz w:val="20"/>
          <w:szCs w:val="20"/>
          <w:color w:val="auto"/>
        </w:rPr>
        <w:tab/>
      </w:r>
      <w:r>
        <w:rPr>
          <w:rFonts w:ascii="Arial" w:cs="Arial" w:eastAsia="Arial" w:hAnsi="Arial"/>
          <w:sz w:val="15"/>
          <w:szCs w:val="15"/>
          <w:b w:val="1"/>
          <w:bCs w:val="1"/>
          <w:color w:val="auto"/>
        </w:rPr>
        <w:t>Previous Inventions</w:t>
      </w:r>
    </w:p>
    <w:p>
      <w:pPr>
        <w:sectPr>
          <w:pgSz w:w="11900" w:h="16838" w:orient="portrait"/>
          <w:cols w:equalWidth="0" w:num="1">
            <w:col w:w="11260"/>
          </w:cols>
          <w:pgMar w:left="240" w:top="270" w:right="399" w:bottom="1440" w:gutter="0" w:footer="0" w:header="0"/>
          <w:type w:val="continuous"/>
        </w:sectPr>
      </w:pPr>
    </w:p>
    <w:p>
      <w:pPr>
        <w:spacing w:after="0" w:line="26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listed in Section 2 below, the following is a complete list of all inventions or improvements relevant to the subject matter of my employment by MannKind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that have been made or conceived or first reduced to practice by me alone or jointly with others prior to my engagement by the Company:</w:t>
      </w:r>
    </w:p>
    <w:p>
      <w:pPr>
        <w:spacing w:after="0" w:line="86" w:lineRule="exact"/>
        <w:rPr>
          <w:sz w:val="20"/>
          <w:szCs w:val="20"/>
          <w:color w:val="auto"/>
        </w:rPr>
      </w:pPr>
    </w:p>
    <w:p>
      <w:pPr>
        <w:ind w:left="1160" w:hanging="612"/>
        <w:spacing w:after="0"/>
        <w:tabs>
          <w:tab w:leader="none" w:pos="116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117" w:lineRule="exact"/>
        <w:rPr>
          <w:sz w:val="20"/>
          <w:szCs w:val="20"/>
          <w:color w:val="auto"/>
        </w:rPr>
      </w:pPr>
    </w:p>
    <w:p>
      <w:pPr>
        <w:ind w:left="1160" w:hanging="612"/>
        <w:spacing w:after="0"/>
        <w:tabs>
          <w:tab w:leader="none" w:pos="1160" w:val="left"/>
        </w:tabs>
        <w:numPr>
          <w:ilvl w:val="1"/>
          <w:numId w:val="76"/>
        </w:numPr>
        <w:rPr>
          <w:rFonts w:ascii="MS PGothic" w:cs="MS PGothic" w:eastAsia="MS PGothic" w:hAnsi="MS PGothic"/>
          <w:sz w:val="18"/>
          <w:szCs w:val="18"/>
          <w:color w:val="auto"/>
        </w:rPr>
      </w:pPr>
      <w:r>
        <w:rPr>
          <w:rFonts w:ascii="Arial" w:cs="Arial" w:eastAsia="Arial" w:hAnsi="Arial"/>
          <w:sz w:val="18"/>
          <w:szCs w:val="18"/>
          <w:color w:val="auto"/>
        </w:rPr>
        <w:t>See below:</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21" w:lineRule="exact"/>
        <w:rPr>
          <w:rFonts w:ascii="MS PGothic" w:cs="MS PGothic" w:eastAsia="MS PGothic" w:hAnsi="MS PGothic"/>
          <w:sz w:val="18"/>
          <w:szCs w:val="18"/>
          <w:color w:val="auto"/>
        </w:rPr>
      </w:pPr>
    </w:p>
    <w:p>
      <w:pPr>
        <w:ind w:left="580" w:hanging="572"/>
        <w:spacing w:after="0"/>
        <w:tabs>
          <w:tab w:leader="none" w:pos="580" w:val="left"/>
        </w:tabs>
        <w:numPr>
          <w:ilvl w:val="0"/>
          <w:numId w:val="76"/>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-876300</wp:posOffset>
            </wp:positionV>
            <wp:extent cx="65176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-293370</wp:posOffset>
            </wp:positionV>
            <wp:extent cx="65176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1"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color w:val="auto"/>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165" w:lineRule="exact"/>
        <w:rPr>
          <w:sz w:val="20"/>
          <w:szCs w:val="20"/>
          <w:color w:val="auto"/>
        </w:rPr>
      </w:pPr>
    </w:p>
    <w:p>
      <w:pPr>
        <w:ind w:left="720"/>
        <w:spacing w:after="0"/>
        <w:tabs>
          <w:tab w:leader="none" w:pos="4460" w:val="left"/>
          <w:tab w:leader="none" w:pos="7980" w:val="left"/>
        </w:tabs>
        <w:rPr>
          <w:sz w:val="20"/>
          <w:szCs w:val="20"/>
          <w:color w:val="auto"/>
        </w:rPr>
      </w:pPr>
      <w:r>
        <w:rPr>
          <w:rFonts w:ascii="Arial" w:cs="Arial" w:eastAsia="Arial" w:hAnsi="Arial"/>
          <w:sz w:val="18"/>
          <w:szCs w:val="18"/>
          <w:b w:val="1"/>
          <w:bCs w:val="1"/>
          <w:color w:val="auto"/>
        </w:rPr>
        <w:t>Invention or Improvement</w:t>
      </w:r>
      <w:r>
        <w:rPr>
          <w:sz w:val="20"/>
          <w:szCs w:val="20"/>
          <w:color w:val="auto"/>
        </w:rPr>
        <w:tab/>
      </w:r>
      <w:r>
        <w:rPr>
          <w:rFonts w:ascii="Arial" w:cs="Arial" w:eastAsia="Arial" w:hAnsi="Arial"/>
          <w:sz w:val="18"/>
          <w:szCs w:val="18"/>
          <w:b w:val="1"/>
          <w:bCs w:val="1"/>
          <w:color w:val="auto"/>
        </w:rPr>
        <w:t>Party(ies)</w:t>
      </w:r>
      <w:r>
        <w:rPr>
          <w:sz w:val="20"/>
          <w:szCs w:val="20"/>
          <w:color w:val="auto"/>
        </w:rPr>
        <w:tab/>
      </w:r>
      <w:r>
        <w:rPr>
          <w:rFonts w:ascii="Arial" w:cs="Arial" w:eastAsia="Arial" w:hAnsi="Arial"/>
          <w:sz w:val="16"/>
          <w:szCs w:val="16"/>
          <w:b w:val="1"/>
          <w:bCs w:val="1"/>
          <w:color w:val="auto"/>
        </w:rPr>
        <w:t>Relationship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68008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68008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68008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63" w:lineRule="exact"/>
        <w:rPr>
          <w:sz w:val="20"/>
          <w:szCs w:val="20"/>
          <w:color w:val="auto"/>
        </w:rPr>
      </w:pPr>
    </w:p>
    <w:p>
      <w:pPr>
        <w:ind w:left="580" w:hanging="572"/>
        <w:spacing w:after="0"/>
        <w:tabs>
          <w:tab w:leader="none" w:pos="580" w:val="left"/>
        </w:tabs>
        <w:numPr>
          <w:ilvl w:val="0"/>
          <w:numId w:val="77"/>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ectPr>
          <w:pgSz w:w="11900" w:h="16838" w:orient="portrait"/>
          <w:cols w:equalWidth="0" w:num="1">
            <w:col w:w="11260"/>
          </w:cols>
          <w:pgMar w:left="240" w:top="270" w:right="399" w:bottom="1440" w:gutter="0" w:footer="0" w:header="0"/>
          <w:type w:val="continuous"/>
        </w:sectPr>
      </w:pPr>
    </w:p>
    <w:bookmarkStart w:id="148" w:name="page149"/>
    <w:bookmarkEnd w:id="148"/>
    <w:p>
      <w:pPr>
        <w:ind w:left="9200"/>
        <w:spacing w:after="0"/>
        <w:rPr>
          <w:sz w:val="20"/>
          <w:szCs w:val="20"/>
          <w:color w:val="auto"/>
        </w:rPr>
      </w:pPr>
      <w:r>
        <w:rPr>
          <w:rFonts w:ascii="Arial" w:cs="Arial" w:eastAsia="Arial" w:hAnsi="Arial"/>
          <w:sz w:val="16"/>
          <w:szCs w:val="16"/>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186690</wp:posOffset>
            </wp:positionV>
            <wp:extent cx="5659755" cy="73234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180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951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7195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10.38</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25134 Rye Canyon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435225" cy="643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35225" cy="643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Valencia, CA 91355</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Main: (661) 775-5300</w:t>
      </w:r>
    </w:p>
    <w:p>
      <w:pPr>
        <w:spacing w:after="0" w:line="32"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www.mannkindcorp.com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March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638 Lindero Canyon Road, Suite 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Park, CA 91377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Congratulations! The MannKind team has been very impressed with your background and credentials, and we are genuinely pleased to offer you full-time employment with MannKind Corporation, in the exempt position Chief Commercialization Officer located in Valencia CA. In this position you will initially report directly to Matthew J. Pfeffer, Chief Executive Officer and CFO.</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target your employment to commence on March 14, 2016. Please be advised that this offer is contingent upon satisfactory reference and background checks and receipt of results of a satisfactory drug screening test. In the coming days, you will receive an email with information regarding the test, contact and location information for the laboratory as well as the hours of operation. This screening test must be completed no later than two weeks from the date of this letter.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will be paid on a bi-weekly basis, on regular payroll schedule, in the amount of $15,384.61, equating to an annualized amount of $400,000.00. You will be eligible to participate in the MannKind Discretionary Bonus Plan, with a target bonus opportunity of 50% of annual earnings. You will be eligible for a car allowance of $553.85 paid on a biweekly basis equating to an annualized amount of $14,400.00.</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Additionally, you will receive a one-time sign-on bonus in the gross amount of $50,000.00, less appropriate with-holdings and other payroll deductions, payable as a lump sum on the first pay period at the end of the first ninety (90) days of your employment. By accepting this offer, you agree that, in the event that you voluntarily leave the Company, or if you are terminated by the Company for “cause”, within the twelve (12) months following receipt of payment, you will repay the full amount of the payment, net any with-holdings within thirty (30) days after the last day of your employment. By accepting this offer, you further agree that the Company may deduct this amount from any other amounts The Company owes you should you be obligated to repay this amount.</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will be eligible to participate in MannKind’s Equity Incentive Plan, under which stock options and restricted stock will be awarded to you at a future date, as approved by the Board of Directors. At the next quarterly Board meeting after your hire date, we will recommend that you be granted an equity award of 329,200 stock options and 80,000 restricted stock units which is comparable to grants made for other individuals in similar level positions throughout the company. This is not a guarantee for a specific</w:t>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Castagna, page two</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number of restricted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 You will also be eligible for an annual equity grant.</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the Board will be asked to make a special grant of 1,000,000 performance based stock options, with performance based vesting terms to be mutually agreed upon in advance of their grant date.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substantial list of fringe benefits, including the following: 22 days PTO annually, which accrues on a bi-weekly basis; short term and long term disability insurance; company–paid life insurance; a 401(k) tax deferred savings program; flexible spending accounts; health, vision and dental insurance, and twelve paid holidays. The holidays and other time off benefits will be prorated based on your date of hire. All benefits, policies and rules are subject to change from time to time at the Company’s discretion. All benefits outlined in this offer letter are contingent on your continuing employment with MannKind Corporation in a benefit eligible status.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Shortly after we are in receipt of your acceptance, you will receive a welcome email from our onboarding manager, with a link to your personalized onboarding portal. Through this portal you will have access to most of the required MannKind policies and agreements that will require your signature such as, the Employee Proprietary Information and Inventions Agreement, an Arbitration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 will employment relationship cannot be changed except in writing as approved by the Board of Directors of MannKind.</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your earliest convenience, please sign and date this letter and return it to Linda Adreveno, Sr. V. P. Human Resources (</w:t>
      </w:r>
      <w:r>
        <w:rPr>
          <w:rFonts w:ascii="Arial" w:cs="Arial" w:eastAsia="Arial" w:hAnsi="Arial"/>
          <w:sz w:val="18"/>
          <w:szCs w:val="18"/>
          <w:u w:val="single" w:color="auto"/>
          <w:color w:val="auto"/>
        </w:rPr>
        <w:t>ladreveno@mannkindcorp.com</w:t>
      </w:r>
      <w:r>
        <w:rPr>
          <w:rFonts w:ascii="Arial" w:cs="Arial" w:eastAsia="Arial" w:hAnsi="Arial"/>
          <w:sz w:val="18"/>
          <w:szCs w:val="18"/>
          <w:color w:val="auto"/>
        </w:rPr>
        <w:t>) to indicate your acceptance of this written offer of employment. Please also include proof of your annual compensation in the form of a recent pay stub or W2/1099.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you should have any questions, please don’t hesitate to contact 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J. Pfeffer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CFO</w:t>
      </w:r>
    </w:p>
    <w:p>
      <w:pPr>
        <w:sectPr>
          <w:pgSz w:w="11900" w:h="16838" w:orient="portrait"/>
          <w:cols w:equalWidth="0" w:num="1">
            <w:col w:w="11420"/>
          </w:cols>
          <w:pgMar w:left="240" w:top="274"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Castagna, page three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 have carefully read and understand all of the terms of the above letter and freely and voluntarily accept and agree to all of its terms. I represent that, in agreeing to this offer letter, I am not relying on any representations or promises of any kind other than set forth in this letter.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Michael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20"/>
          </w:cols>
          <w:pgMar w:left="240" w:top="274" w:right="7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consent to the incorporation by reference in Registration Statement Nos. 333-117811, 333-127876, 333-137332, 333-149049, 333-160225, 333-176409, 333-182457 and 333-188790 on Form S-8 of our reports dated March 15, 2016, relating to the consolidated financial statements of MannKind Corporation and subsidiaries (“MannKind Corporation”) (which report expresses an unqualified opinion and includes an explanatory paragraph relating to the Company’s ability to continue as a going concern), and the effectiveness of MannKind Corporation’s internal control over financial reporting (which report expresses an adverse opinion on the effectiveness of MannKind Corporation’s internal control over financial reporting because of a material weakness), appearing in this Annual Report on Form 10-K of MannKind Corporation for the year ended December 31,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90" w:lineRule="exact"/>
        <w:rPr>
          <w:sz w:val="20"/>
          <w:szCs w:val="20"/>
          <w:color w:val="auto"/>
        </w:rPr>
      </w:pPr>
    </w:p>
    <w:p>
      <w:pPr>
        <w:ind w:left="420" w:hanging="184"/>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90" w:lineRule="exact"/>
        <w:rPr>
          <w:rFonts w:ascii="Arial" w:cs="Arial" w:eastAsia="Arial" w:hAnsi="Arial"/>
          <w:sz w:val="18"/>
          <w:szCs w:val="18"/>
          <w:color w:val="auto"/>
        </w:rPr>
      </w:pPr>
    </w:p>
    <w:p>
      <w:pPr>
        <w:ind w:firstLine="236"/>
        <w:spacing w:after="0" w:line="332" w:lineRule="auto"/>
        <w:tabs>
          <w:tab w:leader="none" w:pos="4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right="200" w:firstLine="236"/>
        <w:spacing w:after="0" w:line="332" w:lineRule="auto"/>
        <w:tabs>
          <w:tab w:leader="none" w:pos="4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am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 w:lineRule="exact"/>
        <w:rPr>
          <w:rFonts w:ascii="Arial" w:cs="Arial" w:eastAsia="Arial" w:hAnsi="Arial"/>
          <w:sz w:val="16"/>
          <w:szCs w:val="16"/>
          <w:color w:val="auto"/>
        </w:rPr>
      </w:pPr>
    </w:p>
    <w:p>
      <w:pPr>
        <w:jc w:val="both"/>
        <w:ind w:left="240" w:right="260" w:firstLine="220"/>
        <w:spacing w:after="0" w:line="259" w:lineRule="auto"/>
        <w:tabs>
          <w:tab w:leader="none" w:pos="70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240" w:right="60" w:firstLine="220"/>
        <w:spacing w:after="0" w:line="259" w:lineRule="auto"/>
        <w:tabs>
          <w:tab w:leader="none" w:pos="7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240" w:right="120" w:firstLine="220"/>
        <w:spacing w:after="0" w:line="332" w:lineRule="auto"/>
        <w:tabs>
          <w:tab w:leader="none" w:pos="702"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240" w:right="320" w:firstLine="220"/>
        <w:spacing w:after="0" w:line="259" w:lineRule="auto"/>
        <w:tabs>
          <w:tab w:leader="none" w:pos="7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160" w:firstLine="236"/>
        <w:spacing w:after="0" w:line="268" w:lineRule="auto"/>
        <w:tabs>
          <w:tab w:leader="none" w:pos="4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240" w:right="40" w:firstLine="220"/>
        <w:spacing w:after="0" w:line="268" w:lineRule="auto"/>
        <w:tabs>
          <w:tab w:leader="none" w:pos="70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240" w:right="260" w:firstLine="220"/>
        <w:spacing w:after="0" w:line="268" w:lineRule="auto"/>
        <w:tabs>
          <w:tab w:leader="none" w:pos="7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jc w:val="both"/>
        <w:ind w:right="100" w:firstLine="228"/>
        <w:spacing w:after="0" w:line="264"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Matthew J. Pfeffer, Chief Executive Officer and Chief Financial Officer of MannKind Corporation (the “Company”), hereby certifies that, to the best of his knowledge:</w:t>
      </w:r>
    </w:p>
    <w:p>
      <w:pPr>
        <w:spacing w:after="0" w:line="73" w:lineRule="exact"/>
        <w:rPr>
          <w:sz w:val="20"/>
          <w:szCs w:val="20"/>
          <w:color w:val="auto"/>
        </w:rPr>
      </w:pPr>
    </w:p>
    <w:p>
      <w:pPr>
        <w:ind w:left="240" w:right="380" w:firstLine="220"/>
        <w:spacing w:after="0" w:line="277" w:lineRule="auto"/>
        <w:tabs>
          <w:tab w:leader="none" w:pos="6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2015, to which this Certification is attached as Exhibit 32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240" w:right="540" w:firstLine="220"/>
        <w:spacing w:after="0" w:line="277" w:lineRule="auto"/>
        <w:tabs>
          <w:tab w:leader="none" w:pos="6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set his hand hereto as of the 15th day of March,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886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right="120" w:hanging="452"/>
        <w:spacing w:after="0" w:line="259" w:lineRule="auto"/>
        <w:tabs>
          <w:tab w:leader="none" w:pos="460" w:val="left"/>
        </w:tabs>
        <w:numPr>
          <w:ilvl w:val="0"/>
          <w:numId w:val="80"/>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upperLetter"/>
      <w:start w:val="1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lvl w:ilvl="1">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decimal"/>
      <w:start w:val="3"/>
    </w:lvl>
  </w:abstractNum>
  <w:abstractNum w:abstractNumId="33">
    <w:nsid w:val="1CF10FD8"/>
    <w:multiLevelType w:val="hybridMultilevel"/>
    <w:lvl w:ilvl="0">
      <w:lvlJc w:val="left"/>
      <w:lvlText w:val="%1"/>
      <w:numFmt w:val="decimal"/>
      <w:start w:val="3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decimal"/>
      <w:start w:val="20"/>
    </w:lvl>
  </w:abstractNum>
  <w:abstractNum w:abstractNumId="38">
    <w:nsid w:val="15B5AF5C"/>
    <w:multiLevelType w:val="hybridMultilevel"/>
    <w:lvl w:ilvl="0">
      <w:lvlJc w:val="left"/>
      <w:lvlText w:val="%1."/>
      <w:numFmt w:val="decimal"/>
      <w:start w:val="1"/>
    </w:lvl>
    <w:lvl w:ilvl="1">
      <w:lvlJc w:val="left"/>
      <w:lvlText w:val="(%2)"/>
      <w:numFmt w:val="lowerLetter"/>
      <w:start w:val="1"/>
    </w:lvl>
  </w:abstractNum>
  <w:abstractNum w:abstractNumId="39">
    <w:nsid w:val="741226BB"/>
    <w:multiLevelType w:val="hybridMultilevel"/>
    <w:lvl w:ilvl="0">
      <w:lvlJc w:val="left"/>
      <w:lvlText w:val="%1."/>
      <w:numFmt w:val="decimal"/>
      <w:start w:val="2"/>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Roman"/>
      <w:start w:val="1"/>
    </w:lvl>
    <w:lvl w:ilvl="1">
      <w:lvlJc w:val="left"/>
      <w:lvlText w:val="%2."/>
      <w:numFmt w:val="decimal"/>
      <w:start w:val="3"/>
    </w:lvl>
  </w:abstractNum>
  <w:abstractNum w:abstractNumId="42">
    <w:nsid w:val="3F6AB60F"/>
    <w:multiLevelType w:val="hybridMultilevel"/>
    <w:lvl w:ilvl="0">
      <w:lvlJc w:val="left"/>
      <w:lvlText w:val="%1."/>
      <w:numFmt w:val="decimal"/>
      <w:start w:val="4"/>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lowerLetter"/>
      <w:start w:val="2"/>
    </w:lvl>
  </w:abstractNum>
  <w:abstractNum w:abstractNumId="47">
    <w:nsid w:val="310C50B3"/>
    <w:multiLevelType w:val="hybridMultilevel"/>
    <w:lvl w:ilvl="0">
      <w:lvlJc w:val="left"/>
      <w:lvlText w:val="%1."/>
      <w:numFmt w:val="decimal"/>
      <w:start w:val="5"/>
    </w:lvl>
  </w:abstractNum>
  <w:abstractNum w:abstractNumId="48">
    <w:nsid w:val="5FF87E05"/>
    <w:multiLevelType w:val="hybridMultilevel"/>
    <w:lvl w:ilvl="0">
      <w:lvlJc w:val="left"/>
      <w:lvlText w:val="%1"/>
      <w:numFmt w:val="decimal"/>
      <w:start w:val="1"/>
    </w:lvl>
    <w:lvl w:ilvl="1">
      <w:lvlJc w:val="left"/>
      <w:lvlText w:val="%2."/>
      <w:numFmt w:val="decimal"/>
      <w:start w:val="7"/>
    </w:lvl>
  </w:abstractNum>
  <w:abstractNum w:abstractNumId="49">
    <w:nsid w:val="2F305DEF"/>
    <w:multiLevelType w:val="hybridMultilevel"/>
    <w:lvl w:ilvl="0">
      <w:lvlJc w:val="left"/>
      <w:lvlText w:val="(%1)"/>
      <w:numFmt w:val="decimal"/>
      <w:start w:val="5"/>
    </w:lvl>
    <w:lvl w:ilvl="1">
      <w:lvlJc w:val="left"/>
      <w:lvlText w:val="%2."/>
      <w:numFmt w:val="decimal"/>
      <w:start w:val="8"/>
    </w:lvl>
  </w:abstractNum>
  <w:abstractNum w:abstractNumId="50">
    <w:nsid w:val="25A70BF7"/>
    <w:multiLevelType w:val="hybridMultilevel"/>
    <w:lvl w:ilvl="0">
      <w:lvlJc w:val="left"/>
      <w:lvlText w:val="(%1)"/>
      <w:numFmt w:val="decimal"/>
      <w:start w:val="10"/>
    </w:lvl>
    <w:lvl w:ilvl="1">
      <w:lvlJc w:val="left"/>
      <w:lvlText w:val="%2."/>
      <w:numFmt w:val="decimal"/>
      <w:start w:val="12"/>
    </w:lvl>
  </w:abstractNum>
  <w:abstractNum w:abstractNumId="51">
    <w:nsid w:val="1DBABF00"/>
    <w:multiLevelType w:val="hybridMultilevel"/>
    <w:lvl w:ilvl="0">
      <w:lvlJc w:val="left"/>
      <w:lvlText w:val="%1."/>
      <w:numFmt w:val="decimal"/>
      <w:start w:val="13"/>
    </w:lvl>
  </w:abstractNum>
  <w:abstractNum w:abstractNumId="52">
    <w:nsid w:val="4AD084E9"/>
    <w:multiLevelType w:val="hybridMultilevel"/>
    <w:lvl w:ilvl="0">
      <w:lvlJc w:val="left"/>
      <w:lvlText w:val="(%1)"/>
      <w:numFmt w:val="decimal"/>
      <w:start w:val="3"/>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decimal"/>
      <w:start w:val="1"/>
    </w:lvl>
    <w:lvl w:ilvl="1">
      <w:lvlJc w:val="left"/>
      <w:lvlText w:val="(%2)"/>
      <w:numFmt w:val="lowerLetter"/>
      <w:start w:val="3"/>
    </w:lvl>
  </w:abstractNum>
  <w:abstractNum w:abstractNumId="56">
    <w:nsid w:val="100F8FCA"/>
    <w:multiLevelType w:val="hybridMultilevel"/>
    <w:lvl w:ilvl="0">
      <w:lvlJc w:val="left"/>
      <w:lvlText w:val="%1."/>
      <w:numFmt w:val="decimal"/>
      <w:start w:val="4"/>
    </w:lvl>
    <w:lvl w:ilvl="1">
      <w:lvlJc w:val="left"/>
      <w:lvlText w:val="%2"/>
      <w:numFmt w:val="lowerLetter"/>
      <w:start w:val="1"/>
    </w:lvl>
  </w:abstractNum>
  <w:abstractNum w:abstractNumId="57">
    <w:nsid w:val="6590700B"/>
    <w:multiLevelType w:val="hybridMultilevel"/>
    <w:lvl w:ilvl="0">
      <w:lvlJc w:val="left"/>
      <w:lvlText w:val="%1."/>
      <w:numFmt w:val="decimal"/>
      <w:start w:val="6"/>
    </w:lvl>
  </w:abstractNum>
  <w:abstractNum w:abstractNumId="58">
    <w:nsid w:val="15014ACB"/>
    <w:multiLevelType w:val="hybridMultilevel"/>
    <w:lvl w:ilvl="0">
      <w:lvlJc w:val="left"/>
      <w:lvlText w:val="%1."/>
      <w:numFmt w:val="decimal"/>
      <w:start w:val="10"/>
    </w:lvl>
  </w:abstractNum>
  <w:abstractNum w:abstractNumId="59">
    <w:nsid w:val="5F5E7FD0"/>
    <w:multiLevelType w:val="hybridMultilevel"/>
    <w:lvl w:ilvl="0">
      <w:lvlJc w:val="left"/>
      <w:lvlText w:val="(%1)"/>
      <w:numFmt w:val="lowerLetter"/>
      <w:start w:val="3"/>
    </w:lvl>
  </w:abstractNum>
  <w:abstractNum w:abstractNumId="60">
    <w:nsid w:val="98A3148"/>
    <w:multiLevelType w:val="hybridMultilevel"/>
    <w:lvl w:ilvl="0">
      <w:lvlJc w:val="left"/>
      <w:lvlText w:val="%1."/>
      <w:numFmt w:val="decimal"/>
      <w:start w:val="1"/>
    </w:lvl>
    <w:lvl w:ilvl="1">
      <w:lvlJc w:val="left"/>
      <w:lvlText w:val="%2."/>
      <w:numFmt w:val="lowerLetter"/>
      <w:start w:val="1"/>
    </w:lvl>
  </w:abstractNum>
  <w:abstractNum w:abstractNumId="61">
    <w:nsid w:val="799D0247"/>
    <w:multiLevelType w:val="hybridMultilevel"/>
    <w:lvl w:ilvl="0">
      <w:lvlJc w:val="left"/>
      <w:lvlText w:val="%1."/>
      <w:numFmt w:val="decimal"/>
      <w:start w:val="4"/>
    </w:lvl>
  </w:abstractNum>
  <w:abstractNum w:abstractNumId="62">
    <w:nsid w:val="6B94764"/>
    <w:multiLevelType w:val="hybridMultilevel"/>
    <w:lvl w:ilvl="0">
      <w:lvlJc w:val="left"/>
      <w:lvlText w:val="%1."/>
      <w:numFmt w:val="decimal"/>
      <w:start w:val="5"/>
    </w:lvl>
  </w:abstractNum>
  <w:abstractNum w:abstractNumId="63">
    <w:nsid w:val="42C296BD"/>
    <w:multiLevelType w:val="hybridMultilevel"/>
    <w:lvl w:ilvl="0">
      <w:lvlJc w:val="left"/>
      <w:lvlText w:val="%1."/>
      <w:numFmt w:val="decimal"/>
      <w:start w:val="9"/>
    </w:lvl>
  </w:abstractNum>
  <w:abstractNum w:abstractNumId="64">
    <w:nsid w:val="168E121F"/>
    <w:multiLevelType w:val="hybridMultilevel"/>
    <w:lvl w:ilvl="0">
      <w:lvlJc w:val="left"/>
      <w:lvlText w:val="%1"/>
      <w:numFmt w:val="decimal"/>
      <w:start w:val="1"/>
    </w:lvl>
    <w:lvl w:ilvl="1">
      <w:lvlJc w:val="left"/>
      <w:lvlText w:val="%2."/>
      <w:numFmt w:val="decimal"/>
      <w:start w:val="13"/>
    </w:lvl>
  </w:abstractNum>
  <w:abstractNum w:abstractNumId="65">
    <w:nsid w:val="1EBA5D23"/>
    <w:multiLevelType w:val="hybridMultilevel"/>
    <w:lvl w:ilvl="0">
      <w:lvlJc w:val="left"/>
      <w:lvlText w:val="(%1)"/>
      <w:numFmt w:val="decimal"/>
      <w:start w:val="7"/>
    </w:lvl>
    <w:lvl w:ilvl="1">
      <w:lvlJc w:val="left"/>
      <w:lvlText w:val="%2."/>
      <w:numFmt w:val="decimal"/>
      <w:start w:val="14"/>
    </w:lvl>
  </w:abstractNum>
  <w:abstractNum w:abstractNumId="66">
    <w:nsid w:val="661E3F1E"/>
    <w:multiLevelType w:val="hybridMultilevel"/>
    <w:lvl w:ilvl="0">
      <w:lvlJc w:val="left"/>
      <w:lvlText w:val="%1"/>
      <w:numFmt w:val="lowerLetter"/>
      <w:start w:val="1"/>
    </w:lvl>
    <w:lvl w:ilvl="1">
      <w:lvlJc w:val="left"/>
      <w:lvlText w:val="%2."/>
      <w:numFmt w:val="decimal"/>
      <w:start w:val="15"/>
    </w:lvl>
  </w:abstractNum>
  <w:abstractNum w:abstractNumId="67">
    <w:nsid w:val="5DC79EA8"/>
    <w:multiLevelType w:val="hybridMultilevel"/>
    <w:lvl w:ilvl="0">
      <w:lvlJc w:val="left"/>
      <w:lvlText w:val="(%1)"/>
      <w:numFmt w:val="lowerLetter"/>
      <w:start w:val="2"/>
    </w:lvl>
    <w:lvl w:ilvl="1">
      <w:lvlJc w:val="left"/>
      <w:lvlText w:val="%2."/>
      <w:numFmt w:val="decimal"/>
      <w:start w:val="16"/>
    </w:lvl>
  </w:abstractNum>
  <w:abstractNum w:abstractNumId="68">
    <w:nsid w:val="540A471C"/>
    <w:multiLevelType w:val="hybridMultilevel"/>
    <w:lvl w:ilvl="0">
      <w:lvlJc w:val="left"/>
      <w:lvlText w:val="%1."/>
      <w:numFmt w:val="decimal"/>
      <w:start w:val="17"/>
    </w:lvl>
  </w:abstractNum>
  <w:abstractNum w:abstractNumId="69">
    <w:nsid w:val="7BD3EE7B"/>
    <w:multiLevelType w:val="hybridMultilevel"/>
    <w:lvl w:ilvl="0">
      <w:lvlJc w:val="left"/>
      <w:lvlText w:val="(%1)"/>
      <w:numFmt w:val="lowerLetter"/>
      <w:start w:val="5"/>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2"/>
    </w:lvl>
  </w:abstractNum>
  <w:abstractNum w:abstractNumId="72">
    <w:nsid w:val="BF72B14"/>
    <w:multiLevelType w:val="hybridMultilevel"/>
    <w:lvl w:ilvl="0">
      <w:lvlJc w:val="left"/>
      <w:lvlText w:val="%1."/>
      <w:numFmt w:val="decimal"/>
      <w:start w:val="3"/>
    </w:lvl>
  </w:abstractNum>
  <w:abstractNum w:abstractNumId="73">
    <w:nsid w:val="11447B73"/>
    <w:multiLevelType w:val="hybridMultilevel"/>
    <w:lvl w:ilvl="0">
      <w:lvlJc w:val="left"/>
      <w:lvlText w:val="%1."/>
      <w:numFmt w:val="decimal"/>
      <w:start w:val="6"/>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lvl w:ilvl="1">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2019-12-29T11:36:53Z</dcterms:created>
  <dcterms:modified xsi:type="dcterms:W3CDTF">2019-12-29T11:36:53Z</dcterms:modified>
</cp:coreProperties>
</file>