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119380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132080</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70"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2016</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78" w:lineRule="exact"/>
        <w:rPr>
          <w:sz w:val="24"/>
          <w:szCs w:val="24"/>
          <w:color w:val="auto"/>
        </w:rPr>
      </w:pPr>
    </w:p>
    <w:p>
      <w:pPr>
        <w:ind w:left="37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3720465</wp:posOffset>
            </wp:positionH>
            <wp:positionV relativeFrom="paragraph">
              <wp:posOffset>-7620</wp:posOffset>
            </wp:positionV>
            <wp:extent cx="1130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000-50865</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MannKind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-273050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125095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81" w:lineRule="exact"/>
        <w:rPr>
          <w:sz w:val="24"/>
          <w:szCs w:val="24"/>
          <w:color w:val="auto"/>
        </w:rPr>
      </w:pPr>
    </w:p>
    <w:tbl>
      <w:tblPr>
        <w:tblLayout w:type="fixed"/>
        <w:tblInd w:w="340" w:type="dxa"/>
        <w:tblCellMar>
          <w:top w:w="0" w:type="dxa"/>
          <w:left w:w="0" w:type="dxa"/>
          <w:bottom w:w="0" w:type="dxa"/>
          <w:right w:w="0" w:type="dxa"/>
        </w:tblCellMar>
      </w:tblPr>
      <w:tr>
        <w:trPr>
          <w:trHeight w:val="188"/>
        </w:trPr>
        <w:tc>
          <w:tcPr>
            <w:tcW w:w="2120" w:type="dxa"/>
            <w:vAlign w:val="bottom"/>
          </w:tcPr>
          <w:p>
            <w:pPr>
              <w:spacing w:after="0"/>
              <w:rPr>
                <w:sz w:val="16"/>
                <w:szCs w:val="16"/>
                <w:color w:val="auto"/>
              </w:rPr>
            </w:pPr>
          </w:p>
        </w:tc>
        <w:tc>
          <w:tcPr>
            <w:tcW w:w="2040" w:type="dxa"/>
            <w:vAlign w:val="bottom"/>
            <w:gridSpan w:val="2"/>
          </w:tcPr>
          <w:p>
            <w:pPr>
              <w:jc w:val="center"/>
              <w:ind w:right="1161"/>
              <w:spacing w:after="0"/>
              <w:rPr>
                <w:sz w:val="20"/>
                <w:szCs w:val="20"/>
                <w:color w:val="auto"/>
              </w:rPr>
            </w:pPr>
            <w:r>
              <w:rPr>
                <w:rFonts w:ascii="Arial" w:cs="Arial" w:eastAsia="Arial" w:hAnsi="Arial"/>
                <w:sz w:val="16"/>
                <w:szCs w:val="16"/>
                <w:b w:val="1"/>
                <w:bCs w:val="1"/>
                <w:color w:val="auto"/>
                <w:w w:val="91"/>
              </w:rPr>
              <w:t>Delaware</w:t>
            </w:r>
          </w:p>
        </w:tc>
        <w:tc>
          <w:tcPr>
            <w:tcW w:w="2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gridSpan w:val="2"/>
          </w:tcPr>
          <w:p>
            <w:pPr>
              <w:jc w:val="right"/>
              <w:ind w:right="904"/>
              <w:spacing w:after="0"/>
              <w:rPr>
                <w:sz w:val="20"/>
                <w:szCs w:val="20"/>
                <w:color w:val="auto"/>
              </w:rPr>
            </w:pPr>
            <w:r>
              <w:rPr>
                <w:rFonts w:ascii="Arial" w:cs="Arial" w:eastAsia="Arial" w:hAnsi="Arial"/>
                <w:sz w:val="16"/>
                <w:szCs w:val="16"/>
                <w:b w:val="1"/>
                <w:bCs w:val="1"/>
                <w:color w:val="auto"/>
              </w:rPr>
              <w:t>13-3607736</w:t>
            </w:r>
          </w:p>
        </w:tc>
        <w:tc>
          <w:tcPr>
            <w:tcW w:w="0" w:type="dxa"/>
            <w:vAlign w:val="bottom"/>
          </w:tcPr>
          <w:p>
            <w:pPr>
              <w:spacing w:after="0"/>
              <w:rPr>
                <w:sz w:val="1"/>
                <w:szCs w:val="1"/>
                <w:color w:val="auto"/>
              </w:rPr>
            </w:pPr>
          </w:p>
        </w:tc>
      </w:tr>
      <w:tr>
        <w:trPr>
          <w:trHeight w:val="144"/>
        </w:trPr>
        <w:tc>
          <w:tcPr>
            <w:tcW w:w="4160" w:type="dxa"/>
            <w:vAlign w:val="bottom"/>
            <w:gridSpan w:val="3"/>
          </w:tcPr>
          <w:p>
            <w:pPr>
              <w:jc w:val="center"/>
              <w:ind w:left="805"/>
              <w:spacing w:after="0" w:line="144" w:lineRule="exact"/>
              <w:rPr>
                <w:sz w:val="20"/>
                <w:szCs w:val="20"/>
                <w:color w:val="auto"/>
              </w:rPr>
            </w:pPr>
            <w:r>
              <w:rPr>
                <w:rFonts w:ascii="Arial" w:cs="Arial" w:eastAsia="Arial" w:hAnsi="Arial"/>
                <w:sz w:val="14"/>
                <w:szCs w:val="14"/>
                <w:b w:val="1"/>
                <w:bCs w:val="1"/>
                <w:color w:val="auto"/>
                <w:w w:val="91"/>
              </w:rPr>
              <w:t>(State or other jurisdiction of</w:t>
            </w:r>
          </w:p>
        </w:tc>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80" w:type="dxa"/>
            <w:vAlign w:val="bottom"/>
            <w:gridSpan w:val="2"/>
          </w:tcPr>
          <w:p>
            <w:pPr>
              <w:jc w:val="center"/>
              <w:ind w:right="464"/>
              <w:spacing w:after="0" w:line="144"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66"/>
        </w:trPr>
        <w:tc>
          <w:tcPr>
            <w:tcW w:w="416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incorporation or organization)</w:t>
            </w:r>
          </w:p>
        </w:tc>
        <w:tc>
          <w:tcPr>
            <w:tcW w:w="2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80" w:type="dxa"/>
            <w:vAlign w:val="bottom"/>
            <w:gridSpan w:val="2"/>
          </w:tcPr>
          <w:p>
            <w:pPr>
              <w:jc w:val="center"/>
              <w:ind w:right="464"/>
              <w:spacing w:after="0"/>
              <w:rPr>
                <w:sz w:val="20"/>
                <w:szCs w:val="20"/>
                <w:color w:val="auto"/>
              </w:rPr>
            </w:pPr>
            <w:r>
              <w:rPr>
                <w:rFonts w:ascii="Arial" w:cs="Arial" w:eastAsia="Arial" w:hAnsi="Arial"/>
                <w:sz w:val="14"/>
                <w:szCs w:val="14"/>
                <w:b w:val="1"/>
                <w:bCs w:val="1"/>
                <w:color w:val="auto"/>
                <w:w w:val="91"/>
              </w:rPr>
              <w:t>Identification No.)</w:t>
            </w:r>
          </w:p>
        </w:tc>
        <w:tc>
          <w:tcPr>
            <w:tcW w:w="0" w:type="dxa"/>
            <w:vAlign w:val="bottom"/>
          </w:tcPr>
          <w:p>
            <w:pPr>
              <w:spacing w:after="0"/>
              <w:rPr>
                <w:sz w:val="1"/>
                <w:szCs w:val="1"/>
                <w:color w:val="auto"/>
              </w:rPr>
            </w:pPr>
          </w:p>
        </w:tc>
      </w:tr>
      <w:tr>
        <w:trPr>
          <w:trHeight w:val="196"/>
        </w:trPr>
        <w:tc>
          <w:tcPr>
            <w:tcW w:w="4160" w:type="dxa"/>
            <w:vAlign w:val="bottom"/>
            <w:gridSpan w:val="3"/>
          </w:tcPr>
          <w:p>
            <w:pPr>
              <w:jc w:val="center"/>
              <w:ind w:left="805"/>
              <w:spacing w:after="0"/>
              <w:rPr>
                <w:sz w:val="20"/>
                <w:szCs w:val="20"/>
                <w:color w:val="auto"/>
              </w:rPr>
            </w:pPr>
            <w:r>
              <w:rPr>
                <w:rFonts w:ascii="Arial" w:cs="Arial" w:eastAsia="Arial" w:hAnsi="Arial"/>
                <w:sz w:val="16"/>
                <w:szCs w:val="16"/>
                <w:b w:val="1"/>
                <w:bCs w:val="1"/>
                <w:color w:val="auto"/>
                <w:w w:val="87"/>
              </w:rPr>
              <w:t>25134 Rye Canyon Loop Suite 300</w:t>
            </w: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60" w:type="dxa"/>
            <w:vAlign w:val="bottom"/>
            <w:gridSpan w:val="3"/>
          </w:tcPr>
          <w:p>
            <w:pPr>
              <w:jc w:val="center"/>
              <w:ind w:left="805"/>
              <w:spacing w:after="0"/>
              <w:rPr>
                <w:sz w:val="20"/>
                <w:szCs w:val="20"/>
                <w:color w:val="auto"/>
              </w:rPr>
            </w:pPr>
            <w:r>
              <w:rPr>
                <w:rFonts w:ascii="Arial" w:cs="Arial" w:eastAsia="Arial" w:hAnsi="Arial"/>
                <w:sz w:val="16"/>
                <w:szCs w:val="16"/>
                <w:b w:val="1"/>
                <w:bCs w:val="1"/>
                <w:color w:val="auto"/>
                <w:w w:val="89"/>
              </w:rPr>
              <w:t>Valencia, California</w:t>
            </w: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jc w:val="right"/>
              <w:ind w:right="1084"/>
              <w:spacing w:after="0"/>
              <w:rPr>
                <w:sz w:val="20"/>
                <w:szCs w:val="20"/>
                <w:color w:val="auto"/>
              </w:rPr>
            </w:pPr>
            <w:r>
              <w:rPr>
                <w:rFonts w:ascii="Arial" w:cs="Arial" w:eastAsia="Arial" w:hAnsi="Arial"/>
                <w:sz w:val="16"/>
                <w:szCs w:val="16"/>
                <w:b w:val="1"/>
                <w:bCs w:val="1"/>
                <w:color w:val="auto"/>
              </w:rPr>
              <w:t>91355</w:t>
            </w:r>
          </w:p>
        </w:tc>
        <w:tc>
          <w:tcPr>
            <w:tcW w:w="0" w:type="dxa"/>
            <w:vAlign w:val="bottom"/>
          </w:tcPr>
          <w:p>
            <w:pPr>
              <w:spacing w:after="0"/>
              <w:rPr>
                <w:sz w:val="1"/>
                <w:szCs w:val="1"/>
                <w:color w:val="auto"/>
              </w:rPr>
            </w:pPr>
          </w:p>
        </w:tc>
      </w:tr>
      <w:tr>
        <w:trPr>
          <w:trHeight w:val="182"/>
        </w:trPr>
        <w:tc>
          <w:tcPr>
            <w:tcW w:w="416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jc w:val="center"/>
              <w:ind w:right="9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219"/>
        </w:trPr>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0" w:type="dxa"/>
            <w:vAlign w:val="bottom"/>
            <w:gridSpan w:val="4"/>
          </w:tcPr>
          <w:p>
            <w:pPr>
              <w:jc w:val="center"/>
              <w:ind w:left="241"/>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4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9"/>
              </w:rPr>
              <w:t>(661) 775-5300</w:t>
            </w: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0" w:type="dxa"/>
            <w:vAlign w:val="bottom"/>
            <w:gridSpan w:val="4"/>
          </w:tcPr>
          <w:p>
            <w:pPr>
              <w:jc w:val="center"/>
              <w:ind w:left="241"/>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4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2040" w:type="dxa"/>
            <w:vAlign w:val="bottom"/>
            <w:gridSpan w:val="2"/>
          </w:tcPr>
          <w:p>
            <w:pPr>
              <w:jc w:val="center"/>
              <w:ind w:right="1181"/>
              <w:spacing w:after="0"/>
              <w:rPr>
                <w:sz w:val="20"/>
                <w:szCs w:val="20"/>
                <w:color w:val="auto"/>
              </w:rPr>
            </w:pPr>
            <w:r>
              <w:rPr>
                <w:rFonts w:ascii="Arial" w:cs="Arial" w:eastAsia="Arial" w:hAnsi="Arial"/>
                <w:sz w:val="14"/>
                <w:szCs w:val="14"/>
                <w:b w:val="1"/>
                <w:bCs w:val="1"/>
                <w:color w:val="auto"/>
                <w:w w:val="89"/>
              </w:rPr>
              <w:t>Title of Class</w:t>
            </w:r>
          </w:p>
        </w:tc>
        <w:tc>
          <w:tcPr>
            <w:tcW w:w="2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97"/>
        </w:trPr>
        <w:tc>
          <w:tcPr>
            <w:tcW w:w="2120" w:type="dxa"/>
            <w:vAlign w:val="bottom"/>
          </w:tcPr>
          <w:p>
            <w:pPr>
              <w:ind w:left="1120"/>
              <w:spacing w:after="0"/>
              <w:rPr>
                <w:sz w:val="20"/>
                <w:szCs w:val="20"/>
                <w:color w:val="auto"/>
              </w:rPr>
            </w:pPr>
            <w:r>
              <w:rPr>
                <w:rFonts w:ascii="Arial" w:cs="Arial" w:eastAsia="Arial" w:hAnsi="Arial"/>
                <w:sz w:val="16"/>
                <w:szCs w:val="16"/>
                <w:b w:val="1"/>
                <w:bCs w:val="1"/>
                <w:color w:val="auto"/>
                <w:w w:val="80"/>
              </w:rPr>
              <w:t>Common Stock,</w:t>
            </w: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w w:val="96"/>
              </w:rPr>
              <w:t>par value</w:t>
            </w:r>
          </w:p>
        </w:tc>
        <w:tc>
          <w:tcPr>
            <w:tcW w:w="1240" w:type="dxa"/>
            <w:vAlign w:val="bottom"/>
          </w:tcPr>
          <w:p>
            <w:pPr>
              <w:spacing w:after="0"/>
              <w:rPr>
                <w:sz w:val="20"/>
                <w:szCs w:val="20"/>
                <w:color w:val="auto"/>
              </w:rPr>
            </w:pPr>
            <w:r>
              <w:rPr>
                <w:rFonts w:ascii="Arial" w:cs="Arial" w:eastAsia="Arial" w:hAnsi="Arial"/>
                <w:sz w:val="16"/>
                <w:szCs w:val="16"/>
                <w:b w:val="1"/>
                <w:bCs w:val="1"/>
                <w:color w:val="auto"/>
              </w:rPr>
              <w:t>$0.01 per share</w:t>
            </w: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The NASDAQ Global Market</w:t>
            </w:r>
          </w:p>
        </w:tc>
        <w:tc>
          <w:tcPr>
            <w:tcW w:w="0" w:type="dxa"/>
            <w:vAlign w:val="bottom"/>
          </w:tcPr>
          <w:p>
            <w:pPr>
              <w:spacing w:after="0"/>
              <w:rPr>
                <w:sz w:val="1"/>
                <w:szCs w:val="1"/>
                <w:color w:val="auto"/>
              </w:rPr>
            </w:pPr>
          </w:p>
        </w:tc>
      </w:tr>
      <w:tr>
        <w:trPr>
          <w:trHeight w:val="235"/>
        </w:trPr>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0" w:type="dxa"/>
            <w:vAlign w:val="bottom"/>
            <w:gridSpan w:val="4"/>
          </w:tcPr>
          <w:p>
            <w:pPr>
              <w:jc w:val="center"/>
              <w:ind w:left="241"/>
              <w:spacing w:after="0"/>
              <w:rPr>
                <w:sz w:val="20"/>
                <w:szCs w:val="20"/>
                <w:color w:val="auto"/>
              </w:rPr>
            </w:pPr>
            <w:r>
              <w:rPr>
                <w:rFonts w:ascii="Arial" w:cs="Arial" w:eastAsia="Arial" w:hAnsi="Arial"/>
                <w:sz w:val="16"/>
                <w:szCs w:val="16"/>
                <w:b w:val="1"/>
                <w:bCs w:val="1"/>
                <w:color w:val="auto"/>
                <w:w w:val="87"/>
              </w:rPr>
              <w:t>Securities registered pursuant to Section 12(g) of the Act:</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360" w:type="dxa"/>
            <w:vAlign w:val="bottom"/>
            <w:gridSpan w:val="3"/>
          </w:tcPr>
          <w:p>
            <w:pPr>
              <w:jc w:val="center"/>
              <w:ind w:right="866"/>
              <w:spacing w:after="0"/>
              <w:rPr>
                <w:sz w:val="20"/>
                <w:szCs w:val="20"/>
                <w:color w:val="auto"/>
              </w:rPr>
            </w:pPr>
            <w:r>
              <w:rPr>
                <w:rFonts w:ascii="Arial" w:cs="Arial" w:eastAsia="Arial" w:hAnsi="Arial"/>
                <w:sz w:val="16"/>
                <w:szCs w:val="16"/>
                <w:b w:val="1"/>
                <w:bCs w:val="1"/>
                <w:color w:val="auto"/>
                <w:w w:val="84"/>
              </w:rPr>
              <w:t>None</w:t>
            </w: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60" w:type="dxa"/>
            <w:vAlign w:val="bottom"/>
            <w:gridSpan w:val="3"/>
          </w:tcPr>
          <w:p>
            <w:pPr>
              <w:jc w:val="center"/>
              <w:ind w:right="846"/>
              <w:spacing w:after="0"/>
              <w:rPr>
                <w:sz w:val="20"/>
                <w:szCs w:val="20"/>
                <w:color w:val="auto"/>
              </w:rPr>
            </w:pPr>
            <w:r>
              <w:rPr>
                <w:rFonts w:ascii="Arial" w:cs="Arial" w:eastAsia="Arial" w:hAnsi="Arial"/>
                <w:sz w:val="14"/>
                <w:szCs w:val="14"/>
                <w:b w:val="1"/>
                <w:bCs w:val="1"/>
                <w:color w:val="auto"/>
                <w:w w:val="91"/>
              </w:rPr>
              <w:t>(Title of Class)</w:t>
            </w: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160" w:type="dxa"/>
            <w:vAlign w:val="bottom"/>
            <w:gridSpan w:val="3"/>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940" w:type="dxa"/>
            <w:vAlign w:val="bottom"/>
            <w:gridSpan w:val="2"/>
          </w:tcPr>
          <w:p>
            <w:pPr>
              <w:spacing w:after="0"/>
              <w:rPr>
                <w:sz w:val="13"/>
                <w:szCs w:val="13"/>
                <w:color w:val="auto"/>
              </w:rPr>
            </w:pPr>
          </w:p>
        </w:tc>
        <w:tc>
          <w:tcPr>
            <w:tcW w:w="460" w:type="dxa"/>
            <w:vAlign w:val="bottom"/>
            <w:vMerge w:val="restart"/>
          </w:tcPr>
          <w:p>
            <w:pPr>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720" w:type="dxa"/>
            <w:vAlign w:val="bottom"/>
            <w:vMerge w:val="restart"/>
          </w:tcPr>
          <w:p>
            <w:pPr>
              <w:jc w:val="center"/>
              <w:ind w:right="924"/>
              <w:spacing w:after="0" w:line="184" w:lineRule="exact"/>
              <w:rPr>
                <w:sz w:val="20"/>
                <w:szCs w:val="20"/>
                <w:color w:val="auto"/>
              </w:rPr>
            </w:pPr>
            <w:r>
              <w:rPr>
                <w:rFonts w:ascii="Arial" w:cs="Arial" w:eastAsia="Arial" w:hAnsi="Arial"/>
                <w:sz w:val="16"/>
                <w:szCs w:val="16"/>
                <w:color w:val="auto"/>
                <w:w w:val="97"/>
              </w:rPr>
              <w:t xml:space="preserve">No </w:t>
            </w:r>
            <w:r>
              <w:rPr>
                <w:rFonts w:ascii="MS PGothic" w:cs="MS PGothic" w:eastAsia="MS PGothic" w:hAnsi="MS PGothic"/>
                <w:sz w:val="16"/>
                <w:szCs w:val="16"/>
                <w:color w:val="auto"/>
                <w:w w:val="97"/>
              </w:rPr>
              <w:t>☒</w:t>
            </w:r>
          </w:p>
        </w:tc>
        <w:tc>
          <w:tcPr>
            <w:tcW w:w="0" w:type="dxa"/>
            <w:vAlign w:val="bottom"/>
          </w:tcPr>
          <w:p>
            <w:pPr>
              <w:spacing w:after="0"/>
              <w:rPr>
                <w:sz w:val="1"/>
                <w:szCs w:val="1"/>
                <w:color w:val="auto"/>
              </w:rPr>
            </w:pPr>
          </w:p>
        </w:tc>
      </w:tr>
      <w:tr>
        <w:trPr>
          <w:trHeight w:val="254"/>
        </w:trPr>
        <w:tc>
          <w:tcPr>
            <w:tcW w:w="7520" w:type="dxa"/>
            <w:vAlign w:val="bottom"/>
            <w:gridSpan w:val="6"/>
          </w:tcPr>
          <w:p>
            <w:pPr>
              <w:spacing w:after="0"/>
              <w:rPr>
                <w:sz w:val="20"/>
                <w:szCs w:val="20"/>
                <w:color w:val="auto"/>
              </w:rPr>
            </w:pPr>
            <w:r>
              <w:rPr>
                <w:rFonts w:ascii="Arial" w:cs="Arial" w:eastAsia="Arial" w:hAnsi="Arial"/>
                <w:sz w:val="16"/>
                <w:szCs w:val="16"/>
                <w:color w:val="auto"/>
                <w:w w:val="90"/>
              </w:rPr>
              <w:t>Indicate by check mark if the registrant is a well-known seasoned issuer, as defined in Rule 405 of the Securities Act.</w:t>
            </w:r>
          </w:p>
        </w:tc>
        <w:tc>
          <w:tcPr>
            <w:tcW w:w="460" w:type="dxa"/>
            <w:vAlign w:val="bottom"/>
            <w:vMerge w:val="continue"/>
          </w:tcPr>
          <w:p>
            <w:pPr>
              <w:spacing w:after="0"/>
              <w:rPr>
                <w:sz w:val="22"/>
                <w:szCs w:val="22"/>
                <w:color w:val="auto"/>
              </w:rPr>
            </w:pPr>
          </w:p>
        </w:tc>
        <w:tc>
          <w:tcPr>
            <w:tcW w:w="1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520" w:type="dxa"/>
            <w:vAlign w:val="bottom"/>
            <w:gridSpan w:val="6"/>
          </w:tcPr>
          <w:p>
            <w:pPr>
              <w:spacing w:after="0"/>
              <w:rPr>
                <w:sz w:val="20"/>
                <w:szCs w:val="20"/>
                <w:color w:val="auto"/>
              </w:rPr>
            </w:pPr>
            <w:r>
              <w:rPr>
                <w:rFonts w:ascii="Arial" w:cs="Arial" w:eastAsia="Arial" w:hAnsi="Arial"/>
                <w:sz w:val="16"/>
                <w:szCs w:val="16"/>
                <w:color w:val="auto"/>
                <w:w w:val="89"/>
              </w:rPr>
              <w:t>Indicate by check mark if the registrant is not required to file reports pursuant to Section 13 or Section 15(d) of the Act.</w:t>
            </w:r>
          </w:p>
        </w:tc>
        <w:tc>
          <w:tcPr>
            <w:tcW w:w="460" w:type="dxa"/>
            <w:vAlign w:val="bottom"/>
          </w:tcPr>
          <w:p>
            <w:pPr>
              <w:ind w:left="160"/>
              <w:spacing w:after="0"/>
              <w:rPr>
                <w:sz w:val="20"/>
                <w:szCs w:val="20"/>
                <w:color w:val="auto"/>
              </w:rPr>
            </w:pPr>
            <w:r>
              <w:rPr>
                <w:rFonts w:ascii="Arial" w:cs="Arial" w:eastAsia="Arial" w:hAnsi="Arial"/>
                <w:sz w:val="16"/>
                <w:szCs w:val="16"/>
                <w:color w:val="auto"/>
              </w:rPr>
              <w:t>Yes</w:t>
            </w:r>
          </w:p>
        </w:tc>
        <w:tc>
          <w:tcPr>
            <w:tcW w:w="1720" w:type="dxa"/>
            <w:vAlign w:val="bottom"/>
          </w:tcPr>
          <w:p>
            <w:pPr>
              <w:jc w:val="center"/>
              <w:ind w:right="92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right="20" w:firstLine="342"/>
        <w:spacing w:after="0" w:line="20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60" w:firstLine="342"/>
        <w:spacing w:after="0" w:line="318"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84" w:lineRule="exact"/>
        <w:tabs>
          <w:tab w:leader="none" w:pos="500" w:val="left"/>
          <w:tab w:leader="none" w:pos="11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260" w:firstLine="342"/>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1" w:lineRule="exact"/>
        <w:rPr>
          <w:sz w:val="24"/>
          <w:szCs w:val="24"/>
          <w:color w:val="auto"/>
        </w:rPr>
      </w:pPr>
    </w:p>
    <w:p>
      <w:pPr>
        <w:ind w:right="340" w:firstLine="342"/>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34" w:lineRule="exact"/>
        <w:rPr>
          <w:sz w:val="24"/>
          <w:szCs w:val="24"/>
          <w:color w:val="auto"/>
        </w:rPr>
      </w:pPr>
    </w:p>
    <w:p>
      <w:pPr>
        <w:spacing w:after="0" w:line="335"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7" w:lineRule="exact"/>
        <w:rPr>
          <w:sz w:val="20"/>
          <w:szCs w:val="20"/>
          <w:color w:val="auto"/>
        </w:rPr>
      </w:pPr>
      <w:r>
        <w:rPr>
          <w:rFonts w:ascii="MS PGothic" w:cs="MS PGothic" w:eastAsia="MS PGothic" w:hAnsi="MS PGothic"/>
          <w:sz w:val="16"/>
          <w:szCs w:val="16"/>
          <w:color w:val="auto"/>
        </w:rPr>
        <w:t>☐</w:t>
      </w:r>
    </w:p>
    <w:p>
      <w:pPr>
        <w:spacing w:after="0" w:line="78"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16"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17" w:lineRule="exact"/>
        <w:rPr>
          <w:sz w:val="20"/>
          <w:szCs w:val="20"/>
          <w:color w:val="auto"/>
        </w:rPr>
      </w:pPr>
      <w:r>
        <w:rPr>
          <w:rFonts w:ascii="MS PGothic" w:cs="MS PGothic" w:eastAsia="MS PGothic" w:hAnsi="MS PGothic"/>
          <w:sz w:val="13"/>
          <w:szCs w:val="13"/>
          <w:color w:val="auto"/>
        </w:rPr>
        <w:t>☒</w:t>
      </w:r>
    </w:p>
    <w:p>
      <w:pPr>
        <w:spacing w:after="0" w:line="102"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4">
            <w:col w:w="1420" w:space="520"/>
            <w:col w:w="6240" w:space="720"/>
            <w:col w:w="1720" w:space="660"/>
            <w:col w:w="140"/>
          </w:cols>
          <w:pgMar w:left="240" w:top="226" w:right="23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10"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0" w:lineRule="exact"/>
        <w:rPr>
          <w:sz w:val="20"/>
          <w:szCs w:val="20"/>
          <w:color w:val="auto"/>
        </w:rPr>
      </w:pPr>
      <w:r>
        <w:rPr>
          <w:rFonts w:ascii="MS PGothic" w:cs="MS PGothic" w:eastAsia="MS PGothic" w:hAnsi="MS PGothic"/>
          <w:sz w:val="13"/>
          <w:szCs w:val="13"/>
          <w:color w:val="auto"/>
        </w:rPr>
        <w:t>☒</w:t>
      </w:r>
    </w:p>
    <w:p>
      <w:pPr>
        <w:spacing w:after="0" w:line="146" w:lineRule="exact"/>
        <w:rPr>
          <w:sz w:val="24"/>
          <w:szCs w:val="24"/>
          <w:color w:val="auto"/>
        </w:rPr>
      </w:pPr>
    </w:p>
    <w:p>
      <w:pPr>
        <w:sectPr>
          <w:pgSz w:w="11900" w:h="16838" w:orient="portrait"/>
          <w:cols w:equalWidth="0" w:num="5">
            <w:col w:w="6820" w:space="160"/>
            <w:col w:w="220" w:space="80"/>
            <w:col w:w="140" w:space="160"/>
            <w:col w:w="200" w:space="80"/>
            <w:col w:w="3560"/>
          </w:cols>
          <w:pgMar w:left="240" w:top="226" w:right="239" w:bottom="1440" w:gutter="0" w:footer="0" w:header="0"/>
          <w:type w:val="continuous"/>
        </w:sectPr>
      </w:pPr>
    </w:p>
    <w:p>
      <w:pPr>
        <w:ind w:right="60" w:firstLine="342"/>
        <w:spacing w:after="0" w:line="277" w:lineRule="auto"/>
        <w:rPr>
          <w:sz w:val="20"/>
          <w:szCs w:val="20"/>
          <w:color w:val="auto"/>
        </w:rPr>
      </w:pPr>
      <w:r>
        <w:rPr>
          <w:rFonts w:ascii="Arial" w:cs="Arial" w:eastAsia="Arial" w:hAnsi="Arial"/>
          <w:sz w:val="16"/>
          <w:szCs w:val="16"/>
          <w:color w:val="auto"/>
        </w:rPr>
        <w:t>As of June 30, 2016, the aggregate market value of the voting stock held by non-affiliates of the registrant, computed by reference to the last sale price of such stock as of such date on the NASDAQ Global Market, was approximately $372,097,776.</w:t>
      </w:r>
    </w:p>
    <w:p>
      <w:pPr>
        <w:spacing w:after="0" w:line="2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March 10, 2017, there were 95,776,246 shares of the registrant’s Common Stock outstanding.</w:t>
      </w:r>
    </w:p>
    <w:p>
      <w:pPr>
        <w:spacing w:after="0" w:line="61"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9" w:lineRule="exact"/>
        <w:rPr>
          <w:sz w:val="24"/>
          <w:szCs w:val="24"/>
          <w:color w:val="auto"/>
        </w:rPr>
      </w:pPr>
    </w:p>
    <w:p>
      <w:pPr>
        <w:ind w:right="420" w:firstLine="342"/>
        <w:spacing w:after="0" w:line="311" w:lineRule="auto"/>
        <w:rPr>
          <w:sz w:val="20"/>
          <w:szCs w:val="20"/>
          <w:color w:val="auto"/>
        </w:rPr>
      </w:pPr>
      <w:r>
        <w:rPr>
          <w:rFonts w:ascii="Arial" w:cs="Arial" w:eastAsia="Arial" w:hAnsi="Arial"/>
          <w:sz w:val="15"/>
          <w:szCs w:val="15"/>
          <w:color w:val="auto"/>
        </w:rPr>
        <w:t>Portions of the registrant’s definitive Proxy Statement (the “Proxy Statement”) for the 2017 Annual Meeting of Stockholders to be filed with the Securities and Exchange Commission pursuant to Regulation 14A not later than May 1, 2017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55245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96520</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580" w:type="dxa"/>
            <w:vAlign w:val="bottom"/>
            <w:gridSpan w:val="3"/>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516"/>
        </w:trPr>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80" w:type="dxa"/>
            <w:vAlign w:val="bottom"/>
            <w:gridSpan w:val="15"/>
          </w:tcPr>
          <w:p>
            <w:pPr>
              <w:jc w:val="center"/>
              <w:ind w:right="3460"/>
              <w:spacing w:after="0"/>
              <w:rPr>
                <w:sz w:val="20"/>
                <w:szCs w:val="20"/>
                <w:color w:val="auto"/>
              </w:rPr>
            </w:pPr>
            <w:r>
              <w:rPr>
                <w:rFonts w:ascii="Arial" w:cs="Arial" w:eastAsia="Arial" w:hAnsi="Arial"/>
                <w:sz w:val="17"/>
                <w:szCs w:val="17"/>
                <w:b w:val="1"/>
                <w:bCs w:val="1"/>
                <w:color w:val="auto"/>
              </w:rPr>
              <w:t>MANNKIND CORPORATION</w:t>
            </w:r>
          </w:p>
        </w:tc>
        <w:tc>
          <w:tcPr>
            <w:tcW w:w="940" w:type="dxa"/>
            <w:vAlign w:val="bottom"/>
          </w:tcPr>
          <w:p>
            <w:pPr>
              <w:spacing w:after="0"/>
              <w:rPr>
                <w:sz w:val="24"/>
                <w:szCs w:val="24"/>
                <w:color w:val="auto"/>
              </w:rPr>
            </w:pPr>
          </w:p>
        </w:tc>
      </w:tr>
      <w:tr>
        <w:trPr>
          <w:trHeight w:val="401"/>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80" w:type="dxa"/>
            <w:vAlign w:val="bottom"/>
            <w:gridSpan w:val="15"/>
          </w:tcPr>
          <w:p>
            <w:pPr>
              <w:jc w:val="center"/>
              <w:ind w:right="3480"/>
              <w:spacing w:after="0"/>
              <w:rPr>
                <w:sz w:val="20"/>
                <w:szCs w:val="20"/>
                <w:color w:val="auto"/>
              </w:rPr>
            </w:pPr>
            <w:r>
              <w:rPr>
                <w:rFonts w:ascii="Arial" w:cs="Arial" w:eastAsia="Arial" w:hAnsi="Arial"/>
                <w:sz w:val="17"/>
                <w:szCs w:val="17"/>
                <w:b w:val="1"/>
                <w:bCs w:val="1"/>
                <w:color w:val="auto"/>
                <w:w w:val="95"/>
              </w:rPr>
              <w:t>Annual Report on Form 10-K</w:t>
            </w:r>
          </w:p>
        </w:tc>
        <w:tc>
          <w:tcPr>
            <w:tcW w:w="940" w:type="dxa"/>
            <w:vAlign w:val="bottom"/>
          </w:tcPr>
          <w:p>
            <w:pPr>
              <w:spacing w:after="0"/>
              <w:rPr>
                <w:sz w:val="24"/>
                <w:szCs w:val="24"/>
                <w:color w:val="auto"/>
              </w:rPr>
            </w:pPr>
          </w:p>
        </w:tc>
      </w:tr>
      <w:tr>
        <w:trPr>
          <w:trHeight w:val="228"/>
        </w:trPr>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80" w:type="dxa"/>
            <w:vAlign w:val="bottom"/>
            <w:gridSpan w:val="18"/>
          </w:tcPr>
          <w:p>
            <w:pPr>
              <w:jc w:val="center"/>
              <w:ind w:right="2560"/>
              <w:spacing w:after="0"/>
              <w:rPr>
                <w:sz w:val="20"/>
                <w:szCs w:val="20"/>
                <w:color w:val="auto"/>
              </w:rPr>
            </w:pPr>
            <w:r>
              <w:rPr>
                <w:rFonts w:ascii="Arial" w:cs="Arial" w:eastAsia="Arial" w:hAnsi="Arial"/>
                <w:sz w:val="17"/>
                <w:szCs w:val="17"/>
                <w:b w:val="1"/>
                <w:bCs w:val="1"/>
                <w:color w:val="auto"/>
                <w:w w:val="92"/>
              </w:rPr>
              <w:t>For the Fiscal Year Ended December 31, 2016</w:t>
            </w:r>
          </w:p>
        </w:tc>
        <w:tc>
          <w:tcPr>
            <w:tcW w:w="940" w:type="dxa"/>
            <w:vAlign w:val="bottom"/>
          </w:tcPr>
          <w:p>
            <w:pPr>
              <w:spacing w:after="0"/>
              <w:rPr>
                <w:sz w:val="19"/>
                <w:szCs w:val="19"/>
                <w:color w:val="auto"/>
              </w:rPr>
            </w:pPr>
          </w:p>
        </w:tc>
      </w:tr>
      <w:tr>
        <w:trPr>
          <w:trHeight w:val="419"/>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80" w:type="dxa"/>
            <w:vAlign w:val="bottom"/>
            <w:gridSpan w:val="15"/>
          </w:tcPr>
          <w:p>
            <w:pPr>
              <w:jc w:val="center"/>
              <w:ind w:right="3480"/>
              <w:spacing w:after="0"/>
              <w:rPr>
                <w:sz w:val="20"/>
                <w:szCs w:val="20"/>
                <w:color w:val="auto"/>
              </w:rPr>
            </w:pPr>
            <w:r>
              <w:rPr>
                <w:rFonts w:ascii="Arial" w:cs="Arial" w:eastAsia="Arial" w:hAnsi="Arial"/>
                <w:sz w:val="17"/>
                <w:szCs w:val="17"/>
                <w:b w:val="1"/>
                <w:bCs w:val="1"/>
                <w:color w:val="auto"/>
              </w:rPr>
              <w:t>TABLE OF CONTENTS</w:t>
            </w:r>
          </w:p>
        </w:tc>
        <w:tc>
          <w:tcPr>
            <w:tcW w:w="940" w:type="dxa"/>
            <w:vAlign w:val="bottom"/>
          </w:tcPr>
          <w:p>
            <w:pPr>
              <w:spacing w:after="0"/>
              <w:rPr>
                <w:sz w:val="24"/>
                <w:szCs w:val="24"/>
                <w:color w:val="auto"/>
              </w:rPr>
            </w:pPr>
          </w:p>
        </w:tc>
      </w:tr>
      <w:tr>
        <w:trPr>
          <w:trHeight w:val="433"/>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gridSpan w:val="14"/>
          </w:tcPr>
          <w:p>
            <w:pPr>
              <w:jc w:val="center"/>
              <w:ind w:right="3860"/>
              <w:spacing w:after="0"/>
              <w:rPr>
                <w:sz w:val="20"/>
                <w:szCs w:val="20"/>
                <w:color w:val="auto"/>
              </w:rPr>
            </w:pPr>
            <w:r>
              <w:rPr>
                <w:rFonts w:ascii="Arial" w:cs="Arial" w:eastAsia="Arial" w:hAnsi="Arial"/>
                <w:sz w:val="17"/>
                <w:szCs w:val="17"/>
                <w:b w:val="1"/>
                <w:bCs w:val="1"/>
                <w:color w:val="auto"/>
              </w:rPr>
              <w:t>PART I</w:t>
            </w:r>
          </w:p>
        </w:tc>
        <w:tc>
          <w:tcPr>
            <w:tcW w:w="940" w:type="dxa"/>
            <w:vAlign w:val="bottom"/>
          </w:tcPr>
          <w:p>
            <w:pPr>
              <w:spacing w:after="0"/>
              <w:rPr>
                <w:sz w:val="24"/>
                <w:szCs w:val="24"/>
                <w:color w:val="auto"/>
              </w:rPr>
            </w:pPr>
          </w:p>
        </w:tc>
      </w:tr>
      <w:tr>
        <w:trPr>
          <w:trHeight w:val="183"/>
        </w:trPr>
        <w:tc>
          <w:tcPr>
            <w:tcW w:w="1580" w:type="dxa"/>
            <w:vAlign w:val="bottom"/>
            <w:gridSpan w:val="3"/>
          </w:tcPr>
          <w:p>
            <w:pPr>
              <w:ind w:left="360"/>
              <w:spacing w:after="0" w:line="183" w:lineRule="exact"/>
              <w:rPr>
                <w:sz w:val="20"/>
                <w:szCs w:val="20"/>
                <w:color w:val="auto"/>
              </w:rPr>
            </w:pPr>
            <w:r>
              <w:rPr>
                <w:rFonts w:ascii="Arial" w:cs="Arial" w:eastAsia="Arial" w:hAnsi="Arial"/>
                <w:sz w:val="17"/>
                <w:szCs w:val="17"/>
                <w:color w:val="auto"/>
              </w:rPr>
              <w:t>Item 1.</w:t>
            </w:r>
          </w:p>
        </w:tc>
        <w:tc>
          <w:tcPr>
            <w:tcW w:w="620" w:type="dxa"/>
            <w:vAlign w:val="bottom"/>
            <w:tcBorders>
              <w:bottom w:val="single" w:sz="8" w:color="0000EE"/>
            </w:tcBorders>
          </w:tcPr>
          <w:p>
            <w:pPr>
              <w:spacing w:after="0" w:line="183" w:lineRule="exact"/>
              <w:rPr>
                <w:rFonts w:ascii="Arial" w:cs="Arial" w:eastAsia="Arial" w:hAnsi="Arial"/>
                <w:sz w:val="17"/>
                <w:szCs w:val="17"/>
                <w:color w:val="0000EE"/>
                <w:w w:val="86"/>
              </w:rPr>
            </w:pPr>
            <w:hyperlink w:anchor="page3">
              <w:r>
                <w:rPr>
                  <w:rFonts w:ascii="Arial" w:cs="Arial" w:eastAsia="Arial" w:hAnsi="Arial"/>
                  <w:sz w:val="17"/>
                  <w:szCs w:val="17"/>
                  <w:color w:val="0000EE"/>
                  <w:w w:val="86"/>
                </w:rPr>
                <w:t>Business</w:t>
              </w:r>
            </w:hyperlink>
          </w:p>
        </w:tc>
        <w:tc>
          <w:tcPr>
            <w:tcW w:w="8240" w:type="dxa"/>
            <w:vAlign w:val="bottom"/>
            <w:gridSpan w:val="26"/>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1</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1A.</w:t>
            </w:r>
          </w:p>
        </w:tc>
        <w:tc>
          <w:tcPr>
            <w:tcW w:w="880" w:type="dxa"/>
            <w:vAlign w:val="bottom"/>
            <w:tcBorders>
              <w:bottom w:val="single" w:sz="8" w:color="0000EE"/>
            </w:tcBorders>
            <w:gridSpan w:val="3"/>
          </w:tcPr>
          <w:p>
            <w:pPr>
              <w:spacing w:after="0" w:line="189" w:lineRule="exact"/>
              <w:rPr>
                <w:rFonts w:ascii="Arial" w:cs="Arial" w:eastAsia="Arial" w:hAnsi="Arial"/>
                <w:sz w:val="17"/>
                <w:szCs w:val="17"/>
                <w:color w:val="0000EE"/>
                <w:w w:val="90"/>
              </w:rPr>
            </w:pPr>
            <w:hyperlink w:anchor="page18">
              <w:r>
                <w:rPr>
                  <w:rFonts w:ascii="Arial" w:cs="Arial" w:eastAsia="Arial" w:hAnsi="Arial"/>
                  <w:sz w:val="17"/>
                  <w:szCs w:val="17"/>
                  <w:color w:val="0000EE"/>
                  <w:w w:val="90"/>
                </w:rPr>
                <w:t>Risk Factors</w:t>
              </w:r>
            </w:hyperlink>
          </w:p>
        </w:tc>
        <w:tc>
          <w:tcPr>
            <w:tcW w:w="7980" w:type="dxa"/>
            <w:vAlign w:val="bottom"/>
            <w:gridSpan w:val="24"/>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1B.</w:t>
            </w:r>
          </w:p>
        </w:tc>
        <w:tc>
          <w:tcPr>
            <w:tcW w:w="8860" w:type="dxa"/>
            <w:vAlign w:val="bottom"/>
            <w:gridSpan w:val="27"/>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Unresolved Staff Comments</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2.</w:t>
            </w:r>
          </w:p>
        </w:tc>
        <w:tc>
          <w:tcPr>
            <w:tcW w:w="1980" w:type="dxa"/>
            <w:vAlign w:val="bottom"/>
            <w:tcBorders>
              <w:top w:val="single" w:sz="8" w:color="0000EE"/>
            </w:tcBorders>
            <w:gridSpan w:val="9"/>
          </w:tcPr>
          <w:p>
            <w:pPr>
              <w:spacing w:after="0" w:line="189" w:lineRule="exact"/>
              <w:rPr>
                <w:rFonts w:ascii="Arial" w:cs="Arial" w:eastAsia="Arial" w:hAnsi="Arial"/>
                <w:sz w:val="17"/>
                <w:szCs w:val="17"/>
                <w:color w:val="0000EE"/>
              </w:rPr>
            </w:pPr>
            <w:hyperlink w:anchor="page48">
              <w:r>
                <w:rPr>
                  <w:rFonts w:ascii="Arial" w:cs="Arial" w:eastAsia="Arial" w:hAnsi="Arial"/>
                  <w:sz w:val="17"/>
                  <w:szCs w:val="17"/>
                  <w:color w:val="0000EE"/>
                </w:rPr>
                <w:t>Properties</w:t>
              </w:r>
            </w:hyperlink>
          </w:p>
        </w:tc>
        <w:tc>
          <w:tcPr>
            <w:tcW w:w="6880" w:type="dxa"/>
            <w:vAlign w:val="bottom"/>
            <w:gridSpan w:val="18"/>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r>
      <w:tr>
        <w:trPr>
          <w:trHeight w:val="20"/>
        </w:trPr>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3.</w:t>
            </w:r>
          </w:p>
        </w:tc>
        <w:tc>
          <w:tcPr>
            <w:tcW w:w="1300" w:type="dxa"/>
            <w:vAlign w:val="bottom"/>
            <w:tcBorders>
              <w:bottom w:val="single" w:sz="8" w:color="0000EE"/>
            </w:tcBorders>
            <w:gridSpan w:val="5"/>
          </w:tcPr>
          <w:p>
            <w:pPr>
              <w:spacing w:after="0" w:line="189" w:lineRule="exact"/>
              <w:rPr>
                <w:rFonts w:ascii="Arial" w:cs="Arial" w:eastAsia="Arial" w:hAnsi="Arial"/>
                <w:sz w:val="17"/>
                <w:szCs w:val="17"/>
                <w:color w:val="0000EE"/>
                <w:w w:val="90"/>
              </w:rPr>
            </w:pPr>
            <w:hyperlink w:anchor="page48">
              <w:r>
                <w:rPr>
                  <w:rFonts w:ascii="Arial" w:cs="Arial" w:eastAsia="Arial" w:hAnsi="Arial"/>
                  <w:sz w:val="17"/>
                  <w:szCs w:val="17"/>
                  <w:color w:val="0000EE"/>
                  <w:w w:val="90"/>
                </w:rPr>
                <w:t>Legal Proceedings</w:t>
              </w:r>
            </w:hyperlink>
          </w:p>
        </w:tc>
        <w:tc>
          <w:tcPr>
            <w:tcW w:w="7560" w:type="dxa"/>
            <w:vAlign w:val="bottom"/>
            <w:gridSpan w:val="22"/>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4.</w:t>
            </w:r>
          </w:p>
        </w:tc>
        <w:tc>
          <w:tcPr>
            <w:tcW w:w="8860" w:type="dxa"/>
            <w:vAlign w:val="bottom"/>
            <w:gridSpan w:val="27"/>
          </w:tcPr>
          <w:p>
            <w:pPr>
              <w:spacing w:after="0" w:line="189" w:lineRule="exact"/>
              <w:rPr>
                <w:rFonts w:ascii="Arial" w:cs="Arial" w:eastAsia="Arial" w:hAnsi="Arial"/>
                <w:sz w:val="17"/>
                <w:szCs w:val="17"/>
                <w:color w:val="0000EE"/>
              </w:rPr>
            </w:pPr>
            <w:hyperlink w:anchor="page49">
              <w:r>
                <w:rPr>
                  <w:rFonts w:ascii="Arial" w:cs="Arial" w:eastAsia="Arial" w:hAnsi="Arial"/>
                  <w:sz w:val="17"/>
                  <w:szCs w:val="17"/>
                  <w:color w:val="0000EE"/>
                </w:rPr>
                <w:t>Mine Safety Disclosures</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47</w:t>
            </w:r>
          </w:p>
        </w:tc>
      </w:tr>
      <w:tr>
        <w:trPr>
          <w:trHeight w:val="321"/>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gridSpan w:val="14"/>
          </w:tcPr>
          <w:p>
            <w:pPr>
              <w:jc w:val="center"/>
              <w:ind w:right="3860"/>
              <w:spacing w:after="0"/>
              <w:rPr>
                <w:sz w:val="20"/>
                <w:szCs w:val="20"/>
                <w:color w:val="auto"/>
              </w:rPr>
            </w:pPr>
            <w:r>
              <w:rPr>
                <w:rFonts w:ascii="Arial" w:cs="Arial" w:eastAsia="Arial" w:hAnsi="Arial"/>
                <w:sz w:val="17"/>
                <w:szCs w:val="17"/>
                <w:b w:val="1"/>
                <w:bCs w:val="1"/>
                <w:color w:val="auto"/>
              </w:rPr>
              <w:t>PART II</w:t>
            </w:r>
          </w:p>
        </w:tc>
        <w:tc>
          <w:tcPr>
            <w:tcW w:w="940" w:type="dxa"/>
            <w:vAlign w:val="bottom"/>
          </w:tcPr>
          <w:p>
            <w:pPr>
              <w:spacing w:after="0"/>
              <w:rPr>
                <w:sz w:val="24"/>
                <w:szCs w:val="24"/>
                <w:color w:val="auto"/>
              </w:rPr>
            </w:pPr>
          </w:p>
        </w:tc>
      </w:tr>
      <w:tr>
        <w:trPr>
          <w:trHeight w:val="183"/>
        </w:trPr>
        <w:tc>
          <w:tcPr>
            <w:tcW w:w="1580" w:type="dxa"/>
            <w:vAlign w:val="bottom"/>
            <w:gridSpan w:val="3"/>
          </w:tcPr>
          <w:p>
            <w:pPr>
              <w:ind w:left="360"/>
              <w:spacing w:after="0" w:line="183" w:lineRule="exact"/>
              <w:rPr>
                <w:sz w:val="20"/>
                <w:szCs w:val="20"/>
                <w:color w:val="auto"/>
              </w:rPr>
            </w:pPr>
            <w:r>
              <w:rPr>
                <w:rFonts w:ascii="Arial" w:cs="Arial" w:eastAsia="Arial" w:hAnsi="Arial"/>
                <w:sz w:val="17"/>
                <w:szCs w:val="17"/>
                <w:color w:val="auto"/>
              </w:rPr>
              <w:t>Item 5.</w:t>
            </w:r>
          </w:p>
        </w:tc>
        <w:tc>
          <w:tcPr>
            <w:tcW w:w="8860" w:type="dxa"/>
            <w:vAlign w:val="bottom"/>
            <w:gridSpan w:val="27"/>
          </w:tcPr>
          <w:p>
            <w:pPr>
              <w:spacing w:after="0" w:line="183" w:lineRule="exact"/>
              <w:rPr>
                <w:rFonts w:ascii="Arial" w:cs="Arial" w:eastAsia="Arial" w:hAnsi="Arial"/>
                <w:sz w:val="17"/>
                <w:szCs w:val="17"/>
                <w:color w:val="0000EE"/>
              </w:rPr>
            </w:pPr>
            <w:hyperlink w:anchor="page50">
              <w:r>
                <w:rPr>
                  <w:rFonts w:ascii="Arial" w:cs="Arial" w:eastAsia="Arial" w:hAnsi="Arial"/>
                  <w:sz w:val="17"/>
                  <w:szCs w:val="17"/>
                  <w:color w:val="0000EE"/>
                </w:rPr>
                <w:t>Market for the Registrant’s Common Equity, Related Stockholder Matters and Issuer Purchases of Equity Securities</w:t>
              </w:r>
            </w:hyperlink>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48</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6.</w:t>
            </w:r>
          </w:p>
        </w:tc>
        <w:tc>
          <w:tcPr>
            <w:tcW w:w="1660" w:type="dxa"/>
            <w:vAlign w:val="bottom"/>
            <w:tcBorders>
              <w:top w:val="single" w:sz="8" w:color="0000EE"/>
              <w:bottom w:val="single" w:sz="8" w:color="0000EE"/>
            </w:tcBorders>
            <w:gridSpan w:val="6"/>
          </w:tcPr>
          <w:p>
            <w:pPr>
              <w:spacing w:after="0" w:line="189" w:lineRule="exact"/>
              <w:rPr>
                <w:rFonts w:ascii="Arial" w:cs="Arial" w:eastAsia="Arial" w:hAnsi="Arial"/>
                <w:sz w:val="17"/>
                <w:szCs w:val="17"/>
                <w:color w:val="0000EE"/>
                <w:w w:val="91"/>
              </w:rPr>
            </w:pPr>
            <w:hyperlink w:anchor="page52">
              <w:r>
                <w:rPr>
                  <w:rFonts w:ascii="Arial" w:cs="Arial" w:eastAsia="Arial" w:hAnsi="Arial"/>
                  <w:sz w:val="17"/>
                  <w:szCs w:val="17"/>
                  <w:color w:val="0000EE"/>
                  <w:w w:val="91"/>
                </w:rPr>
                <w:t>Selected Financial Data</w:t>
              </w:r>
            </w:hyperlink>
          </w:p>
        </w:tc>
        <w:tc>
          <w:tcPr>
            <w:tcW w:w="6420" w:type="dxa"/>
            <w:vAlign w:val="bottom"/>
            <w:tcBorders>
              <w:top w:val="single" w:sz="8" w:color="0000EE"/>
            </w:tcBorders>
            <w:gridSpan w:val="20"/>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7.</w:t>
            </w:r>
          </w:p>
        </w:tc>
        <w:tc>
          <w:tcPr>
            <w:tcW w:w="6260" w:type="dxa"/>
            <w:vAlign w:val="bottom"/>
            <w:tcBorders>
              <w:bottom w:val="single" w:sz="8" w:color="0000EE"/>
            </w:tcBorders>
            <w:gridSpan w:val="23"/>
          </w:tcPr>
          <w:p>
            <w:pPr>
              <w:spacing w:after="0" w:line="189" w:lineRule="exact"/>
              <w:rPr>
                <w:rFonts w:ascii="Arial" w:cs="Arial" w:eastAsia="Arial" w:hAnsi="Arial"/>
                <w:sz w:val="17"/>
                <w:szCs w:val="17"/>
                <w:color w:val="0000EE"/>
                <w:w w:val="93"/>
              </w:rPr>
            </w:pPr>
            <w:hyperlink w:anchor="page53">
              <w:r>
                <w:rPr>
                  <w:rFonts w:ascii="Arial" w:cs="Arial" w:eastAsia="Arial" w:hAnsi="Arial"/>
                  <w:sz w:val="17"/>
                  <w:szCs w:val="17"/>
                  <w:color w:val="0000EE"/>
                  <w:w w:val="93"/>
                </w:rPr>
                <w:t>Management’s Discussion and Analysis of Financial Condition and Results of Operations</w:t>
              </w:r>
            </w:hyperlink>
          </w:p>
        </w:tc>
        <w:tc>
          <w:tcPr>
            <w:tcW w:w="2600" w:type="dxa"/>
            <w:vAlign w:val="bottom"/>
            <w:gridSpan w:val="4"/>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51</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7A.</w:t>
            </w:r>
          </w:p>
        </w:tc>
        <w:tc>
          <w:tcPr>
            <w:tcW w:w="8860" w:type="dxa"/>
            <w:vAlign w:val="bottom"/>
            <w:gridSpan w:val="27"/>
          </w:tcPr>
          <w:p>
            <w:pPr>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Quantitative and Qualitative Disclosures About Market Risk</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67</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8.</w:t>
            </w:r>
          </w:p>
        </w:tc>
        <w:tc>
          <w:tcPr>
            <w:tcW w:w="4220" w:type="dxa"/>
            <w:vAlign w:val="bottom"/>
            <w:tcBorders>
              <w:top w:val="single" w:sz="8" w:color="0000EE"/>
            </w:tcBorders>
            <w:gridSpan w:val="17"/>
          </w:tcPr>
          <w:p>
            <w:pPr>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Financial Statements and Supplementary Data</w:t>
              </w:r>
            </w:hyperlink>
          </w:p>
        </w:tc>
        <w:tc>
          <w:tcPr>
            <w:tcW w:w="4640" w:type="dxa"/>
            <w:vAlign w:val="bottom"/>
            <w:gridSpan w:val="10"/>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67</w:t>
            </w: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20" w:type="dxa"/>
            <w:vAlign w:val="bottom"/>
            <w:tcBorders>
              <w:bottom w:val="single" w:sz="8" w:color="0000EE"/>
            </w:tcBorders>
            <w:gridSpan w:val="22"/>
          </w:tcPr>
          <w:p>
            <w:pPr>
              <w:spacing w:after="0" w:line="189" w:lineRule="exact"/>
              <w:rPr>
                <w:rFonts w:ascii="Arial" w:cs="Arial" w:eastAsia="Arial" w:hAnsi="Arial"/>
                <w:sz w:val="17"/>
                <w:szCs w:val="17"/>
                <w:color w:val="0000EE"/>
                <w:w w:val="97"/>
              </w:rPr>
            </w:pPr>
            <w:hyperlink w:anchor="page82">
              <w:r>
                <w:rPr>
                  <w:rFonts w:ascii="Arial" w:cs="Arial" w:eastAsia="Arial" w:hAnsi="Arial"/>
                  <w:sz w:val="17"/>
                  <w:szCs w:val="17"/>
                  <w:color w:val="0000EE"/>
                  <w:w w:val="97"/>
                </w:rPr>
                <w:t>REPORT OF INDEPENDENT REGISTERED PUBLIC ACCOUNTING FIRM</w:t>
              </w:r>
            </w:hyperlink>
          </w:p>
        </w:tc>
        <w:tc>
          <w:tcPr>
            <w:tcW w:w="3240" w:type="dxa"/>
            <w:vAlign w:val="bottom"/>
            <w:gridSpan w:val="5"/>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80</w:t>
            </w: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Borders>
              <w:bottom w:val="single" w:sz="8" w:color="0000EE"/>
            </w:tcBorders>
            <w:gridSpan w:val="12"/>
          </w:tcPr>
          <w:p>
            <w:pPr>
              <w:spacing w:after="0" w:line="189" w:lineRule="exact"/>
              <w:rPr>
                <w:rFonts w:ascii="Arial" w:cs="Arial" w:eastAsia="Arial" w:hAnsi="Arial"/>
                <w:sz w:val="17"/>
                <w:szCs w:val="17"/>
                <w:color w:val="0000EE"/>
                <w:w w:val="98"/>
              </w:rPr>
            </w:pPr>
            <w:hyperlink w:anchor="page83">
              <w:r>
                <w:rPr>
                  <w:rFonts w:ascii="Arial" w:cs="Arial" w:eastAsia="Arial" w:hAnsi="Arial"/>
                  <w:sz w:val="17"/>
                  <w:szCs w:val="17"/>
                  <w:color w:val="0000EE"/>
                  <w:w w:val="98"/>
                </w:rPr>
                <w:t>CONSOLIDATED BALANCE SHEETS</w:t>
              </w:r>
            </w:hyperlink>
          </w:p>
        </w:tc>
        <w:tc>
          <w:tcPr>
            <w:tcW w:w="5980" w:type="dxa"/>
            <w:vAlign w:val="bottom"/>
            <w:gridSpan w:val="15"/>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81</w:t>
            </w: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60" w:type="dxa"/>
            <w:vAlign w:val="bottom"/>
            <w:gridSpan w:val="27"/>
          </w:tcPr>
          <w:p>
            <w:pPr>
              <w:spacing w:after="0" w:line="189" w:lineRule="exact"/>
              <w:rPr>
                <w:rFonts w:ascii="Arial" w:cs="Arial" w:eastAsia="Arial" w:hAnsi="Arial"/>
                <w:sz w:val="17"/>
                <w:szCs w:val="17"/>
                <w:color w:val="0000EE"/>
              </w:rPr>
            </w:pPr>
            <w:hyperlink w:anchor="page84">
              <w:r>
                <w:rPr>
                  <w:rFonts w:ascii="Arial" w:cs="Arial" w:eastAsia="Arial" w:hAnsi="Arial"/>
                  <w:sz w:val="17"/>
                  <w:szCs w:val="17"/>
                  <w:color w:val="0000EE"/>
                </w:rPr>
                <w:t>CONSOLIDATED STATEMENTS OF OPERATIONS</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82</w:t>
            </w: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60" w:type="dxa"/>
            <w:vAlign w:val="bottom"/>
            <w:gridSpan w:val="27"/>
          </w:tcPr>
          <w:p>
            <w:pPr>
              <w:spacing w:after="0" w:line="189" w:lineRule="exact"/>
              <w:rPr>
                <w:rFonts w:ascii="Arial" w:cs="Arial" w:eastAsia="Arial" w:hAnsi="Arial"/>
                <w:sz w:val="17"/>
                <w:szCs w:val="17"/>
                <w:color w:val="0000EE"/>
              </w:rPr>
            </w:pPr>
            <w:hyperlink w:anchor="page85">
              <w:r>
                <w:rPr>
                  <w:rFonts w:ascii="Arial" w:cs="Arial" w:eastAsia="Arial" w:hAnsi="Arial"/>
                  <w:sz w:val="17"/>
                  <w:szCs w:val="17"/>
                  <w:color w:val="0000EE"/>
                </w:rPr>
                <w:t>CONSOLIDATED STATEMENTS OF COMPREHENSIVE INCOME (LOSS)</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83</w:t>
            </w: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560" w:type="dxa"/>
            <w:vAlign w:val="bottom"/>
            <w:tcBorders>
              <w:top w:val="single" w:sz="8" w:color="0000EE"/>
            </w:tcBorders>
            <w:gridSpan w:val="21"/>
          </w:tcPr>
          <w:p>
            <w:pPr>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CONSOLIDATED STATEMENTS OF STOCKHOLDERS’ DEFICIT</w:t>
              </w:r>
            </w:hyperlink>
          </w:p>
        </w:tc>
        <w:tc>
          <w:tcPr>
            <w:tcW w:w="3300" w:type="dxa"/>
            <w:vAlign w:val="bottom"/>
            <w:gridSpan w:val="6"/>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84</w:t>
            </w: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20" w:type="dxa"/>
            <w:vAlign w:val="bottom"/>
            <w:tcBorders>
              <w:top w:val="single" w:sz="8" w:color="0000EE"/>
            </w:tcBorders>
            <w:gridSpan w:val="19"/>
          </w:tcPr>
          <w:p>
            <w:pPr>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CONSOLIDATED STATEMENTS OF CASH FLOWS</w:t>
              </w:r>
            </w:hyperlink>
          </w:p>
        </w:tc>
        <w:tc>
          <w:tcPr>
            <w:tcW w:w="3940" w:type="dxa"/>
            <w:vAlign w:val="bottom"/>
            <w:gridSpan w:val="8"/>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85</w:t>
            </w: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40" w:type="dxa"/>
            <w:vAlign w:val="bottom"/>
            <w:tcBorders>
              <w:bottom w:val="single" w:sz="8" w:color="0000EE"/>
            </w:tcBorders>
            <w:gridSpan w:val="18"/>
          </w:tcPr>
          <w:p>
            <w:pPr>
              <w:spacing w:after="0" w:line="189" w:lineRule="exact"/>
              <w:rPr>
                <w:rFonts w:ascii="Arial" w:cs="Arial" w:eastAsia="Arial" w:hAnsi="Arial"/>
                <w:sz w:val="17"/>
                <w:szCs w:val="17"/>
                <w:color w:val="0000EE"/>
                <w:w w:val="98"/>
              </w:rPr>
            </w:pPr>
            <w:hyperlink w:anchor="page89">
              <w:r>
                <w:rPr>
                  <w:rFonts w:ascii="Arial" w:cs="Arial" w:eastAsia="Arial" w:hAnsi="Arial"/>
                  <w:sz w:val="17"/>
                  <w:szCs w:val="17"/>
                  <w:color w:val="0000EE"/>
                  <w:w w:val="98"/>
                </w:rPr>
                <w:t>NOTES TO CONSOLIDATED FINANCIAL STATEMENTS</w:t>
              </w:r>
            </w:hyperlink>
          </w:p>
        </w:tc>
        <w:tc>
          <w:tcPr>
            <w:tcW w:w="4520" w:type="dxa"/>
            <w:vAlign w:val="bottom"/>
            <w:gridSpan w:val="9"/>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9.</w:t>
            </w:r>
          </w:p>
        </w:tc>
        <w:tc>
          <w:tcPr>
            <w:tcW w:w="8860" w:type="dxa"/>
            <w:vAlign w:val="bottom"/>
            <w:gridSpan w:val="27"/>
          </w:tcPr>
          <w:p>
            <w:pPr>
              <w:spacing w:after="0" w:line="189" w:lineRule="exact"/>
              <w:rPr>
                <w:rFonts w:ascii="Arial" w:cs="Arial" w:eastAsia="Arial" w:hAnsi="Arial"/>
                <w:sz w:val="17"/>
                <w:szCs w:val="17"/>
                <w:color w:val="0000EE"/>
              </w:rPr>
            </w:pPr>
            <w:hyperlink w:anchor="page69">
              <w:r>
                <w:rPr>
                  <w:rFonts w:ascii="Arial" w:cs="Arial" w:eastAsia="Arial" w:hAnsi="Arial"/>
                  <w:sz w:val="17"/>
                  <w:szCs w:val="17"/>
                  <w:color w:val="0000EE"/>
                </w:rPr>
                <w:t>Changes in and Disagreements With Accountants on Accounting and Financial Disclosure</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67</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9A.</w:t>
            </w:r>
          </w:p>
        </w:tc>
        <w:tc>
          <w:tcPr>
            <w:tcW w:w="1720" w:type="dxa"/>
            <w:vAlign w:val="bottom"/>
            <w:tcBorders>
              <w:top w:val="single" w:sz="8" w:color="0000EE"/>
              <w:bottom w:val="single" w:sz="8" w:color="0000EE"/>
            </w:tcBorders>
            <w:gridSpan w:val="7"/>
          </w:tcPr>
          <w:p>
            <w:pPr>
              <w:spacing w:after="0" w:line="189" w:lineRule="exact"/>
              <w:rPr>
                <w:rFonts w:ascii="Arial" w:cs="Arial" w:eastAsia="Arial" w:hAnsi="Arial"/>
                <w:sz w:val="17"/>
                <w:szCs w:val="17"/>
                <w:color w:val="0000EE"/>
                <w:w w:val="90"/>
              </w:rPr>
            </w:pPr>
            <w:hyperlink w:anchor="page70">
              <w:r>
                <w:rPr>
                  <w:rFonts w:ascii="Arial" w:cs="Arial" w:eastAsia="Arial" w:hAnsi="Arial"/>
                  <w:sz w:val="17"/>
                  <w:szCs w:val="17"/>
                  <w:color w:val="0000EE"/>
                  <w:w w:val="90"/>
                </w:rPr>
                <w:t>Controls and Procedures</w:t>
              </w:r>
            </w:hyperlink>
          </w:p>
        </w:tc>
        <w:tc>
          <w:tcPr>
            <w:tcW w:w="4580" w:type="dxa"/>
            <w:vAlign w:val="bottom"/>
            <w:tcBorders>
              <w:top w:val="single" w:sz="8" w:color="0000EE"/>
            </w:tcBorders>
            <w:gridSpan w:val="17"/>
          </w:tcPr>
          <w:p>
            <w:pPr>
              <w:spacing w:after="0"/>
              <w:rPr>
                <w:sz w:val="16"/>
                <w:szCs w:val="16"/>
                <w:color w:val="auto"/>
              </w:rPr>
            </w:pPr>
          </w:p>
        </w:tc>
        <w:tc>
          <w:tcPr>
            <w:tcW w:w="2560" w:type="dxa"/>
            <w:vAlign w:val="bottom"/>
            <w:gridSpan w:val="3"/>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68</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9B.</w:t>
            </w:r>
          </w:p>
        </w:tc>
        <w:tc>
          <w:tcPr>
            <w:tcW w:w="8860" w:type="dxa"/>
            <w:vAlign w:val="bottom"/>
            <w:gridSpan w:val="27"/>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Other Information</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r>
      <w:tr>
        <w:trPr>
          <w:trHeight w:val="321"/>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gridSpan w:val="14"/>
          </w:tcPr>
          <w:p>
            <w:pPr>
              <w:jc w:val="center"/>
              <w:ind w:right="3860"/>
              <w:spacing w:after="0"/>
              <w:rPr>
                <w:sz w:val="20"/>
                <w:szCs w:val="20"/>
                <w:color w:val="auto"/>
              </w:rPr>
            </w:pPr>
            <w:r>
              <w:rPr>
                <w:rFonts w:ascii="Arial" w:cs="Arial" w:eastAsia="Arial" w:hAnsi="Arial"/>
                <w:sz w:val="17"/>
                <w:szCs w:val="17"/>
                <w:b w:val="1"/>
                <w:bCs w:val="1"/>
                <w:color w:val="auto"/>
              </w:rPr>
              <w:t>PART III</w:t>
            </w:r>
          </w:p>
        </w:tc>
        <w:tc>
          <w:tcPr>
            <w:tcW w:w="940" w:type="dxa"/>
            <w:vAlign w:val="bottom"/>
          </w:tcPr>
          <w:p>
            <w:pPr>
              <w:spacing w:after="0"/>
              <w:rPr>
                <w:sz w:val="24"/>
                <w:szCs w:val="24"/>
                <w:color w:val="auto"/>
              </w:rPr>
            </w:pPr>
          </w:p>
        </w:tc>
      </w:tr>
      <w:tr>
        <w:trPr>
          <w:trHeight w:val="183"/>
        </w:trPr>
        <w:tc>
          <w:tcPr>
            <w:tcW w:w="1580" w:type="dxa"/>
            <w:vAlign w:val="bottom"/>
            <w:gridSpan w:val="3"/>
          </w:tcPr>
          <w:p>
            <w:pPr>
              <w:ind w:left="360"/>
              <w:spacing w:after="0" w:line="183" w:lineRule="exact"/>
              <w:rPr>
                <w:sz w:val="20"/>
                <w:szCs w:val="20"/>
                <w:color w:val="auto"/>
              </w:rPr>
            </w:pPr>
            <w:r>
              <w:rPr>
                <w:rFonts w:ascii="Arial" w:cs="Arial" w:eastAsia="Arial" w:hAnsi="Arial"/>
                <w:sz w:val="17"/>
                <w:szCs w:val="17"/>
                <w:color w:val="auto"/>
              </w:rPr>
              <w:t>Item 10.</w:t>
            </w:r>
          </w:p>
        </w:tc>
        <w:tc>
          <w:tcPr>
            <w:tcW w:w="8860" w:type="dxa"/>
            <w:vAlign w:val="bottom"/>
            <w:gridSpan w:val="27"/>
          </w:tcPr>
          <w:p>
            <w:pPr>
              <w:spacing w:after="0" w:line="183" w:lineRule="exact"/>
              <w:rPr>
                <w:rFonts w:ascii="Arial" w:cs="Arial" w:eastAsia="Arial" w:hAnsi="Arial"/>
                <w:sz w:val="17"/>
                <w:szCs w:val="17"/>
                <w:color w:val="0000EE"/>
              </w:rPr>
            </w:pPr>
            <w:hyperlink w:anchor="page73">
              <w:r>
                <w:rPr>
                  <w:rFonts w:ascii="Arial" w:cs="Arial" w:eastAsia="Arial" w:hAnsi="Arial"/>
                  <w:sz w:val="17"/>
                  <w:szCs w:val="17"/>
                  <w:color w:val="0000EE"/>
                </w:rPr>
                <w:t>Directors, Executive Officers and Corporate Governance</w:t>
              </w:r>
            </w:hyperlink>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72</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11.</w:t>
            </w:r>
          </w:p>
        </w:tc>
        <w:tc>
          <w:tcPr>
            <w:tcW w:w="3960" w:type="dxa"/>
            <w:vAlign w:val="bottom"/>
            <w:tcBorders>
              <w:top w:val="single" w:sz="8" w:color="0000EE"/>
            </w:tcBorders>
            <w:gridSpan w:val="16"/>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Executive Compensation</w:t>
              </w:r>
            </w:hyperlink>
          </w:p>
        </w:tc>
        <w:tc>
          <w:tcPr>
            <w:tcW w:w="4900" w:type="dxa"/>
            <w:vAlign w:val="bottom"/>
            <w:gridSpan w:val="11"/>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r>
      <w:tr>
        <w:trPr>
          <w:trHeight w:val="20"/>
        </w:trPr>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12.</w:t>
            </w:r>
          </w:p>
        </w:tc>
        <w:tc>
          <w:tcPr>
            <w:tcW w:w="8860" w:type="dxa"/>
            <w:vAlign w:val="bottom"/>
            <w:gridSpan w:val="27"/>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Security Ownership of Certain Beneficial Owners and Management and Related Stockholder Matters</w:t>
              </w:r>
            </w:hyperlink>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13.</w:t>
            </w:r>
          </w:p>
        </w:tc>
        <w:tc>
          <w:tcPr>
            <w:tcW w:w="706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Certain Relationships and Related Transactions, and Director Independence</w:t>
              </w:r>
            </w:hyperlink>
          </w:p>
        </w:tc>
        <w:tc>
          <w:tcPr>
            <w:tcW w:w="1800" w:type="dxa"/>
            <w:vAlign w:val="bottom"/>
            <w:gridSpan w:val="2"/>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r>
      <w:tr>
        <w:trPr>
          <w:trHeight w:val="190"/>
        </w:trPr>
        <w:tc>
          <w:tcPr>
            <w:tcW w:w="1580" w:type="dxa"/>
            <w:vAlign w:val="bottom"/>
            <w:gridSpan w:val="3"/>
          </w:tcPr>
          <w:p>
            <w:pPr>
              <w:ind w:left="360"/>
              <w:spacing w:after="0" w:line="189" w:lineRule="exact"/>
              <w:rPr>
                <w:sz w:val="20"/>
                <w:szCs w:val="20"/>
                <w:color w:val="auto"/>
              </w:rPr>
            </w:pPr>
            <w:r>
              <w:rPr>
                <w:rFonts w:ascii="Arial" w:cs="Arial" w:eastAsia="Arial" w:hAnsi="Arial"/>
                <w:sz w:val="17"/>
                <w:szCs w:val="17"/>
                <w:color w:val="auto"/>
              </w:rPr>
              <w:t>Item 14.</w:t>
            </w:r>
          </w:p>
        </w:tc>
        <w:tc>
          <w:tcPr>
            <w:tcW w:w="528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w:anchor="page73">
              <w:r>
                <w:rPr>
                  <w:rFonts w:ascii="Arial" w:cs="Arial" w:eastAsia="Arial" w:hAnsi="Arial"/>
                  <w:sz w:val="17"/>
                  <w:szCs w:val="17"/>
                  <w:color w:val="0000EE"/>
                </w:rPr>
                <w:t>Principal Accounting Fees and Services</w:t>
              </w:r>
            </w:hyperlink>
          </w:p>
        </w:tc>
        <w:tc>
          <w:tcPr>
            <w:tcW w:w="3580" w:type="dxa"/>
            <w:vAlign w:val="bottom"/>
            <w:gridSpan w:val="7"/>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r>
      <w:tr>
        <w:trPr>
          <w:trHeight w:val="321"/>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40" w:type="dxa"/>
            <w:vAlign w:val="bottom"/>
            <w:gridSpan w:val="14"/>
          </w:tcPr>
          <w:p>
            <w:pPr>
              <w:jc w:val="center"/>
              <w:ind w:right="3860"/>
              <w:spacing w:after="0"/>
              <w:rPr>
                <w:sz w:val="20"/>
                <w:szCs w:val="20"/>
                <w:color w:val="auto"/>
              </w:rPr>
            </w:pPr>
            <w:r>
              <w:rPr>
                <w:rFonts w:ascii="Arial" w:cs="Arial" w:eastAsia="Arial" w:hAnsi="Arial"/>
                <w:sz w:val="17"/>
                <w:szCs w:val="17"/>
                <w:b w:val="1"/>
                <w:bCs w:val="1"/>
                <w:color w:val="auto"/>
              </w:rPr>
              <w:t>PART IV</w:t>
            </w:r>
          </w:p>
        </w:tc>
        <w:tc>
          <w:tcPr>
            <w:tcW w:w="940" w:type="dxa"/>
            <w:vAlign w:val="bottom"/>
          </w:tcPr>
          <w:p>
            <w:pPr>
              <w:spacing w:after="0"/>
              <w:rPr>
                <w:sz w:val="24"/>
                <w:szCs w:val="24"/>
                <w:color w:val="auto"/>
              </w:rPr>
            </w:pPr>
          </w:p>
        </w:tc>
      </w:tr>
      <w:tr>
        <w:trPr>
          <w:trHeight w:val="183"/>
        </w:trPr>
        <w:tc>
          <w:tcPr>
            <w:tcW w:w="1580" w:type="dxa"/>
            <w:vAlign w:val="bottom"/>
            <w:gridSpan w:val="3"/>
          </w:tcPr>
          <w:p>
            <w:pPr>
              <w:ind w:left="360"/>
              <w:spacing w:after="0" w:line="183" w:lineRule="exact"/>
              <w:rPr>
                <w:sz w:val="20"/>
                <w:szCs w:val="20"/>
                <w:color w:val="auto"/>
              </w:rPr>
            </w:pPr>
            <w:r>
              <w:rPr>
                <w:rFonts w:ascii="Arial" w:cs="Arial" w:eastAsia="Arial" w:hAnsi="Arial"/>
                <w:sz w:val="17"/>
                <w:szCs w:val="17"/>
                <w:color w:val="auto"/>
              </w:rPr>
              <w:t>Item 15.</w:t>
            </w:r>
          </w:p>
        </w:tc>
        <w:tc>
          <w:tcPr>
            <w:tcW w:w="8860" w:type="dxa"/>
            <w:vAlign w:val="bottom"/>
            <w:gridSpan w:val="27"/>
          </w:tcPr>
          <w:p>
            <w:pPr>
              <w:spacing w:after="0" w:line="183" w:lineRule="exact"/>
              <w:rPr>
                <w:rFonts w:ascii="Arial" w:cs="Arial" w:eastAsia="Arial" w:hAnsi="Arial"/>
                <w:sz w:val="17"/>
                <w:szCs w:val="17"/>
                <w:color w:val="0000EE"/>
              </w:rPr>
            </w:pPr>
            <w:hyperlink w:anchor="page74">
              <w:r>
                <w:rPr>
                  <w:rFonts w:ascii="Arial" w:cs="Arial" w:eastAsia="Arial" w:hAnsi="Arial"/>
                  <w:sz w:val="17"/>
                  <w:szCs w:val="17"/>
                  <w:color w:val="0000EE"/>
                </w:rPr>
                <w:t>Exhibits. Financial Statement Schedules</w:t>
              </w:r>
            </w:hyperlink>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73</w:t>
            </w:r>
          </w:p>
        </w:tc>
      </w:tr>
      <w:tr>
        <w:trPr>
          <w:trHeight w:val="190"/>
        </w:trPr>
        <w:tc>
          <w:tcPr>
            <w:tcW w:w="1580" w:type="dxa"/>
            <w:vAlign w:val="bottom"/>
            <w:gridSpan w:val="3"/>
          </w:tcPr>
          <w:p>
            <w:pPr>
              <w:spacing w:after="0" w:line="189" w:lineRule="exact"/>
              <w:rPr>
                <w:rFonts w:ascii="Arial" w:cs="Arial" w:eastAsia="Arial" w:hAnsi="Arial"/>
                <w:sz w:val="17"/>
                <w:szCs w:val="17"/>
                <w:color w:val="0000EE"/>
              </w:rPr>
            </w:pPr>
            <w:hyperlink w:anchor="page79">
              <w:r>
                <w:rPr>
                  <w:rFonts w:ascii="Arial" w:cs="Arial" w:eastAsia="Arial" w:hAnsi="Arial"/>
                  <w:sz w:val="17"/>
                  <w:szCs w:val="17"/>
                  <w:color w:val="0000EE"/>
                </w:rPr>
                <w:t>Signatures</w:t>
              </w:r>
            </w:hyperlink>
          </w:p>
        </w:tc>
        <w:tc>
          <w:tcPr>
            <w:tcW w:w="6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78</w:t>
            </w:r>
          </w:p>
        </w:tc>
      </w:tr>
      <w:tr>
        <w:trPr>
          <w:trHeight w:val="20"/>
        </w:trPr>
        <w:tc>
          <w:tcPr>
            <w:tcW w:w="7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80"/>
          </w:cols>
          <w:pgMar w:left="240" w:top="442" w:right="27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These statements may include, but are not limited to, statements regarding: our ability to successfully market, commercialize and achieve market acceptance for Afrezza or any other product candidates or therapies that we may develop; our ability to manufacture sufficient quantities of Afrezza and obtain insulin supply as needed; our ability to successfully commercialize our Technosphere drug delivery platform; our estimates for future performance; our estimates regarding anticipated operating losses, future revenues, capital requirements and our needs for additional financing; the timing and amount of our future recognition of deferred product sales from collaboration, costs of revenue from collaboration and income from collaboration; the progress or success of our research, development and clinical programs, including the application for and receipt of regulatory clearances and approvals; our ability to protect our intellectual property and operate our business without infringing upon the intellectual property rights of others; and scientific studies and the conclusions we draw from them.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Except as required by law, we undertake no obligation to publicly update or revise any forward-looking statements, whether as a result of new information, future events or otherwise.</w:t>
      </w:r>
    </w:p>
    <w:p>
      <w:pPr>
        <w:spacing w:after="0" w:line="373"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Afrezza</w:t>
      </w:r>
      <w:r>
        <w:rPr>
          <w:rFonts w:ascii="Arial" w:cs="Arial" w:eastAsia="Arial" w:hAnsi="Arial"/>
          <w:sz w:val="14"/>
          <w:szCs w:val="14"/>
          <w:color w:val="auto"/>
        </w:rPr>
        <w:t>®</w:t>
      </w:r>
      <w:r>
        <w:rPr>
          <w:rFonts w:ascii="Arial" w:cs="Arial" w:eastAsia="Arial" w:hAnsi="Arial"/>
          <w:sz w:val="17"/>
          <w:szCs w:val="17"/>
          <w:color w:val="auto"/>
        </w:rPr>
        <w:t>, MedTone</w:t>
      </w:r>
      <w:r>
        <w:rPr>
          <w:rFonts w:ascii="Arial" w:cs="Arial" w:eastAsia="Arial" w:hAnsi="Arial"/>
          <w:sz w:val="14"/>
          <w:szCs w:val="14"/>
          <w:color w:val="auto"/>
        </w:rPr>
        <w:t>®</w:t>
      </w:r>
      <w:r>
        <w:rPr>
          <w:rFonts w:ascii="Arial" w:cs="Arial" w:eastAsia="Arial" w:hAnsi="Arial"/>
          <w:sz w:val="17"/>
          <w:szCs w:val="17"/>
          <w:color w:val="auto"/>
        </w:rPr>
        <w:t>, Dreamboat</w:t>
      </w:r>
      <w:r>
        <w:rPr>
          <w:rFonts w:ascii="Arial" w:cs="Arial" w:eastAsia="Arial" w:hAnsi="Arial"/>
          <w:sz w:val="14"/>
          <w:szCs w:val="14"/>
          <w:color w:val="auto"/>
        </w:rPr>
        <w:t>®</w:t>
      </w:r>
      <w:r>
        <w:rPr>
          <w:rFonts w:ascii="Arial" w:cs="Arial" w:eastAsia="Arial" w:hAnsi="Arial"/>
          <w:sz w:val="17"/>
          <w:szCs w:val="17"/>
          <w:color w:val="auto"/>
        </w:rPr>
        <w:t xml:space="preserve"> and Technosphere</w:t>
      </w:r>
      <w:r>
        <w:rPr>
          <w:rFonts w:ascii="Arial" w:cs="Arial" w:eastAsia="Arial" w:hAnsi="Arial"/>
          <w:sz w:val="14"/>
          <w:szCs w:val="14"/>
          <w:color w:val="auto"/>
        </w:rPr>
        <w:t>®</w:t>
      </w:r>
      <w:r>
        <w:rPr>
          <w:rFonts w:ascii="Arial" w:cs="Arial" w:eastAsia="Arial" w:hAnsi="Arial"/>
          <w:sz w:val="17"/>
          <w:szCs w:val="17"/>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context requires otherwise, the words “MannKind,” “we,” “Company,” “us” and “our” refer to MannKind Corporation and its subsidiaries.</w:t>
      </w:r>
    </w:p>
    <w:p>
      <w:pPr>
        <w:spacing w:after="0" w:line="23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MannKind Corporation is a biopharmaceutical company focused primarily on the discovery and development of therapeutic products for diseases such as diabetes. Our only approved product, Afrezza, is a rapid-acting inhaled insulin that was approved by the U.S. Food and Drug Administration (the “FDA”) on June 27, 2014 to improve glycemic control in adult patients with diabetes. Afrezza became available by prescription in United States retail pharmacies in February 2015. According to the Centers for Disease Control and Prevention, approximately 29.1 million people in the United States had diabetes in 2012. Globally, the International Diabetes Federation has estimated that approximately 415.0 million people had diabetes in 2015 and approximately 642.0 million people will have diabetes by 2040.</w:t>
      </w:r>
    </w:p>
    <w:p>
      <w:pPr>
        <w:spacing w:after="0" w:line="181" w:lineRule="exact"/>
        <w:rPr>
          <w:sz w:val="20"/>
          <w:szCs w:val="20"/>
          <w:color w:val="auto"/>
        </w:rPr>
      </w:pPr>
    </w:p>
    <w:p>
      <w:pPr>
        <w:jc w:val="both"/>
        <w:ind w:right="180" w:firstLine="457"/>
        <w:spacing w:after="0" w:line="297" w:lineRule="auto"/>
        <w:rPr>
          <w:sz w:val="20"/>
          <w:szCs w:val="20"/>
          <w:color w:val="auto"/>
        </w:rPr>
      </w:pPr>
      <w:r>
        <w:rPr>
          <w:rFonts w:ascii="Arial" w:cs="Arial" w:eastAsia="Arial" w:hAnsi="Arial"/>
          <w:sz w:val="16"/>
          <w:szCs w:val="16"/>
          <w:color w:val="auto"/>
        </w:rPr>
        <w:t>Afrezza is a rapid-acting, inhaled insulin used to control high blood sugar in adults with type 1 and type 2 diabetes. The product consists of a dry powder formulation of human insulin delivered from a small and portable inhaler. Administered at the beginning of a meal, Afrezza dissolves rapidly upon inhalation to the lung and delivers insulin quickly to the bloodstream. Peak insulin levels are achieved within 12 to 15 minutes of administration.</w:t>
      </w:r>
    </w:p>
    <w:p>
      <w:pPr>
        <w:spacing w:after="0" w:line="155"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On August 11, 2014, we entered into a license and collaboration agreement (the “Sanofi License Agreement”) with Sanofi-Aventis Deutschland GmbH (which subsequently assigned its rights and obligations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60"/>
          </w:cols>
          <w:pgMar w:left="240" w:top="449" w:right="2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color w:val="auto"/>
        </w:rPr>
        <w:t>under the agreement to Sanofi-Aventis U.S. LLC (“Sanofi”)), pursuant to which Sanofi was responsible for global commercial, regulatory and development activities for Afrezza.</w:t>
      </w:r>
    </w:p>
    <w:p>
      <w:pPr>
        <w:spacing w:after="0" w:line="15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On January 4, 2016, we received written notification from Sanofi of its election to terminate in its entirety the Sanofi License Agreement. The effective date of termination was April 4, 2016, which was when we assumed responsibility for worldwide development and commercialization of Afrezza. Under the terms of a transition agreement, Sanofi continued to fulfill orders for Afrezza in the United States until we began distributing MannKind-branded Afrezza product to major wholesalers in late July 2016. We began recognizing commercial product sales revenue when MannKind-branded Afrezza was dispensed from pharmacies to patients in August 2016.</w:t>
      </w:r>
    </w:p>
    <w:p>
      <w:pPr>
        <w:spacing w:after="0" w:line="178"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On November 9, 2016, we entered into a settlement agreement with Sanofi (the “Settlement Agreement”). Under the terms of the Settlement Agreement, the promissory note (the “Sanofi Loan Facility”) between us and Aventisub LLC (“Aventisub”), a Sanofi affiliate, was terminated, with Aventisub agreeing to forgive the full outstanding loan balance of $72.0 million, which includes $0.5 million in the previously uncharged costs. Sanofi also agreed to purchase $10.2 million of insulin from us in December 2016 under an existing insulin put option as well as make a cash payment of $30.6 million to us in early January 2017 as acceleration and in replacement of all other payments that Sanofi would otherwise have been required to make in the future pursuant to the insulin put option, without us being required to deliver any insulin for such payment. We were also relieved of our obligation to pay Sanofi $0.5 million in previously uncharged costs pursuant to the Sanofi License Agreement. We and Sanofi also agreed to a general release of potential claims against each other. As of the date of this filing, we have received $30.6 million and $10.2 million related to this agreement.</w:t>
      </w:r>
    </w:p>
    <w:p>
      <w:pPr>
        <w:spacing w:after="0" w:line="185" w:lineRule="exact"/>
        <w:rPr>
          <w:sz w:val="20"/>
          <w:szCs w:val="20"/>
          <w:color w:val="auto"/>
        </w:rPr>
      </w:pPr>
    </w:p>
    <w:p>
      <w:pPr>
        <w:ind w:right="200" w:firstLine="457"/>
        <w:spacing w:after="0" w:line="283" w:lineRule="auto"/>
        <w:rPr>
          <w:sz w:val="20"/>
          <w:szCs w:val="20"/>
          <w:color w:val="auto"/>
        </w:rPr>
      </w:pPr>
      <w:r>
        <w:rPr>
          <w:rFonts w:ascii="Arial" w:cs="Arial" w:eastAsia="Arial" w:hAnsi="Arial"/>
          <w:sz w:val="16"/>
          <w:szCs w:val="16"/>
          <w:color w:val="auto"/>
        </w:rPr>
        <w:t>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sales force, which included some of the sales representatives that previously were employed by the contract sales organization. We intend to continue the commercialization of Afrezza in the United States through our internal commercial organization. Our current strategy for the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part of the approval of Afrezza, the FDA required us to conduct certain post-marketing studies, including:</w:t>
      </w:r>
    </w:p>
    <w:p>
      <w:pPr>
        <w:spacing w:after="0" w:line="132" w:lineRule="exact"/>
        <w:rPr>
          <w:sz w:val="20"/>
          <w:szCs w:val="20"/>
          <w:color w:val="auto"/>
        </w:rPr>
      </w:pPr>
    </w:p>
    <w:p>
      <w:pPr>
        <w:ind w:left="900" w:right="160" w:hanging="332"/>
        <w:spacing w:after="0" w:line="325"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An open-label PK and multiple-dose safety and tolerability dose-titration trial of Afrezza in pediatric patients ages 4 to 17 years with type 1 diabetes followed by a prospective, open-label, randomized, controlled trial comparing the efficacy and safety of prandial Afrezza to prandial subcutaneous insulin as part used in combination with subcutaneous basal insulin in pediatric patients 4 to 17 years old with type 1 or type 2 diabetes; and</w:t>
      </w:r>
    </w:p>
    <w:p>
      <w:pPr>
        <w:spacing w:after="0" w:line="45" w:lineRule="exact"/>
        <w:rPr>
          <w:rFonts w:ascii="Arial" w:cs="Arial" w:eastAsia="Arial" w:hAnsi="Arial"/>
          <w:sz w:val="15"/>
          <w:szCs w:val="15"/>
          <w:color w:val="auto"/>
        </w:rPr>
      </w:pPr>
    </w:p>
    <w:p>
      <w:pPr>
        <w:ind w:left="900" w:right="260" w:hanging="332"/>
        <w:spacing w:after="0" w:line="28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five-year, randomized, controlled trial in 8,000-10,000 patients with type 2 diabetes to assess the potential serious risk of pulmonary malignancy with Afrezza use.</w:t>
      </w:r>
    </w:p>
    <w:p>
      <w:pPr>
        <w:spacing w:after="0" w:line="15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obligation to complete the pediatric study and to conduct the five-year pulmonary safety study reverted to us when the NDA for Afrezza was transferred back to us in connection with the termination of the Sanofi License Agreement. In addition, we plan to conduct other clinical studies of Afrezza, including dose optimization studies in type 1 and type 2 patients and a study of the time that Afrezza patients remain within a desirable glycemic range as determined by continuous glucose monitoring.</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w:t>
      </w:r>
    </w:p>
    <w:p>
      <w:pPr>
        <w:spacing w:after="0" w:line="125" w:lineRule="exact"/>
        <w:rPr>
          <w:sz w:val="20"/>
          <w:szCs w:val="20"/>
          <w:color w:val="auto"/>
        </w:rPr>
      </w:pPr>
    </w:p>
    <w:p>
      <w:pPr>
        <w:ind w:right="400" w:firstLine="457"/>
        <w:spacing w:after="0" w:line="289" w:lineRule="auto"/>
        <w:rPr>
          <w:sz w:val="20"/>
          <w:szCs w:val="20"/>
          <w:color w:val="auto"/>
        </w:rPr>
      </w:pPr>
      <w:r>
        <w:rPr>
          <w:rFonts w:ascii="Arial" w:cs="Arial" w:eastAsia="Arial" w:hAnsi="Arial"/>
          <w:sz w:val="17"/>
          <w:szCs w:val="17"/>
          <w:color w:val="auto"/>
        </w:rPr>
        <w:t>We manufacture Afrezza in our Danbury, Connecticut facility, where we formulate the Afrezza inhalation powder, fill it into plastic cartridges and then blister package the cartridges and seal the blister cards inside a foil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49" w:right="2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overwrap. These overwraps are then packaged into cartons along with inhalers and printed material by a third-party packager. The cartridges and inhalers are manufactured for us by a third-party plastic-molding company; the cartridges are delivered to our Connecticut facility whereas the inhalers are shipped directly to the packaging contractor.</w:t>
      </w:r>
    </w:p>
    <w:p>
      <w:pPr>
        <w:spacing w:after="0" w:line="171"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The quality management systems of our Connecticut facility were certified to be in conformance with the ISO 13485 and ISO 9001 standards. Our facility has been inspected twice by the FDA, once for a pre-approval inspection in the fall of 2009 and once for a regular inspection in May 2013. The FDA is expected to conduct additional inspections of our facility.</w:t>
      </w:r>
    </w:p>
    <w:p>
      <w:pPr>
        <w:spacing w:after="0" w:line="171"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We believe that our Connecticut facility has enough capacity to satisfy the current commercial demand for Afrezza. In addition, the facility includes expansion space to accommodate additional filling lines and other equipment, allowing production capacity to be increased based on the demand for Afrezza over the next several years.</w:t>
      </w:r>
    </w:p>
    <w:p>
      <w:pPr>
        <w:spacing w:after="0" w:line="171"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Currently, the only approved source of insulin for Afrezza is manufactured by Amphastar France Pharmaceuticals S.A.S. (“Amphastar”). In April 2014, Amphastar acquired a manufacturing facility from N.V. Organon, a subsidiary of Merck &amp; Co., Inc., where we had previously obtained the insulin that we use to make Afrezza. On July 31, 2014, we entered into a supply agreement with Amphastar (the “Insulin Supply Agreement”), pursuant to which we agreed to purchase certain annual minimum quantities of insulin for calendar years 2015 through 2019 for an aggregate total purchase price of approximately €120.1 million, of which €93.0 million remained unpurchased as of December 31, 2016. On November 9, 2016, we amended the contract with Amphastar to extend the term over which we are required to purchase insulin, by four additional years, without reducing the total amount of insulin we will purchase. Unless earlier terminated, the term of the Insulin Supply Agreement now expires on December 31, 2023 and can be renewed for additional, successive two year terms upon 12 months written notice given prior to the end of the initial term or any additional two year term. We and Amphastar each have normal and customary termination rights, including termination for material breach that is not cured within a specific time frame or in the event of liquidation, bankruptcy or insolvency of the other party. In addition, we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us to pay the full amount of all unpaid purchase commitments due over the initial term within 60 calendar days of the effective date of such termination.</w:t>
      </w:r>
    </w:p>
    <w:p>
      <w:pPr>
        <w:spacing w:after="0" w:line="173" w:lineRule="exact"/>
        <w:rPr>
          <w:sz w:val="20"/>
          <w:szCs w:val="20"/>
          <w:color w:val="auto"/>
        </w:rPr>
      </w:pPr>
    </w:p>
    <w:p>
      <w:pPr>
        <w:ind w:right="320" w:firstLine="457"/>
        <w:spacing w:after="0" w:line="273" w:lineRule="auto"/>
        <w:rPr>
          <w:sz w:val="20"/>
          <w:szCs w:val="20"/>
          <w:color w:val="auto"/>
        </w:rPr>
      </w:pPr>
      <w:r>
        <w:rPr>
          <w:rFonts w:ascii="Arial" w:cs="Arial" w:eastAsia="Arial" w:hAnsi="Arial"/>
          <w:sz w:val="17"/>
          <w:szCs w:val="17"/>
          <w:color w:val="auto"/>
        </w:rPr>
        <w:t>Currently, we purchase the raw material for our proprietary excipient, FDKP (fumaryl diketopiperazine), which is the primary component of our Technosphere technology platform, from a major chemical manufacturer with facilities in Europe and North America. However, we also have the capability to manufacture FDKP in our Connecticut facility.</w:t>
      </w:r>
    </w:p>
    <w:p>
      <w:pPr>
        <w:spacing w:after="0" w:line="171"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We have a supply agreement with the contract manufacturer that produces our inhaler and the corresponding cartridges. We expect to be able to qualify an additional vendor of plastic-molding contract manufacturing services, if warranted by demand.</w:t>
      </w:r>
    </w:p>
    <w:p>
      <w:pPr>
        <w:spacing w:after="0" w:line="158"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We also have an agreement with the contractor that performs the final packaging of Afrezza overwraps, inhalers and printed material into patient kits. We expect to be able to qualify an additional vendor of packaging services, if warranted by demand.</w:t>
      </w:r>
    </w:p>
    <w:p>
      <w:pPr>
        <w:spacing w:after="0" w:line="158" w:lineRule="exact"/>
        <w:rPr>
          <w:sz w:val="20"/>
          <w:szCs w:val="20"/>
          <w:color w:val="auto"/>
        </w:rPr>
      </w:pPr>
    </w:p>
    <w:p>
      <w:pPr>
        <w:ind w:right="500" w:firstLine="457"/>
        <w:spacing w:after="0" w:line="289" w:lineRule="auto"/>
        <w:rPr>
          <w:sz w:val="20"/>
          <w:szCs w:val="20"/>
          <w:color w:val="auto"/>
        </w:rPr>
      </w:pPr>
      <w:r>
        <w:rPr>
          <w:rFonts w:ascii="Arial" w:cs="Arial" w:eastAsia="Arial" w:hAnsi="Arial"/>
          <w:sz w:val="17"/>
          <w:szCs w:val="17"/>
          <w:color w:val="auto"/>
        </w:rPr>
        <w:t>Our third-party suppliers are subject to extensive governmental regulation. We rely on our suppliers to comply with relevant regulatory requirements, including compliance with Current Good Manufacturing Practices (“CGMP’s”).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449" w:right="2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Technosphere Formulation Technology</w:t>
      </w:r>
    </w:p>
    <w:p>
      <w:pPr>
        <w:spacing w:after="0" w:line="125"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Afrezza utilizes our proprietary Technosphere formulation technology; however, the application of this technology is not limited to insulin delivery. We believe it represents a versatile drug delivery platform that may allow the oral inhalation of a wide range of therapeutics. We have successfully prepared Technosphere formulations of anionic and cationic drugs, hydrophobic and hydrophilic drugs, proteins, peptides and small molecules. Technosphere powders are based on our proprietary excipient, FDKP, which is a pH-sensitive organic molecule that self-assembles into small particles under acidic conditions. Certain drugs, such as insulin, can be loaded onto these particles by combining a solution of the drug with a suspension of Technosphere material, which is then dried to powder form. The resulting powder has a consistent and narrow range of particle sizes with good aerodynamic properties that enable efficient delivery deep into the lungs. Technosphere powders dissolve extremely fast after inhalation when the particles contact the moist lung surface with its neutral pH, releasing the drug molecules to diffuse across a thin layer of cells into the arterial circulation, bypassing the liver to provide excellent systemic exposure.</w:t>
      </w:r>
    </w:p>
    <w:p>
      <w:pPr>
        <w:spacing w:after="0" w:line="16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have also created an innovative line of breath-powered, dry powder inhalers. Our inhalers are easy to use, cost-effective and can be produced in both a reusable (chronic treatment) and a single-use (acute treatment) format. Both the reusable and single use inhaler formats use the same internal air-flow design. Being breath-powered, our inhalers require only the patient’s inhalation effort to deliver the powder. To administer the inhalation powder, a patient loads a cartridge into our inhaler and inhales through the mouthpiece. Upon inhalation, the dry powder is lifted out of the cartridge and broken (or de-agglomerated) into small particles. The inhalers are engineered to produce an aggressive airstream to de-agglomerate the powder while keeping the powder moving slowly. This slow-moving powder effectively navigates the patient’s airways for delivery into the lung with minimal deposition at the back of the throat. Our inhalers show very little change in performance over a wide range of inhalation efforts and produce high bioavailability. In a handling study, pediatric subjects as young as four years old were readily able to effectively use the inhaler.</w:t>
      </w:r>
    </w:p>
    <w:p>
      <w:pPr>
        <w:spacing w:after="0" w:line="18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To aid in the development of our oral inhalation products, we have created a number of innovative development tools and techniques. For example, our BluHale technology is a novel inhalation profiling tool that uses miniature sensors to assess the drug delivery process at the level of an individual inhaler. This tool provides real-time insight into patient usage, device system performance and pharmacokinetic effects. We can combine this tool with other development tools, such as patient inhalation simulators and anatomically correct airway models, in order to integrate inhaler performance with formulation development right from the beginning of the development program. The result is a powder/inhaler combination product customized to the target patient population from the first clinical study.</w:t>
      </w:r>
    </w:p>
    <w:p>
      <w:pPr>
        <w:spacing w:after="0" w:line="181" w:lineRule="exact"/>
        <w:rPr>
          <w:sz w:val="20"/>
          <w:szCs w:val="20"/>
          <w:color w:val="auto"/>
        </w:rPr>
      </w:pPr>
    </w:p>
    <w:p>
      <w:pPr>
        <w:ind w:right="80" w:firstLine="457"/>
        <w:spacing w:after="0" w:line="314" w:lineRule="auto"/>
        <w:rPr>
          <w:sz w:val="20"/>
          <w:szCs w:val="20"/>
          <w:color w:val="auto"/>
        </w:rPr>
      </w:pPr>
      <w:r>
        <w:rPr>
          <w:rFonts w:ascii="Arial" w:cs="Arial" w:eastAsia="Arial" w:hAnsi="Arial"/>
          <w:sz w:val="15"/>
          <w:szCs w:val="15"/>
          <w:color w:val="auto"/>
        </w:rPr>
        <w:t>As one example of an additional application of our formulation and delivery technologies, we entered into a collaboration and license agreement with Receptor Life Sciences (“Receptor”) in January 2016, pursuant to which we performed initial formulation studies on compounds identified by Receptor that treat conditions such as chronic pain, neurologic diseases and inflammatory disorders. Following the successful completion of these formulation studies, Receptor exercised its option to acquire an exclusive license to develop, manufacture and commercialize inhaled formulations of these compounds utilizing our technology.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are the key elements of our strategy:</w:t>
      </w:r>
    </w:p>
    <w:p>
      <w:pPr>
        <w:spacing w:after="0" w:line="119"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i w:val="1"/>
          <w:iCs w:val="1"/>
          <w:color w:val="auto"/>
        </w:rPr>
        <w:t xml:space="preserve">Commercialization and development of Afrezza. </w:t>
      </w:r>
      <w:r>
        <w:rPr>
          <w:rFonts w:ascii="Arial" w:cs="Arial" w:eastAsia="Arial" w:hAnsi="Arial"/>
          <w:sz w:val="17"/>
          <w:szCs w:val="17"/>
          <w:color w:val="auto"/>
        </w:rPr>
        <w:t>Our primary focus is the commercial success of Afrezza. Over the course of the last year,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transformed from a manufacturing-based company into an integrated company with new capabilities in marketing, sales, managed care and market access. During the second half of 2016, we undertook a number of initiatives, such as launching a new marketing campaign, expanding the patient assistance program, creating a robust speakers program, introducing new product packages that enhance dosing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49" w:right="25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flexibility and securing improved insurance coverage, all of which are expected to increase the promotional responsiveness of Afrezza. Our current priority is the commercial opportunity for Afrezza in the United States; however, in the future we also intend to seek regional partnerships for the development and commercialization of Afrezza in foreign jurisdictions where there are appropriate commercial opportunities.</w:t>
      </w:r>
    </w:p>
    <w:p>
      <w:pPr>
        <w:spacing w:after="0" w:line="171" w:lineRule="exact"/>
        <w:rPr>
          <w:sz w:val="20"/>
          <w:szCs w:val="20"/>
          <w:color w:val="auto"/>
        </w:rPr>
      </w:pPr>
    </w:p>
    <w:p>
      <w:pPr>
        <w:ind w:right="20" w:firstLine="457"/>
        <w:spacing w:after="0" w:line="314" w:lineRule="auto"/>
        <w:rPr>
          <w:sz w:val="20"/>
          <w:szCs w:val="20"/>
          <w:color w:val="auto"/>
        </w:rPr>
      </w:pPr>
      <w:r>
        <w:rPr>
          <w:rFonts w:ascii="Arial" w:cs="Arial" w:eastAsia="Arial" w:hAnsi="Arial"/>
          <w:sz w:val="15"/>
          <w:szCs w:val="15"/>
          <w:i w:val="1"/>
          <w:iCs w:val="1"/>
          <w:color w:val="auto"/>
        </w:rPr>
        <w:t xml:space="preserve">Capitalize on our proprietary Technosphere and inhaler technology for the delivery of active pharmaceutical ingredients. </w:t>
      </w:r>
      <w:r>
        <w:rPr>
          <w:rFonts w:ascii="Arial" w:cs="Arial" w:eastAsia="Arial" w:hAnsi="Arial"/>
          <w:sz w:val="15"/>
          <w:szCs w:val="15"/>
          <w:color w:val="auto"/>
        </w:rPr>
        <w:t>We believe that Technosphere</w:t>
      </w:r>
      <w:r>
        <w:rPr>
          <w:rFonts w:ascii="Arial" w:cs="Arial" w:eastAsia="Arial" w:hAnsi="Arial"/>
          <w:sz w:val="15"/>
          <w:szCs w:val="15"/>
          <w:i w:val="1"/>
          <w:iCs w:val="1"/>
          <w:color w:val="auto"/>
        </w:rPr>
        <w:t xml:space="preserve"> </w:t>
      </w:r>
      <w:r>
        <w:rPr>
          <w:rFonts w:ascii="Arial" w:cs="Arial" w:eastAsia="Arial" w:hAnsi="Arial"/>
          <w:sz w:val="15"/>
          <w:szCs w:val="15"/>
          <w:color w:val="auto"/>
        </w:rPr>
        <w:t>formulations of active pharmaceutical ingredients have the potential to demonstrate clinical advantages over existing therapeutic options in a variety of therapeutic areas. In addition to our collaboration with Receptor, we are actively exploring other opportunities to out-license our proprietary Technosphere formulation and device technologies. We are also evaluating several product opportunities that we would consider developing as internally and/or externally funded efforts.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5"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Our success will depend in large measure on our ability to continue enforcing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w:t>
      </w:r>
    </w:p>
    <w:p>
      <w:pPr>
        <w:spacing w:after="0" w:line="178"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Our Technosphere drug delivery platform, including Afrezza, enjoys patent protection relating to the particles, their manufacture, and their use for pulmonary delivery of drugs. We have additional patent coverage relating to dry powder formulations and the treatment of diabetes using Afrezza. We have been granted patent coverage for the commercial version of our inhaler and cartridges. We have additional pending patent applications, and expect to file further applications, relating to the drug delivery platform, methods of manufacture, the Afrezza product and its use, and other Technosphere-based products, inhalers and inhaler cartridges. Overall, Afrezza is protected by over 425 issued patents in the United States and selected jurisdictions around the world and we also have over 250 applications pending that may provide additional protection if and when they are allowed. These include composition and inhaler and cartridge patents providing protection for Afrezza with various expiration dates, the longer-lived of which will not expire until 2032. In addition, we have certain method of treatment claims that have terms extending into 2031.</w:t>
      </w:r>
    </w:p>
    <w:p>
      <w:pPr>
        <w:spacing w:after="0" w:line="185"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17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449" w:right="2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inventor of the subject matter covered by our pending patent applications or that we were the first to file patent applications on such inventions.</w:t>
      </w:r>
    </w:p>
    <w:p>
      <w:pPr>
        <w:spacing w:after="0" w:line="224"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Although we own a number of domestic and foreign patents and patent applications relating to Afrezza and our oral inhalation technologies, we have identified certain third-party patents having claims that may trigger an allegation of infringement by virtue of the commercial manufacture and sale of Afrezza. We do not believe that Afrezza infringes on any patents owned by third parties. However, if a court were to determine that the manufacture or sale of Afrezza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(“USPTO”) to determine priority of invention. We may also be required to participate in interference proceedings involving our issued patents. 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167"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ind w:right="280" w:firstLine="457"/>
        <w:spacing w:after="0" w:line="265" w:lineRule="auto"/>
        <w:rPr>
          <w:sz w:val="20"/>
          <w:szCs w:val="20"/>
          <w:color w:val="auto"/>
        </w:rPr>
      </w:pPr>
      <w:r>
        <w:rPr>
          <w:rFonts w:ascii="Arial" w:cs="Arial" w:eastAsia="Arial" w:hAnsi="Arial"/>
          <w:sz w:val="17"/>
          <w:szCs w:val="17"/>
          <w:color w:val="auto"/>
        </w:rPr>
        <w:t>The pharmaceutical and biotechnology industries are highly competitive and characterized by rapidly evolving technology and intense research and development efforts. We compete with companies, including major global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face competition based on, among other things, product efficacy and safety, the timing and scope of regulatory approvals, product ease of use and price.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Diabetes Treatments</w:t>
      </w:r>
    </w:p>
    <w:p>
      <w:pPr>
        <w:spacing w:after="0" w:line="119" w:lineRule="exact"/>
        <w:rPr>
          <w:sz w:val="20"/>
          <w:szCs w:val="20"/>
          <w:color w:val="auto"/>
        </w:rPr>
      </w:pPr>
    </w:p>
    <w:p>
      <w:pPr>
        <w:ind w:right="200" w:firstLine="457"/>
        <w:spacing w:after="0" w:line="289" w:lineRule="auto"/>
        <w:rPr>
          <w:sz w:val="20"/>
          <w:szCs w:val="20"/>
          <w:color w:val="auto"/>
        </w:rPr>
      </w:pPr>
      <w:r>
        <w:rPr>
          <w:rFonts w:ascii="Arial" w:cs="Arial" w:eastAsia="Arial" w:hAnsi="Arial"/>
          <w:sz w:val="17"/>
          <w:szCs w:val="17"/>
          <w:color w:val="auto"/>
        </w:rPr>
        <w:t>We believe that Afrezza has important competitive advantages in the delivery of insulin when compared with currently known alternatives. However, new drugs or further developments in alternative drug delivery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49"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set forth below more detailed information about certain of our competitors. The following is based on information currently available to us.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Rapid-acting (Injected) Insulin</w:t>
      </w:r>
    </w:p>
    <w:p>
      <w:pPr>
        <w:spacing w:after="0" w:line="119"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Currently, there is no approved insulin product that is absorbed into the bloodstream as rapidly as Afrezza, i.e., reaching peak levels within 12 to 15 minutes after administration. There are several formulations of “rapid-acting” insulin analogs that reach peak insulin levels within 45 to 90 minutes after injection. The principal products in this category are insulin lispro, which is marketed by Eli Lilly &amp; Company, or Lilly; insulin aspart, which is marketed by Novo Nordisk A/S, or Novo Nordisk; and insulin glulisine, which is marketed by Sanofi.</w:t>
      </w:r>
    </w:p>
    <w:p>
      <w:pPr>
        <w:spacing w:after="0" w:line="177" w:lineRule="exact"/>
        <w:rPr>
          <w:sz w:val="20"/>
          <w:szCs w:val="20"/>
          <w:color w:val="auto"/>
        </w:rPr>
      </w:pPr>
    </w:p>
    <w:p>
      <w:pPr>
        <w:ind w:right="760" w:firstLine="457"/>
        <w:spacing w:after="0" w:line="290" w:lineRule="auto"/>
        <w:rPr>
          <w:sz w:val="20"/>
          <w:szCs w:val="20"/>
          <w:color w:val="auto"/>
        </w:rPr>
      </w:pPr>
      <w:r>
        <w:rPr>
          <w:rFonts w:ascii="Arial" w:cs="Arial" w:eastAsia="Arial" w:hAnsi="Arial"/>
          <w:sz w:val="17"/>
          <w:szCs w:val="17"/>
          <w:color w:val="auto"/>
        </w:rPr>
        <w:t>In January 2017, Novo Nordisk announced that Fiasp</w:t>
      </w:r>
      <w:r>
        <w:rPr>
          <w:rFonts w:ascii="Arial" w:cs="Arial" w:eastAsia="Arial" w:hAnsi="Arial"/>
          <w:sz w:val="14"/>
          <w:szCs w:val="14"/>
          <w:color w:val="auto"/>
        </w:rPr>
        <w:t>®</w:t>
      </w:r>
      <w:r>
        <w:rPr>
          <w:rFonts w:ascii="Arial" w:cs="Arial" w:eastAsia="Arial" w:hAnsi="Arial"/>
          <w:sz w:val="17"/>
          <w:szCs w:val="17"/>
          <w:color w:val="auto"/>
        </w:rPr>
        <w:t>, a faster formulation of insulin aspart, was approved in Europe and Canada. It is currently undergoing regulatory review in the United States.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Inhaled Insulin Delivery Systems</w:t>
      </w:r>
    </w:p>
    <w:p>
      <w:pPr>
        <w:spacing w:after="0" w:line="118" w:lineRule="exact"/>
        <w:rPr>
          <w:sz w:val="20"/>
          <w:szCs w:val="20"/>
          <w:color w:val="auto"/>
        </w:rPr>
      </w:pPr>
    </w:p>
    <w:p>
      <w:pPr>
        <w:jc w:val="both"/>
        <w:ind w:right="120" w:firstLine="457"/>
        <w:spacing w:after="0" w:line="273" w:lineRule="auto"/>
        <w:rPr>
          <w:sz w:val="20"/>
          <w:szCs w:val="20"/>
          <w:color w:val="auto"/>
        </w:rPr>
      </w:pPr>
      <w:r>
        <w:rPr>
          <w:rFonts w:ascii="Arial" w:cs="Arial" w:eastAsia="Arial" w:hAnsi="Arial"/>
          <w:sz w:val="17"/>
          <w:szCs w:val="17"/>
          <w:color w:val="auto"/>
        </w:rPr>
        <w:t>In January 2006, Exubera</w:t>
      </w:r>
      <w:r>
        <w:rPr>
          <w:rFonts w:ascii="Arial" w:cs="Arial" w:eastAsia="Arial" w:hAnsi="Arial"/>
          <w:sz w:val="14"/>
          <w:szCs w:val="14"/>
          <w:color w:val="auto"/>
        </w:rPr>
        <w:t>®</w:t>
      </w:r>
      <w:r>
        <w:rPr>
          <w:rFonts w:ascii="Arial" w:cs="Arial" w:eastAsia="Arial" w:hAnsi="Arial"/>
          <w:sz w:val="17"/>
          <w:szCs w:val="17"/>
          <w:color w:val="auto"/>
        </w:rPr>
        <w:t>, developed by Pfizer in collaboration with Nektar Therapeutics, Inc., was approved for the treatment of adults with type 1 and type 2 diabetes. Exubera</w:t>
      </w:r>
      <w:r>
        <w:rPr>
          <w:rFonts w:ascii="Arial" w:cs="Arial" w:eastAsia="Arial" w:hAnsi="Arial"/>
          <w:sz w:val="14"/>
          <w:szCs w:val="14"/>
          <w:color w:val="auto"/>
        </w:rPr>
        <w:t>®</w:t>
      </w:r>
      <w:r>
        <w:rPr>
          <w:rFonts w:ascii="Arial" w:cs="Arial" w:eastAsia="Arial" w:hAnsi="Arial"/>
          <w:sz w:val="17"/>
          <w:szCs w:val="17"/>
          <w:color w:val="auto"/>
        </w:rPr>
        <w:t xml:space="preserve"> was slow to gain market acceptance and, in October 2007, Pfizer announced that it was discontinuing the product. Pfizer subsequently withdrew the NDA for Exubera from the FDA.</w:t>
      </w:r>
    </w:p>
    <w:p>
      <w:pPr>
        <w:spacing w:after="0" w:line="172"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In January 2008, Novo Nordisk announced that it was halting development of its inhaled insulin product, having reached the conclusion that the product did not have adequate commercial potential.</w:t>
      </w:r>
    </w:p>
    <w:p>
      <w:pPr>
        <w:spacing w:after="0" w:line="157"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In March 2008, Lilly announced that it was terminating the development of its AIR</w:t>
      </w:r>
      <w:r>
        <w:rPr>
          <w:rFonts w:ascii="Arial" w:cs="Arial" w:eastAsia="Arial" w:hAnsi="Arial"/>
          <w:sz w:val="14"/>
          <w:szCs w:val="14"/>
          <w:color w:val="auto"/>
        </w:rPr>
        <w:t>®</w:t>
      </w:r>
      <w:r>
        <w:rPr>
          <w:rFonts w:ascii="Arial" w:cs="Arial" w:eastAsia="Arial" w:hAnsi="Arial"/>
          <w:sz w:val="17"/>
          <w:szCs w:val="17"/>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172"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color w:val="auto"/>
        </w:rPr>
        <w:t>Dance Biopharm, Inc. has completed Phase 2 clinical studies of an inhaled insulin product that utilizes a liquid formulation of human insulin, dispensed through a handheld electronic aerosol device.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Non-insulin Medications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Afrezza also competes with currently available non-insulin medication products for type 2 diabetes. These products include the following:</w:t>
      </w:r>
    </w:p>
    <w:p>
      <w:pPr>
        <w:spacing w:after="0" w:line="132" w:lineRule="exact"/>
        <w:rPr>
          <w:sz w:val="20"/>
          <w:szCs w:val="20"/>
          <w:color w:val="auto"/>
        </w:rPr>
      </w:pPr>
    </w:p>
    <w:p>
      <w:pPr>
        <w:ind w:left="900" w:right="340" w:hanging="450"/>
        <w:spacing w:after="0" w:line="28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GLP-1 agonists, such as exenatide or liraglutide, which mimic a naturally occurring hormone that stimulates the pancreas to secrete insulin when blood glucose levels are high.</w:t>
      </w:r>
    </w:p>
    <w:p>
      <w:pPr>
        <w:spacing w:after="0" w:line="66" w:lineRule="exact"/>
        <w:rPr>
          <w:rFonts w:ascii="Arial" w:cs="Arial" w:eastAsia="Arial" w:hAnsi="Arial"/>
          <w:sz w:val="17"/>
          <w:szCs w:val="17"/>
          <w:color w:val="auto"/>
        </w:rPr>
      </w:pPr>
    </w:p>
    <w:p>
      <w:pPr>
        <w:ind w:left="900" w:right="120" w:hanging="450"/>
        <w:spacing w:after="0" w:line="28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Inhibitors of dipeptidyl peptidase IV, such as sitagliptin or saxagliptin, are a class of drugs that work by blocking the enzyme that normally degrades GLP-1.</w:t>
      </w:r>
    </w:p>
    <w:p>
      <w:pPr>
        <w:spacing w:after="0" w:line="66" w:lineRule="exact"/>
        <w:rPr>
          <w:rFonts w:ascii="Arial" w:cs="Arial" w:eastAsia="Arial" w:hAnsi="Arial"/>
          <w:sz w:val="17"/>
          <w:szCs w:val="17"/>
          <w:color w:val="auto"/>
        </w:rPr>
      </w:pPr>
    </w:p>
    <w:p>
      <w:pPr>
        <w:ind w:left="900" w:hanging="450"/>
        <w:spacing w:after="0"/>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Sulfonylureas and meglitinides, which are classes of drugs that act on the pancreatic cells to stimulate the secretion of insulin.</w:t>
      </w:r>
    </w:p>
    <w:p>
      <w:pPr>
        <w:spacing w:after="0" w:line="131" w:lineRule="exact"/>
        <w:rPr>
          <w:rFonts w:ascii="Arial" w:cs="Arial" w:eastAsia="Arial" w:hAnsi="Arial"/>
          <w:sz w:val="17"/>
          <w:szCs w:val="17"/>
          <w:color w:val="auto"/>
        </w:rPr>
      </w:pPr>
    </w:p>
    <w:p>
      <w:pPr>
        <w:ind w:left="900" w:right="480" w:hanging="450"/>
        <w:spacing w:after="0" w:line="28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Thiazolidinediones, such as pioglitizone and biguanides, such as metformin, which lower blood glucose by improving the sensitivity of cells to insulin, or diminishing insulin resistance.</w:t>
      </w:r>
    </w:p>
    <w:p>
      <w:pPr>
        <w:spacing w:after="0" w:line="66" w:lineRule="exact"/>
        <w:rPr>
          <w:rFonts w:ascii="Arial" w:cs="Arial" w:eastAsia="Arial" w:hAnsi="Arial"/>
          <w:sz w:val="17"/>
          <w:szCs w:val="17"/>
          <w:color w:val="auto"/>
        </w:rPr>
      </w:pPr>
    </w:p>
    <w:p>
      <w:pPr>
        <w:ind w:left="900" w:right="80" w:hanging="450"/>
        <w:spacing w:after="0" w:line="289"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Alpha-glucosidase inhibitors, which lower the amount of glucose absorbed from the intestines, thereby reducing the rise in blood glucose that occurs after a meal.</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449" w:right="2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360" w:hanging="450"/>
        <w:spacing w:after="0" w:line="289"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SGLT-2 inhibitors, such as dapagliflozin and canagliflozin, are a class of medications that lower blood glucose by increasing glucose excretion in urine.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Product Approval</w:t>
      </w:r>
    </w:p>
    <w:p>
      <w:pPr>
        <w:spacing w:after="0" w:line="125"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(“FDCA”), and other regulations, regulate research and development activities and the development, testing, manufacture, labeling, storage, shipping, approval, recordkeeping, advertising, promotion, sale and distribution of such products. In addition, if any of our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steps typically required before an unapproved new drug or biologic product for use in humans may be marketed in the United States include:</w:t>
      </w:r>
    </w:p>
    <w:p>
      <w:pPr>
        <w:spacing w:after="0" w:line="132" w:lineRule="exact"/>
        <w:rPr>
          <w:sz w:val="20"/>
          <w:szCs w:val="20"/>
          <w:color w:val="auto"/>
        </w:rPr>
      </w:pPr>
    </w:p>
    <w:p>
      <w:pPr>
        <w:ind w:left="900" w:right="20" w:hanging="450"/>
        <w:spacing w:after="0" w:line="267"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86" w:lineRule="exact"/>
        <w:rPr>
          <w:rFonts w:ascii="Arial" w:cs="Arial" w:eastAsia="Arial" w:hAnsi="Arial"/>
          <w:sz w:val="17"/>
          <w:szCs w:val="17"/>
          <w:color w:val="auto"/>
        </w:rPr>
      </w:pPr>
    </w:p>
    <w:p>
      <w:pPr>
        <w:ind w:left="900" w:right="160" w:hanging="450"/>
        <w:spacing w:after="0" w:line="273"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(“IND”), which must become effective before human clinical trials may commence. The results of the preclinical studies are submitted to the FDA as part of the IND. Unless the FDA objects and places a clinical hold, the IND becomes effective 30 days following receipt by the FDA.</w:t>
      </w:r>
    </w:p>
    <w:p>
      <w:pPr>
        <w:spacing w:after="0" w:line="79" w:lineRule="exact"/>
        <w:rPr>
          <w:rFonts w:ascii="Arial" w:cs="Arial" w:eastAsia="Arial" w:hAnsi="Arial"/>
          <w:sz w:val="17"/>
          <w:szCs w:val="17"/>
          <w:color w:val="auto"/>
        </w:rPr>
      </w:pPr>
    </w:p>
    <w:p>
      <w:pPr>
        <w:ind w:left="900" w:hanging="450"/>
        <w:spacing w:after="0" w:line="267"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Approval of clinical protocols by independent institutional review boards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 The IRB of FDA may place a trial on hold at any time if it believes the risks to subjects outweigh the potential benefits.</w:t>
      </w:r>
    </w:p>
    <w:p>
      <w:pPr>
        <w:spacing w:after="0" w:line="86" w:lineRule="exact"/>
        <w:rPr>
          <w:rFonts w:ascii="Arial" w:cs="Arial" w:eastAsia="Arial" w:hAnsi="Arial"/>
          <w:sz w:val="17"/>
          <w:szCs w:val="17"/>
          <w:color w:val="auto"/>
        </w:rPr>
      </w:pPr>
    </w:p>
    <w:p>
      <w:pPr>
        <w:ind w:left="900" w:hanging="450"/>
        <w:spacing w:after="0" w:line="265"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86" w:lineRule="exact"/>
        <w:rPr>
          <w:rFonts w:ascii="Arial" w:cs="Arial" w:eastAsia="Arial" w:hAnsi="Arial"/>
          <w:sz w:val="17"/>
          <w:szCs w:val="17"/>
          <w:color w:val="auto"/>
        </w:rPr>
      </w:pPr>
    </w:p>
    <w:p>
      <w:pPr>
        <w:ind w:left="1460" w:right="100" w:hanging="552"/>
        <w:spacing w:after="0" w:line="308" w:lineRule="auto"/>
        <w:tabs>
          <w:tab w:leader="none" w:pos="1460" w:val="left"/>
        </w:tabs>
        <w:numPr>
          <w:ilvl w:val="1"/>
          <w:numId w:val="6"/>
        </w:numPr>
        <w:rPr>
          <w:rFonts w:ascii="Arial" w:cs="Arial" w:eastAsia="Arial" w:hAnsi="Arial"/>
          <w:sz w:val="15"/>
          <w:szCs w:val="15"/>
          <w:color w:val="auto"/>
        </w:rPr>
      </w:pPr>
      <w:r>
        <w:rPr>
          <w:rFonts w:ascii="Arial" w:cs="Arial" w:eastAsia="Arial" w:hAnsi="Arial"/>
          <w:sz w:val="15"/>
          <w:szCs w:val="15"/>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49" w:right="25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1480" w:right="720"/>
        <w:spacing w:after="0" w:line="322" w:lineRule="auto"/>
        <w:rPr>
          <w:sz w:val="20"/>
          <w:szCs w:val="20"/>
          <w:color w:val="auto"/>
        </w:rPr>
      </w:pPr>
      <w:r>
        <w:rPr>
          <w:rFonts w:ascii="Arial" w:cs="Arial" w:eastAsia="Arial" w:hAnsi="Arial"/>
          <w:sz w:val="16"/>
          <w:szCs w:val="16"/>
          <w:color w:val="auto"/>
        </w:rPr>
        <w:t>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43" w:lineRule="exact"/>
        <w:rPr>
          <w:sz w:val="20"/>
          <w:szCs w:val="20"/>
          <w:color w:val="auto"/>
        </w:rPr>
      </w:pPr>
    </w:p>
    <w:p>
      <w:pPr>
        <w:ind w:left="1460" w:hanging="552"/>
        <w:spacing w:after="0" w:line="289" w:lineRule="auto"/>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66" w:lineRule="exact"/>
        <w:rPr>
          <w:rFonts w:ascii="Arial" w:cs="Arial" w:eastAsia="Arial" w:hAnsi="Arial"/>
          <w:sz w:val="17"/>
          <w:szCs w:val="17"/>
          <w:color w:val="auto"/>
        </w:rPr>
      </w:pPr>
    </w:p>
    <w:p>
      <w:pPr>
        <w:ind w:left="1460" w:right="40" w:hanging="552"/>
        <w:spacing w:after="0" w:line="267" w:lineRule="auto"/>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86" w:lineRule="exact"/>
        <w:rPr>
          <w:rFonts w:ascii="Arial" w:cs="Arial" w:eastAsia="Arial" w:hAnsi="Arial"/>
          <w:sz w:val="17"/>
          <w:szCs w:val="17"/>
          <w:color w:val="auto"/>
        </w:rPr>
      </w:pPr>
    </w:p>
    <w:p>
      <w:pPr>
        <w:ind w:left="1460" w:right="220" w:hanging="552"/>
        <w:spacing w:after="0" w:line="325" w:lineRule="auto"/>
        <w:tabs>
          <w:tab w:leader="none" w:pos="1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and can provide important safety information to augment the FDA’s voluntary adverse event reporting system.</w:t>
      </w:r>
    </w:p>
    <w:p>
      <w:pPr>
        <w:spacing w:after="0" w:line="45" w:lineRule="exact"/>
        <w:rPr>
          <w:rFonts w:ascii="Arial" w:cs="Arial" w:eastAsia="Arial" w:hAnsi="Arial"/>
          <w:sz w:val="15"/>
          <w:szCs w:val="15"/>
          <w:color w:val="auto"/>
        </w:rPr>
      </w:pPr>
    </w:p>
    <w:p>
      <w:pPr>
        <w:ind w:left="1460" w:right="40" w:hanging="552"/>
        <w:spacing w:after="0" w:line="263" w:lineRule="auto"/>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(“cGMPs”), requirements for drug products.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89" w:lineRule="exact"/>
        <w:rPr>
          <w:rFonts w:ascii="Arial" w:cs="Arial" w:eastAsia="Arial" w:hAnsi="Arial"/>
          <w:sz w:val="17"/>
          <w:szCs w:val="17"/>
          <w:color w:val="auto"/>
        </w:rPr>
      </w:pPr>
    </w:p>
    <w:p>
      <w:pPr>
        <w:ind w:left="1460" w:right="100" w:hanging="552"/>
        <w:spacing w:after="0" w:line="289"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Submission to the FDA of an NDA based on the clinical trials. The results of product development, preclinical studies and clinical trials are submitted to the FDA in the form of an NDA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w:t>
      </w:r>
    </w:p>
    <w:p>
      <w:pPr>
        <w:spacing w:after="0" w:line="161"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In its review of an NDA,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Before approving an NDA, the FDA may inspect the facilities at which the product is manufactured and will not approve the product unless the manufacturing facility complies with cGMPs and will also inspect clinical trial sites for integrity of data supporting safety and efficacy. The FDA will issue either an approval of the NDA or a Complete Response Letter, detailing the deficiencies and information required in order for reconsideration of the NDA.</w:t>
      </w:r>
    </w:p>
    <w:p>
      <w:pPr>
        <w:spacing w:after="0" w:line="181" w:lineRule="exact"/>
        <w:rPr>
          <w:sz w:val="20"/>
          <w:szCs w:val="20"/>
          <w:color w:val="auto"/>
        </w:rPr>
      </w:pPr>
    </w:p>
    <w:p>
      <w:pPr>
        <w:ind w:right="280" w:firstLine="457"/>
        <w:spacing w:after="0" w:line="267" w:lineRule="auto"/>
        <w:rPr>
          <w:sz w:val="20"/>
          <w:szCs w:val="20"/>
          <w:color w:val="auto"/>
        </w:rPr>
      </w:pPr>
      <w:r>
        <w:rPr>
          <w:rFonts w:ascii="Arial" w:cs="Arial" w:eastAsia="Arial" w:hAnsi="Arial"/>
          <w:sz w:val="17"/>
          <w:szCs w:val="17"/>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w:t>
      </w:r>
    </w:p>
    <w:p>
      <w:pPr>
        <w:spacing w:after="0" w:line="178"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The testing and approval process requires substantial time, effort and financial resources. Data that we submit are subject to varying interpretations, and the FDA and comparable regulatory authorities in foreign</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449" w:right="2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jurisdictions may not agree that our product candidates have been shown to be safe and effective. We cannot be certain that any approval of our investigational products will be granted on a timely basis, if at all. For an approved product such as Afrezza, we are subject to continuing regulation by the FDA, including post marketing study commitments or requirements, risk evaluation and mitigation strategies,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FDKP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Numerous device regulatory requirements apply to the device part of a drug-device combination. These include:</w:t>
      </w:r>
    </w:p>
    <w:p>
      <w:pPr>
        <w:spacing w:after="0" w:line="81" w:lineRule="exact"/>
        <w:rPr>
          <w:sz w:val="20"/>
          <w:szCs w:val="20"/>
          <w:color w:val="auto"/>
        </w:rPr>
      </w:pPr>
    </w:p>
    <w:p>
      <w:pPr>
        <w:ind w:left="900" w:hanging="45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labeling regulations;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prohibition against promoting products for unapproved or “off-label” uses;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corrections and removals (</w:t>
      </w:r>
      <w:r>
        <w:rPr>
          <w:rFonts w:ascii="Arial" w:cs="Arial" w:eastAsia="Arial" w:hAnsi="Arial"/>
          <w:sz w:val="17"/>
          <w:szCs w:val="17"/>
          <w:i w:val="1"/>
          <w:iCs w:val="1"/>
          <w:color w:val="auto"/>
        </w:rPr>
        <w:t>e.g</w:t>
      </w:r>
      <w:r>
        <w:rPr>
          <w:rFonts w:ascii="Arial" w:cs="Arial" w:eastAsia="Arial" w:hAnsi="Arial"/>
          <w:sz w:val="17"/>
          <w:szCs w:val="17"/>
          <w:color w:val="auto"/>
        </w:rPr>
        <w:t>., recalls);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establishment registration and device listing;</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prohibitions against the manufacture and distribution of adulterated and misbranded devices; and</w:t>
      </w:r>
    </w:p>
    <w:p>
      <w:pPr>
        <w:spacing w:after="0" w:line="131" w:lineRule="exact"/>
        <w:rPr>
          <w:rFonts w:ascii="Arial" w:cs="Arial" w:eastAsia="Arial" w:hAnsi="Arial"/>
          <w:sz w:val="17"/>
          <w:szCs w:val="17"/>
          <w:color w:val="auto"/>
        </w:rPr>
      </w:pPr>
    </w:p>
    <w:p>
      <w:pPr>
        <w:ind w:left="900" w:right="320" w:hanging="450"/>
        <w:spacing w:after="0" w:line="32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135" w:lineRule="exact"/>
        <w:rPr>
          <w:sz w:val="20"/>
          <w:szCs w:val="20"/>
          <w:color w:val="auto"/>
        </w:rPr>
      </w:pPr>
    </w:p>
    <w:p>
      <w:pPr>
        <w:ind w:firstLine="457"/>
        <w:spacing w:after="0" w:line="322" w:lineRule="auto"/>
        <w:rPr>
          <w:sz w:val="20"/>
          <w:szCs w:val="20"/>
          <w:color w:val="auto"/>
        </w:rPr>
      </w:pPr>
      <w:r>
        <w:rPr>
          <w:rFonts w:ascii="Arial" w:cs="Arial" w:eastAsia="Arial" w:hAnsi="Arial"/>
          <w:sz w:val="16"/>
          <w:szCs w:val="16"/>
          <w:color w:val="auto"/>
        </w:rPr>
        <w:t>Further, the supplier we contract with to manufacture our inhaler and cartridges is subject to QSRs, which requires manufacturers to follow elaborate design, testing, control, documentation and other quality assurance procedures during the manufacturing process of medical devices, among other requirements.</w:t>
      </w:r>
    </w:p>
    <w:p>
      <w:pPr>
        <w:spacing w:after="0" w:line="13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185" w:lineRule="exact"/>
        <w:rPr>
          <w:sz w:val="20"/>
          <w:szCs w:val="20"/>
          <w:color w:val="auto"/>
        </w:rPr>
      </w:pPr>
    </w:p>
    <w:p>
      <w:pPr>
        <w:jc w:val="both"/>
        <w:ind w:right="380" w:firstLine="457"/>
        <w:spacing w:after="0" w:line="297"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449"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60"/>
        <w:spacing w:after="0" w:line="322" w:lineRule="auto"/>
        <w:rPr>
          <w:sz w:val="20"/>
          <w:szCs w:val="20"/>
          <w:color w:val="auto"/>
        </w:rPr>
      </w:pPr>
      <w:r>
        <w:rPr>
          <w:rFonts w:ascii="Arial" w:cs="Arial" w:eastAsia="Arial" w:hAnsi="Arial"/>
          <w:sz w:val="16"/>
          <w:szCs w:val="16"/>
          <w:color w:val="auto"/>
        </w:rPr>
        <w:t>regulations can result in penalties, including the issuance of a warning letter requirements for corrective advertising to healthcare providers, a requirement that future advertising and promotional materials be pre-cleared by the FDA, and state and federal civil and criminal investigations and prosecutions.</w:t>
      </w:r>
    </w:p>
    <w:p>
      <w:pPr>
        <w:spacing w:after="0" w:line="13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178"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There can be no assurance that the current regulatory framework will not change or that additional regulation will not arise at any stage of our product development or marketing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165"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Healthcare Regulatory and Pharmaceutical Pricing</w:t>
      </w:r>
    </w:p>
    <w:p>
      <w:pPr>
        <w:spacing w:after="0" w:line="119"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Government coverage and reimbursement policies both directly and indirectly affect our ability to successfully commercialize our approved products, and such coverage and reimbursement policies will be affected by future healthcare reform measures. Third-party payors, like government health administration authorities, private health insurers and other organizations that provide healthcare coverage, generally decide which drugs they will pay for and establish reimbursement levels for covered drugs. In particular, in the United States, private third-party payors often provide reimbursement for products and services based on the level at which the government (through the Medicare or Medicaid programs) provides reimbursement for such treatments. In the United States, the European Union and other potentially significant markets for our product candidates, government authorities and other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and on country and regional pricing and reimbursement controls in the European Union will put additional pressure on product pricing, reimbursement and usage, which may adversely affect our future product sales and results of operations. Recently, in the United States there has been heightened governmental scrutiny of the manner in which drug manufacturers set prices for their marketed products. For example, there have been several recent U.S. Congressional inquiries regarding certain drug manufacturers’ pricing practices and proposed bills designed to, among other things, bring more transparency to drug pricing, review the relationship between pricing and manufacturer patient programs, reduce the cost of drugs under Medicare and reform government program reimbursement methodologies for drugs. Pricing pressures can arise from rules and practices of managed care organizations, judicial decisions and governmental laws and regulations related to Medicare, Medicaid, healthcare reform, pharmaceutical reimbursement policies and pricing in general.</w:t>
      </w:r>
    </w:p>
    <w:p>
      <w:pPr>
        <w:spacing w:after="0" w:line="178"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49"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Reconciliation Act (collectively, “PPACA”), enacted in March 2010. The Physician Payments Sunshine Act within PPACA, and its implementing regulations, require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Further, if a drug product is reimbursed by Medicare, Medicaid or other federal or state healthcare programs, we must comply with, among others, the federal civil and criminal false claims laws, including the civil False Claims Act, as amended, the federal Anti-Kickback Statute,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PPACA substantially changed the way healthcare is financed by both governmental and private insurers. Among other cost containment measures, PPACA established: an annual, nondeductible fee on any entity that manufactures or imports certain branded prescription drugs and biologic agents; a new Medicare Part D coverage gap discount program; and a new formula that increased the rebates a manufacturer must pay under the Medicaid Drug Rebate Program. There have been judicial and Congressional challenges to certain aspects of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Further, in January 2017, Congress adopted a budget resolution for fiscal year 2017, or the Budget Resolution, that authorizes the implementation of legislation that would repeal portions of the PPACA. Following the passage of the Budget Resolution, in March 2017, the U.S. House of Representatives introduced legislation known as the American Health Care Act, which, if enacted, would amend or repeal significant portions of the PPACA. Among other changes, the American Health Care Act would repeal the annual fee on certain brand prescription drugs and biologics imposed on manufacturers and importers, eliminate the 2.3% excise tax on medical devices, eliminate penalties on individuals and employers that fail to maintain or provide minimum essential coverage, and create refundable tax credits to assist individuals in buying health insurance. The American Health Care Act would also make significant changes to Medicaid by, among other things, making Medicaid expansion optional for states, repealing the requirement that state Medicaid plans provide the same essential health benefits that are required by plans available on the exchanges, modifying federal funding, including implementing a per capita cap on federal payments to states, and changing certain eligibility requirements. Other legislative changes have been proposed and adopted in the United States since PPACA. For example, through the process created by the Budget Control Act of 2011, there are automatic reductions of Medicare payments to providers up to 2% per fiscal year, which went into effect in April 2013 and, following passage of the Bipartisan Budget Act of 2015, will remain in effect through 2025 unless additional Congressional action is taken. In January 2013, President Obama signed into law the American Taxpayer Relief Act of 2012, which, among other things, further reduced Medicare payments to several providers. In the future, there are likely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The federal Health Insurance Portability and Accountability Act of 1996 (“HIPAA”), as amended by the Health Information Technology and Clinical Health Act (“HITECH”), and their respective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70"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that apply regardless of the payer. Additional state laws require pharmaceutical companies to implement a comprehensive compliance program and/or limit expenditure for, or payments to, individual medical or health professionals.</w:t>
      </w:r>
    </w:p>
    <w:p>
      <w:pPr>
        <w:spacing w:after="0" w:line="171"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criminal and significant civil monetary penalties, damages, fines, individual imprisonment, disgorgement, exclusion of products from reimbursement under government programs,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Expenses</w:t>
      </w:r>
    </w:p>
    <w:p>
      <w:pPr>
        <w:spacing w:after="0" w:line="125" w:lineRule="exact"/>
        <w:rPr>
          <w:sz w:val="20"/>
          <w:szCs w:val="20"/>
          <w:color w:val="auto"/>
        </w:rPr>
      </w:pPr>
    </w:p>
    <w:p>
      <w:pPr>
        <w:ind w:right="280" w:firstLine="457"/>
        <w:spacing w:after="0" w:line="289" w:lineRule="auto"/>
        <w:rPr>
          <w:sz w:val="20"/>
          <w:szCs w:val="20"/>
          <w:color w:val="auto"/>
        </w:rPr>
      </w:pPr>
      <w:r>
        <w:rPr>
          <w:rFonts w:ascii="Arial" w:cs="Arial" w:eastAsia="Arial" w:hAnsi="Arial"/>
          <w:sz w:val="17"/>
          <w:szCs w:val="17"/>
          <w:color w:val="auto"/>
        </w:rPr>
        <w:t>Our research and development expenses totaled $14.9 million, $29.7 million and $100.2 million for the years ended December 31, 2016, 2015 and 2014,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25"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Our long-lived assets are located in the United States and totaled $28.9 million, $48.7 million and $192.1 million as of December 31, 2016, 2015 and 2014, respectively. Our long-lived assets as of December 31, 2016 do not include an asset held for sale totaling $16.7 million.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25"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As of December 31, 2016, we had 153 full-time employees, of which 66 were engaged in manufacturing, 34 in research and development, 30 in general and administrative and 23 in selling and marketing. Fifteen of these employees had a Ph.D. degree and/or M.D. degree and were engaged in activities relating to research and development, manufacturing, quality assurance or business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our employees is subject to a collective bargaining agreement. We believe relations with our employees are good.</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25"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We were incorporated in the State of Delaware on February 14, 1991. Our principal executive offices are located at 25134 Rye Canyon Loop Suite 300, Valencia, California 91355, and our telephone number at that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9"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address is (661) 775-5300. MannKind Corporation and the MannKind Corporation logo are our service marks. Our website address is http://www.mannkindcorp.com. Our Annual Reports on Form 10-K, Quarterly Reports on Form 10-Q, Current Reports on Form 8-K, and amendments to reports filed pursuant to Sections 13(a) and 15(d) of the Securities Exchange Act of 1934, as amended, or the Exchange Act, are available free of charge on our website as soon as reasonably practicable after we electronically file such material with, or furnish it to, the SEC. The contents of these websites are not incorporated into this Annual Report. Further, our references to the URLs for these websites are intended to be inactive textual reference only.</w:t>
      </w:r>
    </w:p>
    <w:p>
      <w:pPr>
        <w:spacing w:after="0" w:line="165"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On March 1, 2017, we filed with the Secretary of State of the State of Delaware a Certificate of Amendment to our Amended and Restated Certificate of Incorporation (the “Charter Amendment”) to (i) implement a one-for-five reverse stock split of our outstanding common stock (the “Reverse Stock Split”), without any change in par value per share, and (ii) reduce the authorized number of shares of our common stock from 700,000,000 to 140,000,000 shares, as previously authorized and approved at a special meeting of stockholders on March 1, 2017. The Charter Amendment became effective at 5:01 p.m. Eastern Time on March 2, 2017 (the “Effective Time”). No fractional shares were issued in connection with the Reverse Stock Split. Instead, we issued one full share of the post-Reverse Stock Split common stock to any stockholder of record who was entitled to receive a fractional share as a result of the process.</w:t>
      </w:r>
    </w:p>
    <w:p>
      <w:pPr>
        <w:spacing w:after="0" w:line="165" w:lineRule="exact"/>
        <w:rPr>
          <w:sz w:val="20"/>
          <w:szCs w:val="20"/>
          <w:color w:val="auto"/>
        </w:rPr>
      </w:pPr>
    </w:p>
    <w:p>
      <w:pPr>
        <w:ind w:right="40" w:firstLine="457"/>
        <w:spacing w:after="0" w:line="308" w:lineRule="auto"/>
        <w:rPr>
          <w:sz w:val="20"/>
          <w:szCs w:val="20"/>
          <w:color w:val="auto"/>
        </w:rPr>
      </w:pPr>
      <w:r>
        <w:rPr>
          <w:rFonts w:ascii="Arial" w:cs="Arial" w:eastAsia="Arial" w:hAnsi="Arial"/>
          <w:sz w:val="15"/>
          <w:szCs w:val="15"/>
          <w:color w:val="auto"/>
        </w:rPr>
        <w:t>As a result of the Reverse Stock Split, proportionate adjustments were made to the per share exercise price and the number of shares issuable upon the exercise or vesting of all stock options, restricted stock units and warrants issued by us and outstanding immediately prior to the Effective Time, which resulted in a proportionate decrease in the number of shares of our common stock reserved for issuance upon exercise or vesting of such stock options, restricted stock units and warrants, and, in the case of stock options and warrants, a proportionate increase in the exercise price of all such stock options and warrants. In addition, the number of shares authorized for future grant under our equity incentive/compensation plans immediately prior to the Effective Time were reduced proportionately.</w:t>
      </w:r>
    </w:p>
    <w:p>
      <w:pPr>
        <w:spacing w:after="0" w:line="150"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On March 3, 2017, our common stock began trading on The NASDAQ Global Market on a split-adjusted basis. All references to shares of common stock, all per share data, and all warrant, stock option and restricted stock unit activity for all periods presented in this Annual Report have been adjusted to reflect the Reverse Stock Split on a retroactive basis.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Scientific Advisors</w:t>
      </w:r>
    </w:p>
    <w:p>
      <w:pPr>
        <w:spacing w:after="0" w:line="125" w:lineRule="exact"/>
        <w:rPr>
          <w:sz w:val="20"/>
          <w:szCs w:val="20"/>
          <w:color w:val="auto"/>
        </w:rPr>
      </w:pPr>
    </w:p>
    <w:p>
      <w:pPr>
        <w:ind w:right="140" w:firstLine="457"/>
        <w:spacing w:after="0" w:line="32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43" w:lineRule="exact"/>
        <w:rPr>
          <w:sz w:val="20"/>
          <w:szCs w:val="20"/>
          <w:color w:val="auto"/>
        </w:rPr>
      </w:pPr>
    </w:p>
    <w:p>
      <w:pPr>
        <w:ind w:left="900" w:hanging="45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design and implementation of our clinical programs;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patent and publication strategies;</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market opportunities from a clinical perspective;</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new technologies relevant to our research and development programs; and</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specific scientific and technical issues relevant to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49"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current executive officers and their ages: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740" w:type="dxa"/>
            <w:vAlign w:val="bottom"/>
          </w:tcPr>
          <w:p>
            <w:pPr>
              <w:spacing w:after="0"/>
              <w:rPr>
                <w:sz w:val="15"/>
                <w:szCs w:val="15"/>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gridSpan w:val="2"/>
          </w:tcPr>
          <w:p>
            <w:pPr>
              <w:spacing w:after="0" w:line="190" w:lineRule="exact"/>
              <w:rPr>
                <w:sz w:val="20"/>
                <w:szCs w:val="20"/>
                <w:color w:val="auto"/>
              </w:rPr>
            </w:pPr>
            <w:r>
              <w:rPr>
                <w:rFonts w:ascii="Arial" w:cs="Arial" w:eastAsia="Arial" w:hAnsi="Arial"/>
                <w:sz w:val="17"/>
                <w:szCs w:val="17"/>
                <w:color w:val="auto"/>
              </w:rPr>
              <w:t>Matthew J. Pfeffer</w:t>
            </w:r>
          </w:p>
        </w:tc>
        <w:tc>
          <w:tcPr>
            <w:tcW w:w="260" w:type="dxa"/>
            <w:vAlign w:val="bottom"/>
          </w:tcPr>
          <w:p>
            <w:pPr>
              <w:jc w:val="center"/>
              <w:spacing w:after="0" w:line="190" w:lineRule="exact"/>
              <w:rPr>
                <w:sz w:val="20"/>
                <w:szCs w:val="20"/>
                <w:color w:val="auto"/>
              </w:rPr>
            </w:pPr>
            <w:r>
              <w:rPr>
                <w:rFonts w:ascii="Arial" w:cs="Arial" w:eastAsia="Arial" w:hAnsi="Arial"/>
                <w:sz w:val="17"/>
                <w:szCs w:val="17"/>
                <w:color w:val="auto"/>
                <w:w w:val="94"/>
              </w:rPr>
              <w:t>59</w:t>
            </w:r>
          </w:p>
        </w:tc>
        <w:tc>
          <w:tcPr>
            <w:tcW w:w="220" w:type="dxa"/>
            <w:vAlign w:val="bottom"/>
            <w:vMerge w:val="continue"/>
          </w:tcPr>
          <w:p>
            <w:pPr>
              <w:spacing w:after="0"/>
              <w:rPr>
                <w:sz w:val="16"/>
                <w:szCs w:val="16"/>
                <w:color w:val="auto"/>
              </w:rPr>
            </w:pPr>
          </w:p>
        </w:tc>
        <w:tc>
          <w:tcPr>
            <w:tcW w:w="4300" w:type="dxa"/>
            <w:vAlign w:val="bottom"/>
            <w:gridSpan w:val="2"/>
          </w:tcPr>
          <w:p>
            <w:pPr>
              <w:spacing w:after="0" w:line="190" w:lineRule="exact"/>
              <w:rPr>
                <w:sz w:val="20"/>
                <w:szCs w:val="20"/>
                <w:color w:val="auto"/>
              </w:rPr>
            </w:pPr>
            <w:r>
              <w:rPr>
                <w:rFonts w:ascii="Arial" w:cs="Arial" w:eastAsia="Arial" w:hAnsi="Arial"/>
                <w:sz w:val="17"/>
                <w:szCs w:val="17"/>
                <w:color w:val="auto"/>
                <w:w w:val="95"/>
              </w:rPr>
              <w:t>Chief Executive Officer, Chief Financial Officer and Director</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Michael E. Castagna, Pharm.D.</w:t>
            </w:r>
          </w:p>
        </w:tc>
        <w:tc>
          <w:tcPr>
            <w:tcW w:w="26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2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rPr>
              <w:t>Corporate Vice President, Chief Commercial Officer</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Joseph Kocinsky</w:t>
            </w:r>
          </w:p>
        </w:tc>
        <w:tc>
          <w:tcPr>
            <w:tcW w:w="26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2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rPr>
              <w:t>Corporate Vice President, Chief Technology Officer</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David B. Thomson, Ph.D., J.D.</w:t>
            </w:r>
          </w:p>
        </w:tc>
        <w:tc>
          <w:tcPr>
            <w:tcW w:w="26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2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w w:val="97"/>
              </w:rPr>
              <w:t>Corporate Vice President, General Counsel and Secretary</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Stuart A. Tross, Ph.D.</w:t>
            </w:r>
          </w:p>
        </w:tc>
        <w:tc>
          <w:tcPr>
            <w:tcW w:w="26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2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rPr>
              <w:t>Corporate Vice President, Chief People Officer</w:t>
            </w:r>
          </w:p>
        </w:tc>
        <w:tc>
          <w:tcPr>
            <w:tcW w:w="0" w:type="dxa"/>
            <w:vAlign w:val="bottom"/>
          </w:tcPr>
          <w:p>
            <w:pPr>
              <w:spacing w:after="0"/>
              <w:rPr>
                <w:sz w:val="1"/>
                <w:szCs w:val="1"/>
                <w:color w:val="auto"/>
              </w:rPr>
            </w:pPr>
          </w:p>
        </w:tc>
      </w:tr>
      <w:tr>
        <w:trPr>
          <w:trHeight w:val="210"/>
        </w:trPr>
        <w:tc>
          <w:tcPr>
            <w:tcW w:w="4100" w:type="dxa"/>
            <w:vAlign w:val="bottom"/>
            <w:gridSpan w:val="2"/>
          </w:tcPr>
          <w:p>
            <w:pPr>
              <w:spacing w:after="0"/>
              <w:rPr>
                <w:sz w:val="20"/>
                <w:szCs w:val="20"/>
                <w:color w:val="auto"/>
              </w:rPr>
            </w:pPr>
            <w:r>
              <w:rPr>
                <w:rFonts w:ascii="Arial" w:cs="Arial" w:eastAsia="Arial" w:hAnsi="Arial"/>
                <w:sz w:val="17"/>
                <w:szCs w:val="17"/>
                <w:color w:val="auto"/>
              </w:rPr>
              <w:t>Raymond W. Urbanski, M.D., Ph.D.</w:t>
            </w:r>
          </w:p>
        </w:tc>
        <w:tc>
          <w:tcPr>
            <w:tcW w:w="260" w:type="dxa"/>
            <w:vAlign w:val="bottom"/>
          </w:tcPr>
          <w:p>
            <w:pPr>
              <w:jc w:val="center"/>
              <w:spacing w:after="0"/>
              <w:rPr>
                <w:sz w:val="20"/>
                <w:szCs w:val="20"/>
                <w:color w:val="auto"/>
              </w:rPr>
            </w:pPr>
            <w:r>
              <w:rPr>
                <w:rFonts w:ascii="Arial" w:cs="Arial" w:eastAsia="Arial" w:hAnsi="Arial"/>
                <w:sz w:val="17"/>
                <w:szCs w:val="17"/>
                <w:color w:val="auto"/>
                <w:w w:val="94"/>
              </w:rPr>
              <w:t>57</w:t>
            </w:r>
          </w:p>
        </w:tc>
        <w:tc>
          <w:tcPr>
            <w:tcW w:w="2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rPr>
              <w:t>Corporate Vice President, Chief Medical Officer</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7"/>
                <w:szCs w:val="17"/>
                <w:color w:val="auto"/>
              </w:rPr>
              <w:t>Rosabel R. Alinaya</w:t>
            </w:r>
          </w:p>
        </w:tc>
        <w:tc>
          <w:tcPr>
            <w:tcW w:w="260" w:type="dxa"/>
            <w:vAlign w:val="bottom"/>
          </w:tcPr>
          <w:p>
            <w:pPr>
              <w:jc w:val="center"/>
              <w:spacing w:after="0"/>
              <w:rPr>
                <w:sz w:val="20"/>
                <w:szCs w:val="20"/>
                <w:color w:val="auto"/>
              </w:rPr>
            </w:pPr>
            <w:r>
              <w:rPr>
                <w:rFonts w:ascii="Arial" w:cs="Arial" w:eastAsia="Arial" w:hAnsi="Arial"/>
                <w:sz w:val="17"/>
                <w:szCs w:val="17"/>
                <w:color w:val="auto"/>
                <w:w w:val="94"/>
              </w:rPr>
              <w:t>56</w:t>
            </w:r>
          </w:p>
        </w:tc>
        <w:tc>
          <w:tcPr>
            <w:tcW w:w="2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7"/>
                <w:szCs w:val="17"/>
                <w:color w:val="auto"/>
              </w:rPr>
              <w:t>Senior Vice President, Principal Accounting Officer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i w:val="1"/>
          <w:iCs w:val="1"/>
          <w:color w:val="auto"/>
        </w:rPr>
        <w:t xml:space="preserve">Matthew J. Pfeffer </w:t>
      </w:r>
      <w:r>
        <w:rPr>
          <w:rFonts w:ascii="Arial" w:cs="Arial" w:eastAsia="Arial" w:hAnsi="Arial"/>
          <w:sz w:val="16"/>
          <w:szCs w:val="16"/>
          <w:color w:val="auto"/>
        </w:rPr>
        <w:t>has served as our Chief Executive Officer and one of our directors since January 2016 and as our Chief Financial Officer since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2008. Mr. Pfeffer also served as our Corporate Vice President from April 2008 until January 2016. Previously, Mr. Pfeffer served as Chief Financial 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graduated from the University of California, Berkeley and is a Certified Public Accountant.</w:t>
      </w:r>
    </w:p>
    <w:p>
      <w:pPr>
        <w:spacing w:after="0" w:line="168"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i w:val="1"/>
          <w:iCs w:val="1"/>
          <w:color w:val="auto"/>
        </w:rPr>
        <w:t xml:space="preserve">Michael E. Castagna, Pharm.D. </w:t>
      </w:r>
      <w:r>
        <w:rPr>
          <w:rFonts w:ascii="Arial" w:cs="Arial" w:eastAsia="Arial" w:hAnsi="Arial"/>
          <w:sz w:val="17"/>
          <w:szCs w:val="17"/>
          <w:color w:val="auto"/>
        </w:rPr>
        <w:t>has been our Corporate Vice President, Chief Commercial Officer since March 2016. From November 2012 until he joined</w:t>
      </w:r>
      <w:r>
        <w:rPr>
          <w:rFonts w:ascii="Arial" w:cs="Arial" w:eastAsia="Arial" w:hAnsi="Arial"/>
          <w:sz w:val="17"/>
          <w:szCs w:val="17"/>
          <w:i w:val="1"/>
          <w:iCs w:val="1"/>
          <w:color w:val="auto"/>
        </w:rPr>
        <w:t xml:space="preserve"> </w:t>
      </w:r>
      <w:r>
        <w:rPr>
          <w:rFonts w:ascii="Arial" w:cs="Arial" w:eastAsia="Arial" w:hAnsi="Arial"/>
          <w:sz w:val="17"/>
          <w:szCs w:val="17"/>
          <w:color w:val="auto"/>
        </w:rPr>
        <w:t>us, Dr. Castagna was at Amgen, Inc., where he initially served as Vice President, Global Lifecycle Management and was most recently Vice President, Global Commercial Lead for Amgen’s Biosimilar Business Unit. From 2010 to 2012, he was Executive Director, Immunology, at Bristol-Myers Squibb Co. Before BMS, Dr. Castagna served as Vice President &amp; Head, Biopharmaceuticals, North America, at Sandoz. He has also held positions with commercial responsibilities at EMD (Merck) Serono, Pharmasset and DuPont Pharmaceuticals. He received his pharmacy degree from University of the Sciences-Philadelphia College of Pharmacy, a Doctor of Pharmacy from Massachusetts College of Pharmacy &amp; Sciences and an MBA from The Wharton School of Business at the University of Pennsylvania.</w:t>
      </w:r>
    </w:p>
    <w:p>
      <w:pPr>
        <w:spacing w:after="0" w:line="182"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i w:val="1"/>
          <w:iCs w:val="1"/>
          <w:color w:val="auto"/>
        </w:rPr>
        <w:t xml:space="preserve">Joseph Kocinsky </w:t>
      </w:r>
      <w:r>
        <w:rPr>
          <w:rFonts w:ascii="Arial" w:cs="Arial" w:eastAsia="Arial" w:hAnsi="Arial"/>
          <w:sz w:val="16"/>
          <w:szCs w:val="16"/>
          <w:color w:val="auto"/>
        </w:rPr>
        <w:t>has been our Corporate Vice President, Chief Technology Officer since October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Kocinsky has over 28 years of experience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industry in technical operations and product development. Prior to joining us in 2003, he held a variety of technical and management positions with increased responsibility at Schering-Plough Corp. Mr. Kocinsky holds a bachelor’s degree in chemical engineering and a master’s degree in Biomedical Engineering from New Jersey Institute of Technology and a master’s degree in business administration from Seton Hall University.</w:t>
      </w:r>
    </w:p>
    <w:p>
      <w:pPr>
        <w:spacing w:after="0" w:line="161" w:lineRule="exact"/>
        <w:rPr>
          <w:sz w:val="20"/>
          <w:szCs w:val="20"/>
          <w:color w:val="auto"/>
        </w:rPr>
      </w:pPr>
    </w:p>
    <w:p>
      <w:pPr>
        <w:ind w:right="80" w:firstLine="457"/>
        <w:spacing w:after="0" w:line="325" w:lineRule="auto"/>
        <w:rPr>
          <w:sz w:val="20"/>
          <w:szCs w:val="20"/>
          <w:color w:val="auto"/>
        </w:rPr>
      </w:pPr>
      <w:r>
        <w:rPr>
          <w:rFonts w:ascii="Arial" w:cs="Arial" w:eastAsia="Arial" w:hAnsi="Arial"/>
          <w:sz w:val="15"/>
          <w:szCs w:val="15"/>
          <w:i w:val="1"/>
          <w:iCs w:val="1"/>
          <w:color w:val="auto"/>
        </w:rPr>
        <w:t xml:space="preserve">David B. Thomson, Ph.D., J.D. </w:t>
      </w:r>
      <w:r>
        <w:rPr>
          <w:rFonts w:ascii="Arial" w:cs="Arial" w:eastAsia="Arial" w:hAnsi="Arial"/>
          <w:sz w:val="15"/>
          <w:szCs w:val="15"/>
          <w:color w:val="auto"/>
        </w:rPr>
        <w:t>has been our Corporate Vice President, General Counsel and Corporate Secretary since January 2002. Prior to joining us, he</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practiced corporate/commercial and securities law at a major Toronto law firm. Earlier in his career, Dr. Thomson was a post-doctoral fellow at the Rockefeller University. Dr. Thomson obtained his bachelor’s degree, master’s degree and Ph.D. from Queens University and obtained his J.D. from the University of Toronto.</w:t>
      </w:r>
    </w:p>
    <w:p>
      <w:pPr>
        <w:spacing w:after="0" w:line="137"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i w:val="1"/>
          <w:iCs w:val="1"/>
          <w:color w:val="auto"/>
        </w:rPr>
        <w:t xml:space="preserve">Stuart A. Tross, Ph.D. </w:t>
      </w:r>
      <w:r>
        <w:rPr>
          <w:rFonts w:ascii="Arial" w:cs="Arial" w:eastAsia="Arial" w:hAnsi="Arial"/>
          <w:sz w:val="17"/>
          <w:szCs w:val="17"/>
          <w:color w:val="auto"/>
        </w:rPr>
        <w:t>has been our Corporate Vice President, Chief People Officer since December 2016, with responsibilities for human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Bristol-Myers Squibb Co, most recently as Vice President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9"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Global Head of Human Resources for Mead Johnson Company. Stuart received a B.S. degree from Cornell University and M.S. and Ph.D. degrees in Industrial-Organizational Psychology from the Georgia Institute of Technology.</w:t>
      </w:r>
    </w:p>
    <w:p>
      <w:pPr>
        <w:spacing w:after="0" w:line="15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i w:val="1"/>
          <w:iCs w:val="1"/>
          <w:color w:val="auto"/>
        </w:rPr>
        <w:t xml:space="preserve">Raymond W. Urbanski, M.D., Ph.D. </w:t>
      </w:r>
      <w:r>
        <w:rPr>
          <w:rFonts w:ascii="Arial" w:cs="Arial" w:eastAsia="Arial" w:hAnsi="Arial"/>
          <w:sz w:val="17"/>
          <w:szCs w:val="17"/>
          <w:color w:val="auto"/>
        </w:rPr>
        <w:t>has been our Chief Medical Officer since August 2015. Prior to joining us, he served as Chief Medical Officer at</w:t>
      </w:r>
      <w:r>
        <w:rPr>
          <w:rFonts w:ascii="Arial" w:cs="Arial" w:eastAsia="Arial" w:hAnsi="Arial"/>
          <w:sz w:val="17"/>
          <w:szCs w:val="17"/>
          <w:i w:val="1"/>
          <w:iCs w:val="1"/>
          <w:color w:val="auto"/>
        </w:rPr>
        <w:t xml:space="preserve"> </w:t>
      </w:r>
      <w:r>
        <w:rPr>
          <w:rFonts w:ascii="Arial" w:cs="Arial" w:eastAsia="Arial" w:hAnsi="Arial"/>
          <w:sz w:val="17"/>
          <w:szCs w:val="17"/>
          <w:color w:val="auto"/>
        </w:rPr>
        <w:t>Mylan, Inc. from September 2012 to September 2014 and Chief Medical Officer at Metabolex, Inc. from October 2011 to June 2012. From June 2004 to October 2011, Dr. Urbanski held several positions with Pfizer Inc. most recently as Vice President and Medical Head of the Established Products Business Unit. He also served as Vice President of Research and Development and Chief Medical Officer at Suntory Pharmaceutical, Inc. Dr. Urbanski earned both his M.D. and Ph.D. in pharmacology and toxicology at the University of Medicine and Dentistry of New Jersey. He completed his residency and fellowship training at Thomas Jefferson University Hospital in Philadelphia.</w:t>
      </w:r>
    </w:p>
    <w:p>
      <w:pPr>
        <w:spacing w:after="0" w:line="181" w:lineRule="exact"/>
        <w:rPr>
          <w:sz w:val="20"/>
          <w:szCs w:val="20"/>
          <w:color w:val="auto"/>
        </w:rPr>
      </w:pPr>
    </w:p>
    <w:p>
      <w:pPr>
        <w:ind w:right="20" w:firstLine="457"/>
        <w:spacing w:after="0" w:line="314" w:lineRule="auto"/>
        <w:rPr>
          <w:sz w:val="20"/>
          <w:szCs w:val="20"/>
          <w:color w:val="auto"/>
        </w:rPr>
      </w:pPr>
      <w:r>
        <w:rPr>
          <w:rFonts w:ascii="Arial" w:cs="Arial" w:eastAsia="Arial" w:hAnsi="Arial"/>
          <w:sz w:val="15"/>
          <w:szCs w:val="15"/>
          <w:i w:val="1"/>
          <w:iCs w:val="1"/>
          <w:color w:val="auto"/>
        </w:rPr>
        <w:t xml:space="preserve">Rosabel R. Alinaya </w:t>
      </w:r>
      <w:r>
        <w:rPr>
          <w:rFonts w:ascii="Arial" w:cs="Arial" w:eastAsia="Arial" w:hAnsi="Arial"/>
          <w:sz w:val="15"/>
          <w:szCs w:val="15"/>
          <w:color w:val="auto"/>
        </w:rPr>
        <w:t>has been our Senior Vice President, Principal Accounting Officer since January 2016 with responsibility for finance, accounting, tax,</w:t>
      </w:r>
      <w:r>
        <w:rPr>
          <w:rFonts w:ascii="Arial" w:cs="Arial" w:eastAsia="Arial" w:hAnsi="Arial"/>
          <w:sz w:val="15"/>
          <w:szCs w:val="15"/>
          <w:i w:val="1"/>
          <w:iCs w:val="1"/>
          <w:color w:val="auto"/>
        </w:rPr>
        <w:t xml:space="preserve"> </w:t>
      </w:r>
      <w:r>
        <w:rPr>
          <w:rFonts w:ascii="Arial" w:cs="Arial" w:eastAsia="Arial" w:hAnsi="Arial"/>
          <w:sz w:val="15"/>
          <w:szCs w:val="15"/>
          <w:color w:val="auto"/>
        </w:rPr>
        <w:t>treasury, investor relations and risk management. Previously, she was our Vice President, Finance since March 2011 after serving as our Corporate Controller since June 2003. Ms. Alinaya began her career at Deloitte &amp; Touche LLP, graduating from California State University, Northridge and is a Certified Public Accountant. She is also a member of the American Institute of Certified Public Accountants and a member of the California Society of Certified Public Accountants.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Executive officers serve at the discretion of our Board of Directors. There are no family relationships between any of our directors and executive officers.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We will need to raise additional capital to fund our operations, and our inability to do so could raise substantial doubt about our ability to continue as a going concern.</w:t>
      </w:r>
    </w:p>
    <w:p>
      <w:pPr>
        <w:spacing w:after="0" w:line="53"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This report includes disclosures stating that our existing cash resources and our accumulated stockholders’ deficit raise substantial doubt about our ability to continue as a going concern. We will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and to avoid defaulting under the covenant in our facility agreement with Deerfield Private Design Fund II, L.P. (“Deerfield Private Design Fund”) and Deerfield Private Design International II, L.P. (collectively, “Deerfield”) dated July 1, 2013 (as amended, the “Facility Agreement”), which requires us to maintain at least $25.0 million in cash and cash equivalents or available borrowings under the loan arrangement, dated as of October 2, 2007, between us and The Mann Group LLC (as amended, restated, or otherwise modified as of the date hereof, “The Mann Group Loan Arrangement”), as of the last day of each fiscal quarter. It may be difficult for us to raise additional funds on favorable terms, or at all. As of December 31, 2016, we had cash and cash equivalents of $22.9 million and a stockholders’ deficit of $183.6 million, which raises concerns about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9"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solvency and ability to continue as a going concern. The extent of our additional funding requirements will depend on a number of factors, including:</w:t>
      </w:r>
    </w:p>
    <w:p>
      <w:pPr>
        <w:spacing w:after="0" w:line="132" w:lineRule="exact"/>
        <w:rPr>
          <w:sz w:val="20"/>
          <w:szCs w:val="20"/>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degree to which Afrezza is commercially successful;</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degree to which we are able to generate revenue from our Technosphere drug delivery platform;</w:t>
      </w:r>
    </w:p>
    <w:p>
      <w:pPr>
        <w:spacing w:after="0" w:line="131" w:lineRule="exact"/>
        <w:rPr>
          <w:rFonts w:ascii="Arial" w:cs="Arial" w:eastAsia="Arial" w:hAnsi="Arial"/>
          <w:sz w:val="17"/>
          <w:szCs w:val="17"/>
          <w:color w:val="auto"/>
        </w:rPr>
      </w:pPr>
    </w:p>
    <w:p>
      <w:pPr>
        <w:ind w:left="900" w:right="720" w:hanging="332"/>
        <w:spacing w:after="0" w:line="28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developing and commercializing Afrezza on our own in the United States, including the costs of building our commercialization capabilities;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finding regional collaboration partners for the development and commercialization of Afrezza in foreign jurisdictions;</w:t>
      </w:r>
    </w:p>
    <w:p>
      <w:pPr>
        <w:spacing w:after="0" w:line="131" w:lineRule="exact"/>
        <w:rPr>
          <w:rFonts w:ascii="Arial" w:cs="Arial" w:eastAsia="Arial" w:hAnsi="Arial"/>
          <w:sz w:val="17"/>
          <w:szCs w:val="17"/>
          <w:color w:val="auto"/>
        </w:rPr>
      </w:pPr>
    </w:p>
    <w:p>
      <w:pPr>
        <w:ind w:left="900" w:right="20" w:hanging="332"/>
        <w:spacing w:after="0" w:line="273"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demand by any or all of the holders of the 5.75% Convertible Senior Subordinated Exchange Notes due 2018 (the “2018 notes”), the 9.75% Senior Convertible Notes due 2019 issued to Deerfield (the “2019 notes”), and the 8.75% Senior Convertible Notes due 2019 issued to Deerfield (the “Tranche B notes”) to require us to repay or repurchase such debt securities if and when required;</w:t>
      </w:r>
    </w:p>
    <w:p>
      <w:pPr>
        <w:spacing w:after="0" w:line="79" w:lineRule="exact"/>
        <w:rPr>
          <w:rFonts w:ascii="Arial" w:cs="Arial" w:eastAsia="Arial" w:hAnsi="Arial"/>
          <w:sz w:val="17"/>
          <w:szCs w:val="17"/>
          <w:color w:val="auto"/>
        </w:rPr>
      </w:pPr>
    </w:p>
    <w:p>
      <w:pPr>
        <w:ind w:left="900" w:right="240" w:hanging="332"/>
        <w:spacing w:after="0" w:line="28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repay or refinance existing indebtedness, and the extent to which the 2018 notes or any other convertible debt securities we may issue are converted into or exchanged for shares of our common stock;</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rate of progress and costs of our clinical studies and research and development activities;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procuring raw materials and operating our manufacturing facilities;</w:t>
      </w:r>
    </w:p>
    <w:p>
      <w:pPr>
        <w:spacing w:after="0" w:line="131" w:lineRule="exact"/>
        <w:rPr>
          <w:rFonts w:ascii="Arial" w:cs="Arial" w:eastAsia="Arial" w:hAnsi="Arial"/>
          <w:sz w:val="17"/>
          <w:szCs w:val="17"/>
          <w:color w:val="auto"/>
        </w:rPr>
      </w:pPr>
    </w:p>
    <w:p>
      <w:pPr>
        <w:jc w:val="both"/>
        <w:ind w:left="900" w:right="40" w:hanging="332"/>
        <w:spacing w:after="0" w:line="359"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obligation to make milestone payments pursuant to the milestone rights issued to Deerfield Private Design Fund and Horizon Santé FLML SÁRL (collectively, the “Milestone Purchasers”) and pursuant to the Milestone Rights Purchase Agreement dated July 1, 2013 (the “Milestone Agreement”);</w:t>
      </w:r>
    </w:p>
    <w:p>
      <w:pPr>
        <w:spacing w:after="0" w:line="20" w:lineRule="exact"/>
        <w:rPr>
          <w:rFonts w:ascii="Arial" w:cs="Arial" w:eastAsia="Arial" w:hAnsi="Arial"/>
          <w:sz w:val="15"/>
          <w:szCs w:val="15"/>
          <w:color w:val="auto"/>
        </w:rPr>
      </w:pPr>
    </w:p>
    <w:p>
      <w:pPr>
        <w:ind w:left="900" w:right="40" w:hanging="332"/>
        <w:spacing w:after="0" w:line="28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in establishing strategic business collaborations or other sales or licensing of assets, and the timing and amount of any payments we might receive from any such transactions;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actions taken by the FDA and other regulatory authorities affecting Afrezza and our product candidates and competitive products;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emergence of competing technologies and products and other market developments;</w:t>
      </w:r>
    </w:p>
    <w:p>
      <w:pPr>
        <w:spacing w:after="0" w:line="131" w:lineRule="exact"/>
        <w:rPr>
          <w:rFonts w:ascii="Arial" w:cs="Arial" w:eastAsia="Arial" w:hAnsi="Arial"/>
          <w:sz w:val="17"/>
          <w:szCs w:val="17"/>
          <w:color w:val="auto"/>
        </w:rPr>
      </w:pPr>
    </w:p>
    <w:p>
      <w:pPr>
        <w:ind w:left="900" w:hanging="332"/>
        <w:spacing w:after="0" w:line="28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preparing, filing, prosecuting, maintaining and enforcing patent claims and other intellectual property rights or defending against claims of infringement by others;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level of our legal and litigation expenses;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24"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will need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49"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58"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65"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in which case we will be required to raise additional capital. There can be no assurances that we will be able to raise additional capital on favorable terms, or at all. If we are unable to raise adequate additional capital we will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83" w:lineRule="exact"/>
        <w:rPr>
          <w:sz w:val="20"/>
          <w:szCs w:val="20"/>
          <w:color w:val="auto"/>
        </w:rPr>
      </w:pPr>
    </w:p>
    <w:p>
      <w:pPr>
        <w:ind w:right="540"/>
        <w:spacing w:after="0" w:line="289" w:lineRule="auto"/>
        <w:rPr>
          <w:sz w:val="20"/>
          <w:szCs w:val="20"/>
          <w:color w:val="auto"/>
        </w:rPr>
      </w:pPr>
      <w:r>
        <w:rPr>
          <w:rFonts w:ascii="Arial" w:cs="Arial" w:eastAsia="Arial" w:hAnsi="Arial"/>
          <w:sz w:val="17"/>
          <w:szCs w:val="17"/>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53"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We anticipate that our near term revenues will also, to a much lesser extent, depend on our ability to enter into licensing arrangements for our Technosphere platform technology that involve license, milestone, royalty or other payments to us.</w:t>
      </w:r>
    </w:p>
    <w:p>
      <w:pPr>
        <w:spacing w:after="0" w:line="17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assumed responsibility for worldwide commercialization of Afrezza in April 2016, prior to which time Sanofi was responsible for global commercial activities for Afrezza. We began distributing Afrezza in the United States in late July 2016, and intend to continue the commercialization of Afrezza in the United States through our own commercial organization. Successful commercialization of Afrezza is subject to many risks and there are many factors that could cause the commercialization of Afrezza to be unsuccessful, including a number of factors that are outside our control. We ultimately may be unable to gain market acceptance of Afrezza for a variety of reasons, including the treatment and dosage regimen, potential adverse effects, relative pricing compared with alternative products, the availability of alternative treatments and lack of coverage or adequate reimbursement.</w:t>
      </w:r>
    </w:p>
    <w:p>
      <w:pPr>
        <w:spacing w:after="0" w:line="181"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We have never, as an organization, launched or commercialized a product other than Afrezza, and there is no guarantee that we will be able to successfully do so with Afrezza. There are numerous examples of unsuccessful product launches, second launches that underperform original expectations and other failures to fully exploit the market potential of drug products, including by pharmaceutical companies with more experience and resources than us. During our initial transition of the commercial responsibilities from Sanofi, we utilized a contract sales organization to promote Afrezza while we focused our internal resources on establishing a channel strategy, entering into distribution agreements and developing co-pay assistance programs, a voucher program, data agreements and payor relationships. In early 2017, we recruited our own sales force, which included some of the sales representatives that previously were employed by the contract sales organization. We intend to continue the commercialization of Afrezza in the United States through our internal commercial organization. We will need to maintain and continue to build our commercialization capabilities in order to successfully commercialize Afrezza in the United States, and we may not have sufficient resources to do so. The market for skilled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449"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commercial personnel is highly competitive, and we may not be able to retain and find and hire all of the personnel we need on a timely basis or retain them for a sufficient period. In addition, Afrezza is a novel insulin therapy with a distinct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82" w:lineRule="exact"/>
        <w:rPr>
          <w:sz w:val="20"/>
          <w:szCs w:val="20"/>
          <w:color w:val="auto"/>
        </w:rPr>
      </w:pPr>
    </w:p>
    <w:p>
      <w:pPr>
        <w:ind w:right="140" w:firstLine="457"/>
        <w:spacing w:after="0" w:line="359" w:lineRule="auto"/>
        <w:rPr>
          <w:sz w:val="20"/>
          <w:szCs w:val="20"/>
          <w:color w:val="auto"/>
        </w:rPr>
      </w:pPr>
      <w:r>
        <w:rPr>
          <w:rFonts w:ascii="Arial" w:cs="Arial" w:eastAsia="Arial" w:hAnsi="Arial"/>
          <w:sz w:val="15"/>
          <w:szCs w:val="15"/>
          <w:color w:val="auto"/>
        </w:rPr>
        <w:t>If we are unable to maintain coverage of, and adequate payment levels for Afrezza, physicians may limit how much or under what circumstances they will prescribe or administer Afrezza. As a result, patients may decline to purchase Afrezza, which would have an adverse effect on our ability to generate revenues.</w:t>
      </w:r>
    </w:p>
    <w:p>
      <w:pPr>
        <w:spacing w:after="0" w:line="113"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We are responsible for the NDA for Afrezza and its maintenance. Prior to the termination of the Sanofi License Agreement in April 2016, we had no experience with the maintenance of an NDA and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78"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Maintaining and further building the internal infrastructure to further develop and commercialize Afrezza is costly and time-consuming, and we may not be successful in our efforts or successful in obtaining financing to support those efforts.</w:t>
      </w:r>
    </w:p>
    <w:p>
      <w:pPr>
        <w:spacing w:after="0" w:line="158" w:lineRule="exact"/>
        <w:rPr>
          <w:sz w:val="20"/>
          <w:szCs w:val="20"/>
          <w:color w:val="auto"/>
        </w:rPr>
      </w:pPr>
    </w:p>
    <w:p>
      <w:pPr>
        <w:ind w:right="440" w:firstLine="457"/>
        <w:spacing w:after="0" w:line="289" w:lineRule="auto"/>
        <w:rPr>
          <w:sz w:val="20"/>
          <w:szCs w:val="20"/>
          <w:color w:val="auto"/>
        </w:rPr>
      </w:pPr>
      <w:r>
        <w:rPr>
          <w:rFonts w:ascii="Arial" w:cs="Arial" w:eastAsia="Arial" w:hAnsi="Arial"/>
          <w:sz w:val="17"/>
          <w:szCs w:val="17"/>
          <w:color w:val="auto"/>
        </w:rPr>
        <w:t>If we fail to successfully commercialize Afrezza in the United States, our business, financial condition and results of operations will be materially and adversely affected.</w:t>
      </w:r>
    </w:p>
    <w:p>
      <w:pPr>
        <w:spacing w:after="0" w:line="263"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We expect that our results of operations will fluctuate for the foreseeable future, which may make it difficult to predict our future performance from period to period.</w:t>
      </w:r>
    </w:p>
    <w:p>
      <w:pPr>
        <w:spacing w:after="0" w:line="53" w:lineRule="exact"/>
        <w:rPr>
          <w:sz w:val="20"/>
          <w:szCs w:val="20"/>
          <w:color w:val="auto"/>
        </w:rPr>
      </w:pPr>
    </w:p>
    <w:p>
      <w:pPr>
        <w:ind w:right="500" w:firstLine="457"/>
        <w:spacing w:after="0" w:line="297" w:lineRule="auto"/>
        <w:rPr>
          <w:sz w:val="20"/>
          <w:szCs w:val="20"/>
          <w:color w:val="auto"/>
        </w:rPr>
      </w:pPr>
      <w:r>
        <w:rPr>
          <w:rFonts w:ascii="Arial" w:cs="Arial" w:eastAsia="Arial" w:hAnsi="Arial"/>
          <w:sz w:val="16"/>
          <w:szCs w:val="16"/>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will need to raise additional capital to fund our operations, and our inability to do so could raise substantial doubt about our ability to continue as a going concern.”</w:t>
      </w:r>
    </w:p>
    <w:p>
      <w:pPr>
        <w:spacing w:after="0" w:line="15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We believe that comparisons from period to period of our financial results are not necessarily meaningful and should not be relied upon as indications of our future performance.</w:t>
      </w:r>
    </w:p>
    <w:p>
      <w:pPr>
        <w:spacing w:after="0" w:line="26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b w:val="1"/>
          <w:bCs w:val="1"/>
          <w:i w:val="1"/>
          <w:iCs w:val="1"/>
          <w:color w:val="auto"/>
        </w:rPr>
        <w:t>If we do not obtain regulatory approval of Afrezza in foreign jurisdictions, we will not be able to market Afrezza in any jurisdiction outside of the United States, which could limit our commercial revenues. We may not be successful in establishing regional partnerships or other arrangements with third parties for the commercialization of Afrezza outside of the United States.</w:t>
      </w:r>
    </w:p>
    <w:p>
      <w:pPr>
        <w:spacing w:after="0" w:line="66"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While Afrezza has been approved in the United States by the FDA for glycemic control in adult patients with diabetes, we have not yet sought approval in any other jurisdiction. In order to market Afrezza outside of the United States, we must obtain regulatory approval in each applicable foreign jurisdiction, and we may never be able to obtain such approvals. The research, testing, manufacturing, labeling, approval, sale, import, export, marketing, and distribution of pharmaceutical products outside the United States are subject to extensive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449" w:right="27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regulation by foreign regulatory authorities, whose regulations differ from country to country. We will be required to comply with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NDA for Afrezza.</w:t>
      </w:r>
    </w:p>
    <w:p>
      <w:pPr>
        <w:spacing w:after="0" w:line="178" w:lineRule="exact"/>
        <w:rPr>
          <w:sz w:val="20"/>
          <w:szCs w:val="20"/>
          <w:color w:val="auto"/>
        </w:rPr>
      </w:pPr>
    </w:p>
    <w:p>
      <w:pPr>
        <w:ind w:right="40" w:firstLine="457"/>
        <w:spacing w:after="0" w:line="300" w:lineRule="auto"/>
        <w:rPr>
          <w:sz w:val="20"/>
          <w:szCs w:val="20"/>
          <w:color w:val="auto"/>
        </w:rPr>
      </w:pPr>
      <w:r>
        <w:rPr>
          <w:rFonts w:ascii="Arial" w:cs="Arial" w:eastAsia="Arial" w:hAnsi="Arial"/>
          <w:sz w:val="15"/>
          <w:szCs w:val="15"/>
          <w:color w:val="auto"/>
        </w:rPr>
        <w:t>Our current strategy for the future commercialization of Afrezza outside of the United States, subject to receipt of the necessary regulatory approvals, is to seek and establish regional partnerships in foreign jurisdictions where there are appropriate commercial opportunities. It may be difficult to find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especially in the current market,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develop and commercialize our product candidates.</w:t>
      </w:r>
    </w:p>
    <w:p>
      <w:pPr>
        <w:spacing w:after="0" w:line="1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development and commercialization of Afrezza, we will not be able to advance these programs unless we are able to enter into collaborations with third parties to fund of these programs or to obtain funding to enable us to continue these programs.</w:t>
      </w:r>
    </w:p>
    <w:p>
      <w:pPr>
        <w:spacing w:after="0" w:line="165" w:lineRule="exact"/>
        <w:rPr>
          <w:sz w:val="20"/>
          <w:szCs w:val="20"/>
          <w:color w:val="auto"/>
        </w:rPr>
      </w:pPr>
    </w:p>
    <w:p>
      <w:pPr>
        <w:ind w:right="20" w:firstLine="457"/>
        <w:spacing w:after="0" w:line="308" w:lineRule="auto"/>
        <w:rPr>
          <w:sz w:val="20"/>
          <w:szCs w:val="20"/>
          <w:color w:val="auto"/>
        </w:rPr>
      </w:pPr>
      <w:r>
        <w:rPr>
          <w:rFonts w:ascii="Arial" w:cs="Arial" w:eastAsia="Arial" w:hAnsi="Arial"/>
          <w:sz w:val="15"/>
          <w:szCs w:val="15"/>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 to the revenues we can generate from Afrezza.</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42"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We have never been profitable or generated positive cash flow from cumulative operations to date. Historically, we have reported negative cash flow from operations other than for the nine months ended September 30, 2014, for the year ended December 31, 2014, and for the three months ended March 31, 2015 as a result of our receipt of an upfront payment and milestone payments from Sanofi. As of December 31, 2016, we had an accumulated deficit of $2.7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continue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commercialization of Afrezza. In connection with our quarterly assessment of impairment indicators and inventory valuation for the quarter ended December 31, 2015, we identified an impairment of our long-lived assets and inventory, which resulted in charges of $140.4 million and $36.1 million, respectively, in such quarter. In addition, under the amended Insulin Supply Agreement with Amphastar, we agreed to purchase certain annual minimum quantities of insulin for calendar years 2017 through 2023 for an aggregate total remaining purchase price of €93.0 million at December 31, 2016. We may not have the necessary capital resources on hand in order to service this contractual commitment.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losses have had, and are expected to continue to have, an adverse impact on our working capital, total assets and stockholders’ equity.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we had stockholders’ deficit of $183.6 million. Our ability to achieve and sustain positive cash flow from operations and profitability depends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heavily upon successfully commercializing Afrezza, and we cannot be sure when, if ever, we will generate positive cash flow from operations or become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profitable.</w:t>
      </w:r>
    </w:p>
    <w:p>
      <w:pPr>
        <w:spacing w:after="0" w:line="316"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We have a substantial amount of debt pursuant to the 2018 notes, 2019 notes, Tranche B notes and The Mann Group Loan Arrangement, and we may be unable to make required payments of interest and principal as they become due.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we had $152.1 million principal amount of outstanding debt, consisting of:</w:t>
      </w:r>
    </w:p>
    <w:p>
      <w:pPr>
        <w:spacing w:after="0" w:line="132" w:lineRule="exact"/>
        <w:rPr>
          <w:sz w:val="20"/>
          <w:szCs w:val="20"/>
          <w:color w:val="auto"/>
        </w:rPr>
      </w:pPr>
    </w:p>
    <w:p>
      <w:pPr>
        <w:ind w:left="900" w:hanging="450"/>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$27.6 million principal amount of 2018 notes bearing interest at 5.75% per annum and maturing on August 15, 2018;</w:t>
      </w:r>
    </w:p>
    <w:p>
      <w:pPr>
        <w:spacing w:after="0" w:line="131" w:lineRule="exact"/>
        <w:rPr>
          <w:rFonts w:ascii="Arial" w:cs="Arial" w:eastAsia="Arial" w:hAnsi="Arial"/>
          <w:sz w:val="17"/>
          <w:szCs w:val="17"/>
          <w:color w:val="auto"/>
        </w:rPr>
      </w:pPr>
    </w:p>
    <w:p>
      <w:pPr>
        <w:ind w:left="900" w:right="800" w:hanging="450"/>
        <w:spacing w:after="0" w:line="32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$55.0 million principal amount of 2019 notes bearing interest at 9.75% per annum, $15.0 million of which is due and payable in July 2017, $15.0 million of which is due and payable in July 2018 and $25.0 million of which is due and payable in July and December 2019;</w:t>
      </w:r>
    </w:p>
    <w:p>
      <w:pPr>
        <w:spacing w:after="0" w:line="43" w:lineRule="exact"/>
        <w:rPr>
          <w:rFonts w:ascii="Arial" w:cs="Arial" w:eastAsia="Arial" w:hAnsi="Arial"/>
          <w:sz w:val="16"/>
          <w:szCs w:val="16"/>
          <w:color w:val="auto"/>
        </w:rPr>
      </w:pPr>
    </w:p>
    <w:p>
      <w:pPr>
        <w:ind w:left="900" w:right="360" w:hanging="450"/>
        <w:spacing w:after="0" w:line="28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$20.0 million principal amount of Tranche B notes bearing interest at 8.75% per annum, $5.0 million of which is due and payable in each of May 2017, 2018 and 2019, and $5.0 million of which is due and payable in December 2019; and</w:t>
      </w:r>
    </w:p>
    <w:p>
      <w:pPr>
        <w:spacing w:after="0" w:line="66" w:lineRule="exact"/>
        <w:rPr>
          <w:rFonts w:ascii="Arial" w:cs="Arial" w:eastAsia="Arial" w:hAnsi="Arial"/>
          <w:sz w:val="17"/>
          <w:szCs w:val="17"/>
          <w:color w:val="auto"/>
        </w:rPr>
      </w:pPr>
    </w:p>
    <w:p>
      <w:pPr>
        <w:ind w:left="900" w:right="560" w:hanging="450"/>
        <w:spacing w:after="0" w:line="28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$49.5 million principal amount of indebtedness under The Mann Group Loan Arrangement bearing interest at 5.84% and maturing and due on January 5, 2020.</w:t>
      </w:r>
    </w:p>
    <w:p>
      <w:pPr>
        <w:spacing w:after="0" w:line="158"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We may borrow an additional $30.1 million under The Mann Group Loan Arrangement. The available borrowings may be used to capitalize accrued interest into principal upon mutual agreement of the parties, as accrued interest becomes due and payable under The Mann Group Loan Arrangement. As of December 31, 2016 the accrued and unpaid interest under The Mann Group Loan Arrangement was $9.3 million.</w:t>
      </w:r>
    </w:p>
    <w:p>
      <w:pPr>
        <w:spacing w:after="0" w:line="171"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Mann Group Loan Arrangement accrue interest at a rate of 5.84% per annum, due and payable quarterly in arrears on the first day of each calendar quarter for the preceding quarter, or at such other time as we and The Mann Group mutually agree. While we have been able to timely make our required interest payments to date, we cannot guarantee that we will be able to do so in the future. If we fail to pay interest on the 2018 notes, 2019 notes,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49"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Tranche B notes, or if we fail to repay or repurchase the 2018 notes, 2019 notes, Tranche B notes, or the loans under The Mann Group Loan Arrangement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266" w:lineRule="exact"/>
        <w:rPr>
          <w:sz w:val="20"/>
          <w:szCs w:val="20"/>
          <w:color w:val="auto"/>
        </w:rPr>
      </w:pPr>
    </w:p>
    <w:p>
      <w:pPr>
        <w:ind w:right="740"/>
        <w:spacing w:after="0" w:line="289" w:lineRule="auto"/>
        <w:rPr>
          <w:sz w:val="20"/>
          <w:szCs w:val="20"/>
          <w:color w:val="auto"/>
        </w:rPr>
      </w:pPr>
      <w:r>
        <w:rPr>
          <w:rFonts w:ascii="Arial" w:cs="Arial" w:eastAsia="Arial" w:hAnsi="Arial"/>
          <w:sz w:val="17"/>
          <w:szCs w:val="17"/>
          <w:b w:val="1"/>
          <w:bCs w:val="1"/>
          <w:i w:val="1"/>
          <w:iCs w:val="1"/>
          <w:color w:val="auto"/>
        </w:rPr>
        <w:t>The agreements governing our indebtedness contain covenants that we may not be able to meet and place restrictions on our operating and financial flexibility.</w:t>
      </w:r>
    </w:p>
    <w:p>
      <w:pPr>
        <w:spacing w:after="0" w:line="53"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Our obligations under the Facility Agreement, including any indebtedness under the 2019 notes and the Tranche B notes, and the Milestone Agreement are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The Mann Group Loan Arrangement, falling below $25.0 million as of the last day of any fiscal quarter. If we fail to timely pay accrued interest under The Mann Group Loan Arrangement when required, we will be in default under The Mann Group Loan Arrangement. During any such time as an event of default is continuing under The Mann Group Loan Arrangement, The Mann Group will not be obligated to make additional borrowings available to us. If an event of default is continuing under The Mann Group Loan Arrangement as of the last day of a fiscal quarter, we may be in breach of the financial covenant under the Facility Agreement that requires us to maintain cash and cash equivalents (including available borrowings under The Mann Group Loan Arrangement) of at least $25.0 million if our other cash and cash equivalents on hand do not equal or exceed $25.0 million.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82"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There can be no assurance that we will be able to comply with the covenants under any of the foregoing agreements, and we cannot predict whether the holders of the 2019 notes or Tranche B notes would demand repayment of the outstanding balance of the 2019 notes or the Tranche B notes as applicable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and the holders of our other securities.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2018 notes. In the event of certain future defaults under the foregoing agreements for which we are not able to obtain waivers, the holders of the 2018 notes, 2019 notes and Tranche B notes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9"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accelerate all of our repayment obligations, and, with respect to the 2019 notes and Tranche B notes, take control of our pledged assets, potentially requiring us to renegotiate the terms of our indebtedness on terms less favorable to us, or to immediately cease operations. If we enter into additional debt arrangements, the terms of such additional arrangements could further restrict our operating and financial flexibility. In the event we must cease operations and liquidate our assets, the rights of any holders of our outstanding secured debt would be senior to the rights of the holders of our unsecured debt and our common stock to receive any proceeds from the liquidation.</w:t>
      </w:r>
    </w:p>
    <w:p>
      <w:pPr>
        <w:spacing w:after="0" w:line="283"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6" w:lineRule="exact"/>
        <w:rPr>
          <w:sz w:val="20"/>
          <w:szCs w:val="20"/>
          <w:color w:val="auto"/>
        </w:rPr>
      </w:pPr>
    </w:p>
    <w:p>
      <w:pPr>
        <w:ind w:left="900" w:hanging="332"/>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rate of progress, costs and results of our clinical studies and preclinical research and development activities;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identify and enroll patients who meet clinical study eligibility criteria;</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costs of expanding and maintaining manufacturing operations, as necessary;</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actions by regulators.</w:t>
      </w:r>
    </w:p>
    <w:p>
      <w:pPr>
        <w:spacing w:after="0" w:line="2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Afrezza or our product candidates may be rendered obsolete by rapid technological change.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number of established pharmaceutical companies have or are developing technologies for the treatment of unmet medical needs.</w:t>
      </w:r>
    </w:p>
    <w:p>
      <w:pPr>
        <w:spacing w:after="0" w:line="224" w:lineRule="exact"/>
        <w:rPr>
          <w:sz w:val="20"/>
          <w:szCs w:val="20"/>
          <w:color w:val="auto"/>
        </w:rPr>
      </w:pPr>
    </w:p>
    <w:p>
      <w:pPr>
        <w:ind w:right="180" w:firstLine="457"/>
        <w:spacing w:after="0" w:line="285" w:lineRule="auto"/>
        <w:rPr>
          <w:sz w:val="20"/>
          <w:szCs w:val="20"/>
          <w:color w:val="auto"/>
        </w:rPr>
      </w:pPr>
      <w:r>
        <w:rPr>
          <w:rFonts w:ascii="Arial" w:cs="Arial" w:eastAsia="Arial" w:hAnsi="Arial"/>
          <w:sz w:val="16"/>
          <w:szCs w:val="16"/>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For example, in January 2017, Novo Nordisk announced that Fiasp</w:t>
      </w:r>
      <w:r>
        <w:rPr>
          <w:rFonts w:ascii="Arial" w:cs="Arial" w:eastAsia="Arial" w:hAnsi="Arial"/>
          <w:sz w:val="13"/>
          <w:szCs w:val="13"/>
          <w:color w:val="auto"/>
        </w:rPr>
        <w:t>®</w:t>
      </w:r>
      <w:r>
        <w:rPr>
          <w:rFonts w:ascii="Arial" w:cs="Arial" w:eastAsia="Arial" w:hAnsi="Arial"/>
          <w:sz w:val="16"/>
          <w:szCs w:val="16"/>
          <w:color w:val="auto"/>
        </w:rPr>
        <w:t>, a faster formulation of insulin aspart, was approved in Europe and Canada. It is currently undergoing regulatory review in the United States. Our future success will depend not only on our ability to develop our product candidates but to improve them and keep pace with emerging industry developments. We cannot assure you that we will be able to do so.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49"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76"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b w:val="1"/>
          <w:bCs w:val="1"/>
          <w:i w:val="1"/>
          <w:iCs w:val="1"/>
          <w:color w:val="auto"/>
        </w:rPr>
        <w:t>Continued testing of Afrezza or our product candidates may not yield successful results, and even if it does, we may still be unable to commercialize our product candidates.</w:t>
      </w:r>
    </w:p>
    <w:p>
      <w:pPr>
        <w:spacing w:after="0" w:line="53"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2" w:lineRule="exact"/>
        <w:rPr>
          <w:sz w:val="20"/>
          <w:szCs w:val="20"/>
          <w:color w:val="auto"/>
        </w:rPr>
      </w:pPr>
    </w:p>
    <w:p>
      <w:pPr>
        <w:jc w:val="both"/>
        <w:ind w:right="200" w:firstLine="457"/>
        <w:spacing w:after="0" w:line="273" w:lineRule="auto"/>
        <w:rPr>
          <w:sz w:val="20"/>
          <w:szCs w:val="20"/>
          <w:color w:val="auto"/>
        </w:rPr>
      </w:pPr>
      <w:r>
        <w:rPr>
          <w:rFonts w:ascii="Arial" w:cs="Arial" w:eastAsia="Arial" w:hAnsi="Arial"/>
          <w:sz w:val="17"/>
          <w:szCs w:val="17"/>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9" w:lineRule="exact"/>
        <w:rPr>
          <w:sz w:val="20"/>
          <w:szCs w:val="20"/>
          <w:color w:val="auto"/>
        </w:rPr>
      </w:pPr>
    </w:p>
    <w:p>
      <w:pPr>
        <w:jc w:val="both"/>
        <w:ind w:left="900" w:right="160" w:hanging="332"/>
        <w:spacing w:after="0" w:line="27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79" w:lineRule="exact"/>
        <w:rPr>
          <w:rFonts w:ascii="Arial" w:cs="Arial" w:eastAsia="Arial" w:hAnsi="Arial"/>
          <w:sz w:val="17"/>
          <w:szCs w:val="17"/>
          <w:color w:val="auto"/>
        </w:rPr>
      </w:pPr>
    </w:p>
    <w:p>
      <w:pPr>
        <w:ind w:left="900" w:right="400" w:hanging="332"/>
        <w:spacing w:after="0" w:line="28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after reviewing clinical data, we or any collaborators may abandon projects that we previously believed were promising; and</w:t>
      </w:r>
    </w:p>
    <w:p>
      <w:pPr>
        <w:spacing w:after="0" w:line="131" w:lineRule="exact"/>
        <w:rPr>
          <w:rFonts w:ascii="Arial" w:cs="Arial" w:eastAsia="Arial" w:hAnsi="Arial"/>
          <w:sz w:val="17"/>
          <w:szCs w:val="17"/>
          <w:color w:val="auto"/>
        </w:rPr>
      </w:pPr>
    </w:p>
    <w:p>
      <w:pPr>
        <w:ind w:left="900" w:right="300" w:hanging="332"/>
        <w:spacing w:after="0" w:line="28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product candidates may not produce the desired effects or may result in adverse health effects or other characteristics that preclude regulatory approval or limit their commercial use once approved.</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7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6"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our Afrezza inhaler, the related cartridges and other materials. Currently, the only approved source of insulin for Afrezza is manufactured by Amphastar. We must rely on our suppliers, including Amphastar, to comply with relevant regulatory and other legal requirements, including the production of insulin and FDKP in accordance with the FDA’s cGMP for drug products, and the production of the Afrezza inhaler and related cartridges in accordance with QSRs. The supply of any of these materials may be limited or any of the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360"/>
          </w:cols>
          <w:pgMar w:left="240" w:top="449" w:right="2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Likewise, if Amphastar ceases to manufacture or is otherwise unable to deliver insulin for Afrezza, we will need to locate an alternative source of supply and the production of Afrezza may be delayed. If any of our suppliers is unwilling or unable to meet its supply obligations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6" w:lineRule="exact"/>
        <w:rPr>
          <w:sz w:val="20"/>
          <w:szCs w:val="20"/>
          <w:color w:val="auto"/>
        </w:rPr>
      </w:pPr>
    </w:p>
    <w:p>
      <w:pPr>
        <w:ind w:right="920"/>
        <w:spacing w:after="0" w:line="289" w:lineRule="auto"/>
        <w:rPr>
          <w:sz w:val="20"/>
          <w:szCs w:val="20"/>
          <w:color w:val="auto"/>
        </w:rPr>
      </w:pPr>
      <w:r>
        <w:rPr>
          <w:rFonts w:ascii="Arial" w:cs="Arial" w:eastAsia="Arial" w:hAnsi="Arial"/>
          <w:sz w:val="17"/>
          <w:szCs w:val="17"/>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5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utilize a contract packager to assemble the final kits of foil-pouched blisters containing cartridges along with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8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269"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53" w:lineRule="exact"/>
        <w:rPr>
          <w:sz w:val="20"/>
          <w:szCs w:val="20"/>
          <w:color w:val="auto"/>
        </w:rPr>
      </w:pPr>
    </w:p>
    <w:p>
      <w:pPr>
        <w:ind w:right="460" w:firstLine="457"/>
        <w:spacing w:after="0" w:line="359" w:lineRule="auto"/>
        <w:rPr>
          <w:sz w:val="20"/>
          <w:szCs w:val="20"/>
          <w:color w:val="auto"/>
        </w:rPr>
      </w:pPr>
      <w:r>
        <w:rPr>
          <w:rFonts w:ascii="Arial" w:cs="Arial" w:eastAsia="Arial" w:hAnsi="Arial"/>
          <w:sz w:val="15"/>
          <w:szCs w:val="15"/>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w:t>
      </w:r>
    </w:p>
    <w:p>
      <w:pPr>
        <w:spacing w:after="0" w:line="132" w:lineRule="exact"/>
        <w:rPr>
          <w:sz w:val="20"/>
          <w:szCs w:val="20"/>
          <w:color w:val="auto"/>
        </w:rPr>
      </w:pPr>
    </w:p>
    <w:p>
      <w:pPr>
        <w:ind w:left="900" w:hanging="33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approved labeling claims;</w:t>
      </w:r>
    </w:p>
    <w:p>
      <w:pPr>
        <w:spacing w:after="0" w:line="131" w:lineRule="exact"/>
        <w:rPr>
          <w:rFonts w:ascii="Arial" w:cs="Arial" w:eastAsia="Arial" w:hAnsi="Arial"/>
          <w:sz w:val="17"/>
          <w:szCs w:val="17"/>
          <w:color w:val="auto"/>
        </w:rPr>
      </w:pPr>
    </w:p>
    <w:p>
      <w:pPr>
        <w:ind w:left="900" w:right="40" w:hanging="332"/>
        <w:spacing w:after="0" w:line="289"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effectiveness of efforts by us or any future marketing partner to educate physicians about the benefits and advantages of Afrezza or our other products and to provide adequate support for them, and the perceived advantages and disadvantages of competitive products;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willingness of the healthcare community and patients to adopt new technologies;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ability to manufacture the product in sufficient quantities with acceptable quality and cost;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9"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120" w:hanging="332"/>
        <w:spacing w:after="0" w:line="28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perception of patients and the healthcare community, including third-party payors, regarding the safety, efficacy and benefits compared to competing products or therapies;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convenience and ease of administration relative to existing treatment methods;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coverage and pricing and reimbursement relative to other treatment therapeutics and methods;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marketing and distribution support.</w:t>
      </w:r>
    </w:p>
    <w:p>
      <w:pPr>
        <w:spacing w:after="0" w:line="224" w:lineRule="exact"/>
        <w:rPr>
          <w:sz w:val="20"/>
          <w:szCs w:val="20"/>
          <w:color w:val="auto"/>
        </w:rPr>
      </w:pPr>
    </w:p>
    <w:p>
      <w:pPr>
        <w:ind w:right="480" w:firstLine="457"/>
        <w:spacing w:after="0" w:line="289" w:lineRule="auto"/>
        <w:rPr>
          <w:sz w:val="20"/>
          <w:szCs w:val="20"/>
          <w:color w:val="auto"/>
        </w:rPr>
      </w:pPr>
      <w:r>
        <w:rPr>
          <w:rFonts w:ascii="Arial" w:cs="Arial" w:eastAsia="Arial" w:hAnsi="Arial"/>
          <w:sz w:val="17"/>
          <w:szCs w:val="17"/>
          <w:color w:val="auto"/>
        </w:rPr>
        <w:t>Because of these and other factors, Afrezza and any other product that we develop may not gain market acceptance, which would materially harm our business, financial condition and results of operations.</w:t>
      </w:r>
    </w:p>
    <w:p>
      <w:pPr>
        <w:spacing w:after="0" w:line="263"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5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Our future revenues and ability to generate positive cash flow from operations may be affected by the continuing efforts of government and other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and reimbursement reform proposals or legislation.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55" w:lineRule="exact"/>
        <w:rPr>
          <w:sz w:val="20"/>
          <w:szCs w:val="20"/>
          <w:color w:val="auto"/>
        </w:rPr>
      </w:pPr>
    </w:p>
    <w:p>
      <w:pPr>
        <w:ind w:right="40" w:firstLine="457"/>
        <w:spacing w:after="0" w:line="27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coverage and adequate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75"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9"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8"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If we or any future marketing partner is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legislation may make it more difficult to receive revenues.</w:t>
      </w:r>
    </w:p>
    <w:p>
      <w:pPr>
        <w:spacing w:after="0" w:line="119"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86" w:lineRule="exact"/>
        <w:rPr>
          <w:sz w:val="20"/>
          <w:szCs w:val="20"/>
          <w:color w:val="auto"/>
        </w:rPr>
      </w:pPr>
    </w:p>
    <w:p>
      <w:pPr>
        <w:ind w:left="900" w:right="200" w:hanging="332"/>
        <w:spacing w:after="0" w:line="28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6"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2.3% medical device excise tax on certain transactions, including many U.S. sales of medical devices, which currently includes and we expect will continue to include U.S. sales of certain drug-device combination products;</w:t>
      </w:r>
    </w:p>
    <w:p>
      <w:pPr>
        <w:spacing w:after="0" w:line="66" w:lineRule="exact"/>
        <w:rPr>
          <w:rFonts w:ascii="Arial" w:cs="Arial" w:eastAsia="Arial" w:hAnsi="Arial"/>
          <w:sz w:val="17"/>
          <w:szCs w:val="17"/>
          <w:color w:val="auto"/>
        </w:rPr>
      </w:pPr>
    </w:p>
    <w:p>
      <w:pPr>
        <w:ind w:left="900" w:right="240" w:hanging="332"/>
        <w:spacing w:after="0" w:line="28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licensure framework for follow-on biological products;</w:t>
      </w:r>
    </w:p>
    <w:p>
      <w:pPr>
        <w:spacing w:after="0" w:line="131" w:lineRule="exact"/>
        <w:rPr>
          <w:rFonts w:ascii="Arial" w:cs="Arial" w:eastAsia="Arial" w:hAnsi="Arial"/>
          <w:sz w:val="17"/>
          <w:szCs w:val="17"/>
          <w:color w:val="auto"/>
        </w:rPr>
      </w:pPr>
    </w:p>
    <w:p>
      <w:pPr>
        <w:ind w:left="900" w:right="120" w:hanging="332"/>
        <w:spacing w:after="0" w:line="28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False Claims Act and the Anti-Kickback Statute, new government investigative powers, and enhanced penalties for noncompliance;</w:t>
      </w:r>
    </w:p>
    <w:p>
      <w:pPr>
        <w:spacing w:after="0" w:line="66" w:lineRule="exact"/>
        <w:rPr>
          <w:rFonts w:ascii="Arial" w:cs="Arial" w:eastAsia="Arial" w:hAnsi="Arial"/>
          <w:sz w:val="17"/>
          <w:szCs w:val="17"/>
          <w:color w:val="auto"/>
        </w:rPr>
      </w:pPr>
    </w:p>
    <w:p>
      <w:pPr>
        <w:ind w:left="900" w:right="60" w:hanging="332"/>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79" w:lineRule="exact"/>
        <w:rPr>
          <w:rFonts w:ascii="Arial" w:cs="Arial" w:eastAsia="Arial" w:hAnsi="Arial"/>
          <w:sz w:val="17"/>
          <w:szCs w:val="17"/>
          <w:color w:val="auto"/>
        </w:rPr>
      </w:pPr>
    </w:p>
    <w:p>
      <w:pPr>
        <w:ind w:left="900" w:right="720" w:hanging="332"/>
        <w:spacing w:after="0" w:line="28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66" w:lineRule="exact"/>
        <w:rPr>
          <w:rFonts w:ascii="Arial" w:cs="Arial" w:eastAsia="Arial" w:hAnsi="Arial"/>
          <w:sz w:val="17"/>
          <w:szCs w:val="17"/>
          <w:color w:val="auto"/>
        </w:rPr>
      </w:pPr>
    </w:p>
    <w:p>
      <w:pPr>
        <w:ind w:left="900" w:right="220" w:hanging="332"/>
        <w:spacing w:after="0" w:line="32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43" w:lineRule="exact"/>
        <w:rPr>
          <w:rFonts w:ascii="Arial" w:cs="Arial" w:eastAsia="Arial" w:hAnsi="Arial"/>
          <w:sz w:val="16"/>
          <w:szCs w:val="16"/>
          <w:color w:val="auto"/>
        </w:rPr>
      </w:pPr>
    </w:p>
    <w:p>
      <w:pPr>
        <w:ind w:left="900" w:hanging="332"/>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31" w:lineRule="exact"/>
        <w:rPr>
          <w:rFonts w:ascii="Arial" w:cs="Arial" w:eastAsia="Arial" w:hAnsi="Arial"/>
          <w:sz w:val="17"/>
          <w:szCs w:val="17"/>
          <w:color w:val="auto"/>
        </w:rPr>
      </w:pPr>
    </w:p>
    <w:p>
      <w:pPr>
        <w:ind w:left="900" w:right="200" w:hanging="332"/>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new requirements to report annually to the Centers for Medicare &amp; Medicaid Services (“CMS”)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80"/>
          </w:cols>
          <w:pgMar w:left="240" w:top="449" w:right="27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360"/>
        <w:spacing w:after="0" w:line="289" w:lineRule="auto"/>
        <w:rPr>
          <w:sz w:val="20"/>
          <w:szCs w:val="20"/>
          <w:color w:val="auto"/>
        </w:rPr>
      </w:pPr>
      <w:r>
        <w:rPr>
          <w:rFonts w:ascii="Arial" w:cs="Arial" w:eastAsia="Arial" w:hAnsi="Arial"/>
          <w:sz w:val="17"/>
          <w:szCs w:val="17"/>
          <w:color w:val="auto"/>
        </w:rPr>
        <w:t>investment interests held by physicians and their immediate family members and applicable group purchasing organizations during the preceding calendar year;</w:t>
      </w:r>
    </w:p>
    <w:p>
      <w:pPr>
        <w:spacing w:after="0" w:line="66" w:lineRule="exact"/>
        <w:rPr>
          <w:sz w:val="20"/>
          <w:szCs w:val="20"/>
          <w:color w:val="auto"/>
        </w:rPr>
      </w:pPr>
    </w:p>
    <w:p>
      <w:pPr>
        <w:ind w:left="900" w:hanging="332"/>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certain manufacturers and authorized distributors provide to physicians; and</w:t>
      </w:r>
    </w:p>
    <w:p>
      <w:pPr>
        <w:spacing w:after="0" w:line="131" w:lineRule="exact"/>
        <w:rPr>
          <w:rFonts w:ascii="Arial" w:cs="Arial" w:eastAsia="Arial" w:hAnsi="Arial"/>
          <w:sz w:val="17"/>
          <w:szCs w:val="17"/>
          <w:color w:val="auto"/>
        </w:rPr>
      </w:pPr>
    </w:p>
    <w:p>
      <w:pPr>
        <w:ind w:left="900" w:right="140" w:hanging="332"/>
        <w:spacing w:after="0" w:line="289"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158" w:lineRule="exact"/>
        <w:rPr>
          <w:sz w:val="20"/>
          <w:szCs w:val="20"/>
          <w:color w:val="auto"/>
        </w:rPr>
      </w:pPr>
    </w:p>
    <w:p>
      <w:pPr>
        <w:ind w:right="480" w:firstLine="457"/>
        <w:spacing w:after="0" w:line="273" w:lineRule="auto"/>
        <w:rPr>
          <w:sz w:val="20"/>
          <w:szCs w:val="20"/>
          <w:color w:val="auto"/>
        </w:rPr>
      </w:pPr>
      <w:r>
        <w:rPr>
          <w:rFonts w:ascii="Arial" w:cs="Arial" w:eastAsia="Arial" w:hAnsi="Arial"/>
          <w:sz w:val="17"/>
          <w:szCs w:val="17"/>
          <w:color w:val="auto"/>
        </w:rPr>
        <w:t>The medical device excise tax has been suspended by the Consolidated Appropriations Act of 2016 (the “CAA”) through December 31, 2017. Absent further Congressional action, the excise tax will be reinstated for medical device sales beginning January 1, 2018. The CAA also temporarily delays implementation of other taxes intended to help fund PPACA programs.</w:t>
      </w:r>
    </w:p>
    <w:p>
      <w:pPr>
        <w:spacing w:after="0" w:line="171"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color w:val="auto"/>
        </w:rPr>
        <w:t>Further, there have been judicial and Congressional challenges to other aspects of PPACA. As a result there have been delays in the implementation of, and action taken to repeal or replace, certain aspects of the PPACA. In January 2017, President Trump signed an Executive Order directing federal agencies with authorities and responsibilities under the PPACA to waive, defer, grant exemptions from, or delay the implementation of any provision of the PPACA that would impose a fiscal or regulatory burden on states, individuals, healthcare providers, health insurers, or manufacturers of pharmaceuticals or medical devices. Further, in January 2017, Congress adopted a budget resolution for fiscal year 2017, or the Budget Resolution, that authorizes the implementation of legislation that would repeal portions of the PPACA. Following the passage of the Budget Resolution, in March 2017, the U.S. House of Representatives introduced legislation known as the American Health Care Act, which, if enacted, would amend or repeal significant portions of the PPACA. Among other changes, the American Health Care Act would repeal the annual fee on certain brand prescription drugs and biologics imposed on manufacturers and importers, eliminate the 2.3% excise tax on medical devices, eliminate penalties on individuals and employers that fail to maintain or provide minimum essential coverage, and create refundable tax credits to assist individuals in buying health insurance. The American Health Care Act would also make significant changes to Medicaid by, among other things, making Medicaid expansion optional for states, repealing the requirement that state Medicaid plans provide the same essential health benefits that are required by plans available on the exchanges, modifying federal funding, including implementing a per capita cap on federal payments to states, and changing certain eligibility requirements. While it is uncertain when or if the provisions in the American Health Care Act will become law, or the extent to which any changes may impact our business, it is clear that concrete steps are being taken to repeal and replace certain aspects of the PPACA.</w:t>
      </w:r>
    </w:p>
    <w:p>
      <w:pPr>
        <w:spacing w:after="0" w:line="170"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and, following passage of the Bipartisan Budget Act of 2015, will stay in effect through 2025 unless additional Congressional action is taken.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449"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89" w:lineRule="auto"/>
        <w:rPr>
          <w:sz w:val="20"/>
          <w:szCs w:val="20"/>
          <w:color w:val="auto"/>
        </w:rPr>
      </w:pPr>
      <w:r>
        <w:rPr>
          <w:rFonts w:ascii="Arial" w:cs="Arial" w:eastAsia="Arial" w:hAnsi="Arial"/>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66" w:lineRule="exact"/>
        <w:rPr>
          <w:sz w:val="20"/>
          <w:szCs w:val="20"/>
          <w:color w:val="auto"/>
        </w:rPr>
      </w:pPr>
    </w:p>
    <w:p>
      <w:pPr>
        <w:ind w:right="240"/>
        <w:spacing w:after="0" w:line="359" w:lineRule="auto"/>
        <w:rPr>
          <w:sz w:val="20"/>
          <w:szCs w:val="20"/>
          <w:color w:val="auto"/>
        </w:rPr>
      </w:pPr>
      <w:r>
        <w:rPr>
          <w:rFonts w:ascii="Arial" w:cs="Arial" w:eastAsia="Arial" w:hAnsi="Arial"/>
          <w:sz w:val="15"/>
          <w:szCs w:val="15"/>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8" w:lineRule="exact"/>
        <w:rPr>
          <w:sz w:val="20"/>
          <w:szCs w:val="20"/>
          <w:color w:val="auto"/>
        </w:rPr>
      </w:pPr>
    </w:p>
    <w:p>
      <w:pPr>
        <w:ind w:right="100" w:firstLine="457"/>
        <w:spacing w:after="0" w:line="289" w:lineRule="auto"/>
        <w:rPr>
          <w:sz w:val="20"/>
          <w:szCs w:val="20"/>
          <w:color w:val="auto"/>
        </w:rPr>
      </w:pPr>
      <w:r>
        <w:rPr>
          <w:rFonts w:ascii="Arial" w:cs="Arial" w:eastAsia="Arial" w:hAnsi="Arial"/>
          <w:sz w:val="16"/>
          <w:szCs w:val="16"/>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70" w:lineRule="exact"/>
        <w:rPr>
          <w:sz w:val="20"/>
          <w:szCs w:val="20"/>
          <w:color w:val="auto"/>
        </w:rPr>
      </w:pPr>
    </w:p>
    <w:p>
      <w:pPr>
        <w:ind w:left="900" w:hanging="332"/>
        <w:spacing w:after="0" w:line="263"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89" w:lineRule="exact"/>
        <w:rPr>
          <w:rFonts w:ascii="Arial" w:cs="Arial" w:eastAsia="Arial" w:hAnsi="Arial"/>
          <w:sz w:val="17"/>
          <w:szCs w:val="17"/>
          <w:color w:val="auto"/>
        </w:rPr>
      </w:pPr>
    </w:p>
    <w:p>
      <w:pPr>
        <w:ind w:left="900" w:right="40" w:hanging="332"/>
        <w:spacing w:after="0" w:line="263"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civil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89" w:lineRule="exact"/>
        <w:rPr>
          <w:rFonts w:ascii="Arial" w:cs="Arial" w:eastAsia="Arial" w:hAnsi="Arial"/>
          <w:sz w:val="17"/>
          <w:szCs w:val="17"/>
          <w:color w:val="auto"/>
        </w:rPr>
      </w:pPr>
    </w:p>
    <w:p>
      <w:pPr>
        <w:ind w:left="900" w:right="320" w:hanging="332"/>
        <w:spacing w:after="0" w:line="273"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9" w:lineRule="exact"/>
        <w:rPr>
          <w:rFonts w:ascii="Arial" w:cs="Arial" w:eastAsia="Arial" w:hAnsi="Arial"/>
          <w:sz w:val="17"/>
          <w:szCs w:val="17"/>
          <w:color w:val="auto"/>
        </w:rPr>
      </w:pPr>
    </w:p>
    <w:p>
      <w:pPr>
        <w:ind w:left="900" w:right="100" w:hanging="332"/>
        <w:spacing w:after="0" w:line="267"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healthcare providers, health plans, and healthcare clearinghouses and their respective business associates that perform services for them that involve the creation, use, maintenance or disclosure of, individually identifiable health information;</w:t>
      </w:r>
    </w:p>
    <w:p>
      <w:pPr>
        <w:spacing w:after="0" w:line="86" w:lineRule="exact"/>
        <w:rPr>
          <w:rFonts w:ascii="Arial" w:cs="Arial" w:eastAsia="Arial" w:hAnsi="Arial"/>
          <w:sz w:val="17"/>
          <w:szCs w:val="17"/>
          <w:color w:val="auto"/>
        </w:rPr>
      </w:pPr>
    </w:p>
    <w:p>
      <w:pPr>
        <w:ind w:left="900" w:right="60" w:hanging="332"/>
        <w:spacing w:after="0" w:line="297"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63" w:lineRule="exact"/>
        <w:rPr>
          <w:rFonts w:ascii="Arial" w:cs="Arial" w:eastAsia="Arial" w:hAnsi="Arial"/>
          <w:sz w:val="16"/>
          <w:szCs w:val="16"/>
          <w:color w:val="auto"/>
        </w:rPr>
      </w:pPr>
    </w:p>
    <w:p>
      <w:pPr>
        <w:ind w:left="900" w:right="120" w:hanging="332"/>
        <w:spacing w:after="0" w:line="359" w:lineRule="auto"/>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20"/>
        <w:spacing w:after="0" w:line="265" w:lineRule="auto"/>
        <w:rPr>
          <w:sz w:val="20"/>
          <w:szCs w:val="20"/>
          <w:color w:val="auto"/>
        </w:rPr>
      </w:pPr>
      <w:r>
        <w:rPr>
          <w:rFonts w:ascii="Arial" w:cs="Arial" w:eastAsia="Arial" w:hAnsi="Arial"/>
          <w:sz w:val="17"/>
          <w:szCs w:val="17"/>
          <w:color w:val="auto"/>
        </w:rPr>
        <w:t>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and state laws that require drug manufacturers to report information related to payments and other transfer of value to physicians and other healthcare providers and entities.</w:t>
      </w:r>
    </w:p>
    <w:p>
      <w:pPr>
        <w:spacing w:after="0" w:line="17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5" w:lineRule="exact"/>
        <w:rPr>
          <w:sz w:val="20"/>
          <w:szCs w:val="20"/>
          <w:color w:val="auto"/>
        </w:rPr>
      </w:pPr>
    </w:p>
    <w:p>
      <w:pPr>
        <w:jc w:val="both"/>
        <w:ind w:right="340"/>
        <w:spacing w:after="0" w:line="273"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6"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75"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In addition, the Office of Inspector General of the Department of Health and Human Services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449" w:right="2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Medicaid Drug Rebate Program. We are liable for errors associated with our submission of pricing data and for any overcharging of government payors. For example, failure to submit monthly/quarterly AMP and BP data on a timely basis could result in a civil monetary penalty of $10,000 per day for each day the submission is late beyond the due date.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product liability claims are brought against us, we may incur significant liabilities and suffer damage to our reputation.</w:t>
      </w:r>
    </w:p>
    <w:p>
      <w:pPr>
        <w:spacing w:after="0" w:line="119" w:lineRule="exact"/>
        <w:rPr>
          <w:sz w:val="20"/>
          <w:szCs w:val="20"/>
          <w:color w:val="auto"/>
        </w:rPr>
      </w:pPr>
    </w:p>
    <w:p>
      <w:pPr>
        <w:ind w:right="120" w:firstLine="457"/>
        <w:spacing w:after="0" w:line="26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3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65" w:lineRule="exact"/>
        <w:rPr>
          <w:sz w:val="20"/>
          <w:szCs w:val="20"/>
          <w:color w:val="auto"/>
        </w:rPr>
      </w:pPr>
    </w:p>
    <w:p>
      <w:pPr>
        <w:ind w:right="160" w:firstLine="457"/>
        <w:spacing w:after="0" w:line="265" w:lineRule="auto"/>
        <w:rPr>
          <w:sz w:val="20"/>
          <w:szCs w:val="20"/>
          <w:color w:val="auto"/>
        </w:rPr>
      </w:pPr>
      <w:r>
        <w:rPr>
          <w:rFonts w:ascii="Arial" w:cs="Arial" w:eastAsia="Arial" w:hAnsi="Arial"/>
          <w:sz w:val="17"/>
          <w:szCs w:val="17"/>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78"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00"/>
          </w:cols>
          <w:pgMar w:left="240" w:top="449"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3"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78"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77"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3"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49"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286" w:lineRule="exact"/>
        <w:rPr>
          <w:sz w:val="20"/>
          <w:szCs w:val="20"/>
          <w:color w:val="auto"/>
        </w:rPr>
      </w:pPr>
    </w:p>
    <w:p>
      <w:pPr>
        <w:ind w:right="780"/>
        <w:spacing w:after="0" w:line="289" w:lineRule="auto"/>
        <w:rPr>
          <w:sz w:val="20"/>
          <w:szCs w:val="20"/>
          <w:color w:val="auto"/>
        </w:rPr>
      </w:pPr>
      <w:r>
        <w:rPr>
          <w:rFonts w:ascii="Arial" w:cs="Arial" w:eastAsia="Arial" w:hAnsi="Arial"/>
          <w:sz w:val="17"/>
          <w:szCs w:val="17"/>
          <w:b w:val="1"/>
          <w:bCs w:val="1"/>
          <w:i w:val="1"/>
          <w:iCs w:val="1"/>
          <w:color w:val="auto"/>
        </w:rPr>
        <w:t>We and certain of our executive officers and directors have been named as defendants in ongoing securities class action lawsuits that could result in substantial costs and divert management’s attention.</w:t>
      </w:r>
    </w:p>
    <w:p>
      <w:pPr>
        <w:spacing w:after="0" w:line="53"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several complaints were filed in the U.S. District Court for the Central District of California (the “District Court”) against MannKind and certain of our officers and directors on behalf of certain purchasers of our common stock, which were consolidated into a single action. The amended complaint alleged that MannKind and certain of our officers and directors violated federal securities laws by making materially false and misleading statements regarding the prospects for Afrezza, thereby artificially inflating the price of MannKind’s common stock. We and the other defendants brought a motion to dismiss the class action that was pending against MannKind and two of our executives, which the District Court granted without leave to amend the complaint. The lead plaintiff appealed that decision to the Ninth Circuit Court of Appeals. On March 2, 2017, the lead plaintiff filed a voluntary motion to dismiss his appeal, which the Court of Appeals granted on March 9, 2017.</w:t>
      </w:r>
    </w:p>
    <w:p>
      <w:pPr>
        <w:spacing w:after="0" w:line="185"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We and certain of our directors and executive officers have also been named in similar lawsuits filed in Israel. In November 2016, the court in Israel dismissed one of the actions without prejudice. In the remaining action, a hearing is scheduled for May 2017 to determine whether Israeli or U.S. law is applicable before the case can be certified as a class action. We intend to vigorously defend against these claims.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might be interrupted by the occurrence of a natural disaster or other catastrophic event.</w:t>
      </w:r>
    </w:p>
    <w:p>
      <w:pPr>
        <w:spacing w:after="0" w:line="1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9"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4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Our research and development and commercialization of Afrezza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 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increasingly dependent on information technology systems, infrastructure and data security.</w:t>
      </w:r>
    </w:p>
    <w:p>
      <w:pPr>
        <w:spacing w:after="0" w:line="119"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9"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6" w:lineRule="exact"/>
        <w:rPr>
          <w:sz w:val="20"/>
          <w:szCs w:val="20"/>
          <w:color w:val="auto"/>
        </w:rPr>
      </w:pPr>
    </w:p>
    <w:p>
      <w:pPr>
        <w:jc w:val="both"/>
        <w:ind w:right="480" w:firstLine="457"/>
        <w:spacing w:after="0" w:line="273"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9" w:lineRule="exact"/>
        <w:rPr>
          <w:sz w:val="20"/>
          <w:szCs w:val="20"/>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design, development, manufacture and testing;</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labeling;</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storage and shipping;</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pre-market clearance or approval;</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advertising and promotion;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sales and distribution.</w:t>
      </w:r>
    </w:p>
    <w:p>
      <w:pPr>
        <w:spacing w:after="0" w:line="224" w:lineRule="exact"/>
        <w:rPr>
          <w:sz w:val="20"/>
          <w:szCs w:val="20"/>
          <w:color w:val="auto"/>
        </w:rPr>
      </w:pPr>
    </w:p>
    <w:p>
      <w:pPr>
        <w:ind w:right="140" w:firstLine="457"/>
        <w:spacing w:after="0" w:line="28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60" w:firstLine="457"/>
        <w:spacing w:after="0" w:line="302" w:lineRule="auto"/>
        <w:rPr>
          <w:sz w:val="20"/>
          <w:szCs w:val="20"/>
          <w:color w:val="auto"/>
        </w:rPr>
      </w:pPr>
      <w:r>
        <w:rPr>
          <w:rFonts w:ascii="Arial" w:cs="Arial" w:eastAsia="Arial" w:hAnsi="Arial"/>
          <w:sz w:val="15"/>
          <w:szCs w:val="15"/>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57"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178"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449"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Internet. Regulatory authorities may also review industry-sponsored scientific and educational activities that make representations regarding product safety or efficacy in a promotional context. The FDA and other regulatory authorities may take enforcement action against a company for promoting unapproved uses of a product or for other violations of its advertising and labeling laws and regulations. Enforcement action may include product seizures, injunctions,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2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6"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as part of the approval of Afrezza, the FDA required that we complete a clinical trial to evaluate the potential risk of pulmonary malignancy with Afrezza. To date, we have not enrolled any subjects in this trial.</w:t>
      </w:r>
    </w:p>
    <w:p>
      <w:pPr>
        <w:spacing w:after="0" w:line="171"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stringent, ongoing government regulation.</w:t>
      </w:r>
    </w:p>
    <w:p>
      <w:pPr>
        <w:spacing w:after="0" w:line="119" w:lineRule="exact"/>
        <w:rPr>
          <w:sz w:val="20"/>
          <w:szCs w:val="20"/>
          <w:color w:val="auto"/>
        </w:rPr>
      </w:pPr>
    </w:p>
    <w:p>
      <w:pPr>
        <w:ind w:right="420" w:firstLine="457"/>
        <w:spacing w:after="0" w:line="289"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6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financial condition and results of operations.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9"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90" w:lineRule="exact"/>
        <w:rPr>
          <w:sz w:val="20"/>
          <w:szCs w:val="20"/>
          <w:color w:val="auto"/>
        </w:rPr>
      </w:pPr>
    </w:p>
    <w:p>
      <w:pPr>
        <w:ind w:left="900" w:right="420" w:hanging="332"/>
        <w:spacing w:after="0" w:line="289"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 candidates, withdrawal of the product from the market, or voluntary or mandatory product recalls;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 or suspension or revocation of approvals;</w:t>
      </w:r>
    </w:p>
    <w:p>
      <w:pPr>
        <w:spacing w:after="0" w:line="143" w:lineRule="exact"/>
        <w:rPr>
          <w:rFonts w:ascii="Arial" w:cs="Arial" w:eastAsia="Arial" w:hAnsi="Arial"/>
          <w:sz w:val="16"/>
          <w:szCs w:val="16"/>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4"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suppliers are subject to FDA inspection.</w:t>
      </w:r>
    </w:p>
    <w:p>
      <w:pPr>
        <w:spacing w:after="0" w:line="119"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We depend on suppliers for insulin and other materials that comprise Afrezza, including our Afrezza inhaler and cartridges. Each supplier must comply with relevant regulatory requirements and is subject to inspection by the FDA. Although we conduct our own inspections and review and/or approve investigations of each supplier, there can be no assurance that the FDA, upon inspection,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50"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76" w:lineRule="exact"/>
        <w:rPr>
          <w:sz w:val="20"/>
          <w:szCs w:val="20"/>
          <w:color w:val="auto"/>
        </w:rPr>
      </w:pPr>
    </w:p>
    <w:p>
      <w:pPr>
        <w:ind w:right="700"/>
        <w:spacing w:after="0" w:line="359"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8" w:lineRule="exact"/>
        <w:rPr>
          <w:sz w:val="20"/>
          <w:szCs w:val="20"/>
          <w:color w:val="auto"/>
        </w:rPr>
      </w:pPr>
    </w:p>
    <w:p>
      <w:pPr>
        <w:ind w:right="240" w:firstLine="457"/>
        <w:spacing w:after="0" w:line="267" w:lineRule="auto"/>
        <w:rPr>
          <w:sz w:val="20"/>
          <w:szCs w:val="20"/>
          <w:color w:val="auto"/>
        </w:rPr>
      </w:pPr>
      <w:r>
        <w:rPr>
          <w:rFonts w:ascii="Arial" w:cs="Arial" w:eastAsia="Arial" w:hAnsi="Arial"/>
          <w:sz w:val="17"/>
          <w:szCs w:val="17"/>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80"/>
          </w:cols>
          <w:pgMar w:left="240" w:top="449" w:right="27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119"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2" w:lineRule="exact"/>
        <w:rPr>
          <w:sz w:val="20"/>
          <w:szCs w:val="20"/>
          <w:color w:val="auto"/>
        </w:rPr>
      </w:pPr>
    </w:p>
    <w:p>
      <w:pPr>
        <w:ind w:right="20" w:firstLine="457"/>
        <w:spacing w:after="0" w:line="314" w:lineRule="auto"/>
        <w:rPr>
          <w:sz w:val="20"/>
          <w:szCs w:val="20"/>
          <w:color w:val="auto"/>
        </w:rPr>
      </w:pPr>
      <w:r>
        <w:rPr>
          <w:rFonts w:ascii="Arial" w:cs="Arial" w:eastAsia="Arial" w:hAnsi="Arial"/>
          <w:sz w:val="15"/>
          <w:szCs w:val="15"/>
          <w:color w:val="auto"/>
        </w:rPr>
        <w:t>Moreover, the term of a patent is limited and, as a result, the patents protecting our products expire at various dates. For example, some patents providing protection for Afrezza inhalation powder have terms extending into 2020, 2026, 2028, 2029, and 2030. In addition, patents providing protection for our inhaler and cartridges have terms extending into 2023, 2031 and 2032, and we have method of treatment claims that extend into 2026, 2029, 2030 and 2031. As and when these different patents expire, Afrezza could become subject to increased competition. As a consequence, we may not be able to recover our development costs.</w:t>
      </w:r>
    </w:p>
    <w:p>
      <w:pPr>
        <w:spacing w:after="0" w:line="145"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1"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enacted on September 16, 2011, the United States moved to a first inventor to file system. The Leahy-Smith Act also includes a number of significant changes that affect the way patent applications will be prosecuted and may also affect patent litigation. The full effects of these changes are currently unclear.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9"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firstLine="457"/>
        <w:spacing w:after="0" w:line="277"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These and recent decisions of lower courts and guidelines issued by the USPTO call into question the patentability of biological inventions that had previously been considered patentable. While none of this has had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80"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3"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1"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 - 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70"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49"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359" w:lineRule="auto"/>
        <w:rPr>
          <w:sz w:val="20"/>
          <w:szCs w:val="20"/>
          <w:color w:val="auto"/>
        </w:rPr>
      </w:pPr>
      <w:r>
        <w:rPr>
          <w:rFonts w:ascii="Arial" w:cs="Arial" w:eastAsia="Arial" w:hAnsi="Arial"/>
          <w:sz w:val="15"/>
          <w:szCs w:val="15"/>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1"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5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8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2"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449"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announcements of the results of hearings, motions or other interim proceedings or developments. If securities analysts or investors perceive these results to be negative, the market price of our common stock and other securities may decline.</w:t>
      </w:r>
    </w:p>
    <w:p>
      <w:pPr>
        <w:spacing w:after="0" w:line="158"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obtain trademark registrations for our potential trade names.</w:t>
      </w:r>
    </w:p>
    <w:p>
      <w:pPr>
        <w:spacing w:after="0" w:line="119" w:lineRule="exact"/>
        <w:rPr>
          <w:sz w:val="20"/>
          <w:szCs w:val="20"/>
          <w:color w:val="auto"/>
        </w:rPr>
      </w:pPr>
    </w:p>
    <w:p>
      <w:pPr>
        <w:jc w:val="both"/>
        <w:ind w:right="20" w:firstLine="457"/>
        <w:spacing w:after="0" w:line="314" w:lineRule="auto"/>
        <w:rPr>
          <w:sz w:val="20"/>
          <w:szCs w:val="20"/>
          <w:color w:val="auto"/>
        </w:rPr>
      </w:pPr>
      <w:r>
        <w:rPr>
          <w:rFonts w:ascii="Arial" w:cs="Arial" w:eastAsia="Arial" w:hAnsi="Arial"/>
          <w:sz w:val="15"/>
          <w:szCs w:val="15"/>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45" w:lineRule="exact"/>
        <w:rPr>
          <w:sz w:val="20"/>
          <w:szCs w:val="20"/>
          <w:color w:val="auto"/>
        </w:rPr>
      </w:pPr>
    </w:p>
    <w:p>
      <w:pPr>
        <w:jc w:val="both"/>
        <w:ind w:right="160" w:firstLine="457"/>
        <w:spacing w:after="0" w:line="267"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25"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5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278"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3"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If our existing stockholders or their distributees sell substantial amounts of our common stock in the public market, the market price of our common stock could decrease significantly. The perception in the public market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80"/>
          </w:cols>
          <w:pgMar w:left="240" w:top="449" w:right="2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520"/>
        <w:spacing w:after="0" w:line="359" w:lineRule="auto"/>
        <w:rPr>
          <w:sz w:val="20"/>
          <w:szCs w:val="20"/>
          <w:color w:val="auto"/>
        </w:rPr>
      </w:pPr>
      <w:r>
        <w:rPr>
          <w:rFonts w:ascii="Arial" w:cs="Arial" w:eastAsia="Arial" w:hAnsi="Arial"/>
          <w:sz w:val="15"/>
          <w:szCs w:val="15"/>
          <w:color w:val="auto"/>
        </w:rPr>
        <w:t>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13"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In the future, we may sell additional shares of our common stock to raise capital. In addition, a substantial number of shares of our common stock is reserved for: issuance upon the exercise of stock options, warrant exercises, and the vesting of restricted stock unit awards; the purchase of shares of common stock under our employee stock purchase program; and the issuance of shares upon exchange or conversion of the 2018 notes or any other convertible debt we may issue.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181"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b w:val="1"/>
          <w:bCs w:val="1"/>
          <w:i w:val="1"/>
          <w:iCs w:val="1"/>
          <w:color w:val="auto"/>
        </w:rPr>
        <w:t>As a result of the death of Alfred E. Mann, our founder and former largest stockholder, the stock that he previously controlled is currently controlled by a trust, and we cannot assure you of the manner in which the trustees will manage the holdings.</w:t>
      </w:r>
    </w:p>
    <w:p>
      <w:pPr>
        <w:spacing w:after="0" w:line="158" w:lineRule="exact"/>
        <w:rPr>
          <w:sz w:val="20"/>
          <w:szCs w:val="20"/>
          <w:color w:val="auto"/>
        </w:rPr>
      </w:pPr>
    </w:p>
    <w:p>
      <w:pPr>
        <w:ind w:right="60" w:firstLine="457"/>
        <w:spacing w:after="0" w:line="289" w:lineRule="auto"/>
        <w:rPr>
          <w:sz w:val="20"/>
          <w:szCs w:val="20"/>
          <w:color w:val="auto"/>
        </w:rPr>
      </w:pPr>
      <w:r>
        <w:rPr>
          <w:rFonts w:ascii="Arial" w:cs="Arial" w:eastAsia="Arial" w:hAnsi="Arial"/>
          <w:sz w:val="17"/>
          <w:szCs w:val="17"/>
          <w:color w:val="auto"/>
        </w:rPr>
        <w:t>At February 1, 2017, the estate of Alfred E. Mann beneficially owned approximately 23.7% of our outstanding shares of capital stock, including shares held in the Alfred E. Mann Living Trust and The Mann Group LLC (collectively, the “Mann Affiliated Entities”).</w:t>
      </w:r>
    </w:p>
    <w:p>
      <w:pPr>
        <w:spacing w:after="0" w:line="158"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Mr. Mann passed away on February 25, 2016. All of the shares beneficially owned by Mr. Mann in his individual capacity, the Alfred E. Mann Living Trust and The Mann Group LLC are controlled by the Alfred E. Mann Living Trust. The trustees of the Alfred E. Mann Living Trust are Mr. Mann’s wife and two other trustees. The trustees have the power to sell the shares or deal with them as an owner. Relatives, other individuals and charities may receive bequests of shares under the trust. The residuary beneficiary of the trust is the Alfred E. Mann Family Foundation, a charitable organization under section 501(c)(3) of the Internal Revenue Code that is a private foundation under section 509 of the Code. The same three trustees control the Alfred E. Mann Family Foundation. The Alfred E. Mann Family Foundation will have the power to sell the shares or deal with them as an owner.</w:t>
      </w:r>
    </w:p>
    <w:p>
      <w:pPr>
        <w:spacing w:after="0" w:line="16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We have been informed by the trustees for the Mann Affiliated Entities that the trustees may seek to dispose of some or all of the shares beneficially owned by the Mann Affiliated Entities, pursuant to distributions to trust beneficiaries, one or more trading plans under Rule 10b5-1 of the Exchange Act or otherwise. Any sales or other disposition of our common stock by the Mann Affiliated Entities, or the perception that such sales may occur, including the entry into any such trading plans, could have a material adverse effect on the trading price of our common stock and could make it more difficult for us to raise capital through the sale of our common stock or securities convertible into or exercisable for our common stock, which could have a material adverse effect on our business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may affect the market price of our common stock and other securities.</w:t>
      </w:r>
    </w:p>
    <w:p>
      <w:pPr>
        <w:spacing w:after="0" w:line="119" w:lineRule="exact"/>
        <w:rPr>
          <w:sz w:val="20"/>
          <w:szCs w:val="20"/>
          <w:color w:val="auto"/>
        </w:rPr>
      </w:pPr>
    </w:p>
    <w:p>
      <w:pPr>
        <w:ind w:right="20" w:firstLine="457"/>
        <w:spacing w:after="0" w:line="297" w:lineRule="auto"/>
        <w:rPr>
          <w:sz w:val="20"/>
          <w:szCs w:val="20"/>
          <w:color w:val="auto"/>
        </w:rPr>
      </w:pPr>
      <w:r>
        <w:rPr>
          <w:rFonts w:ascii="Arial" w:cs="Arial" w:eastAsia="Arial" w:hAnsi="Arial"/>
          <w:sz w:val="16"/>
          <w:szCs w:val="16"/>
          <w:color w:val="auto"/>
        </w:rPr>
        <w:t>Since January 1, 2014, our closing stock price as reported on The NASDAQ Global Market has ranged from $1.89 to $54.80 (giving retroactive effect to our recently completed 1-for-5 reverse stock split). The trading price of our common stock is likely to continue to be volatile. The stock market, particularly in recent years, has experienced significant volatility particularly with respect to pharmaceutical and biotechnology stocks, and this trend may continue.</w:t>
      </w:r>
    </w:p>
    <w:p>
      <w:pPr>
        <w:spacing w:after="0" w:line="155"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6" w:lineRule="exact"/>
        <w:rPr>
          <w:sz w:val="20"/>
          <w:szCs w:val="20"/>
          <w:color w:val="auto"/>
        </w:rPr>
      </w:pPr>
    </w:p>
    <w:p>
      <w:pPr>
        <w:ind w:left="900" w:right="80" w:hanging="332"/>
        <w:spacing w:after="0" w:line="289"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progress of our recent commercial launch of Afrezza in the United States and other events or circumstances that we or others estimate will impact the future commercial success of Afrezza;</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449"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00" w:right="46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obtain marketing approval for Afrezza outside of the United States and to find collaboration partners for the commercialization of Afrezza in foreign jurisdictions;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future estimates of Afrezza sales, prescriptions or other operating metrics;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successful commercialize our Technosphere drug delivery platform;</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results of preclinical and clinical studies of our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economic, political or stock market conditions;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legislative developments;</w:t>
      </w:r>
    </w:p>
    <w:p>
      <w:pPr>
        <w:spacing w:after="0" w:line="131" w:lineRule="exact"/>
        <w:rPr>
          <w:rFonts w:ascii="Arial" w:cs="Arial" w:eastAsia="Arial" w:hAnsi="Arial"/>
          <w:sz w:val="17"/>
          <w:szCs w:val="17"/>
          <w:color w:val="auto"/>
        </w:rPr>
      </w:pPr>
    </w:p>
    <w:p>
      <w:pPr>
        <w:ind w:left="900" w:right="74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of critical materials used in developing and manufacturing Afrezza or other product candidates;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developments or disputes concerning our patents or proprietary rights;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expense and time associated with, and the extent of our ultimate success in, securing regulatory approvals;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announcements by us concerning our financial condition or operating performance;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securities analysts’ estimates of our financial condition or operating performance;</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 market conditions and fluctuations for emerging growth and pharmaceutical market sectors;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sales of large blocks of our common stock, including sales by our executive officers, directors and significant stockholders;</w:t>
      </w:r>
    </w:p>
    <w:p>
      <w:pPr>
        <w:spacing w:after="0" w:line="131" w:lineRule="exact"/>
        <w:rPr>
          <w:rFonts w:ascii="Arial" w:cs="Arial" w:eastAsia="Arial" w:hAnsi="Arial"/>
          <w:sz w:val="17"/>
          <w:szCs w:val="17"/>
          <w:color w:val="auto"/>
        </w:rPr>
      </w:pPr>
    </w:p>
    <w:p>
      <w:pPr>
        <w:ind w:left="900" w:right="100" w:hanging="332"/>
        <w:spacing w:after="0" w:line="28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31" w:lineRule="exact"/>
        <w:rPr>
          <w:rFonts w:ascii="Arial" w:cs="Arial" w:eastAsia="Arial" w:hAnsi="Arial"/>
          <w:sz w:val="17"/>
          <w:szCs w:val="17"/>
          <w:color w:val="auto"/>
        </w:rPr>
      </w:pPr>
    </w:p>
    <w:p>
      <w:pPr>
        <w:ind w:left="900" w:hanging="332"/>
        <w:spacing w:after="0" w:line="267"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of these risks, as well as other factors, could cause the market value of our common stock and other securities to decline.</w:t>
      </w:r>
    </w:p>
    <w:p>
      <w:pPr>
        <w:spacing w:after="0" w:line="32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3"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360"/>
          </w:cols>
          <w:pgMar w:left="240" w:top="449" w:right="2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On September 14, 2016, we received notice from the Listing Qualifications Department of the NASDAQ Stock Market indicating that, for the previous 30 consecutive business days, the bid price for our common stock closed below the minimum $1.00 per share required for continued inclusion on The NASDAQ Global Market. The notification letter stated that we would be afforded 180 calendar days, or until March 13, 2017, to regain compliance with the minimum bid price requirement. In order to regain compliance, shares of our common stock must maintain a minimum bid closing price of at least $1.00 per share for a minimum of 10 consecutive business days. On March 1, 2017, our board of directors and stockholders approved the Charter Amendment to effect the Reverse Stock Split. On March 3, 2017, our common stock began trading on The NASDAQ Global Market on a split-adjusted basis at a ratio of 1 share for 5. As of the date of this filing, the shares of our common stock have maintained a minimum bid closing price of at least $1.00 per share for 10 consecutive business days. Accordingly, we expect to receive a notice from the Listing Qualifications Department of the NASDAQ Stock Market indicating that we have regained compliance with the minimum closing bid price requirement. Despite effecting the Reverse Stock Split, there can be no assurance that the market price per share of our common stock will remain in excess of the $1.00 minimum closing bid price requirement in the future. The continuing effect of the Reverse Stock Split on the market price of our common stock cannot be predicted with any certainty, and the history of similar stock split combinations for companies in like circumstances is varied.</w:t>
      </w:r>
    </w:p>
    <w:p>
      <w:pPr>
        <w:spacing w:after="0" w:line="293"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3" w:lineRule="exact"/>
        <w:rPr>
          <w:sz w:val="20"/>
          <w:szCs w:val="20"/>
          <w:color w:val="auto"/>
        </w:rPr>
      </w:pPr>
    </w:p>
    <w:p>
      <w:pPr>
        <w:ind w:right="160" w:firstLine="457"/>
        <w:spacing w:after="0" w:line="283" w:lineRule="auto"/>
        <w:rPr>
          <w:sz w:val="20"/>
          <w:szCs w:val="20"/>
          <w:color w:val="auto"/>
        </w:rPr>
      </w:pPr>
      <w:r>
        <w:rPr>
          <w:rFonts w:ascii="Arial" w:cs="Arial" w:eastAsia="Arial" w:hAnsi="Arial"/>
          <w:sz w:val="16"/>
          <w:szCs w:val="16"/>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65"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76"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b w:val="1"/>
          <w:bCs w:val="1"/>
          <w:i w:val="1"/>
          <w:iCs w:val="1"/>
          <w:color w:val="auto"/>
        </w:rPr>
        <w:t>The future sale of our common stock, the exchange or conversion of our 2018 notes into common stock or the exercise of our warrants for common stock could negatively affect the market price of our common stock and other securities.</w:t>
      </w:r>
    </w:p>
    <w:p>
      <w:pPr>
        <w:spacing w:after="0" w:line="53" w:lineRule="exact"/>
        <w:rPr>
          <w:sz w:val="20"/>
          <w:szCs w:val="20"/>
          <w:color w:val="auto"/>
        </w:rPr>
      </w:pPr>
    </w:p>
    <w:p>
      <w:pPr>
        <w:ind w:right="220" w:firstLine="457"/>
        <w:spacing w:after="0" w:line="283" w:lineRule="auto"/>
        <w:rPr>
          <w:sz w:val="20"/>
          <w:szCs w:val="20"/>
          <w:color w:val="auto"/>
        </w:rPr>
      </w:pPr>
      <w:r>
        <w:rPr>
          <w:rFonts w:ascii="Arial" w:cs="Arial" w:eastAsia="Arial" w:hAnsi="Arial"/>
          <w:sz w:val="16"/>
          <w:szCs w:val="16"/>
          <w:color w:val="auto"/>
        </w:rPr>
        <w:t>As of March 10, 2017, we had 95,776,246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2018 notes or upon the exercise of outstanding warrants, could adversely affect the market price of our common stock and other securities. In addition, the existence of these notes and warrants may encourage short selling of our common stock by market participants, which could adversely affect the market price of our common stock and other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9"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In addition, we will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263"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3"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7"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any investment in our common stock.</w:t>
      </w:r>
    </w:p>
    <w:p>
      <w:pPr>
        <w:spacing w:after="0" w:line="53"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Pursuant to the Facility Agreement, we are subject to contractual restrictions on the payment of dividends. There is no guarantee that our common stock will appreciate or maintain its current price. You could lose the entire value of any investment in our common stock.</w:t>
      </w:r>
    </w:p>
    <w:p>
      <w:pPr>
        <w:spacing w:after="0" w:line="283" w:lineRule="exact"/>
        <w:rPr>
          <w:sz w:val="20"/>
          <w:szCs w:val="20"/>
          <w:color w:val="auto"/>
        </w:rPr>
      </w:pPr>
    </w:p>
    <w:p>
      <w:pPr>
        <w:ind w:right="940"/>
        <w:spacing w:after="0" w:line="289" w:lineRule="auto"/>
        <w:rPr>
          <w:sz w:val="20"/>
          <w:szCs w:val="20"/>
          <w:color w:val="auto"/>
        </w:rPr>
      </w:pPr>
      <w:r>
        <w:rPr>
          <w:rFonts w:ascii="Arial" w:cs="Arial" w:eastAsia="Arial" w:hAnsi="Arial"/>
          <w:sz w:val="17"/>
          <w:szCs w:val="17"/>
          <w:b w:val="1"/>
          <w:bCs w:val="1"/>
          <w:i w:val="1"/>
          <w:iCs w:val="1"/>
          <w:color w:val="auto"/>
        </w:rPr>
        <w:t>We have a limited number of unreserved shares available for future issuance, which may impair our ability to conduct future financing and other transactions.</w:t>
      </w:r>
    </w:p>
    <w:p>
      <w:pPr>
        <w:spacing w:after="0" w:line="53" w:lineRule="exact"/>
        <w:rPr>
          <w:sz w:val="20"/>
          <w:szCs w:val="20"/>
          <w:color w:val="auto"/>
        </w:rPr>
      </w:pPr>
    </w:p>
    <w:p>
      <w:pPr>
        <w:ind w:right="60" w:firstLine="457"/>
        <w:spacing w:after="0" w:line="262" w:lineRule="auto"/>
        <w:rPr>
          <w:sz w:val="20"/>
          <w:szCs w:val="20"/>
          <w:color w:val="auto"/>
        </w:rPr>
      </w:pPr>
      <w:r>
        <w:rPr>
          <w:rFonts w:ascii="Arial" w:cs="Arial" w:eastAsia="Arial" w:hAnsi="Arial"/>
          <w:sz w:val="17"/>
          <w:szCs w:val="17"/>
          <w:color w:val="auto"/>
        </w:rPr>
        <w:t>Our amended and restated certificate of incorporation, as amended on March 1, 2017 to effect the Reverse Stock Split, currently authorizes us to issue up to 140,000,000 shares of common stock and 10,000,000 shares of preferred stock. As of March 10, 2017, we had a total of 44,223,754 shares of common stock that were authorized but unissued, and we have currently reserved a significant number of these shares for future issuance pursuant to outstanding equity awards, outstanding warrants, our equity plans and our 2018 notes. As a result, our ability to issue shares of common stock other than pursuant to existing arrangements will be limited until such time, if ever, that we are able to amend our amended and restated certificate of incorporation to further increase our authorized shares of common stock or shares currently reserved for issuance otherwise become available (for example, due to the termination of the underlying agreement to issue the shares).</w:t>
      </w:r>
    </w:p>
    <w:p>
      <w:pPr>
        <w:spacing w:after="0" w:line="182"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If we are unable to enter into new arrangements to issue shares of our common stock or securities convertible or exercisable into shares of our common stock, our ability to complete equity-based financings or other transactions that involve the potential issuance of our common stock or securities convertible or exercisable into our common stock, will be limited. In lieu of issuing common stock or securities convertible into our common stock in any future equity financing transactions, we may need to issue some or all of our authorized but unissued shares of preferred stock, which would likely have superior rights, preferences and privileges to those of our common stock, or we may need to issue debt that is not convertible into shares of our common stock, which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49"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may require us to grant security interests in our assets and property and/or impose covenants upon us that restrict our business. If we are unable to issue additional shares of common stock or securities convertible or exercisable into our common stock, our ability to enter into strategic transactions such as acquisitions of companies or technologies, may also be limited. If we propose to amend our amended and restated certificate of incorporation to increase our authorized shares of common stock, such a proposal would require the approval by the holders of a majority of our outstanding shares of common stock, and we cannot assure you that such a proposal would be adopted. If we are unable to complete financing, strategic or other transactions due to our inability to issue additional shares of common stock or securities convertible or exercisable into our common stock, our financial condition and business prospects may be materially harmed.</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2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for Afrezza. We believe the Connecticut facility will have sufficient space to satisfy commercial demand for Afrezza.</w:t>
      </w:r>
    </w:p>
    <w:p>
      <w:pPr>
        <w:spacing w:after="0" w:line="178"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As of December 31, 2016, we owned approximately 142,000 square feet of laboratory, office and warehouse space in Valencia, California. On February 17, 2017, we sold certain parcels of real estate in Valencia, California and certain related improvements, personal property, equipment, supplies and fixtures, including the aforementioned space, to Rexford Industrial Realty, L.P. for $17.3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obligations under the Facility Agreement and the Milestone Agreement are secured by certain mortgages on our facility in Danbury, Connecticut.</w:t>
      </w:r>
    </w:p>
    <w:p>
      <w:pPr>
        <w:spacing w:after="0" w:line="235" w:lineRule="exact"/>
        <w:rPr>
          <w:sz w:val="20"/>
          <w:szCs w:val="20"/>
          <w:color w:val="auto"/>
        </w:rPr>
      </w:pPr>
    </w:p>
    <w:p>
      <w:pPr>
        <w:ind w:right="260" w:firstLine="457"/>
        <w:spacing w:after="0" w:line="289" w:lineRule="auto"/>
        <w:rPr>
          <w:sz w:val="20"/>
          <w:szCs w:val="20"/>
          <w:color w:val="auto"/>
        </w:rPr>
      </w:pPr>
      <w:r>
        <w:rPr>
          <w:rFonts w:ascii="Arial" w:cs="Arial" w:eastAsia="Arial" w:hAnsi="Arial"/>
          <w:sz w:val="17"/>
          <w:szCs w:val="17"/>
          <w:color w:val="auto"/>
        </w:rPr>
        <w:t>We also lease approximately 12,500 square feet of office space in Valencia, California pursuant to a lease that expires in April 2017. The facility contains our principal executive offices.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25"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in our stock price, several complaints were filed in the U.S. District Court for the Central District of California (the “District Court”) against MannKind and certain of our officers and directors on behalf of certain purchasers of our common stock, which were consolidated into a single action. The amended complaint alleged that MannKind and certain of our officers and directors violated federal securities laws by making materially false and misleading statements regarding the prospects for Afrezza, thereby artificially inflating the price of MannKind’s common stock. We and the named defendants brought a motion to dismiss the class action, which the District Court granted in August 2016 without leave to amend the complaint. The lead plaintiff appealed that decision to the Ninth Circuit Court of Appeals. On March 2, 2017, the lead plaintiff filed a voluntary motion to dismiss his appeal, which the Court of Appeals granted on March 9, 2017.</w:t>
      </w:r>
    </w:p>
    <w:p>
      <w:pPr>
        <w:spacing w:after="0" w:line="168"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9"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thereby artificially inflating the price of its common stock. The plaintiffs are seeking monetary damages. In November 2016, the district court dismissed one of the actions without prejudice. In the remaining action, a hearing is scheduled for May 2017 to determine whether Israeli or U.S. law is applicable before the case can be certified as a class action. We will vigorously defend against the claims advanced.</w:t>
      </w:r>
    </w:p>
    <w:p>
      <w:pPr>
        <w:spacing w:after="0" w:line="171" w:lineRule="exact"/>
        <w:rPr>
          <w:sz w:val="20"/>
          <w:szCs w:val="20"/>
          <w:color w:val="auto"/>
        </w:rPr>
      </w:pPr>
    </w:p>
    <w:p>
      <w:pPr>
        <w:ind w:right="300" w:firstLine="457"/>
        <w:spacing w:after="0" w:line="297" w:lineRule="auto"/>
        <w:rPr>
          <w:sz w:val="20"/>
          <w:szCs w:val="20"/>
          <w:color w:val="auto"/>
        </w:rPr>
      </w:pPr>
      <w:r>
        <w:rPr>
          <w:rFonts w:ascii="Arial" w:cs="Arial" w:eastAsia="Arial" w:hAnsi="Arial"/>
          <w:sz w:val="16"/>
          <w:szCs w:val="16"/>
          <w:color w:val="auto"/>
        </w:rPr>
        <w:t>We are also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40" w:top="449" w:right="2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right="2440"/>
        <w:spacing w:after="0" w:line="389"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the Registrant’s Common Equity, Related Stockholder Matters and Issuer Purchases of Equity Securities</w:t>
      </w:r>
      <w:r>
        <w:rPr>
          <w:rFonts w:ascii="Arial" w:cs="Arial" w:eastAsia="Arial" w:hAnsi="Arial"/>
          <w:sz w:val="17"/>
          <w:szCs w:val="17"/>
          <w:b w:val="1"/>
          <w:bCs w:val="1"/>
          <w:color w:val="auto"/>
        </w:rPr>
        <w:t xml:space="preserve"> Common Stock Market Price</w:t>
      </w:r>
    </w:p>
    <w:p>
      <w:pPr>
        <w:spacing w:after="0" w:line="1" w:lineRule="exact"/>
        <w:rPr>
          <w:sz w:val="20"/>
          <w:szCs w:val="20"/>
          <w:color w:val="auto"/>
        </w:rPr>
      </w:pPr>
    </w:p>
    <w:p>
      <w:pPr>
        <w:jc w:val="both"/>
        <w:ind w:firstLine="457"/>
        <w:spacing w:after="0" w:line="273" w:lineRule="auto"/>
        <w:rPr>
          <w:sz w:val="20"/>
          <w:szCs w:val="20"/>
          <w:color w:val="auto"/>
        </w:rPr>
      </w:pPr>
      <w:r>
        <w:rPr>
          <w:rFonts w:ascii="Arial" w:cs="Arial" w:eastAsia="Arial" w:hAnsi="Arial"/>
          <w:sz w:val="17"/>
          <w:szCs w:val="17"/>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 (adjusted for the Reverse Stock Split effective March 3, 2017).</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3"/>
        </w:trPr>
        <w:tc>
          <w:tcPr>
            <w:tcW w:w="4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High</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color w:val="auto"/>
              </w:rPr>
              <w:t>Low</w:t>
            </w:r>
          </w:p>
        </w:tc>
      </w:tr>
      <w:tr>
        <w:trPr>
          <w:trHeight w:val="190"/>
        </w:trPr>
        <w:tc>
          <w:tcPr>
            <w:tcW w:w="4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Year ended December 31, 2016</w:t>
            </w:r>
          </w:p>
        </w:tc>
        <w:tc>
          <w:tcPr>
            <w:tcW w:w="2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0"/>
        </w:trPr>
        <w:tc>
          <w:tcPr>
            <w:tcW w:w="4640" w:type="dxa"/>
            <w:vAlign w:val="bottom"/>
          </w:tcPr>
          <w:p>
            <w:pPr>
              <w:ind w:left="340"/>
              <w:spacing w:after="0"/>
              <w:rPr>
                <w:sz w:val="20"/>
                <w:szCs w:val="20"/>
                <w:color w:val="auto"/>
              </w:rPr>
            </w:pPr>
            <w:r>
              <w:rPr>
                <w:rFonts w:ascii="Arial" w:cs="Arial" w:eastAsia="Arial" w:hAnsi="Arial"/>
                <w:sz w:val="17"/>
                <w:szCs w:val="17"/>
                <w:color w:val="auto"/>
              </w:rPr>
              <w:t>First quarter</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11.20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3.20</w:t>
            </w:r>
          </w:p>
        </w:tc>
      </w:tr>
      <w:tr>
        <w:trPr>
          <w:trHeight w:val="210"/>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Second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10.15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4.25</w:t>
            </w:r>
          </w:p>
        </w:tc>
      </w:tr>
      <w:tr>
        <w:trPr>
          <w:trHeight w:val="210"/>
        </w:trPr>
        <w:tc>
          <w:tcPr>
            <w:tcW w:w="4640" w:type="dxa"/>
            <w:vAlign w:val="bottom"/>
          </w:tcPr>
          <w:p>
            <w:pPr>
              <w:ind w:left="340"/>
              <w:spacing w:after="0"/>
              <w:rPr>
                <w:sz w:val="20"/>
                <w:szCs w:val="20"/>
                <w:color w:val="auto"/>
              </w:rPr>
            </w:pPr>
            <w:r>
              <w:rPr>
                <w:rFonts w:ascii="Arial" w:cs="Arial" w:eastAsia="Arial" w:hAnsi="Arial"/>
                <w:sz w:val="17"/>
                <w:szCs w:val="17"/>
                <w:color w:val="auto"/>
              </w:rPr>
              <w:t>Third quarter</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rPr>
              <w:t>6.05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2.75</w:t>
            </w:r>
          </w:p>
        </w:tc>
      </w:tr>
      <w:tr>
        <w:trPr>
          <w:trHeight w:val="210"/>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Fourth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4.35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2.05</w:t>
            </w:r>
          </w:p>
        </w:tc>
      </w:tr>
      <w:tr>
        <w:trPr>
          <w:trHeight w:val="275"/>
        </w:trPr>
        <w:tc>
          <w:tcPr>
            <w:tcW w:w="4640" w:type="dxa"/>
            <w:vAlign w:val="bottom"/>
          </w:tcPr>
          <w:p>
            <w:pPr>
              <w:spacing w:after="0"/>
              <w:rPr>
                <w:sz w:val="20"/>
                <w:szCs w:val="20"/>
                <w:color w:val="auto"/>
              </w:rPr>
            </w:pPr>
            <w:r>
              <w:rPr>
                <w:rFonts w:ascii="Arial" w:cs="Arial" w:eastAsia="Arial" w:hAnsi="Arial"/>
                <w:sz w:val="17"/>
                <w:szCs w:val="17"/>
                <w:color w:val="auto"/>
              </w:rPr>
              <w:t>Year ended December 31, 2015</w:t>
            </w:r>
          </w:p>
        </w:tc>
        <w:tc>
          <w:tcPr>
            <w:tcW w:w="2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10"/>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First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39.40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25.15</w:t>
            </w:r>
          </w:p>
        </w:tc>
      </w:tr>
      <w:tr>
        <w:trPr>
          <w:trHeight w:val="210"/>
        </w:trPr>
        <w:tc>
          <w:tcPr>
            <w:tcW w:w="4640" w:type="dxa"/>
            <w:vAlign w:val="bottom"/>
          </w:tcPr>
          <w:p>
            <w:pPr>
              <w:ind w:left="340"/>
              <w:spacing w:after="0"/>
              <w:rPr>
                <w:sz w:val="20"/>
                <w:szCs w:val="20"/>
                <w:color w:val="auto"/>
              </w:rPr>
            </w:pPr>
            <w:r>
              <w:rPr>
                <w:rFonts w:ascii="Arial" w:cs="Arial" w:eastAsia="Arial" w:hAnsi="Arial"/>
                <w:sz w:val="17"/>
                <w:szCs w:val="17"/>
                <w:color w:val="auto"/>
              </w:rPr>
              <w:t>Second quarter</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36.60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17.30</w:t>
            </w:r>
          </w:p>
        </w:tc>
      </w:tr>
      <w:tr>
        <w:trPr>
          <w:trHeight w:val="210"/>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Third quarter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29.00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15.00</w:t>
            </w:r>
          </w:p>
        </w:tc>
      </w:tr>
      <w:tr>
        <w:trPr>
          <w:trHeight w:val="222"/>
        </w:trPr>
        <w:tc>
          <w:tcPr>
            <w:tcW w:w="4640" w:type="dxa"/>
            <w:vAlign w:val="bottom"/>
          </w:tcPr>
          <w:p>
            <w:pPr>
              <w:ind w:left="340"/>
              <w:spacing w:after="0"/>
              <w:rPr>
                <w:sz w:val="20"/>
                <w:szCs w:val="20"/>
                <w:color w:val="auto"/>
              </w:rPr>
            </w:pPr>
            <w:r>
              <w:rPr>
                <w:rFonts w:ascii="Arial" w:cs="Arial" w:eastAsia="Arial" w:hAnsi="Arial"/>
                <w:sz w:val="17"/>
                <w:szCs w:val="17"/>
                <w:color w:val="auto"/>
              </w:rPr>
              <w:t>Fourth quarter</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18.95</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6.90</w:t>
            </w:r>
          </w:p>
        </w:tc>
      </w:tr>
    </w:tbl>
    <w:p>
      <w:pPr>
        <w:spacing w:after="0" w:line="185" w:lineRule="exact"/>
        <w:rPr>
          <w:sz w:val="20"/>
          <w:szCs w:val="20"/>
          <w:color w:val="auto"/>
        </w:rPr>
      </w:pPr>
    </w:p>
    <w:p>
      <w:pPr>
        <w:ind w:right="420" w:firstLine="457"/>
        <w:spacing w:after="0" w:line="289" w:lineRule="auto"/>
        <w:rPr>
          <w:sz w:val="20"/>
          <w:szCs w:val="20"/>
          <w:color w:val="auto"/>
        </w:rPr>
      </w:pPr>
      <w:r>
        <w:rPr>
          <w:rFonts w:ascii="Arial" w:cs="Arial" w:eastAsia="Arial" w:hAnsi="Arial"/>
          <w:sz w:val="17"/>
          <w:szCs w:val="17"/>
          <w:color w:val="auto"/>
        </w:rPr>
        <w:t>The closing sales price of our common stock on The NASDAQ Global Market was $1.95 on March 10, 2017 and there were 171 registered holders of record as of that date.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Measurement Comparison</w:t>
      </w:r>
    </w:p>
    <w:p>
      <w:pPr>
        <w:spacing w:after="0" w:line="125"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or the Exchange Act, except to the extent we specifically incorporate this section by reference.</w:t>
      </w:r>
    </w:p>
    <w:p>
      <w:pPr>
        <w:spacing w:after="0" w:line="171" w:lineRule="exact"/>
        <w:rPr>
          <w:sz w:val="20"/>
          <w:szCs w:val="20"/>
          <w:color w:val="auto"/>
        </w:rPr>
      </w:pPr>
    </w:p>
    <w:p>
      <w:pPr>
        <w:ind w:right="260" w:firstLine="457"/>
        <w:spacing w:after="0" w:line="299" w:lineRule="auto"/>
        <w:rPr>
          <w:sz w:val="20"/>
          <w:szCs w:val="20"/>
          <w:color w:val="auto"/>
        </w:rPr>
      </w:pPr>
      <w:r>
        <w:rPr>
          <w:rFonts w:ascii="Arial" w:cs="Arial" w:eastAsia="Arial" w:hAnsi="Arial"/>
          <w:sz w:val="15"/>
          <w:szCs w:val="15"/>
          <w:color w:val="auto"/>
        </w:rPr>
        <w:t>The following graph illustrates a comparison of the cumulative total stockholder return (change in stock price plus reinvested dividends) of our common stock with (i) The NASDAQ Composite Index and (ii) The NASDAQ Biotechnology Index. The graph assumes a $100 investment, on December 31, 2010, in</w:t>
      </w:r>
    </w:p>
    <w:p>
      <w:pPr>
        <w:spacing w:after="0" w:line="1" w:lineRule="exact"/>
        <w:rPr>
          <w:sz w:val="20"/>
          <w:szCs w:val="20"/>
          <w:color w:val="auto"/>
        </w:rPr>
      </w:pPr>
    </w:p>
    <w:p>
      <w:pPr>
        <w:ind w:left="220" w:hanging="215"/>
        <w:spacing w:after="0"/>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common stock, (ii) the securities comprising The NASDAQ Composite Index and (iii) the securities comprising The NASDAQ Biotechnology Index.</w:t>
      </w:r>
    </w:p>
    <w:p>
      <w:pPr>
        <w:spacing w:after="0" w:line="157"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7"/>
          <w:szCs w:val="17"/>
          <w:color w:val="auto"/>
        </w:rPr>
        <w:t>48</w:t>
      </w:r>
    </w:p>
    <w:p>
      <w:pPr>
        <w:sectPr>
          <w:pgSz w:w="11900" w:h="16838" w:orient="portrait"/>
          <w:cols w:equalWidth="0" w:num="1">
            <w:col w:w="11360"/>
          </w:cols>
          <w:pgMar w:left="240" w:top="449" w:right="29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comparisons in the graph are required by the SEC and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 In addition, under the terms of the Facility Agreement, we are restricted from distributing any of our assets or declaring and distributing a dividend to our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449" w:right="25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125"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The following data has been derived from our audited financial statements, including the consolidated balance sheets at December 31, 2016 and 2015 and the related consolidated statements of operations for each of the three years ended December 31, 2016 and related notes appearing elsewhere in this report. The consolidated statement of operations data for the years ended December 31, 2013 and 2012 and the consolidated balance sheet data as of December 31, 2014, 2013 and 2012 are derived from our audited consolidated financial statements that are not included in this report. The selected financial data set forth below should be read in conjunction with “Management’s Discussion and Analysis of Financial Condition and Results of Operations” and the audited consolidated financial statements, and the notes thereto, and other financial information included herein this Annual Report on Form 10-K.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w w:val="96"/>
              </w:rPr>
              <w:t>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3"/>
              <w:spacing w:after="0" w:line="137" w:lineRule="exact"/>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4"/>
              <w:spacing w:after="0" w:line="137" w:lineRule="exact"/>
              <w:rPr>
                <w:sz w:val="20"/>
                <w:szCs w:val="20"/>
                <w:color w:val="auto"/>
              </w:rPr>
            </w:pPr>
            <w:r>
              <w:rPr>
                <w:rFonts w:ascii="Arial" w:cs="Arial" w:eastAsia="Arial" w:hAnsi="Arial"/>
                <w:sz w:val="14"/>
                <w:szCs w:val="14"/>
                <w:color w:val="auto"/>
              </w:rPr>
              <w:t>2015</w:t>
            </w: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3"/>
              <w:spacing w:after="0" w:line="137" w:lineRule="exact"/>
              <w:rPr>
                <w:sz w:val="20"/>
                <w:szCs w:val="20"/>
                <w:color w:val="auto"/>
              </w:rPr>
            </w:pPr>
            <w:r>
              <w:rPr>
                <w:rFonts w:ascii="Arial" w:cs="Arial" w:eastAsia="Arial" w:hAnsi="Arial"/>
                <w:sz w:val="14"/>
                <w:szCs w:val="14"/>
                <w:color w:val="auto"/>
              </w:rPr>
              <w:t>2014</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3"/>
              <w:spacing w:after="0" w:line="137" w:lineRule="exact"/>
              <w:rPr>
                <w:sz w:val="20"/>
                <w:szCs w:val="20"/>
                <w:color w:val="auto"/>
              </w:rPr>
            </w:pPr>
            <w:r>
              <w:rPr>
                <w:rFonts w:ascii="Arial" w:cs="Arial" w:eastAsia="Arial" w:hAnsi="Arial"/>
                <w:sz w:val="14"/>
                <w:szCs w:val="14"/>
                <w:color w:val="auto"/>
              </w:rPr>
              <w:t>2013</w:t>
            </w: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33"/>
              <w:spacing w:after="0" w:line="137"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0" w:type="dxa"/>
            <w:vAlign w:val="bottom"/>
            <w:gridSpan w:val="8"/>
          </w:tcPr>
          <w:p>
            <w:pPr>
              <w:jc w:val="right"/>
              <w:ind w:right="840"/>
              <w:spacing w:after="0" w:line="137" w:lineRule="exact"/>
              <w:rPr>
                <w:sz w:val="20"/>
                <w:szCs w:val="20"/>
                <w:color w:val="auto"/>
              </w:rPr>
            </w:pPr>
            <w:r>
              <w:rPr>
                <w:rFonts w:ascii="Arial" w:cs="Arial" w:eastAsia="Arial" w:hAnsi="Arial"/>
                <w:sz w:val="14"/>
                <w:szCs w:val="14"/>
                <w:b w:val="1"/>
                <w:bCs w:val="1"/>
                <w:color w:val="auto"/>
                <w:w w:val="98"/>
              </w:rPr>
              <w:t>(In thousands, except per share amounts)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Operations Data:</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7"/>
                <w:szCs w:val="17"/>
                <w:color w:val="auto"/>
              </w:rPr>
              <w:t>Revenue: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revenue — collaboration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171,965(1)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75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Net revenue — commercial product sales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1,895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Revenue — bulk insulin sales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700"/>
              <w:spacing w:after="0"/>
              <w:rPr>
                <w:sz w:val="20"/>
                <w:szCs w:val="20"/>
                <w:color w:val="auto"/>
              </w:rPr>
            </w:pPr>
            <w:r>
              <w:rPr>
                <w:rFonts w:ascii="Arial" w:cs="Arial" w:eastAsia="Arial" w:hAnsi="Arial"/>
                <w:sz w:val="17"/>
                <w:szCs w:val="17"/>
                <w:color w:val="auto"/>
              </w:rPr>
              <w:t>Total net revenue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w w:val="91"/>
              </w:rPr>
              <w:t>174,758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7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Costs of revenue — collaboration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32,971(1)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goods sold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17,121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64,745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14,917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50"/>
              <w:spacing w:after="0"/>
              <w:rPr>
                <w:sz w:val="20"/>
                <w:szCs w:val="20"/>
                <w:color w:val="auto"/>
              </w:rPr>
            </w:pPr>
            <w:r>
              <w:rPr>
                <w:rFonts w:ascii="Arial" w:cs="Arial" w:eastAsia="Arial" w:hAnsi="Arial"/>
                <w:sz w:val="17"/>
                <w:szCs w:val="17"/>
                <w:color w:val="auto"/>
              </w:rPr>
              <w:t>29,674</w:t>
            </w:r>
          </w:p>
        </w:tc>
        <w:tc>
          <w:tcPr>
            <w:tcW w:w="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100,244</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109,719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101,522</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46,928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40,960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79,383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59,682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45,473</w:t>
            </w: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Property and equipment impairment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1,259(2)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50"/>
              <w:spacing w:after="0"/>
              <w:rPr>
                <w:sz w:val="20"/>
                <w:szCs w:val="20"/>
                <w:color w:val="auto"/>
              </w:rPr>
            </w:pPr>
            <w:r>
              <w:rPr>
                <w:rFonts w:ascii="Arial" w:cs="Arial" w:eastAsia="Arial" w:hAnsi="Arial"/>
                <w:sz w:val="17"/>
                <w:szCs w:val="17"/>
                <w:color w:val="auto"/>
                <w:w w:val="99"/>
              </w:rPr>
              <w:t>140,412(2)</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loss on foreign currency translation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2,697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(Gain) loss on purchase commitments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(2,265)(3)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50"/>
              <w:spacing w:after="0"/>
              <w:rPr>
                <w:sz w:val="20"/>
                <w:szCs w:val="20"/>
                <w:color w:val="auto"/>
              </w:rPr>
            </w:pPr>
            <w:r>
              <w:rPr>
                <w:rFonts w:ascii="Arial" w:cs="Arial" w:eastAsia="Arial" w:hAnsi="Arial"/>
                <w:sz w:val="17"/>
                <w:szCs w:val="17"/>
                <w:color w:val="auto"/>
              </w:rPr>
              <w:t>66,167(3)</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expense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107,498</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344,655</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169,401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146,995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Income (loss) from operations</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67,260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590"/>
              <w:spacing w:after="0"/>
              <w:rPr>
                <w:sz w:val="20"/>
                <w:szCs w:val="20"/>
                <w:color w:val="auto"/>
              </w:rPr>
            </w:pPr>
            <w:r>
              <w:rPr>
                <w:rFonts w:ascii="Arial" w:cs="Arial" w:eastAsia="Arial" w:hAnsi="Arial"/>
                <w:sz w:val="17"/>
                <w:szCs w:val="17"/>
                <w:color w:val="auto"/>
                <w:w w:val="93"/>
              </w:rPr>
              <w:t>(344,655)</w:t>
            </w: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w w:val="93"/>
              </w:rPr>
              <w:t>(179,627)</w:t>
            </w: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(169,401)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w w:val="93"/>
              </w:rPr>
              <w:t>(146,960)</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Change in fair value of warrant liability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5,369(4)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7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Interest expense on notes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w w:val="97"/>
              </w:rPr>
              <w:t>(15,576)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90"/>
              <w:spacing w:after="0"/>
              <w:rPr>
                <w:sz w:val="20"/>
                <w:szCs w:val="20"/>
                <w:color w:val="auto"/>
              </w:rPr>
            </w:pPr>
            <w:r>
              <w:rPr>
                <w:rFonts w:ascii="Arial" w:cs="Arial" w:eastAsia="Arial" w:hAnsi="Arial"/>
                <w:sz w:val="17"/>
                <w:szCs w:val="17"/>
                <w:color w:val="auto"/>
              </w:rPr>
              <w:t>(21,231)</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(17,549)</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(15,153)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(11,139)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expense on note payable to principal stockholder</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(2,901)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7"/>
                <w:szCs w:val="17"/>
                <w:color w:val="auto"/>
              </w:rPr>
              <w:t>(2,894)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(2,894)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(10,491)</w:t>
            </w:r>
          </w:p>
        </w:tc>
        <w:tc>
          <w:tcPr>
            <w:tcW w:w="0" w:type="dxa"/>
            <w:vAlign w:val="bottom"/>
          </w:tcPr>
          <w:p>
            <w:pPr>
              <w:spacing w:after="0"/>
              <w:rPr>
                <w:sz w:val="1"/>
                <w:szCs w:val="1"/>
                <w:color w:val="auto"/>
              </w:rPr>
            </w:pPr>
          </w:p>
        </w:tc>
      </w:tr>
      <w:tr>
        <w:trPr>
          <w:trHeight w:val="210"/>
        </w:trPr>
        <w:tc>
          <w:tcPr>
            <w:tcW w:w="4820" w:type="dxa"/>
            <w:vAlign w:val="bottom"/>
          </w:tcPr>
          <w:p>
            <w:pPr>
              <w:ind w:left="360"/>
              <w:spacing w:after="0"/>
              <w:rPr>
                <w:sz w:val="20"/>
                <w:szCs w:val="20"/>
                <w:color w:val="auto"/>
              </w:rPr>
            </w:pPr>
            <w:r>
              <w:rPr>
                <w:rFonts w:ascii="Arial" w:cs="Arial" w:eastAsia="Arial" w:hAnsi="Arial"/>
                <w:sz w:val="17"/>
                <w:szCs w:val="17"/>
                <w:color w:val="auto"/>
              </w:rPr>
              <w:t>Gain (loss) on extinguishment of debt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72,024(5)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390"/>
              <w:spacing w:after="0"/>
              <w:rPr>
                <w:sz w:val="20"/>
                <w:szCs w:val="20"/>
                <w:color w:val="auto"/>
              </w:rPr>
            </w:pPr>
            <w:r>
              <w:rPr>
                <w:rFonts w:ascii="Arial" w:cs="Arial" w:eastAsia="Arial" w:hAnsi="Arial"/>
                <w:sz w:val="17"/>
                <w:szCs w:val="17"/>
                <w:color w:val="auto"/>
              </w:rPr>
              <w:t>(1,049)(5)</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(expense) income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1,366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1,679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1060"/>
              <w:spacing w:after="0"/>
              <w:rPr>
                <w:sz w:val="20"/>
                <w:szCs w:val="20"/>
                <w:color w:val="auto"/>
              </w:rPr>
            </w:pPr>
            <w:r>
              <w:rPr>
                <w:rFonts w:ascii="Arial" w:cs="Arial" w:eastAsia="Arial" w:hAnsi="Arial"/>
                <w:sz w:val="17"/>
                <w:szCs w:val="17"/>
                <w:color w:val="auto"/>
              </w:rPr>
              <w:t>Total other income (expense)</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58,404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90"/>
              <w:spacing w:after="0"/>
              <w:rPr>
                <w:sz w:val="20"/>
                <w:szCs w:val="20"/>
                <w:color w:val="auto"/>
              </w:rPr>
            </w:pPr>
            <w:r>
              <w:rPr>
                <w:rFonts w:ascii="Arial" w:cs="Arial" w:eastAsia="Arial" w:hAnsi="Arial"/>
                <w:sz w:val="17"/>
                <w:szCs w:val="17"/>
                <w:color w:val="auto"/>
              </w:rPr>
              <w:t>(23,790)</w:t>
            </w: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(18,755)</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(22,089)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(22,814)</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benefit from income taxes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125,664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7"/>
                <w:szCs w:val="17"/>
                <w:color w:val="auto"/>
                <w:w w:val="93"/>
              </w:rPr>
              <w:t>(368,445)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3"/>
              </w:rPr>
              <w:t>(198,382)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(191,490)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(169,774)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Income tax benefit</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125,664</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7"/>
                <w:szCs w:val="17"/>
                <w:color w:val="auto"/>
                <w:w w:val="93"/>
              </w:rPr>
              <w:t>(368,445)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93"/>
              </w:rPr>
              <w:t>(198,382)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(191,490)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3"/>
              </w:rPr>
              <w:t>(169,366)</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Basic net income (loss) per share</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20" w:type="dxa"/>
            <w:vAlign w:val="bottom"/>
            <w:vMerge w:val="continue"/>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1.37</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590"/>
              <w:spacing w:after="0"/>
              <w:rPr>
                <w:sz w:val="20"/>
                <w:szCs w:val="20"/>
                <w:color w:val="auto"/>
              </w:rPr>
            </w:pPr>
            <w:r>
              <w:rPr>
                <w:rFonts w:ascii="Arial" w:cs="Arial" w:eastAsia="Arial" w:hAnsi="Arial"/>
                <w:sz w:val="17"/>
                <w:szCs w:val="17"/>
                <w:color w:val="auto"/>
              </w:rPr>
              <w:t>(4.54)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(2.57)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(3.20)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diluted net income (loss) per share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7"/>
                <w:szCs w:val="17"/>
                <w:color w:val="auto"/>
              </w:rPr>
              <w:t>(4.54)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7"/>
                <w:szCs w:val="17"/>
                <w:color w:val="auto"/>
              </w:rPr>
              <w:t>Shares used to compute basic net income (loss) per share</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92,053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right"/>
              <w:ind w:right="650"/>
              <w:spacing w:after="0"/>
              <w:rPr>
                <w:sz w:val="20"/>
                <w:szCs w:val="20"/>
                <w:color w:val="auto"/>
              </w:rPr>
            </w:pPr>
            <w:r>
              <w:rPr>
                <w:rFonts w:ascii="Arial" w:cs="Arial" w:eastAsia="Arial" w:hAnsi="Arial"/>
                <w:sz w:val="17"/>
                <w:szCs w:val="17"/>
                <w:color w:val="auto"/>
              </w:rPr>
              <w:t>81,233</w:t>
            </w:r>
          </w:p>
        </w:tc>
        <w:tc>
          <w:tcPr>
            <w:tcW w:w="80" w:type="dxa"/>
            <w:vAlign w:val="bottom"/>
          </w:tcPr>
          <w:p>
            <w:pPr>
              <w:spacing w:after="0"/>
              <w:rPr>
                <w:sz w:val="17"/>
                <w:szCs w:val="17"/>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77,045</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59,918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36,171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Shares used to compute diluted net income (loss) per share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92,085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50"/>
              <w:spacing w:after="0"/>
              <w:rPr>
                <w:sz w:val="20"/>
                <w:szCs w:val="20"/>
                <w:color w:val="auto"/>
              </w:rPr>
            </w:pPr>
            <w:r>
              <w:rPr>
                <w:rFonts w:ascii="Arial" w:cs="Arial" w:eastAsia="Arial" w:hAnsi="Arial"/>
                <w:sz w:val="17"/>
                <w:szCs w:val="17"/>
                <w:color w:val="auto"/>
              </w:rPr>
              <w:t>81,233</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77,045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59,918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36,171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93"/>
              <w:spacing w:after="0"/>
              <w:rPr>
                <w:sz w:val="20"/>
                <w:szCs w:val="20"/>
                <w:color w:val="auto"/>
              </w:rPr>
            </w:pPr>
            <w:r>
              <w:rPr>
                <w:rFonts w:ascii="Arial" w:cs="Arial" w:eastAsia="Arial" w:hAnsi="Arial"/>
                <w:sz w:val="17"/>
                <w:szCs w:val="17"/>
                <w:color w:val="auto"/>
              </w:rPr>
              <w:t>50</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December 31,</w:t>
            </w: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4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4"/>
              <w:spacing w:after="0" w:line="137" w:lineRule="exact"/>
              <w:rPr>
                <w:sz w:val="20"/>
                <w:szCs w:val="20"/>
                <w:color w:val="auto"/>
              </w:rPr>
            </w:pPr>
            <w:r>
              <w:rPr>
                <w:rFonts w:ascii="Arial" w:cs="Arial" w:eastAsia="Arial" w:hAnsi="Arial"/>
                <w:sz w:val="14"/>
                <w:szCs w:val="14"/>
                <w:color w:val="auto"/>
              </w:rPr>
              <w:t>2016</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54"/>
              <w:spacing w:after="0" w:line="137" w:lineRule="exact"/>
              <w:rPr>
                <w:sz w:val="20"/>
                <w:szCs w:val="20"/>
                <w:color w:val="auto"/>
              </w:rPr>
            </w:pPr>
            <w:r>
              <w:rPr>
                <w:rFonts w:ascii="Arial" w:cs="Arial" w:eastAsia="Arial" w:hAnsi="Arial"/>
                <w:sz w:val="14"/>
                <w:szCs w:val="14"/>
                <w:color w:val="auto"/>
              </w:rPr>
              <w:t>2015</w:t>
            </w:r>
          </w:p>
        </w:tc>
        <w:tc>
          <w:tcPr>
            <w:tcW w:w="1520" w:type="dxa"/>
            <w:vAlign w:val="bottom"/>
            <w:tcBorders>
              <w:bottom w:val="single" w:sz="8" w:color="auto"/>
            </w:tcBorders>
          </w:tcPr>
          <w:p>
            <w:pPr>
              <w:jc w:val="right"/>
              <w:ind w:right="557"/>
              <w:spacing w:after="0" w:line="137" w:lineRule="exact"/>
              <w:rPr>
                <w:sz w:val="20"/>
                <w:szCs w:val="20"/>
                <w:color w:val="auto"/>
              </w:rPr>
            </w:pPr>
            <w:r>
              <w:rPr>
                <w:rFonts w:ascii="Arial" w:cs="Arial" w:eastAsia="Arial" w:hAnsi="Arial"/>
                <w:sz w:val="14"/>
                <w:szCs w:val="14"/>
                <w:color w:val="auto"/>
              </w:rPr>
              <w:t>2014</w:t>
            </w:r>
          </w:p>
        </w:tc>
        <w:tc>
          <w:tcPr>
            <w:tcW w:w="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54"/>
              <w:spacing w:after="0" w:line="137" w:lineRule="exact"/>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4"/>
              <w:spacing w:after="0" w:line="137"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1"/>
                <w:szCs w:val="11"/>
                <w:color w:val="auto"/>
              </w:rPr>
            </w:pPr>
          </w:p>
        </w:tc>
      </w:tr>
      <w:tr>
        <w:trPr>
          <w:trHeight w:val="137"/>
        </w:trPr>
        <w:tc>
          <w:tcPr>
            <w:tcW w:w="4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20" w:type="dxa"/>
            <w:vAlign w:val="bottom"/>
          </w:tcPr>
          <w:p>
            <w:pPr>
              <w:jc w:val="right"/>
              <w:ind w:right="337"/>
              <w:spacing w:after="0" w:line="137"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74"/>
              <w:spacing w:after="0"/>
              <w:rPr>
                <w:sz w:val="20"/>
                <w:szCs w:val="20"/>
                <w:color w:val="auto"/>
              </w:rPr>
            </w:pPr>
            <w:r>
              <w:rPr>
                <w:rFonts w:ascii="Arial" w:cs="Arial" w:eastAsia="Arial" w:hAnsi="Arial"/>
                <w:sz w:val="17"/>
                <w:szCs w:val="17"/>
                <w:color w:val="auto"/>
              </w:rPr>
              <w:t>22,895</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59,074</w:t>
            </w:r>
          </w:p>
        </w:tc>
        <w:tc>
          <w:tcPr>
            <w:tcW w:w="1520" w:type="dxa"/>
            <w:vAlign w:val="bottom"/>
          </w:tcPr>
          <w:p>
            <w:pPr>
              <w:jc w:val="right"/>
              <w:ind w:right="257"/>
              <w:spacing w:after="0"/>
              <w:rPr>
                <w:sz w:val="20"/>
                <w:szCs w:val="20"/>
                <w:color w:val="auto"/>
              </w:rPr>
            </w:pPr>
            <w:r>
              <w:rPr>
                <w:rFonts w:ascii="Arial" w:cs="Arial" w:eastAsia="Arial" w:hAnsi="Arial"/>
                <w:sz w:val="17"/>
                <w:szCs w:val="17"/>
                <w:color w:val="auto"/>
              </w:rPr>
              <w:t>$  120,841</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4"/>
              <w:spacing w:after="0"/>
              <w:rPr>
                <w:sz w:val="20"/>
                <w:szCs w:val="20"/>
                <w:color w:val="auto"/>
              </w:rPr>
            </w:pPr>
            <w:r>
              <w:rPr>
                <w:rFonts w:ascii="Arial" w:cs="Arial" w:eastAsia="Arial" w:hAnsi="Arial"/>
                <w:sz w:val="17"/>
                <w:szCs w:val="17"/>
                <w:color w:val="auto"/>
              </w:rPr>
              <w:t>70,790</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61,840</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107,063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126,412</w:t>
            </w:r>
          </w:p>
        </w:tc>
        <w:tc>
          <w:tcPr>
            <w:tcW w:w="152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394,439</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258,646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251,314</w:t>
            </w:r>
          </w:p>
        </w:tc>
      </w:tr>
      <w:tr>
        <w:trPr>
          <w:trHeight w:val="210"/>
        </w:trPr>
        <w:tc>
          <w:tcPr>
            <w:tcW w:w="4360" w:type="dxa"/>
            <w:vAlign w:val="bottom"/>
          </w:tcPr>
          <w:p>
            <w:pPr>
              <w:spacing w:after="0"/>
              <w:rPr>
                <w:sz w:val="20"/>
                <w:szCs w:val="20"/>
                <w:color w:val="auto"/>
              </w:rPr>
            </w:pPr>
            <w:r>
              <w:rPr>
                <w:rFonts w:ascii="Arial" w:cs="Arial" w:eastAsia="Arial" w:hAnsi="Arial"/>
                <w:sz w:val="17"/>
                <w:szCs w:val="17"/>
                <w:color w:val="auto"/>
              </w:rPr>
              <w:t>Facility financing obligation</w:t>
            </w:r>
          </w:p>
        </w:tc>
        <w:tc>
          <w:tcPr>
            <w:tcW w:w="80" w:type="dxa"/>
            <w:vAlign w:val="bottom"/>
          </w:tcPr>
          <w:p>
            <w:pPr>
              <w:spacing w:after="0"/>
              <w:rPr>
                <w:sz w:val="18"/>
                <w:szCs w:val="18"/>
                <w:color w:val="auto"/>
              </w:rPr>
            </w:pPr>
          </w:p>
        </w:tc>
        <w:tc>
          <w:tcPr>
            <w:tcW w:w="1120" w:type="dxa"/>
            <w:vAlign w:val="bottom"/>
          </w:tcPr>
          <w:p>
            <w:pPr>
              <w:jc w:val="right"/>
              <w:ind w:right="274"/>
              <w:spacing w:after="0"/>
              <w:rPr>
                <w:sz w:val="20"/>
                <w:szCs w:val="20"/>
                <w:color w:val="auto"/>
              </w:rPr>
            </w:pPr>
            <w:r>
              <w:rPr>
                <w:rFonts w:ascii="Arial" w:cs="Arial" w:eastAsia="Arial" w:hAnsi="Arial"/>
                <w:sz w:val="17"/>
                <w:szCs w:val="17"/>
                <w:color w:val="auto"/>
              </w:rPr>
              <w:t>71,339</w:t>
            </w:r>
          </w:p>
        </w:tc>
        <w:tc>
          <w:tcPr>
            <w:tcW w:w="380" w:type="dxa"/>
            <w:vAlign w:val="bottom"/>
          </w:tcPr>
          <w:p>
            <w:pPr>
              <w:spacing w:after="0"/>
              <w:rPr>
                <w:sz w:val="18"/>
                <w:szCs w:val="18"/>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74,582</w:t>
            </w:r>
          </w:p>
        </w:tc>
        <w:tc>
          <w:tcPr>
            <w:tcW w:w="1520" w:type="dxa"/>
            <w:vAlign w:val="bottom"/>
          </w:tcPr>
          <w:p>
            <w:pPr>
              <w:jc w:val="right"/>
              <w:ind w:right="257"/>
              <w:spacing w:after="0"/>
              <w:rPr>
                <w:sz w:val="20"/>
                <w:szCs w:val="20"/>
                <w:color w:val="auto"/>
              </w:rPr>
            </w:pPr>
            <w:r>
              <w:rPr>
                <w:rFonts w:ascii="Arial" w:cs="Arial" w:eastAsia="Arial" w:hAnsi="Arial"/>
                <w:sz w:val="17"/>
                <w:szCs w:val="17"/>
                <w:color w:val="auto"/>
              </w:rPr>
              <w:t>72,995</w:t>
            </w:r>
          </w:p>
        </w:tc>
        <w:tc>
          <w:tcPr>
            <w:tcW w:w="380" w:type="dxa"/>
            <w:vAlign w:val="bottom"/>
          </w:tcPr>
          <w:p>
            <w:pPr>
              <w:spacing w:after="0"/>
              <w:rPr>
                <w:sz w:val="18"/>
                <w:szCs w:val="18"/>
                <w:color w:val="auto"/>
              </w:rPr>
            </w:pPr>
          </w:p>
        </w:tc>
        <w:tc>
          <w:tcPr>
            <w:tcW w:w="1120" w:type="dxa"/>
            <w:vAlign w:val="bottom"/>
          </w:tcPr>
          <w:p>
            <w:pPr>
              <w:jc w:val="right"/>
              <w:ind w:right="274"/>
              <w:spacing w:after="0"/>
              <w:rPr>
                <w:sz w:val="20"/>
                <w:szCs w:val="20"/>
                <w:color w:val="auto"/>
              </w:rPr>
            </w:pPr>
            <w:r>
              <w:rPr>
                <w:rFonts w:ascii="Arial" w:cs="Arial" w:eastAsia="Arial" w:hAnsi="Arial"/>
                <w:sz w:val="17"/>
                <w:szCs w:val="17"/>
                <w:color w:val="auto"/>
              </w:rPr>
              <w:t>102,300</w:t>
            </w:r>
          </w:p>
        </w:tc>
        <w:tc>
          <w:tcPr>
            <w:tcW w:w="3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Note payable to principal stockholder</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49,521</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49,521</w:t>
            </w:r>
          </w:p>
        </w:tc>
        <w:tc>
          <w:tcPr>
            <w:tcW w:w="152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49,521</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49,521</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119,635</w:t>
            </w:r>
          </w:p>
        </w:tc>
      </w:tr>
      <w:tr>
        <w:trPr>
          <w:trHeight w:val="197"/>
        </w:trPr>
        <w:tc>
          <w:tcPr>
            <w:tcW w:w="4360" w:type="dxa"/>
            <w:vAlign w:val="bottom"/>
          </w:tcPr>
          <w:p>
            <w:pPr>
              <w:spacing w:after="0"/>
              <w:rPr>
                <w:sz w:val="20"/>
                <w:szCs w:val="20"/>
                <w:color w:val="auto"/>
              </w:rPr>
            </w:pPr>
            <w:r>
              <w:rPr>
                <w:rFonts w:ascii="Arial" w:cs="Arial" w:eastAsia="Arial" w:hAnsi="Arial"/>
                <w:sz w:val="17"/>
                <w:szCs w:val="17"/>
                <w:color w:val="auto"/>
              </w:rPr>
              <w:t>Accrued interest — note payable to principal</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360" w:type="dxa"/>
            <w:vAlign w:val="bottom"/>
          </w:tcPr>
          <w:p>
            <w:pPr>
              <w:ind w:left="180"/>
              <w:spacing w:after="0"/>
              <w:rPr>
                <w:sz w:val="20"/>
                <w:szCs w:val="20"/>
                <w:color w:val="auto"/>
              </w:rPr>
            </w:pPr>
            <w:r>
              <w:rPr>
                <w:rFonts w:ascii="Arial" w:cs="Arial" w:eastAsia="Arial" w:hAnsi="Arial"/>
                <w:sz w:val="17"/>
                <w:szCs w:val="17"/>
                <w:color w:val="auto"/>
              </w:rPr>
              <w:t>stockholder</w:t>
            </w:r>
          </w:p>
        </w:tc>
        <w:tc>
          <w:tcPr>
            <w:tcW w:w="8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Arial" w:cs="Arial" w:eastAsia="Arial" w:hAnsi="Arial"/>
                <w:sz w:val="17"/>
                <w:szCs w:val="17"/>
                <w:color w:val="auto"/>
              </w:rPr>
              <w:t>9,281</w:t>
            </w:r>
          </w:p>
        </w:tc>
        <w:tc>
          <w:tcPr>
            <w:tcW w:w="380" w:type="dxa"/>
            <w:vAlign w:val="bottom"/>
          </w:tcPr>
          <w:p>
            <w:pPr>
              <w:spacing w:after="0"/>
              <w:rPr>
                <w:sz w:val="19"/>
                <w:szCs w:val="19"/>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6,380</w:t>
            </w:r>
          </w:p>
        </w:tc>
        <w:tc>
          <w:tcPr>
            <w:tcW w:w="1520" w:type="dxa"/>
            <w:vAlign w:val="bottom"/>
          </w:tcPr>
          <w:p>
            <w:pPr>
              <w:jc w:val="right"/>
              <w:ind w:right="257"/>
              <w:spacing w:after="0"/>
              <w:rPr>
                <w:sz w:val="20"/>
                <w:szCs w:val="20"/>
                <w:color w:val="auto"/>
              </w:rPr>
            </w:pPr>
            <w:r>
              <w:rPr>
                <w:rFonts w:ascii="Arial" w:cs="Arial" w:eastAsia="Arial" w:hAnsi="Arial"/>
                <w:sz w:val="17"/>
                <w:szCs w:val="17"/>
                <w:color w:val="auto"/>
              </w:rPr>
              <w:t>3,486</w:t>
            </w:r>
          </w:p>
        </w:tc>
        <w:tc>
          <w:tcPr>
            <w:tcW w:w="380" w:type="dxa"/>
            <w:vAlign w:val="bottom"/>
          </w:tcPr>
          <w:p>
            <w:pPr>
              <w:spacing w:after="0"/>
              <w:rPr>
                <w:sz w:val="19"/>
                <w:szCs w:val="19"/>
                <w:color w:val="auto"/>
              </w:rPr>
            </w:pPr>
          </w:p>
        </w:tc>
        <w:tc>
          <w:tcPr>
            <w:tcW w:w="1120" w:type="dxa"/>
            <w:vAlign w:val="bottom"/>
          </w:tcPr>
          <w:p>
            <w:pPr>
              <w:jc w:val="right"/>
              <w:ind w:right="274"/>
              <w:spacing w:after="0"/>
              <w:rPr>
                <w:sz w:val="20"/>
                <w:szCs w:val="20"/>
                <w:color w:val="auto"/>
              </w:rPr>
            </w:pPr>
            <w:r>
              <w:rPr>
                <w:rFonts w:ascii="Arial" w:cs="Arial" w:eastAsia="Arial" w:hAnsi="Arial"/>
                <w:sz w:val="17"/>
                <w:szCs w:val="17"/>
                <w:color w:val="auto"/>
              </w:rPr>
              <w:t>592</w:t>
            </w: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2,170</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Senior convertible notes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27,635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rPr>
              <w:t>27,613</w:t>
            </w:r>
          </w:p>
        </w:tc>
        <w:tc>
          <w:tcPr>
            <w:tcW w:w="152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99,355</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98,439</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212,026</w:t>
            </w:r>
          </w:p>
        </w:tc>
      </w:tr>
      <w:tr>
        <w:trPr>
          <w:trHeight w:val="210"/>
        </w:trPr>
        <w:tc>
          <w:tcPr>
            <w:tcW w:w="4360" w:type="dxa"/>
            <w:vAlign w:val="bottom"/>
          </w:tcPr>
          <w:p>
            <w:pPr>
              <w:spacing w:after="0"/>
              <w:rPr>
                <w:sz w:val="20"/>
                <w:szCs w:val="20"/>
                <w:color w:val="auto"/>
              </w:rPr>
            </w:pPr>
            <w:r>
              <w:rPr>
                <w:rFonts w:ascii="Arial" w:cs="Arial" w:eastAsia="Arial" w:hAnsi="Arial"/>
                <w:sz w:val="17"/>
                <w:szCs w:val="17"/>
                <w:color w:val="auto"/>
              </w:rPr>
              <w:t>Sanofi loan facility and loss share obligation</w:t>
            </w:r>
          </w:p>
        </w:tc>
        <w:tc>
          <w:tcPr>
            <w:tcW w:w="8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ind w:right="174"/>
              <w:spacing w:after="0"/>
              <w:rPr>
                <w:sz w:val="20"/>
                <w:szCs w:val="20"/>
                <w:color w:val="auto"/>
              </w:rPr>
            </w:pPr>
            <w:r>
              <w:rPr>
                <w:rFonts w:ascii="Arial" w:cs="Arial" w:eastAsia="Arial" w:hAnsi="Arial"/>
                <w:sz w:val="17"/>
                <w:szCs w:val="17"/>
                <w:color w:val="auto"/>
              </w:rPr>
              <w:t>62,371(5)</w:t>
            </w:r>
          </w:p>
        </w:tc>
        <w:tc>
          <w:tcPr>
            <w:tcW w:w="1520" w:type="dxa"/>
            <w:vAlign w:val="bottom"/>
          </w:tcPr>
          <w:p>
            <w:pPr>
              <w:jc w:val="right"/>
              <w:ind w:right="257"/>
              <w:spacing w:after="0"/>
              <w:rPr>
                <w:sz w:val="20"/>
                <w:szCs w:val="20"/>
                <w:color w:val="auto"/>
              </w:rPr>
            </w:pPr>
            <w:r>
              <w:rPr>
                <w:rFonts w:ascii="Arial" w:cs="Arial" w:eastAsia="Arial" w:hAnsi="Arial"/>
                <w:sz w:val="17"/>
                <w:szCs w:val="17"/>
                <w:color w:val="auto"/>
              </w:rPr>
              <w:t>3,034</w:t>
            </w:r>
          </w:p>
        </w:tc>
        <w:tc>
          <w:tcPr>
            <w:tcW w:w="380" w:type="dxa"/>
            <w:vAlign w:val="bottom"/>
          </w:tcPr>
          <w:p>
            <w:pPr>
              <w:spacing w:after="0"/>
              <w:rPr>
                <w:sz w:val="18"/>
                <w:szCs w:val="18"/>
                <w:color w:val="auto"/>
              </w:rPr>
            </w:pPr>
          </w:p>
        </w:tc>
        <w:tc>
          <w:tcPr>
            <w:tcW w:w="112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(2,737,565)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91"/>
              </w:rPr>
              <w:t>(2,863,229)</w:t>
            </w:r>
          </w:p>
        </w:tc>
        <w:tc>
          <w:tcPr>
            <w:tcW w:w="152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(2,494,784)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(2,296,402)</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(2,104,912)</w:t>
            </w:r>
          </w:p>
        </w:tc>
      </w:tr>
      <w:tr>
        <w:trPr>
          <w:trHeight w:val="222"/>
        </w:trPr>
        <w:tc>
          <w:tcPr>
            <w:tcW w:w="436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(183,593)</w:t>
            </w:r>
          </w:p>
        </w:tc>
        <w:tc>
          <w:tcPr>
            <w:tcW w:w="380" w:type="dxa"/>
            <w:vAlign w:val="bottom"/>
          </w:tcPr>
          <w:p>
            <w:pPr>
              <w:spacing w:after="0"/>
              <w:rPr>
                <w:sz w:val="19"/>
                <w:szCs w:val="19"/>
                <w:color w:val="auto"/>
              </w:rPr>
            </w:pPr>
          </w:p>
        </w:tc>
        <w:tc>
          <w:tcPr>
            <w:tcW w:w="1220" w:type="dxa"/>
            <w:vAlign w:val="bottom"/>
          </w:tcPr>
          <w:p>
            <w:pPr>
              <w:jc w:val="right"/>
              <w:ind w:right="314"/>
              <w:spacing w:after="0"/>
              <w:rPr>
                <w:sz w:val="20"/>
                <w:szCs w:val="20"/>
                <w:color w:val="auto"/>
              </w:rPr>
            </w:pPr>
            <w:r>
              <w:rPr>
                <w:rFonts w:ascii="Arial" w:cs="Arial" w:eastAsia="Arial" w:hAnsi="Arial"/>
                <w:sz w:val="17"/>
                <w:szCs w:val="17"/>
                <w:color w:val="auto"/>
              </w:rPr>
              <w:t>(350,329)</w:t>
            </w:r>
          </w:p>
        </w:tc>
        <w:tc>
          <w:tcPr>
            <w:tcW w:w="1520" w:type="dxa"/>
            <w:vAlign w:val="bottom"/>
          </w:tcPr>
          <w:p>
            <w:pPr>
              <w:jc w:val="right"/>
              <w:ind w:right="197"/>
              <w:spacing w:after="0"/>
              <w:rPr>
                <w:sz w:val="20"/>
                <w:szCs w:val="20"/>
                <w:color w:val="auto"/>
              </w:rPr>
            </w:pPr>
            <w:r>
              <w:rPr>
                <w:rFonts w:ascii="Arial" w:cs="Arial" w:eastAsia="Arial" w:hAnsi="Arial"/>
                <w:sz w:val="17"/>
                <w:szCs w:val="17"/>
                <w:color w:val="auto"/>
              </w:rPr>
              <w:t>(73,770)</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(30,713)</w:t>
            </w: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(110,679)</w:t>
            </w:r>
          </w:p>
        </w:tc>
      </w:tr>
    </w:tbl>
    <w:p>
      <w:pPr>
        <w:spacing w:after="0" w:line="211" w:lineRule="exact"/>
        <w:rPr>
          <w:sz w:val="20"/>
          <w:szCs w:val="20"/>
          <w:color w:val="auto"/>
        </w:rPr>
      </w:pPr>
    </w:p>
    <w:p>
      <w:pPr>
        <w:ind w:left="460" w:right="80" w:hanging="455"/>
        <w:spacing w:after="0" w:line="260"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 of revenue recognized in 2016 totaled $172.0 million, which consisted of an upfront payment of $150.0 million and two milestone payments of $25.0 million each, net of $64.9 million of net loss share with Sanofi, as well as $17.5 million in sales of Afrezza and $19.4 million related to a sale of bulk insulin, both to Sanofi. These payments and sales were made pursuant to the contractual terms of the agreements with Sanofi. Costs of revenue — collaboration represents the costs of product manufactured and sold to Sanofi, as well as certain direct costs associated with a firm purchase commitment entered into in connection with the collaboration with Sanofi.</w:t>
      </w:r>
    </w:p>
    <w:p>
      <w:pPr>
        <w:ind w:left="460" w:right="60" w:hanging="455"/>
        <w:spacing w:after="0" w:line="257"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2016, property and equipment impairment was a result of impairment charges of $695 thousand and $564 thousand for property, plant and equipment and asset held for sale, respectively. In 2015, in connection with our quarterly assessment of impairment indicators and inventory valuation, we identified an impairment of our long-lived assets which resulted in charges of $140.4 million in the fourth quarter of 2015.</w:t>
      </w:r>
    </w:p>
    <w:p>
      <w:pPr>
        <w:jc w:val="both"/>
        <w:ind w:left="460" w:right="140" w:hanging="455"/>
        <w:spacing w:after="0" w:line="27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2016, the $2.3 million gain on purchase commitments was related to a renegotiation of certain of our purchase commitments. In 2015, the $66.2 million recognized loss on purchase commitments resulted from our assessment of excess inventory as a result of lower than expected sales of Afrezza as well as a lower of cost or net realizable value adjustment due to estimated conversion costs in excess of our estimated selling price of Afrezza.</w:t>
      </w:r>
    </w:p>
    <w:p>
      <w:pPr>
        <w:ind w:left="460" w:right="220" w:hanging="455"/>
        <w:spacing w:after="0" w:line="257"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2016, we recognized a change in fair value of warrant liability of $5.4 million to reflect the fair value adjustments of the warrant liability from May 12, 2016, the date certain warrants were issued in connection with a registered public offering.</w:t>
      </w:r>
    </w:p>
    <w:p>
      <w:pPr>
        <w:ind w:left="460" w:right="260" w:hanging="455"/>
        <w:spacing w:after="0" w:line="26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$72.0 million gain from extinguishment of debt in 2016 was a result of the termination of the Sanofi License Agreement on November 9, 2016 and forgiveness of the full outstanding loan balance on the Sanofi Loan Facility. The $1.0 million loss in 2015 was from extinguishment of debt driven by the settlement of the 5.75% Senior Convertible Notes due 2015 through the payment of cash and issuance of new debt.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The following discussion of our financial condition and results of operations should be read in conjunction with our consolidated financial statements and notes thereto included in this Annual Report on Form 10-K.</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We are a biopharmaceutical company focused on the discovery and development of therapeutic products for diseases such as diabetes. Our only approved product, Afrezza, is a rapid-acting inhaled insulin that was approved by the FDA on June 27, 2014 to improve glycemic control in adult patients with diabetes. Afrezza became available by prescription in United States retail pharmacies in February 2015.</w:t>
      </w:r>
    </w:p>
    <w:p>
      <w:pPr>
        <w:spacing w:after="0" w:line="171"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As of December 31, 2016, we had an accumulated deficit of $2.7 billion and a stockholders’ deficit of $183.6 million. We had net income (losses) of approximately $125.7 million, ($368.4) million and ($198.4)</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449"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million in the years ended December 31, 2016, 2015 and 2014, respectively. We have funded our operations primarily through the sale of equity securities and convertible debt securities, borrowings under the Facility Agreement with Deerfield, borrowings under The Mann Group Loan Arrangement, receipt of upfront and milestone payments under the Sanofi License Agreement and borrowings under the Sanofi Loan Facility to fund our portion of the loss share. As discussed below in “Liquidity and Capital Resources”, if we are unable to obtain additional funding, there will be substantial doubt about our ability to continue as a going concern.</w:t>
      </w:r>
    </w:p>
    <w:p>
      <w:pPr>
        <w:spacing w:after="0" w:line="161"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Our business is subject to significant risks, including but not limited to our need to raise additional capital to fund our operations, our ability to successfully commercialize Afrezza and manufacture sufficient quantities of Afrezza and the risks inherent in our ongoing clinical trials and the regulatory approval process for our product candidates. Additional significant risks also include the results of our research and development efforts, competition from other products and technologies and uncertainties associated with obtaining and enforcing patent rights.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5" w:lineRule="exact"/>
        <w:rPr>
          <w:sz w:val="20"/>
          <w:szCs w:val="20"/>
          <w:color w:val="auto"/>
        </w:rPr>
      </w:pPr>
    </w:p>
    <w:p>
      <w:pPr>
        <w:jc w:val="both"/>
        <w:ind w:firstLine="457"/>
        <w:spacing w:after="0" w:line="297" w:lineRule="auto"/>
        <w:rPr>
          <w:sz w:val="20"/>
          <w:szCs w:val="20"/>
          <w:color w:val="auto"/>
        </w:rPr>
      </w:pPr>
      <w:r>
        <w:rPr>
          <w:rFonts w:ascii="Arial" w:cs="Arial" w:eastAsia="Arial" w:hAnsi="Arial"/>
          <w:sz w:val="15"/>
          <w:szCs w:val="15"/>
          <w:color w:val="auto"/>
        </w:rPr>
        <w:t>The preparation of our consolidated financial statements is in accordance with accounting principles generally accepted in the United States. The preparation of our consolidated financial statements requires management to make estimates and judgments that affect the reported amounts of assets, liabilities, revenues, and expenses and related disclosure of contingent assets and liabilities. We consider an accounting estimate to be critical to the consolidated financial statements if</w:t>
      </w:r>
    </w:p>
    <w:p>
      <w:pPr>
        <w:ind w:right="60" w:firstLine="5"/>
        <w:spacing w:after="0" w:line="260" w:lineRule="auto"/>
        <w:tabs>
          <w:tab w:leader="none" w:pos="2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estimate is complex in nature or requires a high degree of judgment and (ii) different estimates and assumptions were used, the results could have a material impact on the consolidated financial statements. On an ongoing basis, we evaluate our estimates and the application of our policies. We base our estimates on historical experience, current conditions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policies that we believe are critical to the preparation of the consolidated financial statements are presented below.</w:t>
      </w:r>
    </w:p>
    <w:p>
      <w:pPr>
        <w:spacing w:after="0" w:line="184"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The following critical accounting policies are more fully described in Note 2 — Summary of Significant Accounting Policies of the Notes to Consolidated Financial Statements included in “Part II, Item 8 — Financial Statements and Supplementary Data.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 Revenue is recognized when the four basic criteria of revenue recognition are met: (1) persuasive evidence that an arrangement exists;</w:t>
      </w:r>
    </w:p>
    <w:p>
      <w:pPr>
        <w:spacing w:after="0" w:line="38" w:lineRule="exact"/>
        <w:rPr>
          <w:sz w:val="20"/>
          <w:szCs w:val="20"/>
          <w:color w:val="auto"/>
        </w:rPr>
      </w:pPr>
    </w:p>
    <w:p>
      <w:pPr>
        <w:ind w:right="220" w:firstLine="5"/>
        <w:spacing w:after="0" w:line="265" w:lineRule="auto"/>
        <w:tabs>
          <w:tab w:leader="none" w:pos="247"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 (3) the fee is fixed or determinable; and (4) collectability is reasonably assured. When the accounting requirements for revenue recognition are not met, we defer the recognition of revenue by recording deferred revenue on the balance sheet until such time that all criteria are met.</w:t>
      </w:r>
    </w:p>
    <w:p>
      <w:pPr>
        <w:spacing w:after="0" w:line="179"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color w:val="auto"/>
        </w:rPr>
        <w:t>We have entered into a Commercial Outsourcing Services Agreement with Integrated Commercialization Solutions, Inc. (“ICS”), a third party logistics provider, under which ICS distributes our product to wholesalers on our behalf. To enable us to distribute product in all necessary jurisdictions, on July 1, 2016, we entered into a first amendment to our contract with ICS for an interim period. Under this amendment, ICS, through Integrated Commercialization Solutions Direct (ICS Direct), purchased product from us and title and risk of loss transferred to ICS Direct. However, we did not recognize revenue upon transfer of product to ICS Direct because (1) we were required to indemnify and hold harmless ICS for all accounts receivable arising out of product sales under the first amendment that were not collected from the customers according to payment terms, and (2) ICS Direct could return product to us under the right of return.</w:t>
      </w:r>
    </w:p>
    <w:p>
      <w:pPr>
        <w:spacing w:after="0" w:line="165"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On September 26, 2016, we provided notice to ICS of our election to terminate the interim period agreement effective December 15, 2016. After that date, ICS no longer took title to inventory. However, the Commercial Outsourcing Services Agreement continues to be in effect and ICS continues to distribute our product to wholesalers on our behalf.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49"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We invoice our customers upon shipment of Afrezza to them and record an accounts receivable, with a corresponding liability for deferred revenue equal to the gross invoice price net of estimated gross-to-net adjustments. Given our limited sales history for Afrezza, we cannot reliably estimate expected returns of the product at the time of shipment. Accordingly, we defer recognition of revenue on Afrezza product shipments until the right of return no longer exists, which occurs at the earlier of the time Afrezza is dispensed through patient prescriptions or expiration of the right of return. We recognize revenue based on Afrezza patient prescriptions dispensed as estimated by syndicated data provided by a third party. We also analyze additional data points to ensure that such third-party data is reasonable, including data related to inventory movements within the channel and ongoing prescription demand. In addition, the costs of Afrezza associated with the deferred revenue are recorded as deferred costs until such time as the related deferred revenue is recognized.</w:t>
      </w:r>
    </w:p>
    <w:p>
      <w:pPr>
        <w:spacing w:after="0" w:line="16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color w:val="auto"/>
        </w:rPr>
        <w:t>Estimated gross-to-net adjustments for Afrezza include wholesaler distribution fees, prompt pay discounts, rebates and patient discount and co-pay assistance programs, and are based on estimated amounts owed or to be claimed on the related sales. These estimates take into consideration the terms of our agreements with our customers and the levels of inventory within the distribution and retail channels that may result in future rebates or discounts taken. In certain cases, such as patient support programs, we recognize the cost of patient discounts as a reduction of revenue based on estimated utilization. If actual future results vary, we may need to adjust these estimates, which could have an effect on product revenue in the period of adjustment. We record product sales deductions in the statement of operations at the time product revenue is recognized.</w:t>
      </w:r>
    </w:p>
    <w:p>
      <w:pPr>
        <w:spacing w:after="0" w:line="181"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b w:val="1"/>
          <w:bCs w:val="1"/>
          <w:i w:val="1"/>
          <w:iCs w:val="1"/>
          <w:color w:val="auto"/>
        </w:rPr>
        <w:t xml:space="preserve">Product Returns </w:t>
      </w:r>
      <w:r>
        <w:rPr>
          <w:rFonts w:ascii="Arial" w:cs="Arial" w:eastAsia="Arial" w:hAnsi="Arial"/>
          <w:sz w:val="17"/>
          <w:szCs w:val="17"/>
          <w:color w:val="auto"/>
        </w:rPr>
        <w:t>— We do not provide a reserve for product refunds for sales of Afrezza due to our revenue recognition policy of deferring recognition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on product shipments of Afrezza until the right of return no longer exists.</w:t>
      </w:r>
    </w:p>
    <w:p>
      <w:pPr>
        <w:spacing w:after="0" w:line="15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b w:val="1"/>
          <w:bCs w:val="1"/>
          <w:i w:val="1"/>
          <w:iCs w:val="1"/>
          <w:color w:val="auto"/>
        </w:rPr>
        <w:t xml:space="preserve">Deferred Costs </w:t>
      </w:r>
      <w:r>
        <w:rPr>
          <w:rFonts w:ascii="Arial" w:cs="Arial" w:eastAsia="Arial" w:hAnsi="Arial"/>
          <w:sz w:val="17"/>
          <w:szCs w:val="17"/>
          <w:color w:val="auto"/>
        </w:rPr>
        <w:t>— Deferred costs from collaboration represents the cost of product manufactured and sold to Sanofi as well as certain direct costs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firm purchase commitment entered into in connection with the Sanofi License Agreement. At December 31, 2016, deferred costs from commercial product sales represented the cost of product shipped to ICS and wholesale distributors, but not sold through by pharmacies to patients. Cost of goods sold related to commercial product sales for the twelve months ended December 31, 2016 included $0.3 million of cost related to product sold through from pharmacies to patients.</w:t>
      </w:r>
    </w:p>
    <w:p>
      <w:pPr>
        <w:spacing w:after="0" w:line="178"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As of December 31, 2015, deferred costs from collaboration of $13.5 million represented the costs of product manufactured and sold to Sanofi. During the third quarter of 2016, the costs related to the Sanofi product sales were recognized as costs of revenue — collaboration in the consolidated statements of operations, as the related revenue was recognized at that time.</w:t>
      </w:r>
    </w:p>
    <w:p>
      <w:pPr>
        <w:spacing w:after="0" w:line="171"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b w:val="1"/>
          <w:bCs w:val="1"/>
          <w:i w:val="1"/>
          <w:iCs w:val="1"/>
          <w:color w:val="auto"/>
        </w:rPr>
        <w:t xml:space="preserve">License and Collaboration Agreements </w:t>
      </w:r>
      <w:r>
        <w:rPr>
          <w:rFonts w:ascii="Arial" w:cs="Arial" w:eastAsia="Arial" w:hAnsi="Arial"/>
          <w:sz w:val="16"/>
          <w:szCs w:val="16"/>
          <w:color w:val="auto"/>
        </w:rPr>
        <w:t>— We analyzed consideration received under the Sanofi License Agreement to determine whether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consideration, or a portion thereof, could be recognized as revenue. In arrangements involving the delivery of more than one element, each required deliverable is evaluated to determine whether it qualifies as a separate unit of accounting.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our best estimate of what the selling price would be if the deliverable was regularly sold by us on a stand-alone basis. In general, the consideration allocated to each unit of accounting is recognized as the related goods or services are delivered, limited to the consideration that is not contingent upon future deliverables.</w:t>
      </w:r>
    </w:p>
    <w:p>
      <w:pPr>
        <w:spacing w:after="0" w:line="168"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Due to the proprietary nature of the manufacturing services to be provided by us, we determined that all of the significant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9" w:right="2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deliverables should be combined into a single unit of accounting. During the term of the Sanofi License Agreement, worldwide profits and losses were determined based on the difference between the net sales of Afrezza and the costs and expenses incurred by us and Sanofi that were specifically attributable or related to the development, regulatory filings, manufacturing, or commercialization of Afrezza. These profits and losses were shared 65% by Sanofi and 35% by us. Prior to December 31, 2015, we did not have the ability to estimate the amount of costs that would potentially be incurred under the loss sharing provision of the Sanofi License Agreement, and accordingly we believed the fixed and determinable fee requirement for revenue recognition was not met.</w:t>
      </w:r>
    </w:p>
    <w:p>
      <w:pPr>
        <w:spacing w:after="0" w:line="165"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In the first and second quarters of 2016, after we received notice of termination from Sanofi, we evaluated whether the criteria had been met. We determined that the requirement had not been met because Sanofi had not finalized necessary adjustments to the profit and loss share provision statements and Sanofi had not yet transferred all of the information to enable us to commercialize Afrezza on our own. Therefore, we were still unable to estimate the costs to be incurred under the agreement with Sanofi. During the third quarter of 2016, Sanofi provided us with enough information to enable us to reasonably estimate the remaining costs under the Sanofi License Agreement and the Sanofi Supply Agreement. Accordingly, the fixed or determinable fee requirement for revenue recognition was met and there were no future obligations to Sanofi. Therefore, we recognized $172.0 million of net revenue — collaboration for the year ended December 31, 2016. The revenue recognized includes the upfront payment of $150.0 million and the two milestone payments of $25.0 million each, net of $64.9 million of net loss share with Sanofi, as well as $17.5 million in sales of Afrezza and $19.4 million from sales of bulk insulin, both to Sanofi. These payments and sales were made pursuant to the contractual terms of the agreements with Sanofi.</w:t>
      </w:r>
    </w:p>
    <w:p>
      <w:pPr>
        <w:spacing w:after="0" w:line="170" w:lineRule="exact"/>
        <w:rPr>
          <w:sz w:val="20"/>
          <w:szCs w:val="20"/>
          <w:color w:val="auto"/>
        </w:rPr>
      </w:pPr>
    </w:p>
    <w:p>
      <w:pPr>
        <w:ind w:right="240" w:firstLine="457"/>
        <w:spacing w:after="0" w:line="322" w:lineRule="auto"/>
        <w:rPr>
          <w:sz w:val="20"/>
          <w:szCs w:val="20"/>
          <w:color w:val="auto"/>
        </w:rPr>
      </w:pPr>
      <w:r>
        <w:rPr>
          <w:rFonts w:ascii="Arial" w:cs="Arial" w:eastAsia="Arial" w:hAnsi="Arial"/>
          <w:sz w:val="16"/>
          <w:szCs w:val="16"/>
          <w:color w:val="auto"/>
        </w:rPr>
        <w:t>On November 9, 2016, we entered into the Settlement Agreement with Sanofi. The accounting for this agreement is described in Note 8 — Collaboration Arrangements of the Notes to Consolidated Financial Statements included in “Part II, Item 8 — Financial Statements and Supplementary Data.”</w:t>
      </w:r>
    </w:p>
    <w:p>
      <w:pPr>
        <w:spacing w:after="0" w:line="135" w:lineRule="exact"/>
        <w:rPr>
          <w:sz w:val="20"/>
          <w:szCs w:val="20"/>
          <w:color w:val="auto"/>
        </w:rPr>
      </w:pPr>
    </w:p>
    <w:p>
      <w:pPr>
        <w:ind w:right="40" w:firstLine="457"/>
        <w:spacing w:after="0" w:line="314" w:lineRule="auto"/>
        <w:rPr>
          <w:sz w:val="20"/>
          <w:szCs w:val="20"/>
          <w:color w:val="auto"/>
        </w:rPr>
      </w:pPr>
      <w:r>
        <w:rPr>
          <w:rFonts w:ascii="Arial" w:cs="Arial" w:eastAsia="Arial" w:hAnsi="Arial"/>
          <w:sz w:val="15"/>
          <w:szCs w:val="15"/>
          <w:color w:val="auto"/>
        </w:rPr>
        <w:t>On January 20, 2016, we entered into the CLA with Receptor pursuant to which we performed initial formulation studies on compounds identified by Receptor. Following successful completion of the studies, Receptor exercised its option to acquire an exclusive license to develop, manufacture and commercialize inhalation formulations of these compounds utilizing our technology. See Note 8 — Collaboration Arrangements of the Notes to Consolidated Financial Statements included in “Part II, Item 8 — Financial Statements and Supplementary Data” for additional information related to the accounting for the CLA.</w:t>
      </w:r>
    </w:p>
    <w:p>
      <w:pPr>
        <w:spacing w:after="0" w:line="145"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 Inventories are stated at the lower of cost or net realizable value. We determine the cost of inventory using the first-in, first-out (“FIFO”)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method. We capitalize inventory costs associated with Afrezza based on management’s judgment and the future economic benefit expected to be realized; otherwise, such costs are expensed in the period incurred. In addition, Afrezza is subject to strict quality control and monitoring, which we perform throughout the manufacturing process. If certain batches of Afrezza inhalation powder, the inhaler or cartridges no longer meet quality specifications or become obsolete due to expiration, we will record a charge to write down such unmarketable inventory to its estimated realizable value.</w:t>
      </w:r>
    </w:p>
    <w:p>
      <w:pPr>
        <w:spacing w:after="0" w:line="16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We analyzed our inventory levels to identify inventory that may expire or has a cost basis in excess of its estimated realizable value. We performed an assessment of projected sales to evaluate the lower of cost or net realizable value and the potential excess inventory on hand at December 31, 2016 and 2015. As a result of these assessments, we recorded a $0.2 million charge at December 31, 2016 to write-off inventory that will expire prior to sale. At December 31, 2015, we recorded a charge of $36.1 million to record the raw materials inventory on hand at the lower of cost or net realizable value and inventory expiry, and $3.2 million related to the write-off of prepaid deposits related to the purchase of inventory.</w:t>
      </w:r>
    </w:p>
    <w:p>
      <w:pPr>
        <w:spacing w:after="0" w:line="178"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b w:val="1"/>
          <w:bCs w:val="1"/>
          <w:i w:val="1"/>
          <w:iCs w:val="1"/>
          <w:color w:val="auto"/>
        </w:rPr>
        <w:t xml:space="preserve">Recognized Loss on Purchase Commitments </w:t>
      </w:r>
      <w:r>
        <w:rPr>
          <w:rFonts w:ascii="Arial" w:cs="Arial" w:eastAsia="Arial" w:hAnsi="Arial"/>
          <w:sz w:val="17"/>
          <w:szCs w:val="17"/>
          <w:color w:val="auto"/>
        </w:rPr>
        <w:t>— At December 31, 2016 and 2015, in connection with the projected sales assessment, we also evaluated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inventory purchase commitments totaling $101.0 million and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49"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$116.2 million, respectively, for potential impairment. As a result of these assessments, we recorded $101.0 million and $66.2 million, respectively, to the liability for recognized loss on purchase commitments both from a lower of cost or net realizable value and excess inventory perspective. Prior to December 31, 2016, the recognized loss on purchase commitments was reduced to reflect our expectation that a portion was recoverable from Sanofi. At December 31, 2016 the recognized loss on purchase commitments no longer reflects recoverability from Sanofi because it was recognized as a receivable from Sanofi due to the Settlement Agreement.</w:t>
      </w:r>
    </w:p>
    <w:p>
      <w:pPr>
        <w:spacing w:after="0" w:line="178" w:lineRule="exact"/>
        <w:rPr>
          <w:sz w:val="20"/>
          <w:szCs w:val="20"/>
          <w:color w:val="auto"/>
        </w:rPr>
      </w:pPr>
    </w:p>
    <w:p>
      <w:pPr>
        <w:ind w:right="160" w:firstLine="457"/>
        <w:spacing w:after="0" w:line="297"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 Assessing long-lived assets for impairment requires us to make assumptions and judgments regarding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w:t>
      </w:r>
    </w:p>
    <w:p>
      <w:pPr>
        <w:spacing w:after="0" w:line="15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If we believe an asset to be impaired, the impairment we recognize is the amount by which the carrying value of the asset exceeds the fair value of the asset. Fair value is determined using market, income or cost approaches, as appropriate for the asset.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178"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color w:val="auto"/>
        </w:rPr>
        <w:t>In connection with our quarterly assessment of impairment indicators, we evaluated the continued lower than expected sales of Afrezza as reported by Sanofi throughout the fourth quarter of 2015, revised forecasts for sales of Afrezza provided by Sanofi in the fourth quarter of 2015 and level of commercial production in the fourth quarter of 2015, as well as the uncertainty associated with Sanofi’s announcement during the fourth quarter of their intent to reorganize their diabetes business. These factors indicated potentially significant changes in the timing and extent of cash flows, and we therefore determined that an impairment indicator existed in the fourth quarter of 2015.</w:t>
      </w:r>
    </w:p>
    <w:p>
      <w:pPr>
        <w:spacing w:after="0" w:line="178"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As disclosed more fully in Note 4 — Property and Equipment of the Notes to Consolidated Financial Statements included in “Part II, Item 8 — Financial Statements and Supplementary Data”, based on the above impairment factors in 2015, we identified an impairment charge of $1.8 million related to our Valencia property, which was previously our corporate headquarters, as well as a $138.6 million impairment charge to our Danbury manufacturing facility, which currently performs all manufacturing of Afrezza. As disclosed in Note 20 — Subsequent Events of the Notes to Consolidated Financial Statements included in “Part II, Item 8 — Financial Statements and Supplementary Data”, in 2016 we also recorded an additional $1.2 million impairment charge related to facilities of which</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$0.5 million is associated with the Valencia property, when it became probable that the property would be sold within one year.</w:t>
      </w:r>
    </w:p>
    <w:p>
      <w:pPr>
        <w:spacing w:after="0" w:line="212"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To date, we have had cumulative operating losses, and the recoverability of our long-lived assets is contingent upon executing our business plan. If we are unable to execute our business plan, we may require additional write downs of the value of our long-lived assets in future periods.</w:t>
      </w:r>
    </w:p>
    <w:p>
      <w:pPr>
        <w:spacing w:after="0" w:line="158" w:lineRule="exact"/>
        <w:rPr>
          <w:sz w:val="20"/>
          <w:szCs w:val="20"/>
          <w:color w:val="auto"/>
        </w:rPr>
      </w:pPr>
    </w:p>
    <w:p>
      <w:pPr>
        <w:ind w:right="40" w:firstLine="457"/>
        <w:spacing w:after="0" w:line="302" w:lineRule="auto"/>
        <w:rPr>
          <w:sz w:val="20"/>
          <w:szCs w:val="20"/>
          <w:color w:val="auto"/>
        </w:rPr>
      </w:pPr>
      <w:r>
        <w:rPr>
          <w:rFonts w:ascii="Arial" w:cs="Arial" w:eastAsia="Arial" w:hAnsi="Arial"/>
          <w:sz w:val="15"/>
          <w:szCs w:val="15"/>
          <w:b w:val="1"/>
          <w:bCs w:val="1"/>
          <w:i w:val="1"/>
          <w:iCs w:val="1"/>
          <w:color w:val="auto"/>
        </w:rPr>
        <w:t xml:space="preserve">Milestone Rights Liability </w:t>
      </w:r>
      <w:r>
        <w:rPr>
          <w:rFonts w:ascii="Arial" w:cs="Arial" w:eastAsia="Arial" w:hAnsi="Arial"/>
          <w:sz w:val="15"/>
          <w:szCs w:val="15"/>
          <w:color w:val="auto"/>
        </w:rPr>
        <w:t>— In addition to the Facility Financing Obligation, we also issued certain rights to receive payments of up to $90.0 million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occurrence of specified strategic and sales milestones (the “Milestone Rights”). These rights are not 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our forecast, progress made to date towards meeting the milestones, and assessment of criteria required for achievement, and external data, such as market research studies. The discount rate (14.5%) was selected based on an estimation of required rate of returns for similar</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80"/>
          </w:cols>
          <w:pgMar w:left="240" w:top="449" w:right="2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investment opportunities using available market data. As of December 31, 2016, the carrying value of the Milestone Rights is $8.9 million, classified as a long-term liability and the fair value is estimated at $18.4 million. The fair value measurement of the liability is sensitive to the discount rate and the timing and probability of making milestone payments. If the achievement of each of the milestones which require payments were to be 12 months earlier or later than in our current forecast, the fair value of the liability would increase by 15 percent or decrease by 14, respectively. If the probability of achieving each milestones was increased or decreased by 5 percent, the fair value of the liability would increase or decrease by 17 percent, respectively. If the discount rate were to increase or decrease by 1 percent, the fair value of the liability would increase or decrease by 2 percent, respectively. Over the long term, these inputs are interrelated because if our performance improves, the timing of meeting the milestones would likely be earlier, the probability of making payments on the milestones would likely be higher, and the discount rate would likely decrease, all of which would increase the fair value of the liability. The inverse is also true.</w:t>
      </w:r>
    </w:p>
    <w:p>
      <w:pPr>
        <w:spacing w:after="0" w:line="168"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b w:val="1"/>
          <w:bCs w:val="1"/>
          <w:i w:val="1"/>
          <w:iCs w:val="1"/>
          <w:color w:val="auto"/>
        </w:rPr>
        <w:t xml:space="preserve">Clinical Trial Expenses </w:t>
      </w:r>
      <w:r>
        <w:rPr>
          <w:rFonts w:ascii="Arial" w:cs="Arial" w:eastAsia="Arial" w:hAnsi="Arial"/>
          <w:sz w:val="15"/>
          <w:szCs w:val="15"/>
          <w:color w:val="auto"/>
        </w:rPr>
        <w:t>— Our clinical trial accrual process seeks to account for expenses resulting from our obligations under contract with vendors,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58" w:lineRule="exact"/>
        <w:rPr>
          <w:sz w:val="20"/>
          <w:szCs w:val="20"/>
          <w:color w:val="auto"/>
        </w:rPr>
      </w:pPr>
    </w:p>
    <w:p>
      <w:pPr>
        <w:ind w:right="220" w:firstLine="457"/>
        <w:spacing w:after="0" w:line="273" w:lineRule="auto"/>
        <w:rPr>
          <w:sz w:val="20"/>
          <w:szCs w:val="20"/>
          <w:color w:val="auto"/>
        </w:rPr>
      </w:pPr>
      <w:r>
        <w:rPr>
          <w:rFonts w:ascii="Arial" w:cs="Arial" w:eastAsia="Arial" w:hAnsi="Arial"/>
          <w:sz w:val="17"/>
          <w:szCs w:val="17"/>
          <w:color w:val="auto"/>
        </w:rPr>
        <w:t>Although we do not expect our estimates to be materially different from amounts actually incurred, our understanding of the status and timing of services performed relative to the actual status and timing of services performed may vary and may result in our reporting amounts that are too high or too low for any particular period.</w:t>
      </w:r>
    </w:p>
    <w:p>
      <w:pPr>
        <w:spacing w:after="0" w:line="171"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 All share-based payments to employees, including grants of stock options, restricted stock units, performance-based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compensatory elements of employee stock purchase plans, are recognized in the consolidated income statements based upon the fair value of the awards at the grant date. We use the Black-Scholes option valuation model to estimate the grant date fair value of employee stock options and the compensatory elements of employee stock purchase plans. Option valuation models require inputs, including the stock price, the exercise price, the expected life of the stock-based awards, the estimated stock price volatility, the risk-free interest rate, and the expected dividend yield. The expected volatility assumption is based on an assessment of the historical volatility, with consideration of implied volatility, derived from an analysis of historical trade activity.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w:t>
      </w:r>
    </w:p>
    <w:p>
      <w:pPr>
        <w:spacing w:after="0" w:line="182"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We account for our warrants as either equity or liabilities based upon the characteristics and provisions of each instrument and evaluation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sufficient authorized shares available to satisfy the obligations. Warrants classified as derivative liabilities are recorded on our consolidated balance sheets at their fair value on the date of issuance and are revalued at each subsequent balance sheet date, with fair value changes recognized as increases or decreases in other income (expense) in the consolidated statements of operations. The Company estimates the fair value of its derivative liabilities using a third party valuation analysis that utilizes a Monte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80"/>
          </w:cols>
          <w:pgMar w:left="240" w:top="449" w:right="2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Carlo pricing valuation model and assumptions that are based on the individual characteristics of the warrants or instruments on the valuation date, such as probability of a dilutive issuance, as well as expected volatility, expected life, yield and a risk-free interest rate. The expected volatility assumption is primarily based on an assessment of the historical volatility, with consideration of implied volatility, derived from an analysis of historical trade activity. Warrants classified as equity are recorded within additional paid in capital at the issuance date and are not remeasured in subsequent periods, unless the underlying assumptions change to trigger liability accounting.</w:t>
      </w:r>
    </w:p>
    <w:p>
      <w:pPr>
        <w:spacing w:after="0" w:line="178"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b w:val="1"/>
          <w:bCs w:val="1"/>
          <w:i w:val="1"/>
          <w:iCs w:val="1"/>
          <w:color w:val="auto"/>
        </w:rPr>
        <w:t xml:space="preserve">Accounting for Income Taxes </w:t>
      </w:r>
      <w:r>
        <w:rPr>
          <w:rFonts w:ascii="Arial" w:cs="Arial" w:eastAsia="Arial" w:hAnsi="Arial"/>
          <w:sz w:val="17"/>
          <w:szCs w:val="17"/>
          <w:color w:val="auto"/>
        </w:rPr>
        <w:t>— Our management must make judgments when determining our provision for income taxes, our deferred tax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and any valuation allowance recorded against our net deferred tax assets. At December 31, 2016 and December 31, 2015, respectively, we had established a valuation allowance of $914.5 million and $962.6 million against all of our net deferred tax asset balances,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Years ended December 31, 2016 and 2015</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comparison of the revenue categories for the years ended December 31, 2016 and 2015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w w:val="91"/>
              </w:rPr>
              <w:t>Twelve Months Ended December 31,</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700" w:type="dxa"/>
            <w:vAlign w:val="bottom"/>
          </w:tcPr>
          <w:p>
            <w:pPr>
              <w:spacing w:after="0"/>
              <w:rPr>
                <w:sz w:val="11"/>
                <w:szCs w:val="11"/>
                <w:color w:val="auto"/>
              </w:rPr>
            </w:pPr>
          </w:p>
        </w:tc>
        <w:tc>
          <w:tcPr>
            <w:tcW w:w="680" w:type="dxa"/>
            <w:vAlign w:val="bottom"/>
          </w:tcPr>
          <w:p>
            <w:pPr>
              <w:jc w:val="right"/>
              <w:ind w:right="115"/>
              <w:spacing w:after="0" w:line="137" w:lineRule="exact"/>
              <w:rPr>
                <w:sz w:val="20"/>
                <w:szCs w:val="20"/>
                <w:color w:val="auto"/>
              </w:rPr>
            </w:pPr>
            <w:r>
              <w:rPr>
                <w:rFonts w:ascii="Arial" w:cs="Arial" w:eastAsia="Arial" w:hAnsi="Arial"/>
                <w:sz w:val="14"/>
                <w:szCs w:val="14"/>
                <w:color w:val="auto"/>
              </w:rPr>
              <w:t>2016</w:t>
            </w:r>
          </w:p>
        </w:tc>
        <w:tc>
          <w:tcPr>
            <w:tcW w:w="420" w:type="dxa"/>
            <w:vAlign w:val="bottom"/>
          </w:tcPr>
          <w:p>
            <w:pPr>
              <w:spacing w:after="0"/>
              <w:rPr>
                <w:sz w:val="11"/>
                <w:szCs w:val="11"/>
                <w:color w:val="auto"/>
              </w:rPr>
            </w:pPr>
          </w:p>
        </w:tc>
        <w:tc>
          <w:tcPr>
            <w:tcW w:w="360" w:type="dxa"/>
            <w:vAlign w:val="bottom"/>
          </w:tcPr>
          <w:p>
            <w:pPr>
              <w:jc w:val="right"/>
              <w:spacing w:after="0" w:line="137" w:lineRule="exact"/>
              <w:rPr>
                <w:sz w:val="20"/>
                <w:szCs w:val="20"/>
                <w:color w:val="auto"/>
              </w:rPr>
            </w:pPr>
            <w:r>
              <w:rPr>
                <w:rFonts w:ascii="Arial" w:cs="Arial" w:eastAsia="Arial" w:hAnsi="Arial"/>
                <w:sz w:val="14"/>
                <w:szCs w:val="14"/>
                <w:color w:val="auto"/>
                <w:w w:val="96"/>
              </w:rPr>
              <w:t>2015</w:t>
            </w:r>
          </w:p>
        </w:tc>
        <w:tc>
          <w:tcPr>
            <w:tcW w:w="380" w:type="dxa"/>
            <w:vAlign w:val="bottom"/>
          </w:tcPr>
          <w:p>
            <w:pPr>
              <w:spacing w:after="0"/>
              <w:rPr>
                <w:sz w:val="11"/>
                <w:szCs w:val="11"/>
                <w:color w:val="auto"/>
              </w:rPr>
            </w:pPr>
          </w:p>
        </w:tc>
        <w:tc>
          <w:tcPr>
            <w:tcW w:w="1100" w:type="dxa"/>
            <w:vAlign w:val="bottom"/>
            <w:gridSpan w:val="2"/>
          </w:tcPr>
          <w:p>
            <w:pPr>
              <w:jc w:val="right"/>
              <w:ind w:right="500"/>
              <w:spacing w:after="0" w:line="137" w:lineRule="exact"/>
              <w:rPr>
                <w:sz w:val="20"/>
                <w:szCs w:val="20"/>
                <w:color w:val="auto"/>
              </w:rPr>
            </w:pPr>
            <w:r>
              <w:rPr>
                <w:rFonts w:ascii="Arial" w:cs="Arial" w:eastAsia="Arial" w:hAnsi="Arial"/>
                <w:sz w:val="14"/>
                <w:szCs w:val="14"/>
                <w:color w:val="auto"/>
                <w:w w:val="95"/>
              </w:rPr>
              <w:t>$ Change</w:t>
            </w:r>
          </w:p>
        </w:tc>
        <w:tc>
          <w:tcPr>
            <w:tcW w:w="580" w:type="dxa"/>
            <w:vAlign w:val="bottom"/>
          </w:tcPr>
          <w:p>
            <w:pPr>
              <w:spacing w:after="0" w:line="137" w:lineRule="exact"/>
              <w:rPr>
                <w:sz w:val="20"/>
                <w:szCs w:val="20"/>
                <w:color w:val="auto"/>
              </w:rPr>
            </w:pPr>
            <w:r>
              <w:rPr>
                <w:rFonts w:ascii="Arial" w:cs="Arial" w:eastAsia="Arial" w:hAnsi="Arial"/>
                <w:sz w:val="14"/>
                <w:szCs w:val="14"/>
                <w:color w:val="auto"/>
                <w:w w:val="85"/>
              </w:rPr>
              <w:t>% 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Revenue:</w:t>
            </w:r>
          </w:p>
        </w:tc>
        <w:tc>
          <w:tcPr>
            <w:tcW w:w="6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7"/>
                <w:szCs w:val="17"/>
                <w:color w:val="auto"/>
              </w:rPr>
              <w:t>Net revenue — collaboration</w:t>
            </w: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171,965</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8"/>
              </w:rPr>
              <w:t>$—</w:t>
            </w:r>
          </w:p>
        </w:tc>
        <w:tc>
          <w:tcPr>
            <w:tcW w:w="1480" w:type="dxa"/>
            <w:vAlign w:val="bottom"/>
            <w:gridSpan w:val="3"/>
          </w:tcPr>
          <w:p>
            <w:pPr>
              <w:jc w:val="right"/>
              <w:ind w:right="4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171,965</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revenue — commercial product sales:</w:t>
            </w: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700"/>
              <w:spacing w:after="0"/>
              <w:rPr>
                <w:sz w:val="20"/>
                <w:szCs w:val="20"/>
                <w:color w:val="auto"/>
              </w:rPr>
            </w:pPr>
            <w:r>
              <w:rPr>
                <w:rFonts w:ascii="Arial" w:cs="Arial" w:eastAsia="Arial" w:hAnsi="Arial"/>
                <w:sz w:val="17"/>
                <w:szCs w:val="17"/>
                <w:color w:val="auto"/>
              </w:rPr>
              <w:t>Gross revenue from commercial product sales</w:t>
            </w:r>
          </w:p>
        </w:tc>
        <w:tc>
          <w:tcPr>
            <w:tcW w:w="680" w:type="dxa"/>
            <w:vAlign w:val="bottom"/>
          </w:tcPr>
          <w:p>
            <w:pPr>
              <w:jc w:val="right"/>
              <w:spacing w:after="0"/>
              <w:rPr>
                <w:sz w:val="20"/>
                <w:szCs w:val="20"/>
                <w:color w:val="auto"/>
              </w:rPr>
            </w:pPr>
            <w:r>
              <w:rPr>
                <w:rFonts w:ascii="Arial" w:cs="Arial" w:eastAsia="Arial" w:hAnsi="Arial"/>
                <w:sz w:val="17"/>
                <w:szCs w:val="17"/>
                <w:color w:val="auto"/>
              </w:rPr>
              <w:t>2,714</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440"/>
              <w:spacing w:after="0"/>
              <w:rPr>
                <w:sz w:val="20"/>
                <w:szCs w:val="20"/>
                <w:color w:val="auto"/>
              </w:rPr>
            </w:pPr>
            <w:r>
              <w:rPr>
                <w:rFonts w:ascii="Arial" w:cs="Arial" w:eastAsia="Arial" w:hAnsi="Arial"/>
                <w:sz w:val="17"/>
                <w:szCs w:val="17"/>
                <w:color w:val="auto"/>
              </w:rPr>
              <w:t>2,714</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Gross-to-net adjustments:</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1060"/>
              <w:spacing w:after="0"/>
              <w:rPr>
                <w:sz w:val="20"/>
                <w:szCs w:val="20"/>
                <w:color w:val="auto"/>
              </w:rPr>
            </w:pPr>
            <w:r>
              <w:rPr>
                <w:rFonts w:ascii="Arial" w:cs="Arial" w:eastAsia="Arial" w:hAnsi="Arial"/>
                <w:sz w:val="17"/>
                <w:szCs w:val="17"/>
                <w:color w:val="auto"/>
              </w:rPr>
              <w:t>Wholesale distribution fees and prompt pay discounts</w:t>
            </w:r>
          </w:p>
        </w:tc>
        <w:tc>
          <w:tcPr>
            <w:tcW w:w="1100" w:type="dxa"/>
            <w:vAlign w:val="bottom"/>
            <w:gridSpan w:val="2"/>
          </w:tcPr>
          <w:p>
            <w:pPr>
              <w:jc w:val="right"/>
              <w:ind w:right="290"/>
              <w:spacing w:after="0"/>
              <w:rPr>
                <w:sz w:val="20"/>
                <w:szCs w:val="20"/>
                <w:color w:val="auto"/>
              </w:rPr>
            </w:pPr>
            <w:r>
              <w:rPr>
                <w:rFonts w:ascii="Arial" w:cs="Arial" w:eastAsia="Arial" w:hAnsi="Arial"/>
                <w:sz w:val="17"/>
                <w:szCs w:val="17"/>
                <w:color w:val="auto"/>
              </w:rPr>
              <w:t>(489)</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7"/>
                <w:szCs w:val="17"/>
                <w:color w:val="auto"/>
              </w:rPr>
              <w:t>(489)</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Patient discount and co-pay assistance programs</w:t>
            </w:r>
          </w:p>
        </w:tc>
        <w:tc>
          <w:tcPr>
            <w:tcW w:w="1100" w:type="dxa"/>
            <w:vAlign w:val="bottom"/>
            <w:gridSpan w:val="2"/>
            <w:shd w:val="clear" w:color="auto" w:fill="CCEEFF"/>
          </w:tcPr>
          <w:p>
            <w:pPr>
              <w:jc w:val="right"/>
              <w:ind w:right="290"/>
              <w:spacing w:after="0"/>
              <w:rPr>
                <w:sz w:val="20"/>
                <w:szCs w:val="20"/>
                <w:color w:val="auto"/>
              </w:rPr>
            </w:pPr>
            <w:r>
              <w:rPr>
                <w:rFonts w:ascii="Arial" w:cs="Arial" w:eastAsia="Arial" w:hAnsi="Arial"/>
                <w:sz w:val="17"/>
                <w:szCs w:val="17"/>
                <w:color w:val="auto"/>
              </w:rPr>
              <w:t>(196)</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7700" w:type="dxa"/>
            <w:vAlign w:val="bottom"/>
          </w:tcPr>
          <w:p>
            <w:pPr>
              <w:ind w:left="1060"/>
              <w:spacing w:after="0"/>
              <w:rPr>
                <w:sz w:val="20"/>
                <w:szCs w:val="20"/>
                <w:color w:val="auto"/>
              </w:rPr>
            </w:pPr>
            <w:r>
              <w:rPr>
                <w:rFonts w:ascii="Arial" w:cs="Arial" w:eastAsia="Arial" w:hAnsi="Arial"/>
                <w:sz w:val="17"/>
                <w:szCs w:val="17"/>
                <w:color w:val="auto"/>
              </w:rPr>
              <w:t>Rebates</w:t>
            </w:r>
          </w:p>
        </w:tc>
        <w:tc>
          <w:tcPr>
            <w:tcW w:w="1100" w:type="dxa"/>
            <w:vAlign w:val="bottom"/>
            <w:gridSpan w:val="2"/>
          </w:tcPr>
          <w:p>
            <w:pPr>
              <w:jc w:val="right"/>
              <w:ind w:right="290"/>
              <w:spacing w:after="0"/>
              <w:rPr>
                <w:sz w:val="20"/>
                <w:szCs w:val="20"/>
                <w:color w:val="auto"/>
              </w:rPr>
            </w:pPr>
            <w:r>
              <w:rPr>
                <w:rFonts w:ascii="Arial" w:cs="Arial" w:eastAsia="Arial" w:hAnsi="Arial"/>
                <w:sz w:val="17"/>
                <w:szCs w:val="17"/>
                <w:color w:val="auto"/>
              </w:rPr>
              <w:t>(134)</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7"/>
                <w:szCs w:val="17"/>
                <w:color w:val="auto"/>
              </w:rPr>
              <w:t>(134)</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revenue — commercial product sales</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1,895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Arial" w:cs="Arial" w:eastAsia="Arial" w:hAnsi="Arial"/>
                <w:sz w:val="17"/>
                <w:szCs w:val="17"/>
                <w:color w:val="auto"/>
              </w:rPr>
              <w:t>Revenue — bulk insulin sales</w:t>
            </w: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line="20" w:lineRule="exact"/>
              <w:rPr>
                <w:sz w:val="1"/>
                <w:szCs w:val="1"/>
                <w:color w:val="auto"/>
              </w:rPr>
            </w:pPr>
          </w:p>
        </w:tc>
      </w:tr>
      <w:tr>
        <w:trPr>
          <w:trHeight w:val="216"/>
        </w:trPr>
        <w:tc>
          <w:tcPr>
            <w:tcW w:w="77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898</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898</w:t>
            </w: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Total net revenue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174,758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174,758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In 2016, we derived a significant amount of revenue from our collaboration with Sanofi under which we had to perform certain obligations and we received periodic payments. During the year ended December 31, 2016, we recognized net revenue from our collaboration with Sanofi of $172.0 million. The recognized collaboration revenue relates to payments for activities from prior periods which were previously deferred as the transactions did not meet the criteria for revenue recognition until 2016. In the third quarter of 2016, due to the termination of the Sanofi License Agreement, we determined the costs related to the collaboration with Sanofi were reasonably estimable, resulting in the recognition of revenue as there were no future obligations to Sanofi. The amount of revenue recognized was the upfront payment of $150.0 million and two milestone payments of $25.0 million each, offset by $64.9 million of net loss share with Sanofi, as well as $17.5 million in sales of Afrezza and $19.4 million in sales of bulk insulin, both to Sanofi. During the year ended December 31, 2015, we did not recognize any revenues from collaboration.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9"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firstLine="457"/>
        <w:spacing w:after="0" w:line="289" w:lineRule="auto"/>
        <w:rPr>
          <w:sz w:val="20"/>
          <w:szCs w:val="20"/>
          <w:color w:val="auto"/>
        </w:rPr>
      </w:pPr>
      <w:r>
        <w:rPr>
          <w:rFonts w:ascii="Arial" w:cs="Arial" w:eastAsia="Arial" w:hAnsi="Arial"/>
          <w:sz w:val="16"/>
          <w:szCs w:val="16"/>
          <w:color w:val="auto"/>
        </w:rPr>
        <w:t>We began distributing MannKind-branded Afrezza product to wholesalers through ICS Direct during the week of July 25, 2016. We recognize commercial product revenue based on Afrezza prescriptions dispensed to patients. During the year ended December 31, 2016, we recognized net revenue from commercial product sales of $1.9 million. During the year ended December 31, 2015, we did not recognize any revenues from commercial product sales. At December 31, 2016, year to date total gross-to-net adjustments were approximately 30% of gross revenue from product sales.</w:t>
      </w:r>
    </w:p>
    <w:p>
      <w:pPr>
        <w:spacing w:after="0" w:line="161" w:lineRule="exact"/>
        <w:rPr>
          <w:sz w:val="20"/>
          <w:szCs w:val="20"/>
          <w:color w:val="auto"/>
        </w:rPr>
      </w:pPr>
    </w:p>
    <w:p>
      <w:pPr>
        <w:ind w:right="540" w:firstLine="457"/>
        <w:spacing w:after="0" w:line="289" w:lineRule="auto"/>
        <w:rPr>
          <w:sz w:val="20"/>
          <w:szCs w:val="20"/>
          <w:color w:val="auto"/>
        </w:rPr>
      </w:pPr>
      <w:r>
        <w:rPr>
          <w:rFonts w:ascii="Arial" w:cs="Arial" w:eastAsia="Arial" w:hAnsi="Arial"/>
          <w:sz w:val="17"/>
          <w:szCs w:val="17"/>
          <w:color w:val="auto"/>
        </w:rPr>
        <w:t>In the fourth quarter of 2016 we sold $0.9 million of bulk insulin to a third party. During the year ended December 31, 2015, we did not sell any bulk insulin.</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Expenses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comparison of the expense categories for the year ended December 31, 2016 and 2015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6"/>
          </w:tcPr>
          <w:p>
            <w:pPr>
              <w:jc w:val="right"/>
              <w:ind w:right="780"/>
              <w:spacing w:after="0"/>
              <w:rPr>
                <w:sz w:val="20"/>
                <w:szCs w:val="20"/>
                <w:color w:val="auto"/>
              </w:rPr>
            </w:pPr>
            <w:r>
              <w:rPr>
                <w:rFonts w:ascii="Arial" w:cs="Arial" w:eastAsia="Arial" w:hAnsi="Arial"/>
                <w:sz w:val="14"/>
                <w:szCs w:val="14"/>
                <w:color w:val="auto"/>
                <w:w w:val="92"/>
              </w:rPr>
              <w:t>Twelve Months Ended December 31,</w:t>
            </w:r>
          </w:p>
        </w:tc>
        <w:tc>
          <w:tcPr>
            <w:tcW w:w="1340" w:type="dxa"/>
            <w:vAlign w:val="bottom"/>
            <w:gridSpan w:val="2"/>
            <w:vMerge w:val="restart"/>
          </w:tcPr>
          <w:p>
            <w:pPr>
              <w:jc w:val="right"/>
              <w:ind w:right="700"/>
              <w:spacing w:after="0"/>
              <w:rPr>
                <w:sz w:val="20"/>
                <w:szCs w:val="20"/>
                <w:color w:val="auto"/>
              </w:rPr>
            </w:pPr>
            <w:r>
              <w:rPr>
                <w:rFonts w:ascii="Arial" w:cs="Arial" w:eastAsia="Arial" w:hAnsi="Arial"/>
                <w:sz w:val="14"/>
                <w:szCs w:val="14"/>
                <w:color w:val="auto"/>
              </w:rPr>
              <w:t>$ Change</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w w:val="85"/>
              </w:rPr>
              <w:t>% Change</w:t>
            </w:r>
          </w:p>
        </w:tc>
        <w:tc>
          <w:tcPr>
            <w:tcW w:w="0" w:type="dxa"/>
            <w:vAlign w:val="bottom"/>
          </w:tcPr>
          <w:p>
            <w:pPr>
              <w:spacing w:after="0"/>
              <w:rPr>
                <w:sz w:val="1"/>
                <w:szCs w:val="1"/>
                <w:color w:val="auto"/>
              </w:rPr>
            </w:pPr>
          </w:p>
        </w:tc>
      </w:tr>
      <w:tr>
        <w:trPr>
          <w:trHeight w:val="137"/>
        </w:trPr>
        <w:tc>
          <w:tcPr>
            <w:tcW w:w="6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36"/>
              <w:spacing w:after="0" w:line="137" w:lineRule="exact"/>
              <w:rPr>
                <w:sz w:val="20"/>
                <w:szCs w:val="20"/>
                <w:color w:val="auto"/>
              </w:rPr>
            </w:pPr>
            <w:r>
              <w:rPr>
                <w:rFonts w:ascii="Arial" w:cs="Arial" w:eastAsia="Arial" w:hAnsi="Arial"/>
                <w:sz w:val="14"/>
                <w:szCs w:val="14"/>
                <w:color w:val="auto"/>
              </w:rPr>
              <w:t>2016</w:t>
            </w:r>
          </w:p>
        </w:tc>
        <w:tc>
          <w:tcPr>
            <w:tcW w:w="3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54"/>
              <w:spacing w:after="0" w:line="137" w:lineRule="exact"/>
              <w:rPr>
                <w:sz w:val="20"/>
                <w:szCs w:val="20"/>
                <w:color w:val="auto"/>
              </w:rPr>
            </w:pPr>
            <w:r>
              <w:rPr>
                <w:rFonts w:ascii="Arial" w:cs="Arial" w:eastAsia="Arial" w:hAnsi="Arial"/>
                <w:sz w:val="14"/>
                <w:szCs w:val="14"/>
                <w:color w:val="auto"/>
              </w:rPr>
              <w:t>2015</w:t>
            </w:r>
          </w:p>
        </w:tc>
        <w:tc>
          <w:tcPr>
            <w:tcW w:w="56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Expenses:</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Costs of revenue — collaboration</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32,971</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  32,971</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goods sold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17,121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64,745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(47,624)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14,917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29,674</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(14,757)</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19,854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1,587</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18,267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27,074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39,373</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(12,299)</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 impairment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140,412</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(139,153)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10"/>
        </w:trPr>
        <w:tc>
          <w:tcPr>
            <w:tcW w:w="6160" w:type="dxa"/>
            <w:vAlign w:val="bottom"/>
          </w:tcPr>
          <w:p>
            <w:pPr>
              <w:ind w:left="360"/>
              <w:spacing w:after="0"/>
              <w:rPr>
                <w:sz w:val="20"/>
                <w:szCs w:val="20"/>
                <w:color w:val="auto"/>
              </w:rPr>
            </w:pPr>
            <w:r>
              <w:rPr>
                <w:rFonts w:ascii="Arial" w:cs="Arial" w:eastAsia="Arial" w:hAnsi="Arial"/>
                <w:sz w:val="17"/>
                <w:szCs w:val="17"/>
                <w:color w:val="auto"/>
              </w:rPr>
              <w:t>(Gain) loss on foreign currency translation</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(3,433)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2,697</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(6,130)</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loss on purchase commitments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66,167</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(68,432)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700"/>
              <w:spacing w:after="0"/>
              <w:rPr>
                <w:sz w:val="20"/>
                <w:szCs w:val="20"/>
                <w:color w:val="auto"/>
              </w:rPr>
            </w:pPr>
            <w:r>
              <w:rPr>
                <w:rFonts w:ascii="Arial" w:cs="Arial" w:eastAsia="Arial" w:hAnsi="Arial"/>
                <w:sz w:val="17"/>
                <w:szCs w:val="17"/>
                <w:color w:val="auto"/>
              </w:rPr>
              <w:t>Total expenses</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vMerge w:val="continue"/>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107,498</w:t>
            </w:r>
          </w:p>
        </w:tc>
        <w:tc>
          <w:tcPr>
            <w:tcW w:w="3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344,655</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(237,157)</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Costs of revenue from collaboration represents the costs of product manufactured and sold to Sanofi, as well as certain direct costs associated with a firm purchase commitment entered into in connection with the collaboration with Sanofi. During the year ended December 31, 2016, we recognized $33.0 million of costs of revenue from collaboration, which consists of $13.5 million in Afrezza manufacturing costs for product sold to Sanofi, and $19.5 million related to the cost of bulk insulin sold to Sanofi. The Afrezza manufacturing costs were previously deferred on the consolidated balance sheet at December 31, 2015. During the year ended December 31, 2015, we did not recognize any costs of revenue from collaboration.</w:t>
      </w:r>
    </w:p>
    <w:p>
      <w:pPr>
        <w:spacing w:after="0" w:line="165"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Cost of goods sold includes the costs related to Afrezza product dispensed by pharmacies to patients as well as under-absorbed labor and overhead and inventory write-offs, which are recorded as expenses in the period in which they are incurred, rather than as a portion of the inventory cost. The decrease in cost of goods sold of $47.6 million for the year ended December 31, 2016 compared to the same period in the prior year is primarily due to $36.1 million of inventory impairment write offs and $3.2 million in deposit write offs, which were recorded in other assets, related to impairment in 2015 that did not recur in 2016 and a $8.6 million decrease in under-absorbed labor and overhead due to the reduction in force and decreased depreciation following the fixed asset impairment write-down in 2015. These decreases are offset by $0.3 million cost of goods attributable to commercial product sales, which consists of the manufacturing costs for Afrezza dispensed to patients. This $0.3 million attributable to commercial product sales only includes conversion cost as we wrote off the cost of our raw materials held in inventory at the end of 2015.</w:t>
      </w:r>
    </w:p>
    <w:p>
      <w:pPr>
        <w:spacing w:after="0" w:line="185" w:lineRule="exact"/>
        <w:rPr>
          <w:sz w:val="20"/>
          <w:szCs w:val="20"/>
          <w:color w:val="auto"/>
        </w:rPr>
      </w:pPr>
    </w:p>
    <w:p>
      <w:pPr>
        <w:ind w:right="300" w:firstLine="457"/>
        <w:spacing w:after="0" w:line="273" w:lineRule="auto"/>
        <w:rPr>
          <w:sz w:val="20"/>
          <w:szCs w:val="20"/>
          <w:color w:val="auto"/>
        </w:rPr>
      </w:pPr>
      <w:r>
        <w:rPr>
          <w:rFonts w:ascii="Arial" w:cs="Arial" w:eastAsia="Arial" w:hAnsi="Arial"/>
          <w:sz w:val="17"/>
          <w:szCs w:val="17"/>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9"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personnel, raw materials, laboratory supplies and materials, facility costs, costs for consultants and related contract research, licensing fees and depreciation of equipment. The decrease in research and development expense of $14.8 million for the year ended December 31, 2016 compared to the same period in the prior year is due to the expense associated with the 2015 reduction in force exceeding the expense associated with the 2016 reduction in force by $6.2 million, as well as decreases in facility spending of $3.3 million due to the reduction in force and lower depreciation expense following the write-off of property, plant and equipment in 2015; in research and development project costs of $3.1 million due to completion of projects in 2015; in clinical trial expenses of $2.1 million due to completion of Afrezza trials in 2015; in stock-based compensation expense of $1.1 million due to fewer employees as a result of the reduction in force and lower stock price; and the receipt of $0.4 million research and development reimbursement payment from Receptor in 2016, which was offset against expense. These decreases were partially offset by an increase in FDA fees for the 2016 filing of a supplemental new drug application for $1.0 million and a $0.9 million reduction in our research and development tax credit as a result of lower qualifying expenses coupled with a transition to commercial sales activity.</w:t>
      </w:r>
    </w:p>
    <w:p>
      <w:pPr>
        <w:spacing w:after="0" w:line="170" w:lineRule="exact"/>
        <w:rPr>
          <w:sz w:val="20"/>
          <w:szCs w:val="20"/>
          <w:color w:val="auto"/>
        </w:rPr>
      </w:pPr>
    </w:p>
    <w:p>
      <w:pPr>
        <w:ind w:right="40" w:firstLine="457"/>
        <w:spacing w:after="0" w:line="265" w:lineRule="auto"/>
        <w:rPr>
          <w:sz w:val="20"/>
          <w:szCs w:val="20"/>
          <w:color w:val="auto"/>
        </w:rPr>
      </w:pPr>
      <w:r>
        <w:rPr>
          <w:rFonts w:ascii="Arial" w:cs="Arial" w:eastAsia="Arial" w:hAnsi="Arial"/>
          <w:sz w:val="17"/>
          <w:szCs w:val="17"/>
          <w:color w:val="auto"/>
        </w:rPr>
        <w:t>Our selling and marketing expenses are driven by salaries, benefits and stock-based compensation for sales and marketing support personnel. The increase in selling and marketing expenses of $18.3 million for the year ended December 31, 2016 compared to the same period in the prior year is due to an increase in costs for the support of sales and marketing of Afrezza as a result of our assuming responsibility for these activities which were previously the responsibility of Sanofi. Included in these costs are salaries of $2.9 million, contracted sales force and diabetic educators of $7.6 million, travel of $0.4 million, and consultants and related expenses for sales and marketing of $7.4 million.</w:t>
      </w:r>
    </w:p>
    <w:p>
      <w:pPr>
        <w:spacing w:after="0" w:line="17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Our general and administrative expenses are driven by salaries, benefits and stock-based compensation for administrative, finance, business development, human resources, legal and information systems support personnel. In addition, general and administrative expenses include professional service fees and business insurance costs. The decrease in general and administrative expenses of $12.3 million for the year ended December 31, 2016 compared to the same period in the prior year is primarily due to a decrease in costs associated with the 2015 reduction in force of $6.4 million; stock-based compensation expense of $2.6 million due to lower stock price and fewer employees; professional fees of $1.7 million due to lower internal communications, information technology, legal and outside service expenses due to concerted efforts to conserve cash; and facility spending of $1.7 million due to a lower operating cost as a result of the reduction in force and move to the leased Valencia offices, which helped save on facility costs.</w:t>
      </w:r>
    </w:p>
    <w:p>
      <w:pPr>
        <w:spacing w:after="0" w:line="16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Property and equipment impairment decreased $139.2 million for the year ended December 31, 2016 compared to year ended December 31, 2015. In the fourth quarter of 2015 and the first quarter of 2016, factors indicated the existence of impairment in connection with the lower than expected sales of Afrezza and the Sanofi termination. The property and equipment impairment in 2015 and the first quarter of 2016 reduced the carrying amount of our real property and machinery and equipment to fair value based on our impairment assessments. In the fourth quarter of 2016 we recorded a $0.5 million impairment charge associated with the Valencia property when it became probable that the property would be sold within one year.</w:t>
      </w:r>
    </w:p>
    <w:p>
      <w:pPr>
        <w:spacing w:after="0" w:line="165" w:lineRule="exact"/>
        <w:rPr>
          <w:sz w:val="20"/>
          <w:szCs w:val="20"/>
          <w:color w:val="auto"/>
        </w:rPr>
      </w:pPr>
    </w:p>
    <w:p>
      <w:pPr>
        <w:ind w:right="40" w:firstLine="457"/>
        <w:spacing w:after="0" w:line="314" w:lineRule="auto"/>
        <w:rPr>
          <w:sz w:val="20"/>
          <w:szCs w:val="20"/>
          <w:color w:val="auto"/>
        </w:rPr>
      </w:pPr>
      <w:r>
        <w:rPr>
          <w:rFonts w:ascii="Arial" w:cs="Arial" w:eastAsia="Arial" w:hAnsi="Arial"/>
          <w:sz w:val="15"/>
          <w:szCs w:val="15"/>
          <w:color w:val="auto"/>
        </w:rPr>
        <w:t>Under the Insulin Supply Agreement with Amphastar, which is denominated in Euros, we were required to record the foreign currency translation impact of the U.S. dollar to euro exchange rate associated with the recognized loss on purchase commitments in 2016. We were also required to record the foreign currency translation impact of the U.S. dollar to euro exchange rate associated with the deposit we made with Amphastar on this agreement in 2015. The gain on foreign currency translation for the year ended December 31, 2016 was $3.4 million as compared to a loss in 2015 of $2.7 million, resulting in a $6.1 million net variance.</w:t>
      </w:r>
    </w:p>
    <w:p>
      <w:pPr>
        <w:spacing w:after="0" w:line="145"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(Gain) loss on purchase commitments changed by $68.4 million as a result of a gain recorded in 2016 compared to a loss in 2015. The $2.3 million gain on purchase commitments in 2016, related to a renegotiation of certain of our purchase commitments (primarily the reduction in cancellation fees under the Amphastar agreement). The $66.2 million loss on purchase commitments in 2015 resulted from our assessment of excess inventory as a result of lower than expected sales of Afrezza as well as a lower of cost or net realizable value adjustment due to estimated conversion costs in excess of our estimated selling price of Afrezza.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00"/>
          </w:cols>
          <w:pgMar w:left="240" w:top="449" w:right="2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119" w:lineRule="exact"/>
        <w:rPr>
          <w:sz w:val="20"/>
          <w:szCs w:val="20"/>
          <w:color w:val="auto"/>
        </w:rPr>
      </w:pPr>
    </w:p>
    <w:p>
      <w:pPr>
        <w:ind w:right="840" w:firstLine="457"/>
        <w:spacing w:after="0" w:line="289" w:lineRule="auto"/>
        <w:rPr>
          <w:sz w:val="20"/>
          <w:szCs w:val="20"/>
          <w:color w:val="auto"/>
        </w:rPr>
      </w:pPr>
      <w:r>
        <w:rPr>
          <w:rFonts w:ascii="Arial" w:cs="Arial" w:eastAsia="Arial" w:hAnsi="Arial"/>
          <w:sz w:val="17"/>
          <w:szCs w:val="17"/>
          <w:color w:val="auto"/>
        </w:rPr>
        <w:t>The following table provides a comparison of the other income (expense) categories for the years ended December 31, 2016 and 2015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4"/>
                <w:szCs w:val="14"/>
                <w:color w:val="auto"/>
                <w:w w:val="92"/>
              </w:rPr>
              <w:t>Twelve Months Ended December 31,</w:t>
            </w:r>
          </w:p>
        </w:tc>
        <w:tc>
          <w:tcPr>
            <w:tcW w:w="26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w w:val="89"/>
              </w:rPr>
              <w:t>Change</w:t>
            </w:r>
          </w:p>
        </w:tc>
        <w:tc>
          <w:tcPr>
            <w:tcW w:w="600" w:type="dxa"/>
            <w:vAlign w:val="bottom"/>
            <w:vMerge w:val="restart"/>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w w:val="85"/>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14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57"/>
              <w:spacing w:after="0" w:line="137" w:lineRule="exact"/>
              <w:rPr>
                <w:sz w:val="20"/>
                <w:szCs w:val="20"/>
                <w:color w:val="auto"/>
              </w:rPr>
            </w:pPr>
            <w:r>
              <w:rPr>
                <w:rFonts w:ascii="Arial" w:cs="Arial" w:eastAsia="Arial" w:hAnsi="Arial"/>
                <w:sz w:val="14"/>
                <w:szCs w:val="14"/>
                <w:color w:val="auto"/>
              </w:rPr>
              <w:t>2016</w:t>
            </w:r>
          </w:p>
        </w:tc>
        <w:tc>
          <w:tcPr>
            <w:tcW w:w="62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5"/>
              <w:spacing w:after="0" w:line="137" w:lineRule="exact"/>
              <w:rPr>
                <w:sz w:val="20"/>
                <w:szCs w:val="20"/>
                <w:color w:val="auto"/>
              </w:rPr>
            </w:pPr>
            <w:r>
              <w:rPr>
                <w:rFonts w:ascii="Arial" w:cs="Arial" w:eastAsia="Arial" w:hAnsi="Arial"/>
                <w:sz w:val="14"/>
                <w:szCs w:val="14"/>
                <w:color w:val="auto"/>
              </w:rPr>
              <w:t>2015</w:t>
            </w:r>
          </w:p>
        </w:tc>
        <w:tc>
          <w:tcPr>
            <w:tcW w:w="3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warrant liability</w:t>
            </w: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5,369</w:t>
            </w: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5,369</w:t>
            </w:r>
          </w:p>
        </w:tc>
        <w:tc>
          <w:tcPr>
            <w:tcW w:w="6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7"/>
                <w:szCs w:val="17"/>
                <w:color w:val="auto"/>
              </w:rPr>
              <w:t>Interest 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67</w:t>
            </w:r>
          </w:p>
        </w:tc>
        <w:tc>
          <w:tcPr>
            <w:tcW w:w="6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on notes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(15,576)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(21,231)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5,655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7"/>
                <w:szCs w:val="17"/>
                <w:color w:val="auto"/>
              </w:rPr>
              <w:t>Interest expense on note payable to principal stockholder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(2,901)</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(2,894)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7"/>
                <w:szCs w:val="17"/>
                <w:color w:val="auto"/>
              </w:rPr>
              <w:t>(7)</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Gain (loss) on extinguishment of debt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72,024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8"/>
              </w:rPr>
              <w:t>73,073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(6,966%)</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7"/>
                <w:szCs w:val="17"/>
                <w:color w:val="auto"/>
              </w:rPr>
              <w:t>Other (expense) income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7"/>
                <w:szCs w:val="17"/>
                <w:color w:val="auto"/>
              </w:rPr>
              <w:t>(597)</w:t>
            </w:r>
          </w:p>
        </w:tc>
        <w:tc>
          <w:tcPr>
            <w:tcW w:w="2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1,366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7"/>
                <w:szCs w:val="17"/>
                <w:color w:val="auto"/>
                <w:w w:val="96"/>
              </w:rPr>
              <w:t>(1,963)</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income (expense)</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58,404</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(23,790)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w w:val="88"/>
              </w:rPr>
              <w:t>82,194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440" w:firstLine="457"/>
        <w:spacing w:after="0" w:line="359" w:lineRule="auto"/>
        <w:rPr>
          <w:sz w:val="20"/>
          <w:szCs w:val="20"/>
          <w:color w:val="auto"/>
        </w:rPr>
      </w:pPr>
      <w:r>
        <w:rPr>
          <w:rFonts w:ascii="Arial" w:cs="Arial" w:eastAsia="Arial" w:hAnsi="Arial"/>
          <w:sz w:val="15"/>
          <w:szCs w:val="15"/>
          <w:color w:val="auto"/>
        </w:rPr>
        <w:t>During the year ended December 31, 2016 we recorded a $5.4 million change in the fair value of the warrant liability from May 12, 2016, the date that certain warrants were issued in connection with a registered public offering. There was no warrant liability for the twelve months ended December 31, 2015.</w:t>
      </w:r>
    </w:p>
    <w:p>
      <w:pPr>
        <w:spacing w:after="0" w:line="113" w:lineRule="exact"/>
        <w:rPr>
          <w:sz w:val="20"/>
          <w:szCs w:val="20"/>
          <w:color w:val="auto"/>
        </w:rPr>
      </w:pPr>
    </w:p>
    <w:p>
      <w:pPr>
        <w:ind w:right="340" w:firstLine="457"/>
        <w:spacing w:after="0" w:line="273" w:lineRule="auto"/>
        <w:rPr>
          <w:sz w:val="20"/>
          <w:szCs w:val="20"/>
          <w:color w:val="auto"/>
        </w:rPr>
      </w:pPr>
      <w:r>
        <w:rPr>
          <w:rFonts w:ascii="Arial" w:cs="Arial" w:eastAsia="Arial" w:hAnsi="Arial"/>
          <w:sz w:val="17"/>
          <w:szCs w:val="17"/>
          <w:color w:val="auto"/>
        </w:rPr>
        <w:t>The decrease of $5.7 million in the interest expense on notes for the year ended December 31, 2016 compared to the same period in the prior year was primarily due to interest expense paid in 2015 for the achievement and re-measurement of the second milestone under the Milestone Agreement. There was no such payment in 2016.</w:t>
      </w:r>
    </w:p>
    <w:p>
      <w:pPr>
        <w:spacing w:after="0" w:line="171"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The $72.0 million gain from extinguishment of debt in 2016 was a result of the Settlement Agreement with Sanofi and forgiveness of the full outstanding loan balance of the Sanofi Loan Facility. The $1.0 million loss in 2015 was from extinguishment of debt driven by the settlement of the 5.75% Senior Convertible Notes due 2015 through payment of cash and issuance of new debt.</w:t>
      </w:r>
    </w:p>
    <w:p>
      <w:pPr>
        <w:spacing w:after="0" w:line="171"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The change in other (expense) income of $2.0 million for the year ended December 31, 2016 compared to the same period in the prior year was primarily due to a one-time adjustment in 2015 for patents we sold to a third party.</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Years ended December 31, 2015 and 2014</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years ended December 31, 2015 and 2014, we did not recognize any revenue.</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Expenses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comparison of the expense categories for the years ended December 31, 2015 and 2014 (dollars in thousands):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14"/>
                <w:szCs w:val="14"/>
                <w:color w:val="auto"/>
                <w:w w:val="96"/>
              </w:rPr>
              <w:t>Year Ended December 31,</w:t>
            </w: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color w:val="auto"/>
                <w:w w:val="95"/>
              </w:rPr>
              <w:t>$ Change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88"/>
              </w:rPr>
              <w:t>% Change</w:t>
            </w:r>
          </w:p>
        </w:tc>
        <w:tc>
          <w:tcPr>
            <w:tcW w:w="0" w:type="dxa"/>
            <w:vAlign w:val="bottom"/>
          </w:tcPr>
          <w:p>
            <w:pPr>
              <w:spacing w:after="0"/>
              <w:rPr>
                <w:sz w:val="1"/>
                <w:szCs w:val="1"/>
                <w:color w:val="auto"/>
              </w:rPr>
            </w:pPr>
          </w:p>
        </w:tc>
      </w:tr>
      <w:tr>
        <w:trPr>
          <w:trHeight w:val="137"/>
        </w:trPr>
        <w:tc>
          <w:tcPr>
            <w:tcW w:w="4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6"/>
              <w:spacing w:after="0" w:line="137"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5"/>
              <w:spacing w:after="0" w:line="137" w:lineRule="exact"/>
              <w:rPr>
                <w:sz w:val="20"/>
                <w:szCs w:val="20"/>
                <w:color w:val="auto"/>
              </w:rPr>
            </w:pPr>
            <w:r>
              <w:rPr>
                <w:rFonts w:ascii="Arial" w:cs="Arial" w:eastAsia="Arial" w:hAnsi="Arial"/>
                <w:sz w:val="14"/>
                <w:szCs w:val="14"/>
                <w:color w:val="auto"/>
              </w:rPr>
              <w:t>2014</w:t>
            </w:r>
          </w:p>
        </w:tc>
        <w:tc>
          <w:tcPr>
            <w:tcW w:w="6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0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Expenses:</w:t>
            </w:r>
          </w:p>
        </w:tc>
        <w:tc>
          <w:tcPr>
            <w:tcW w:w="1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Arial" w:cs="Arial" w:eastAsia="Arial" w:hAnsi="Arial"/>
                <w:sz w:val="17"/>
                <w:szCs w:val="17"/>
                <w:color w:val="auto"/>
              </w:rPr>
              <w:t>Cost of goods sold</w:t>
            </w:r>
          </w:p>
        </w:tc>
        <w:tc>
          <w:tcPr>
            <w:tcW w:w="19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64,745</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w w:val="99"/>
              </w:rPr>
              <w:t>$ 64,745</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29,674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1"/>
              </w:rPr>
              <w:t>100,244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(70,570)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Arial" w:cs="Arial" w:eastAsia="Arial" w:hAnsi="Arial"/>
                <w:sz w:val="17"/>
                <w:szCs w:val="17"/>
                <w:color w:val="auto"/>
              </w:rPr>
              <w:t>Selling and marketing</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1,587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7"/>
                <w:szCs w:val="17"/>
                <w:color w:val="auto"/>
              </w:rPr>
              <w:t>3,556</w:t>
            </w:r>
          </w:p>
        </w:tc>
        <w:tc>
          <w:tcPr>
            <w:tcW w:w="1260" w:type="dxa"/>
            <w:vAlign w:val="bottom"/>
            <w:gridSpan w:val="2"/>
          </w:tcPr>
          <w:p>
            <w:pPr>
              <w:jc w:val="right"/>
              <w:ind w:right="520"/>
              <w:spacing w:after="0"/>
              <w:rPr>
                <w:sz w:val="20"/>
                <w:szCs w:val="20"/>
                <w:color w:val="auto"/>
              </w:rPr>
            </w:pPr>
            <w:r>
              <w:rPr>
                <w:rFonts w:ascii="Arial" w:cs="Arial" w:eastAsia="Arial" w:hAnsi="Arial"/>
                <w:sz w:val="17"/>
                <w:szCs w:val="17"/>
                <w:color w:val="auto"/>
              </w:rPr>
              <w:t>(1,969)</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39,373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75,827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(36,454)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Arial" w:cs="Arial" w:eastAsia="Arial" w:hAnsi="Arial"/>
                <w:sz w:val="17"/>
                <w:szCs w:val="17"/>
                <w:color w:val="auto"/>
              </w:rPr>
              <w:t>Property and equipment impairment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w w:val="87"/>
              </w:rPr>
              <w:t>140,412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140,412</w:t>
            </w:r>
          </w:p>
        </w:tc>
        <w:tc>
          <w:tcPr>
            <w:tcW w:w="5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Loss on foreign currency translation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2,697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Arial" w:cs="Arial" w:eastAsia="Arial" w:hAnsi="Arial"/>
                <w:sz w:val="17"/>
                <w:szCs w:val="17"/>
                <w:color w:val="auto"/>
              </w:rPr>
              <w:t>Loss on purchase commitments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66,167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7"/>
                <w:szCs w:val="17"/>
                <w:color w:val="auto"/>
              </w:rPr>
              <w:t>66,167</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344,655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1"/>
              </w:rPr>
              <w:t>179,627</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93"/>
              </w:rPr>
              <w:t>$</w:t>
            </w:r>
            <w:r>
              <w:rPr>
                <w:rFonts w:ascii="Arial" w:cs="Arial" w:eastAsia="Arial" w:hAnsi="Arial"/>
                <w:sz w:val="17"/>
                <w:szCs w:val="17"/>
                <w:color w:val="auto"/>
                <w:w w:val="93"/>
              </w:rPr>
              <w:t>165,028</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vMerge w:val="restart"/>
          </w:tcPr>
          <w:p>
            <w:pPr>
              <w:jc w:val="right"/>
              <w:ind w:right="393"/>
              <w:spacing w:after="0"/>
              <w:rPr>
                <w:sz w:val="20"/>
                <w:szCs w:val="20"/>
                <w:color w:val="auto"/>
              </w:rPr>
            </w:pPr>
            <w:r>
              <w:rPr>
                <w:rFonts w:ascii="Arial" w:cs="Arial" w:eastAsia="Arial" w:hAnsi="Arial"/>
                <w:sz w:val="17"/>
                <w:szCs w:val="17"/>
                <w:color w:val="auto"/>
              </w:rPr>
              <w:t>60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2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Cost of goods sold was $64.7 million for the year ended December 31, 2015, resulting from product manufacturing costs associated with Afrezza product sales, which could not be capitalized due to excess capacity as well as inventory write-offs. We had no cost of goods sold for the year ended December 31, 2014, as pre-commercial manufacturing costs associated with Afrezza were accounted for as research and development expenses. Cost of goods sold represents under-absorbed labor and overhead of $21.4 million which is expensed in the period in which it is incurred and inventory write-offs of $36.1 million and $3.2 million in write-offs of deposits placed with inventory suppliers, which were previously included in other assets in the accompanying consolidated balance sheets.</w:t>
      </w:r>
    </w:p>
    <w:p>
      <w:pPr>
        <w:spacing w:after="0" w:line="165" w:lineRule="exact"/>
        <w:rPr>
          <w:sz w:val="20"/>
          <w:szCs w:val="20"/>
          <w:color w:val="auto"/>
        </w:rPr>
      </w:pPr>
    </w:p>
    <w:p>
      <w:pPr>
        <w:ind w:right="40" w:firstLine="457"/>
        <w:spacing w:after="0" w:line="280" w:lineRule="auto"/>
        <w:rPr>
          <w:sz w:val="20"/>
          <w:szCs w:val="20"/>
          <w:color w:val="auto"/>
        </w:rPr>
      </w:pPr>
      <w:r>
        <w:rPr>
          <w:rFonts w:ascii="Arial" w:cs="Arial" w:eastAsia="Arial" w:hAnsi="Arial"/>
          <w:sz w:val="16"/>
          <w:szCs w:val="16"/>
          <w:color w:val="auto"/>
        </w:rPr>
        <w:t>Historically our research and development expenses have consisted mainly of costs associated with research and development of our product candidates, including associated clinical trials and manufacturing process development. This includes the salaries, benefits and stock-based compensation of research and development personnel, raw materials, laboratory supplies and materials, facility costs, costs for consultants and related contract research, licensing fees and depreciation of equipment. The decrease in research and development expenses of $70.6 million for the year ended December 31, 2015 compared to the year ended December 31, 2014 was primarily due to a decrease of $36.0 million in manufacturing process development expenses resulting from the shift to commercial production of Afrezza, a $19.3 million decrease in stock-based compensation expense as a result of a non-recurring modification of the settlement terms of certain performance-based restricted stock units recorded in 2014 and the achievement of performance-based grants in 2014 and the first quarter of 2015, and a decrease in clinical trial related expenses of $16.0 million, primarily resulting from the completion of the Phase 3 clinical trials.</w:t>
      </w:r>
    </w:p>
    <w:p>
      <w:pPr>
        <w:spacing w:after="0" w:line="168"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Our selling, general and administrative expenses are driven by salaries, benefits and stock-based compensation for sales, administrative, finance, business development, human resources, legal and information systems support personnel. In addition, selling, general and administrative expenses include professional service fees and business insurance costs. The decrease in selling, general and administrative expenses of $38.4 million for the year ended December 31, 2015 compared to the year ended December 31, 2014 was primarily due to decreased stock-based compensation expense of $20.6 million, resulting from the modification and achievement of performance-based grants in 2014 and the first quarter of 2015, as described above. Additionally, the decrease is also attributable to professional fees of $13.8 million related to the Sanofi License Agreement incurred in the third quarter of 2014 and decreased expenses of $3.2 million following the completion of restructuring activities and decreased personnel costs in early 2015.</w:t>
      </w:r>
    </w:p>
    <w:p>
      <w:pPr>
        <w:spacing w:after="0" w:line="16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Property and equipment impairment increased $140.4 million for the year ended December 31, 2015 compared to the year ended December 31, 2014. In connection with the lower than expected sales of Afrezza and the termination of the Sanofi License Agreement, factors indicated the existence of impairment in the fourth quarter of 2015. A property and equipment impairment was recorded which reduced the carrying amount of our real property and machinery and equipment to fair value based on our impairment assessment in the fourth quarter of 2015.</w:t>
      </w:r>
    </w:p>
    <w:p>
      <w:pPr>
        <w:spacing w:after="0" w:line="178" w:lineRule="exact"/>
        <w:rPr>
          <w:sz w:val="20"/>
          <w:szCs w:val="20"/>
          <w:color w:val="auto"/>
        </w:rPr>
      </w:pPr>
    </w:p>
    <w:p>
      <w:pPr>
        <w:jc w:val="both"/>
        <w:ind w:right="40" w:firstLine="457"/>
        <w:spacing w:after="0" w:line="297" w:lineRule="auto"/>
        <w:rPr>
          <w:sz w:val="20"/>
          <w:szCs w:val="20"/>
          <w:color w:val="auto"/>
        </w:rPr>
      </w:pPr>
      <w:r>
        <w:rPr>
          <w:rFonts w:ascii="Arial" w:cs="Arial" w:eastAsia="Arial" w:hAnsi="Arial"/>
          <w:sz w:val="16"/>
          <w:szCs w:val="16"/>
          <w:color w:val="auto"/>
        </w:rPr>
        <w:t>Under our Insulin Supply Agreement with Amphastar, which is denominated in Euros, we were required to record the foreign currency translation impact of the U.S. dollar to euro exchange rate associated with the deposit on this agreement. The loss on foreign currency translation for the year ended December 31, 2015 was $2.7 million. There was no gain or loss in the prior year because we did not have amounts on deposit with Amphastar in 2014.</w:t>
      </w:r>
    </w:p>
    <w:p>
      <w:pPr>
        <w:spacing w:after="0" w:line="155" w:lineRule="exact"/>
        <w:rPr>
          <w:sz w:val="20"/>
          <w:szCs w:val="20"/>
          <w:color w:val="auto"/>
        </w:rPr>
      </w:pPr>
    </w:p>
    <w:p>
      <w:pPr>
        <w:ind w:right="420" w:firstLine="457"/>
        <w:spacing w:after="0" w:line="289" w:lineRule="auto"/>
        <w:rPr>
          <w:sz w:val="20"/>
          <w:szCs w:val="20"/>
          <w:color w:val="auto"/>
        </w:rPr>
      </w:pPr>
      <w:r>
        <w:rPr>
          <w:rFonts w:ascii="Arial" w:cs="Arial" w:eastAsia="Arial" w:hAnsi="Arial"/>
          <w:sz w:val="16"/>
          <w:szCs w:val="16"/>
          <w:color w:val="auto"/>
        </w:rPr>
        <w:t>Inventory purchase commitments were analyzed in 2015 for potential impairment. Loss on purchase commitments increased $66.2 million for the year ended December 31, 2015 compared to the year ended December 31, 2014. The loss on purchase commitments was related to the recognized loss on future purchase commitments resulting from our assessment of excess inventory as a result of lower than expected sales of Afrezza as well as a lower of cost or net realizable value adjustment due to estimated conversion costs in excess of our estimated selling price of Afrezza.</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9"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119" w:lineRule="exact"/>
        <w:rPr>
          <w:sz w:val="20"/>
          <w:szCs w:val="20"/>
          <w:color w:val="auto"/>
        </w:rPr>
      </w:pPr>
    </w:p>
    <w:p>
      <w:pPr>
        <w:ind w:right="840" w:firstLine="457"/>
        <w:spacing w:after="0" w:line="289" w:lineRule="auto"/>
        <w:rPr>
          <w:sz w:val="20"/>
          <w:szCs w:val="20"/>
          <w:color w:val="auto"/>
        </w:rPr>
      </w:pPr>
      <w:r>
        <w:rPr>
          <w:rFonts w:ascii="Arial" w:cs="Arial" w:eastAsia="Arial" w:hAnsi="Arial"/>
          <w:sz w:val="17"/>
          <w:szCs w:val="17"/>
          <w:color w:val="auto"/>
        </w:rPr>
        <w:t>The following table provides a comparison of the other income (expense) categories for the years ended December 31, 2015 and 2014 (dollars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gridSpan w:val="7"/>
          </w:tcPr>
          <w:p>
            <w:pPr>
              <w:ind w:left="100"/>
              <w:spacing w:after="0"/>
              <w:rPr>
                <w:sz w:val="20"/>
                <w:szCs w:val="20"/>
                <w:color w:val="auto"/>
              </w:rPr>
            </w:pPr>
            <w:r>
              <w:rPr>
                <w:rFonts w:ascii="Arial" w:cs="Arial" w:eastAsia="Arial" w:hAnsi="Arial"/>
                <w:sz w:val="14"/>
                <w:szCs w:val="14"/>
                <w:color w:val="auto"/>
              </w:rPr>
              <w:t>Year Ended December 31,</w:t>
            </w:r>
          </w:p>
        </w:tc>
        <w:tc>
          <w:tcPr>
            <w:tcW w:w="10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w w:val="85"/>
              </w:rPr>
              <w:t>Change</w:t>
            </w:r>
          </w:p>
        </w:tc>
        <w:tc>
          <w:tcPr>
            <w:tcW w:w="500" w:type="dxa"/>
            <w:vAlign w:val="bottom"/>
            <w:vMerge w:val="restart"/>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w w:val="85"/>
              </w:rPr>
              <w:t>% Change</w:t>
            </w:r>
          </w:p>
        </w:tc>
        <w:tc>
          <w:tcPr>
            <w:tcW w:w="2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00"/>
              <w:spacing w:after="0" w:line="137" w:lineRule="exact"/>
              <w:rPr>
                <w:sz w:val="20"/>
                <w:szCs w:val="20"/>
                <w:color w:val="auto"/>
              </w:rPr>
            </w:pPr>
            <w:r>
              <w:rPr>
                <w:rFonts w:ascii="Arial" w:cs="Arial" w:eastAsia="Arial" w:hAnsi="Arial"/>
                <w:sz w:val="14"/>
                <w:szCs w:val="14"/>
                <w:color w:val="auto"/>
              </w:rPr>
              <w:t>2015</w:t>
            </w:r>
          </w:p>
        </w:tc>
        <w:tc>
          <w:tcPr>
            <w:tcW w:w="2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5"/>
              <w:spacing w:after="0" w:line="137" w:lineRule="exact"/>
              <w:rPr>
                <w:sz w:val="20"/>
                <w:szCs w:val="20"/>
                <w:color w:val="auto"/>
              </w:rPr>
            </w:pPr>
            <w:r>
              <w:rPr>
                <w:rFonts w:ascii="Arial" w:cs="Arial" w:eastAsia="Arial" w:hAnsi="Arial"/>
                <w:sz w:val="14"/>
                <w:szCs w:val="14"/>
                <w:color w:val="auto"/>
              </w:rPr>
              <w:t>2014</w:t>
            </w:r>
          </w:p>
        </w:tc>
        <w:tc>
          <w:tcPr>
            <w:tcW w:w="5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CCEEFF"/>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7"/>
                <w:szCs w:val="17"/>
                <w:color w:val="auto"/>
              </w:rPr>
              <w:t>Interest expense on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7"/>
                <w:szCs w:val="17"/>
                <w:color w:val="auto"/>
                <w:w w:val="94"/>
              </w:rPr>
              <w:t>(21,231)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w w:val="94"/>
              </w:rPr>
              <w:t>(17,549)</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auto"/>
                <w:w w:val="92"/>
              </w:rPr>
              <w:t>(3,682)</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on note payable to principal stockholder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(2,894)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(2,894)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7"/>
                <w:szCs w:val="17"/>
                <w:color w:val="auto"/>
              </w:rPr>
              <w:t>Loss on extinguishment of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7"/>
                <w:szCs w:val="17"/>
                <w:color w:val="auto"/>
              </w:rPr>
              <w:t>(1,049)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auto"/>
                <w:w w:val="92"/>
              </w:rPr>
              <w:t>(1,049)</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(313)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360"/>
              <w:spacing w:after="0"/>
              <w:rPr>
                <w:sz w:val="20"/>
                <w:szCs w:val="20"/>
                <w:color w:val="auto"/>
              </w:rPr>
            </w:pPr>
            <w:r>
              <w:rPr>
                <w:rFonts w:ascii="Arial" w:cs="Arial" w:eastAsia="Arial" w:hAnsi="Arial"/>
                <w:sz w:val="17"/>
                <w:szCs w:val="17"/>
                <w:color w:val="auto"/>
              </w:rPr>
              <w:t>Total other income (expense)</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27%</w:t>
            </w:r>
          </w:p>
        </w:tc>
        <w:tc>
          <w:tcPr>
            <w:tcW w:w="0" w:type="dxa"/>
            <w:vAlign w:val="bottom"/>
          </w:tcPr>
          <w:p>
            <w:pPr>
              <w:spacing w:after="0" w:line="20" w:lineRule="exact"/>
              <w:rPr>
                <w:sz w:val="1"/>
                <w:szCs w:val="1"/>
                <w:color w:val="auto"/>
              </w:rPr>
            </w:pPr>
          </w:p>
        </w:tc>
      </w:tr>
      <w:tr>
        <w:trPr>
          <w:trHeight w:val="216"/>
        </w:trPr>
        <w:tc>
          <w:tcPr>
            <w:tcW w:w="7200" w:type="dxa"/>
            <w:vAlign w:val="bottom"/>
            <w:vMerge w:val="continue"/>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3"/>
          </w:tcPr>
          <w:p>
            <w:pPr>
              <w:jc w:val="right"/>
              <w:ind w:right="220"/>
              <w:spacing w:after="0"/>
              <w:rPr>
                <w:sz w:val="20"/>
                <w:szCs w:val="20"/>
                <w:color w:val="auto"/>
              </w:rPr>
            </w:pPr>
            <w:r>
              <w:rPr>
                <w:rFonts w:ascii="Arial" w:cs="Arial" w:eastAsia="Arial" w:hAnsi="Arial"/>
                <w:sz w:val="17"/>
                <w:szCs w:val="17"/>
                <w:color w:val="auto"/>
                <w:w w:val="94"/>
              </w:rPr>
              <w:t>(23,790)</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w w:val="94"/>
              </w:rPr>
              <w:t>(18,755)</w:t>
            </w:r>
          </w:p>
        </w:tc>
        <w:tc>
          <w:tcPr>
            <w:tcW w:w="100" w:type="dxa"/>
            <w:vAlign w:val="bottom"/>
          </w:tcPr>
          <w:p>
            <w:pPr>
              <w:jc w:val="center"/>
              <w:spacing w:after="0"/>
              <w:rPr>
                <w:sz w:val="20"/>
                <w:szCs w:val="20"/>
                <w:color w:val="auto"/>
              </w:rPr>
            </w:pPr>
            <w:r>
              <w:rPr>
                <w:rFonts w:ascii="Arial" w:cs="Arial" w:eastAsia="Arial" w:hAnsi="Arial"/>
                <w:sz w:val="17"/>
                <w:szCs w:val="17"/>
                <w:u w:val="single" w:color="auto"/>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auto"/>
                <w:w w:val="92"/>
              </w:rPr>
              <w:t>(5,035)</w:t>
            </w: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Interest expense on notes increased $3.7 million from $17.5 million for the year ended December 31, 2014 to $21.2 million for the year ended December 31, 2015. The increase was primarily due to $5.8 million interest expense associated with the milestone payment resulting from the achievement and re-measurement of the second milestone under the Milestone Agreement in the first quarter of 2015 compared to the $1.9 million interest expense from the payment of the first milestone in 2014. The increase was also due to an increase of $1.7 million related to the Sanofi Loan Facility and $0.8 million in interest for 2018 notes, which was offset by a decrease in interest expense of $2.7 million resulting from the maturity of the 5.75% Senior Convertible Notes due 2015.</w:t>
      </w:r>
    </w:p>
    <w:p>
      <w:pPr>
        <w:spacing w:after="0" w:line="165" w:lineRule="exact"/>
        <w:rPr>
          <w:sz w:val="20"/>
          <w:szCs w:val="20"/>
          <w:color w:val="auto"/>
        </w:rPr>
      </w:pPr>
    </w:p>
    <w:p>
      <w:pPr>
        <w:ind w:right="40" w:firstLine="457"/>
        <w:spacing w:after="0" w:line="273" w:lineRule="auto"/>
        <w:rPr>
          <w:sz w:val="20"/>
          <w:szCs w:val="20"/>
          <w:color w:val="auto"/>
        </w:rPr>
      </w:pPr>
      <w:r>
        <w:rPr>
          <w:rFonts w:ascii="Arial" w:cs="Arial" w:eastAsia="Arial" w:hAnsi="Arial"/>
          <w:sz w:val="17"/>
          <w:szCs w:val="17"/>
          <w:color w:val="auto"/>
        </w:rPr>
        <w:t>Loss on extinguishment of debt was $1.0 million for the year ended December 31, 2015 compared to no loss on extinguishment of debt for the year ended December 31, 2014. The loss on extinguishment is due to the settlement of the 5.75% Senior Convertible Notes due 2015 through payment of cash and issuance of new debt.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for the year ended December 31, 2015 was $1.4 million resulting from the relief of an accrual for potential expenses associated with the sale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intellectual property related to oncology in 2014, which was subsequently resolved without payment in the first quarter of 2015. For the year ended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other income was $1.7 million resulting primarily from the sale of intellectual property related to oncology in the third quarter of 2014 in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amount of $7.9 million, partially offset by a $6.4 million non-cash charge recognized upon the conversion of 2019 notes into equity.</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5" w:lineRule="exact"/>
        <w:rPr>
          <w:sz w:val="20"/>
          <w:szCs w:val="20"/>
          <w:color w:val="auto"/>
        </w:rPr>
      </w:pPr>
    </w:p>
    <w:p>
      <w:pPr>
        <w:jc w:val="both"/>
        <w:ind w:right="480" w:firstLine="457"/>
        <w:spacing w:after="0" w:line="273" w:lineRule="auto"/>
        <w:rPr>
          <w:sz w:val="20"/>
          <w:szCs w:val="20"/>
          <w:color w:val="auto"/>
        </w:rPr>
      </w:pPr>
      <w:r>
        <w:rPr>
          <w:rFonts w:ascii="Arial" w:cs="Arial" w:eastAsia="Arial" w:hAnsi="Arial"/>
          <w:sz w:val="17"/>
          <w:szCs w:val="17"/>
          <w:color w:val="auto"/>
        </w:rPr>
        <w:t>To date, we have funded our operations through the sale of equity securities and convertible debt securities, borrowings under The Mann Group Loan Arrangement, borrowings under the Facility Agreement with Deerfield, receipt of upfront and milestone payments under the Sanofi License Agreement, and borrowings under the Sanofi Loan Facility.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we had $152.1 million principal amount of outstanding debt, consisting of:</w:t>
      </w:r>
    </w:p>
    <w:p>
      <w:pPr>
        <w:spacing w:after="0" w:line="132" w:lineRule="exact"/>
        <w:rPr>
          <w:sz w:val="20"/>
          <w:szCs w:val="20"/>
          <w:color w:val="auto"/>
        </w:rPr>
      </w:pPr>
    </w:p>
    <w:p>
      <w:pPr>
        <w:ind w:left="900" w:hanging="450"/>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$27.6 million principal amount of 2018 notes bearing interest at 5.75% per annum and maturing on August 15, 2018;</w:t>
      </w:r>
    </w:p>
    <w:p>
      <w:pPr>
        <w:spacing w:after="0" w:line="131" w:lineRule="exact"/>
        <w:rPr>
          <w:rFonts w:ascii="Arial" w:cs="Arial" w:eastAsia="Arial" w:hAnsi="Arial"/>
          <w:sz w:val="17"/>
          <w:szCs w:val="17"/>
          <w:color w:val="auto"/>
        </w:rPr>
      </w:pPr>
    </w:p>
    <w:p>
      <w:pPr>
        <w:ind w:left="900" w:right="820" w:hanging="450"/>
        <w:spacing w:after="0" w:line="32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$55.0 million principal amount of 2019 notes bearing interest at 9.75% per annum, $15.0 million of which is due and payable in July 2017, $15.0 million of which is due and payable in July 2018 and $25.0 million of which is due and payable in July and December 2019;</w:t>
      </w:r>
    </w:p>
    <w:p>
      <w:pPr>
        <w:spacing w:after="0" w:line="43" w:lineRule="exact"/>
        <w:rPr>
          <w:rFonts w:ascii="Arial" w:cs="Arial" w:eastAsia="Arial" w:hAnsi="Arial"/>
          <w:sz w:val="16"/>
          <w:szCs w:val="16"/>
          <w:color w:val="auto"/>
        </w:rPr>
      </w:pPr>
    </w:p>
    <w:p>
      <w:pPr>
        <w:ind w:left="900" w:right="380" w:hanging="450"/>
        <w:spacing w:after="0" w:line="28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$20.0 million principal amount of Tranche B notes bearing interest at 8.75% per annum, $5.0 million of which is due and payable in each of May 2017, 2018 and 2019, and $5.0 million of which is due and payable in December 2019; and</w:t>
      </w:r>
    </w:p>
    <w:p>
      <w:pPr>
        <w:spacing w:after="0" w:line="66" w:lineRule="exact"/>
        <w:rPr>
          <w:rFonts w:ascii="Arial" w:cs="Arial" w:eastAsia="Arial" w:hAnsi="Arial"/>
          <w:sz w:val="17"/>
          <w:szCs w:val="17"/>
          <w:color w:val="auto"/>
        </w:rPr>
      </w:pPr>
    </w:p>
    <w:p>
      <w:pPr>
        <w:ind w:left="900" w:right="580" w:hanging="450"/>
        <w:spacing w:after="0" w:line="289"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$49.5 million principal amount of indebtedness under The Mann Group Loan Arrangement bearing interest at 5.84% and maturing and due on January 5, 2020.</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9"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60" w:firstLine="457"/>
        <w:spacing w:after="0" w:line="273" w:lineRule="auto"/>
        <w:rPr>
          <w:sz w:val="20"/>
          <w:szCs w:val="20"/>
          <w:color w:val="auto"/>
        </w:rPr>
      </w:pPr>
      <w:r>
        <w:rPr>
          <w:rFonts w:ascii="Arial" w:cs="Arial" w:eastAsia="Arial" w:hAnsi="Arial"/>
          <w:sz w:val="17"/>
          <w:szCs w:val="17"/>
          <w:color w:val="auto"/>
        </w:rPr>
        <w:t>As of December 31, 2016, the amount available for future borrowings under The Mann Group Loan Arrangement was $30.1 million. A portion of these available borrowings may be used to capitalize accrued interests into principal, upon mutual agreement of the parties, as it becomes due and payable. As of December 31, 2016, the accrued and unpaid interest under The Mann Group Loan Arrangement was $9.3 million.</w:t>
      </w:r>
    </w:p>
    <w:p>
      <w:pPr>
        <w:spacing w:after="0" w:line="171"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Outstanding debt is more fully described in Note 6 — Related-Party Arrangements, Note 7 — Borrowings, Note 9 — Fair Value of Financial Instruments and Note 13 — Commitments and Contingencies.</w:t>
      </w:r>
    </w:p>
    <w:p>
      <w:pPr>
        <w:spacing w:after="0" w:line="15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2018 notes, 2019 notes, Tranche B notes, or The Mann Group Loan Arrangement when required. Further, if we undergo a fundamental change, as that term is defined in the indentures governing the terms of the 2018 notes, or certain Major Transactions as defined in the Facility Agreement in respect of the 2019 notes and the Tranche B notes, the holders of the respective debt securities will have the option to require us to repurchase all or any portion of such debt securities at a repurchase price of 100% of the principal amount of such debt securities to be repurchased plus accrued and unpaid interest, if any. The 2018 notes bear interest at the rate of 5.75% per year on the outstanding principal amount, payable in cash semiannually in arrears on February 15 and August 15 of each year. The 2019 notes bear interest at the rate of 9.75% per year on the outstanding principal amount and the Tranche B notes bear interest at the rate of 8.75% on the outstanding principal amount, with accrued interest on each payable in cash quarterly in arrears on the last business day of March, June, September and December of each year. Loans under the Mann Group Loan Arrangement accrue interest at a rate of 5.84% per annum due and payable quarterly in arrears on the first day of each calendar quarter for the preceding quarter, or at such other time as we and The Mann Group LLC mutually agree. While we have been able to timely make our required interest payments to date, we cannot guarantee that we will be able to do so in the future. If we fail to pay interest on the 2018 notes, 2019 notes, or Tranche B notes, or if we fail to repay or repurchase the 2018 notes, 2019 notes, Tranche B notes, or borrowings under the Mann Group Loan Arrangement when required,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78" w:lineRule="exact"/>
        <w:rPr>
          <w:sz w:val="20"/>
          <w:szCs w:val="20"/>
          <w:color w:val="auto"/>
        </w:rPr>
      </w:pPr>
    </w:p>
    <w:p>
      <w:pPr>
        <w:ind w:right="60" w:firstLine="457"/>
        <w:spacing w:after="0" w:line="305" w:lineRule="auto"/>
        <w:rPr>
          <w:sz w:val="20"/>
          <w:szCs w:val="20"/>
          <w:color w:val="auto"/>
        </w:rPr>
      </w:pPr>
      <w:r>
        <w:rPr>
          <w:rFonts w:ascii="Arial" w:cs="Arial" w:eastAsia="Arial" w:hAnsi="Arial"/>
          <w:sz w:val="15"/>
          <w:szCs w:val="15"/>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In addition, the Facility Agreement includes customary representations, warranties and covenants, including a restriction on the incurrence of additional indebtedness, and a financial covenant which requires our cash and cash equivalents, which includes available borrowings under The Mann Group Loan Arrangement, on the last day of each fiscal quarter to not be less than $25.0 million. See Note 13 — Commitments and Contingencies and Note 7 — Borrowings for further information related to the Facility Agreement.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31, 2014, we entered into the Insulin Supply Agreement, pursuant to which we agreed to purchase certain annual minimum quantities of insulin.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See Note 13 — Commitments and Contingencies for further information related to the Insulin Supply Agreement.</w:t>
      </w:r>
    </w:p>
    <w:p>
      <w:pPr>
        <w:spacing w:after="0" w:line="212"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Pursuant to the Sanofi License Agreement, we received an initial upfront payment of $150.0 million and milestone payments totaling $50.0 million in the first quarter of 2015 upon satisfaction of certain manufacturing milestones specified in the Sanofi License Agreement. As a result of the termination of the Sanofi License Agreement, we will not receive any additional milestone payments from Sanofi under the agreement. In addition, on November 9, 2016, in connection with the Settlement Agreement, we and Aventisub LLC, an affiliate of Sanofi, agreed to terminate the Sanofi Loan Facility and the Security Agreement (the “Security Agreement”). 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49"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connection with such termination, Aventisub LLC agreed to forgive the full outstanding loan balance on the Sanofi Loan Facility of $72.0 million owed by us and agreed to release its security interests encumbering our assets. Sanofi also agreed to make a cash payment of $30.6 million to the Company, which was received in early January 2017 as acceleration and in replacement of all other payments that Sanofi would otherwise have been required to make in the future pursuant to the insulin put option, without the Company being required to deliver any insulin for such payment. See Note 8 — Collaboration Arrangements for further information related to the Sanofi agreements.</w:t>
      </w:r>
    </w:p>
    <w:p>
      <w:pPr>
        <w:spacing w:after="0" w:line="178" w:lineRule="exact"/>
        <w:rPr>
          <w:sz w:val="20"/>
          <w:szCs w:val="20"/>
          <w:color w:val="auto"/>
        </w:rPr>
      </w:pPr>
    </w:p>
    <w:p>
      <w:pPr>
        <w:ind w:right="80" w:firstLine="457"/>
        <w:spacing w:after="0" w:line="314" w:lineRule="auto"/>
        <w:rPr>
          <w:sz w:val="20"/>
          <w:szCs w:val="20"/>
          <w:color w:val="auto"/>
        </w:rPr>
      </w:pPr>
      <w:r>
        <w:rPr>
          <w:rFonts w:ascii="Arial" w:cs="Arial" w:eastAsia="Arial" w:hAnsi="Arial"/>
          <w:sz w:val="15"/>
          <w:szCs w:val="15"/>
          <w:color w:val="auto"/>
        </w:rPr>
        <w:t>In May 2016, we sold in a registered public offering (the “May 2016 Offering”) 9,708,737 shares of our common stock, together with certain warrants exercisable for up to an aggregate of 7,281,553 shares of our common stock and certain warrants exercisable for up to an aggregate of 2,427,184 shares of our common stock. Net proceeds from this offering were approximately $47.3 million after deducting placement agent fees and expenses and paying for offering expenses, and excluding any future proceeds from the exercise of the warrants. See Note 16 — Warrants for further information related to the May 2016 Offering.</w:t>
      </w:r>
    </w:p>
    <w:p>
      <w:pPr>
        <w:spacing w:after="0" w:line="145"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color w:val="auto"/>
        </w:rPr>
        <w:t>Cash used in operating activities, which consists of net income adjusted for the various non-cash included in income, changes in working capital and changes in certain other balance sheet accounts, totaled $78.1 million in 2016. Operating activities used $57.2 million and provided $4.1 million of cash in 2015 and 2014, respectively.</w:t>
      </w:r>
    </w:p>
    <w:p>
      <w:pPr>
        <w:spacing w:after="0" w:line="171" w:lineRule="exact"/>
        <w:rPr>
          <w:sz w:val="20"/>
          <w:szCs w:val="20"/>
          <w:color w:val="auto"/>
        </w:rPr>
      </w:pPr>
    </w:p>
    <w:p>
      <w:pPr>
        <w:ind w:right="100" w:firstLine="457"/>
        <w:spacing w:after="0" w:line="262" w:lineRule="auto"/>
        <w:rPr>
          <w:sz w:val="20"/>
          <w:szCs w:val="20"/>
          <w:color w:val="auto"/>
        </w:rPr>
      </w:pPr>
      <w:r>
        <w:rPr>
          <w:rFonts w:ascii="Arial" w:cs="Arial" w:eastAsia="Arial" w:hAnsi="Arial"/>
          <w:sz w:val="17"/>
          <w:szCs w:val="17"/>
          <w:color w:val="auto"/>
        </w:rPr>
        <w:t>Cash used in operating activities in 2016 of $78.1 was primarily driven by an excess of cash used in operations of approximately $105.1 million over cash received from operations of approximately $29.4 million. Cash received of approximately $29.4 million represented $19.4 million from sales of insulin to Sanofi, $4.8 million from Afrezza product sales, $2.7 million from sales of insulin to a third party, $1.4 million from our collaboration with Receptor and $1.1 million from other sources. Cash used in operations of approximately $105.1 million represented by $69.5 million in cash used for selling, general and administrative expenses, cost of goods sold, and research and development, a $12.1 million decrease in accounts payable between December 31, 2015 and December 31, 2016, $11.6 million in purchases of inventory from Amphastar, $9.0 million in interest paid and a $2.5 million increase in inventory between December 31, 2015 and December 31, 2016.</w:t>
      </w:r>
    </w:p>
    <w:p>
      <w:pPr>
        <w:spacing w:after="0" w:line="182"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During the year ended December 31, 2015, we used $57.2 million of cash for operating activities as a result of our net loss of $368.4 million, adjusted by noncash charges of $273.1 million and a net change in operating assets and liabilities of $38.1 million. The non-cash charges included $206.6 million of impairment charges, $22.0 million of depreciation and accretion and stock-based compensation, $1.7 million interest accrued through borrowings under Sanofi Loan Facility, $1.0 million for the loss on extinguishment of debt, with the remainder due to an adjustment for foreign currency transaction losses. The change in net assets and liabilities was predominately due to the net decreases in receivables from collaboration from the $50.0 million received in milestone payments and $13.5 million due to the decrease in prepaids and other current assets at December 31, 2015 compared to December 31, 2014 primarily due to prepayment on insulin in 2014, which did not occur in 2015. This was offset by net decreases in inventory as we purchased significant inventory in 2014 related to Amphastar, which did not occur in 2015.</w:t>
      </w:r>
    </w:p>
    <w:p>
      <w:pPr>
        <w:spacing w:after="0" w:line="185"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During the year ended December 31, 2014, cash provided by operations was $4.l million as a result of our net loss of $198.4 million, adjusted by non-cash charges of $71.6 million and a net change in operating assets and liabilities of $130.9 million. The non-cash charges were predominately related to depreciation and accretion and stock-based compensation. The change in net assets and liabilities was predominately due to the net increases in receivables and deferred payments from collaboration of $150.0 million related to the fee associated with the Sanofi License Agreement, partially offset by the $15.0 million deposit to Amphastar as prepayment for 2015 quantities of insulin as part of the Insulin Supply Agreement.</w:t>
      </w:r>
    </w:p>
    <w:p>
      <w:pPr>
        <w:spacing w:after="0" w:line="178"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Cash used in investing activities decreased by $9.1 million for the year ended December 31, 2016 versus December 31, 2015, which is primarily a result of decreasing expenditures on property and equipment to conserve cash. Cash used in investing activities in 2016 was primarily comprised of purchases of property and equipment of $1.1 million. Investing activities used $10.2 million and $24.1 million of cash in 2015 and 2014, respectively, which primarily comprised of purchases of property and equipment.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449"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Cash provided by financing activities, which mainly accounts for external activities that allow us to raise capital, primarily represents proceeds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$47.3 million (net of related issuance costs) from the May 2016 Offering, offset by $5.0 million from payments of notes payable in 2016. Financing activities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provided $5.7 million and $70.1 million of cash in 2015 and 2014, respectively.</w:t>
      </w:r>
    </w:p>
    <w:p>
      <w:pPr>
        <w:spacing w:after="0" w:line="212" w:lineRule="exact"/>
        <w:rPr>
          <w:sz w:val="20"/>
          <w:szCs w:val="20"/>
          <w:color w:val="auto"/>
        </w:rPr>
      </w:pPr>
    </w:p>
    <w:p>
      <w:pPr>
        <w:ind w:right="240" w:firstLine="457"/>
        <w:spacing w:after="0" w:line="359" w:lineRule="auto"/>
        <w:rPr>
          <w:sz w:val="20"/>
          <w:szCs w:val="20"/>
          <w:color w:val="auto"/>
        </w:rPr>
      </w:pPr>
      <w:r>
        <w:rPr>
          <w:rFonts w:ascii="Arial" w:cs="Arial" w:eastAsia="Arial" w:hAnsi="Arial"/>
          <w:sz w:val="15"/>
          <w:szCs w:val="15"/>
          <w:color w:val="auto"/>
        </w:rPr>
        <w:t>As of December 31, 2016, we had $22.9 million in cash and cash equivalents. We expect to expend our capital resources primarily for the manufacturing, sales and marketing of Afrezza and to develop our other product candidates. We also intend to use our capital resources for general corporate purposes.</w:t>
      </w:r>
    </w:p>
    <w:p>
      <w:pPr>
        <w:spacing w:after="0" w:line="113"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If we enter into strategic business collaborations with respect to our other product candidates,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70"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if needed, through equity or debt financing or entering business collaborations, we may be required to reduce expenses through the delay, reduction or curtailment of our projects, or further reduction of costs for facilities and administration, and there will continue to be substantial doubt about our ability to continue as a going concern.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we did not have any off-balance sheet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449"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ind w:right="20" w:firstLine="457"/>
        <w:spacing w:after="0" w:line="263" w:lineRule="auto"/>
        <w:rPr>
          <w:sz w:val="20"/>
          <w:szCs w:val="20"/>
          <w:color w:val="auto"/>
        </w:rPr>
      </w:pPr>
      <w:r>
        <w:rPr>
          <w:rFonts w:ascii="Arial" w:cs="Arial" w:eastAsia="Arial" w:hAnsi="Arial"/>
          <w:sz w:val="17"/>
          <w:szCs w:val="17"/>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(excluding payments in respect of the Milestone Rights) below are estimated based on current information. Future payments relate to operating lease obligations, the 2018 notes, the facility financing obligation, open purchase order and supply commitments, and contractual minimum purchase commitments under the Insulin Supply Agreement with Amphastar consisted of the following at December 31, 2016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color w:val="auto"/>
                <w:w w:val="95"/>
              </w:rPr>
              <w:t>Payments Due in</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80" w:type="dxa"/>
            <w:vAlign w:val="bottom"/>
            <w:gridSpan w:val="3"/>
            <w:vMerge w:val="restart"/>
          </w:tcPr>
          <w:p>
            <w:pPr>
              <w:spacing w:after="0"/>
              <w:rPr>
                <w:sz w:val="20"/>
                <w:szCs w:val="20"/>
                <w:color w:val="auto"/>
              </w:rPr>
            </w:pPr>
            <w:r>
              <w:rPr>
                <w:rFonts w:ascii="Arial" w:cs="Arial" w:eastAsia="Arial" w:hAnsi="Arial"/>
                <w:sz w:val="14"/>
                <w:szCs w:val="14"/>
                <w:color w:val="auto"/>
              </w:rPr>
              <w:t>Contractual Obligations</w:t>
            </w:r>
          </w:p>
        </w:tc>
        <w:tc>
          <w:tcPr>
            <w:tcW w:w="980" w:type="dxa"/>
            <w:vAlign w:val="bottom"/>
            <w:gridSpan w:val="3"/>
          </w:tcPr>
          <w:p>
            <w:pPr>
              <w:spacing w:after="0" w:line="119" w:lineRule="exact"/>
              <w:rPr>
                <w:sz w:val="20"/>
                <w:szCs w:val="20"/>
                <w:color w:val="auto"/>
              </w:rPr>
            </w:pPr>
            <w:r>
              <w:rPr>
                <w:rFonts w:ascii="Arial" w:cs="Arial" w:eastAsia="Arial" w:hAnsi="Arial"/>
                <w:sz w:val="13"/>
                <w:szCs w:val="13"/>
                <w:color w:val="auto"/>
              </w:rPr>
              <w:t>Less Than</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color w:val="auto"/>
              </w:rPr>
              <w:t>More Than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680" w:type="dxa"/>
            <w:vAlign w:val="bottom"/>
            <w:gridSpan w:val="3"/>
            <w:vMerge w:val="continue"/>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One Year</w:t>
            </w:r>
          </w:p>
        </w:tc>
        <w:tc>
          <w:tcPr>
            <w:tcW w:w="780" w:type="dxa"/>
            <w:vAlign w:val="bottom"/>
            <w:gridSpan w:val="3"/>
          </w:tcPr>
          <w:p>
            <w:pPr>
              <w:jc w:val="right"/>
              <w:ind w:right="180"/>
              <w:spacing w:after="0"/>
              <w:rPr>
                <w:sz w:val="20"/>
                <w:szCs w:val="20"/>
                <w:color w:val="auto"/>
              </w:rPr>
            </w:pPr>
            <w:r>
              <w:rPr>
                <w:rFonts w:ascii="Arial" w:cs="Arial" w:eastAsia="Arial" w:hAnsi="Arial"/>
                <w:sz w:val="14"/>
                <w:szCs w:val="14"/>
                <w:color w:val="auto"/>
                <w:w w:val="95"/>
              </w:rPr>
              <w:t>1-3 Years</w:t>
            </w:r>
          </w:p>
        </w:tc>
        <w:tc>
          <w:tcPr>
            <w:tcW w:w="2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4-5 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5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Open purchase order and commitments (1)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5,943</w:t>
            </w: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12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483</w:t>
            </w:r>
          </w:p>
        </w:tc>
        <w:tc>
          <w:tcPr>
            <w:tcW w:w="3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8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7,961</w:t>
            </w:r>
          </w:p>
        </w:tc>
        <w:tc>
          <w:tcPr>
            <w:tcW w:w="0" w:type="dxa"/>
            <w:vAlign w:val="bottom"/>
          </w:tcPr>
          <w:p>
            <w:pPr>
              <w:spacing w:after="0"/>
              <w:rPr>
                <w:sz w:val="1"/>
                <w:szCs w:val="1"/>
                <w:color w:val="auto"/>
              </w:rPr>
            </w:pPr>
          </w:p>
        </w:tc>
      </w:tr>
      <w:tr>
        <w:trPr>
          <w:trHeight w:val="210"/>
        </w:trPr>
        <w:tc>
          <w:tcPr>
            <w:tcW w:w="6680" w:type="dxa"/>
            <w:vAlign w:val="bottom"/>
            <w:gridSpan w:val="3"/>
          </w:tcPr>
          <w:p>
            <w:pPr>
              <w:spacing w:after="0"/>
              <w:rPr>
                <w:sz w:val="20"/>
                <w:szCs w:val="20"/>
                <w:color w:val="auto"/>
              </w:rPr>
            </w:pPr>
            <w:r>
              <w:rPr>
                <w:rFonts w:ascii="Arial" w:cs="Arial" w:eastAsia="Arial" w:hAnsi="Arial"/>
                <w:sz w:val="17"/>
                <w:szCs w:val="17"/>
                <w:color w:val="auto"/>
              </w:rPr>
              <w:t>Senior convertible notes — long term (2)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1,614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29,441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31,055</w:t>
            </w:r>
          </w:p>
        </w:tc>
        <w:tc>
          <w:tcPr>
            <w:tcW w:w="0" w:type="dxa"/>
            <w:vAlign w:val="bottom"/>
          </w:tcPr>
          <w:p>
            <w:pPr>
              <w:spacing w:after="0"/>
              <w:rPr>
                <w:sz w:val="1"/>
                <w:szCs w:val="1"/>
                <w:color w:val="auto"/>
              </w:rPr>
            </w:pPr>
          </w:p>
        </w:tc>
      </w:tr>
      <w:tr>
        <w:trPr>
          <w:trHeight w:val="210"/>
        </w:trPr>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Note payable to principal stockholder (3)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67,523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67,523</w:t>
            </w:r>
          </w:p>
        </w:tc>
        <w:tc>
          <w:tcPr>
            <w:tcW w:w="0" w:type="dxa"/>
            <w:vAlign w:val="bottom"/>
          </w:tcPr>
          <w:p>
            <w:pPr>
              <w:spacing w:after="0"/>
              <w:rPr>
                <w:sz w:val="1"/>
                <w:szCs w:val="1"/>
                <w:color w:val="auto"/>
              </w:rPr>
            </w:pPr>
          </w:p>
        </w:tc>
      </w:tr>
      <w:tr>
        <w:trPr>
          <w:trHeight w:val="210"/>
        </w:trPr>
        <w:tc>
          <w:tcPr>
            <w:tcW w:w="6680" w:type="dxa"/>
            <w:vAlign w:val="bottom"/>
            <w:gridSpan w:val="3"/>
          </w:tcPr>
          <w:p>
            <w:pPr>
              <w:spacing w:after="0"/>
              <w:rPr>
                <w:sz w:val="20"/>
                <w:szCs w:val="20"/>
                <w:color w:val="auto"/>
              </w:rPr>
            </w:pPr>
            <w:r>
              <w:rPr>
                <w:rFonts w:ascii="Arial" w:cs="Arial" w:eastAsia="Arial" w:hAnsi="Arial"/>
                <w:sz w:val="17"/>
                <w:szCs w:val="17"/>
                <w:color w:val="auto"/>
              </w:rPr>
              <w:t>Facility financing obligation (4)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88"/>
              </w:rPr>
              <w:t>26,138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61,576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87,714</w:t>
            </w:r>
          </w:p>
        </w:tc>
        <w:tc>
          <w:tcPr>
            <w:tcW w:w="0" w:type="dxa"/>
            <w:vAlign w:val="bottom"/>
          </w:tcPr>
          <w:p>
            <w:pPr>
              <w:spacing w:after="0"/>
              <w:rPr>
                <w:sz w:val="1"/>
                <w:szCs w:val="1"/>
                <w:color w:val="auto"/>
              </w:rPr>
            </w:pPr>
          </w:p>
        </w:tc>
      </w:tr>
      <w:tr>
        <w:trPr>
          <w:trHeight w:val="210"/>
        </w:trPr>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Insulin supply agreement (5)</w:t>
            </w: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38,895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36,673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20,374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100,169</w:t>
            </w:r>
          </w:p>
        </w:tc>
        <w:tc>
          <w:tcPr>
            <w:tcW w:w="0" w:type="dxa"/>
            <w:vAlign w:val="bottom"/>
          </w:tcPr>
          <w:p>
            <w:pPr>
              <w:spacing w:after="0"/>
              <w:rPr>
                <w:sz w:val="1"/>
                <w:szCs w:val="1"/>
                <w:color w:val="auto"/>
              </w:rPr>
            </w:pPr>
          </w:p>
        </w:tc>
      </w:tr>
      <w:tr>
        <w:trPr>
          <w:trHeight w:val="210"/>
        </w:trPr>
        <w:tc>
          <w:tcPr>
            <w:tcW w:w="6680" w:type="dxa"/>
            <w:vAlign w:val="bottom"/>
            <w:gridSpan w:val="3"/>
          </w:tcPr>
          <w:p>
            <w:pPr>
              <w:spacing w:after="0"/>
              <w:rPr>
                <w:sz w:val="20"/>
                <w:szCs w:val="20"/>
                <w:color w:val="auto"/>
              </w:rPr>
            </w:pPr>
            <w:r>
              <w:rPr>
                <w:rFonts w:ascii="Arial" w:cs="Arial" w:eastAsia="Arial" w:hAnsi="Arial"/>
                <w:sz w:val="17"/>
                <w:szCs w:val="17"/>
                <w:color w:val="auto"/>
              </w:rPr>
              <w:t>Other (6)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210"/>
        </w:trPr>
        <w:tc>
          <w:tcPr>
            <w:tcW w:w="66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6"/>
        </w:trPr>
        <w:tc>
          <w:tcPr>
            <w:tcW w:w="6680" w:type="dxa"/>
            <w:vAlign w:val="bottom"/>
            <w:gridSpan w:val="3"/>
          </w:tcPr>
          <w:p>
            <w:pPr>
              <w:spacing w:after="0"/>
              <w:rPr>
                <w:sz w:val="20"/>
                <w:szCs w:val="20"/>
                <w:color w:val="auto"/>
              </w:rPr>
            </w:pPr>
            <w:r>
              <w:rPr>
                <w:rFonts w:ascii="Arial" w:cs="Arial" w:eastAsia="Arial" w:hAnsi="Arial"/>
                <w:sz w:val="17"/>
                <w:szCs w:val="17"/>
                <w:color w:val="auto"/>
              </w:rPr>
              <w:t>Total contractual obligations</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88"/>
              </w:rPr>
              <w:t>38,908</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198,976</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tcPr>
          <w:p>
            <w:pPr>
              <w:spacing w:after="0"/>
              <w:rPr>
                <w:sz w:val="20"/>
                <w:szCs w:val="20"/>
                <w:color w:val="auto"/>
              </w:rPr>
            </w:pPr>
            <w:r>
              <w:rPr>
                <w:rFonts w:ascii="Arial" w:cs="Arial" w:eastAsia="Arial" w:hAnsi="Arial"/>
                <w:sz w:val="17"/>
                <w:szCs w:val="17"/>
                <w:color w:val="auto"/>
              </w:rPr>
              <w:t>37,156</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ind w:left="60"/>
              <w:spacing w:after="0"/>
              <w:rPr>
                <w:sz w:val="20"/>
                <w:szCs w:val="20"/>
                <w:color w:val="auto"/>
              </w:rPr>
            </w:pPr>
            <w:r>
              <w:rPr>
                <w:rFonts w:ascii="Arial" w:cs="Arial" w:eastAsia="Arial" w:hAnsi="Arial"/>
                <w:sz w:val="17"/>
                <w:szCs w:val="17"/>
                <w:color w:val="auto"/>
              </w:rPr>
              <w:t>20,374</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1"/>
              </w:rPr>
              <w:t>295,414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1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60" w:right="220" w:hanging="455"/>
        <w:spacing w:after="0" w:line="262"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commercial operations or sales and marketing efforts.</w:t>
      </w:r>
    </w:p>
    <w:p>
      <w:pPr>
        <w:ind w:left="460" w:hanging="45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amounts include future interest payments at fixed rates of 5.75% and payment of the 2018 notes in full upon maturity in 2018.</w:t>
      </w:r>
    </w:p>
    <w:p>
      <w:pPr>
        <w:spacing w:after="0" w:line="14" w:lineRule="exact"/>
        <w:rPr>
          <w:rFonts w:ascii="Arial" w:cs="Arial" w:eastAsia="Arial" w:hAnsi="Arial"/>
          <w:sz w:val="17"/>
          <w:szCs w:val="17"/>
          <w:color w:val="auto"/>
        </w:rPr>
      </w:pPr>
    </w:p>
    <w:p>
      <w:pPr>
        <w:ind w:left="460" w:right="80" w:hanging="455"/>
        <w:spacing w:after="0" w:line="25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obligation for the note payable to the principal stockholder includes future principal and interest payments related to the $49.5 million of borrowings as of December 31, 2016. Interest is accrued based on a fixed rate of 5.84% and the outstanding principal amount and all accrued interest thereon will be due on January 5, 2020.</w:t>
      </w:r>
    </w:p>
    <w:p>
      <w:pPr>
        <w:ind w:left="460" w:hanging="455"/>
        <w:spacing w:after="0" w:line="25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facility financing obligation includes future principal and interest payments on $55.0 million aggregate principal amount of 2019 notes issued in the first and fourth tranches under the Facility Agreement, and on $15.0 million aggregate principal amount of Tranche B notes, payable in accordance with the provisions of the Facility Agreement, as amended. Interest accrues on the 2019 notes at a fixed rate of 9.75% per annum and on the Tranche B notes at a fixed rate of 8.75% per annum.</w:t>
      </w:r>
    </w:p>
    <w:p>
      <w:pPr>
        <w:ind w:left="460" w:right="80" w:hanging="455"/>
        <w:spacing w:after="0" w:line="273"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July 31, 2014, we entered into the Insulin Supply Agreement, pursuant to which we originally agreed to purchase certain annual minimum quantities of insulin for calendar years 2015 through 2019 for an aggregate total purchase price of approximately €120.1 million The Insulin Supply Agreement specifies that Amphastar will be deemed to have satisfied its obligations with respect to quantity, if the actual quantity supplied is within plus or minus ten percent (+/- 10%) of the quantity set forth in the applicable purchase order. On November 9, 2016, we amended the Insulin Supply Agreement to lower the annual minimum quantities purchased of insulin for calendar year 2017 through 2023 to an aggregate total remaining purchase price of €93.0 million at December 31, 2016. Future payments due were converted to U.S. dollars using the December 31, 2016 euro-to-dollar exchange. In addition, the aggregate cancellation fees that we would incur in the event that certain insulin quantities are not purchased was lowered from $5.3 million to $3.4 million.</w:t>
      </w:r>
    </w:p>
    <w:p>
      <w:pPr>
        <w:spacing w:after="0" w:line="1" w:lineRule="exact"/>
        <w:rPr>
          <w:rFonts w:ascii="Arial" w:cs="Arial" w:eastAsia="Arial" w:hAnsi="Arial"/>
          <w:sz w:val="16"/>
          <w:szCs w:val="16"/>
          <w:color w:val="auto"/>
        </w:rPr>
      </w:pPr>
    </w:p>
    <w:p>
      <w:pPr>
        <w:ind w:left="460" w:hanging="45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amount relates to purchase orders for inhalers in 2017.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9"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125"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For a description of our related party transactions see Note 6 — Related-Party Arrangements of the Notes to Consolidated Financial Statements included in “Part II, Item 8 — Financial Statements and Supplementary Data”.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ind w:right="400" w:firstLine="457"/>
        <w:spacing w:after="0" w:line="273" w:lineRule="auto"/>
        <w:rPr>
          <w:sz w:val="20"/>
          <w:szCs w:val="20"/>
          <w:color w:val="auto"/>
        </w:rPr>
      </w:pPr>
      <w:r>
        <w:rPr>
          <w:rFonts w:ascii="Arial" w:cs="Arial" w:eastAsia="Arial" w:hAnsi="Arial"/>
          <w:sz w:val="17"/>
          <w:szCs w:val="17"/>
          <w:color w:val="auto"/>
        </w:rPr>
        <w:t>See Note 2 — Summary of Significant Accounting Policies of the Notes to Consolidated Financial Statements included in “Part II, Item 8 — Financial Statements and Supplementary Data”, for information regarding accounting standards we adopted in 2016 and other new accounting standards that have been issued by the FASB but are not effective until after December 31, 2016.</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5" w:lineRule="exact"/>
        <w:rPr>
          <w:sz w:val="20"/>
          <w:szCs w:val="20"/>
          <w:color w:val="auto"/>
        </w:rPr>
      </w:pPr>
    </w:p>
    <w:p>
      <w:pPr>
        <w:ind w:right="80" w:firstLine="457"/>
        <w:spacing w:after="0" w:line="289" w:lineRule="auto"/>
        <w:rPr>
          <w:sz w:val="20"/>
          <w:szCs w:val="20"/>
          <w:color w:val="auto"/>
        </w:rPr>
      </w:pPr>
      <w:r>
        <w:rPr>
          <w:rFonts w:ascii="Arial" w:cs="Arial" w:eastAsia="Arial" w:hAnsi="Arial"/>
          <w:sz w:val="16"/>
          <w:szCs w:val="16"/>
          <w:color w:val="auto"/>
        </w:rPr>
        <w:t>Due to the fixed interest rates of our debt, we currently do not have an exposure to changes in our interest expense as a result of changes in interest rates. The interest rate on amounts borrowed under The Mann Group Loan Arrangement is fixed at 5.84%. As of December 31, 2016, the total principal amount outstanding under The Mann Group Loan Arrangement was $49.5 million. As of December 31, 2016, we also had debt related to the 2018 notes at a fixed interest rate of 5.75%, debt related to the 2019 notes at a fixed interest rate of 9.75% and debt related to the Tranche B notes at a fixed interest rate of 8.75%.</w:t>
      </w:r>
    </w:p>
    <w:p>
      <w:pPr>
        <w:spacing w:after="0" w:line="161" w:lineRule="exact"/>
        <w:rPr>
          <w:sz w:val="20"/>
          <w:szCs w:val="20"/>
          <w:color w:val="auto"/>
        </w:rPr>
      </w:pPr>
    </w:p>
    <w:p>
      <w:pPr>
        <w:jc w:val="both"/>
        <w:ind w:right="240" w:firstLine="457"/>
        <w:spacing w:after="0" w:line="273" w:lineRule="auto"/>
        <w:rPr>
          <w:sz w:val="20"/>
          <w:szCs w:val="20"/>
          <w:color w:val="auto"/>
        </w:rPr>
      </w:pPr>
      <w:r>
        <w:rPr>
          <w:rFonts w:ascii="Arial" w:cs="Arial" w:eastAsia="Arial" w:hAnsi="Arial"/>
          <w:sz w:val="17"/>
          <w:szCs w:val="17"/>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71"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If a change in interest rates equal to 10% of the interest rates on December 31, 2016 were to have occurred, this change would not have had a material effect on the value of our short-term investment portfolio.</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1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incur and will continue to incur significant expenditures for insulin supply obligations under our supply agreement with Amphastar. Such obligations are denominated in euros. At the end of each reporting period, these liabilities, if any,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During the year ended December 31, 2016, associated with our requirement to purchase insulin contemplated under our supply agreement with Amphastar, if a change in the U.S. dollar to euro exchange rate equal to 10% of the U.S. dollar to euro exchange rate on December 31, 2016 were to occur, this change would have resulted in a foreign currency impact to our pre-tax income (losses) of approximately $9.8 million.</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information required by this Item is included in Items 15(a)(1) and (2) of Part IV of this Annual Report on Form 10-K.</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9"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5"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As required by Rule 13a-15 under the Securities Exchange Act of 1934, as amended (the “Exchange Act”), the Company carried out an evaluation under the supervision and with the participation of the Company’s management, including the Chief Executive Officer and Chief Financial Officer, of the effectiveness of the Company’s disclosure controls and procedures. In designing and evaluating the Company’s disclosure controls and procedures, the Company and its management recognize that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desired control objectives. Additionally, in evaluating and implementing possible controls and procedures, the Company’s management was required to apply its reasonable judgment.</w:t>
      </w:r>
    </w:p>
    <w:p>
      <w:pPr>
        <w:spacing w:after="0" w:line="182"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Based upon this evaluation, our Chief Executive Officer and Chief Financial Officer concluded that our disclosure controls and procedures were effective as of December 31, 2016.</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5" w:lineRule="exact"/>
        <w:rPr>
          <w:sz w:val="20"/>
          <w:szCs w:val="20"/>
          <w:color w:val="auto"/>
        </w:rPr>
      </w:pPr>
    </w:p>
    <w:p>
      <w:pPr>
        <w:ind w:right="80" w:firstLine="457"/>
        <w:spacing w:after="0" w:line="26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for the Company, as such term is defined in Rule 13a-15(f) under the Exchange Act. Because of its inherent limitations, internal control over financial reporting may not prevent or detect misstatements. Projections of any evaluation of effectiveness to future periods are subject to the risk that controls may not operate effectively because of changes in conditions such as replacing consulting resources with permanent personnel or that the degree of compliance with the policies or procedures may deteriorate. Our management assessed the effectiveness of our internal control over financial reporting as of December 31, 2016. In making this assessment, the Company’s management used the criteria set forth by the Committee of Sponsoring Organizations of the Treadway Commission (COSO) in the Internal Control-Integrated Framework (2013 Framework).</w:t>
      </w:r>
    </w:p>
    <w:p>
      <w:pPr>
        <w:spacing w:after="0" w:line="182"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Based on this assessment, our management concluded that, as of December 31, 2016, our internal control over financial reporting is effective based on those criteria.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Steps Taken to Address Prior Material Weaknesses</w:t>
      </w:r>
    </w:p>
    <w:p>
      <w:pPr>
        <w:spacing w:after="0" w:line="125" w:lineRule="exact"/>
        <w:rPr>
          <w:sz w:val="20"/>
          <w:szCs w:val="20"/>
          <w:color w:val="auto"/>
        </w:rPr>
      </w:pPr>
    </w:p>
    <w:p>
      <w:pPr>
        <w:ind w:right="80" w:firstLine="457"/>
        <w:spacing w:after="0" w:line="267" w:lineRule="auto"/>
        <w:rPr>
          <w:sz w:val="20"/>
          <w:szCs w:val="20"/>
          <w:color w:val="auto"/>
        </w:rPr>
      </w:pPr>
      <w:r>
        <w:rPr>
          <w:rFonts w:ascii="Arial" w:cs="Arial" w:eastAsia="Arial" w:hAnsi="Arial"/>
          <w:sz w:val="17"/>
          <w:szCs w:val="17"/>
          <w:color w:val="auto"/>
        </w:rPr>
        <w:t>As of December 31, 2015 our management concluded that our internal control over financial reporting was not effective based on the COSO criteria. In making this assessment, the Company’s management used the criteria set forth by the 2013 COSO Framework.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7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following is a description of the material weakness previously identified in our internal control over financial reporting: In connection with the preparation of our annual report on Form 10-K for the year ended December 31, 2015 we did not maintain sufficient internal control over financial reporting due to the lack of operating effectiveness of our controls over the impairment testing that we performed in accordance with ASC 360-10</w:t>
      </w:r>
      <w:r>
        <w:rPr>
          <w:rFonts w:ascii="Arial" w:cs="Arial" w:eastAsia="Arial" w:hAnsi="Arial"/>
          <w:sz w:val="17"/>
          <w:szCs w:val="17"/>
          <w:i w:val="1"/>
          <w:iCs w:val="1"/>
          <w:color w:val="auto"/>
        </w:rPr>
        <w:t>, Impairment and Disposal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Long-Lived Assets </w:t>
      </w:r>
      <w:r>
        <w:rPr>
          <w:rFonts w:ascii="Arial" w:cs="Arial" w:eastAsia="Arial" w:hAnsi="Arial"/>
          <w:sz w:val="17"/>
          <w:szCs w:val="17"/>
          <w:color w:val="auto"/>
        </w:rPr>
        <w:t>and ASC 330-10,</w:t>
      </w:r>
      <w:r>
        <w:rPr>
          <w:rFonts w:ascii="Arial" w:cs="Arial" w:eastAsia="Arial" w:hAnsi="Arial"/>
          <w:sz w:val="17"/>
          <w:szCs w:val="17"/>
          <w:i w:val="1"/>
          <w:iCs w:val="1"/>
          <w:color w:val="auto"/>
        </w:rPr>
        <w:t xml:space="preserve"> Inventories</w:t>
      </w:r>
      <w:r>
        <w:rPr>
          <w:rFonts w:ascii="Arial" w:cs="Arial" w:eastAsia="Arial" w:hAnsi="Arial"/>
          <w:sz w:val="17"/>
          <w:szCs w:val="17"/>
          <w:color w:val="auto"/>
        </w:rPr>
        <w:t>, as of December 31, 2015. Specifically, our review controls did not operate at a sufficient level of precision to</w:t>
      </w:r>
      <w:r>
        <w:rPr>
          <w:rFonts w:ascii="Arial" w:cs="Arial" w:eastAsia="Arial" w:hAnsi="Arial"/>
          <w:sz w:val="17"/>
          <w:szCs w:val="17"/>
          <w:i w:val="1"/>
          <w:iCs w:val="1"/>
          <w:color w:val="auto"/>
        </w:rPr>
        <w:t xml:space="preserve"> </w:t>
      </w:r>
      <w:r>
        <w:rPr>
          <w:rFonts w:ascii="Arial" w:cs="Arial" w:eastAsia="Arial" w:hAnsi="Arial"/>
          <w:sz w:val="17"/>
          <w:szCs w:val="17"/>
          <w:color w:val="auto"/>
        </w:rPr>
        <w:t>identify certain errors, which management has determined constituted a material weakness.</w:t>
      </w:r>
    </w:p>
    <w:p>
      <w:pPr>
        <w:spacing w:after="0" w:line="178"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As soon as we learned of the material weakness as of December 31, 2015, we began taking steps intended to remediate this material weakness and improve our control processes and procedures with respect to operating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49"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effectiveness regarding our controls over impairment and disposal of long–lived assets and inventories. The following activities have been implemented as part of our efforts to become compliant with the requirements of Section 404 of the Sarbanes-Oxley Act of 2002:</w:t>
      </w:r>
    </w:p>
    <w:p>
      <w:pPr>
        <w:spacing w:after="0" w:line="66" w:lineRule="exact"/>
        <w:rPr>
          <w:sz w:val="20"/>
          <w:szCs w:val="20"/>
          <w:color w:val="auto"/>
        </w:rPr>
      </w:pPr>
    </w:p>
    <w:p>
      <w:pPr>
        <w:ind w:left="900" w:right="140" w:hanging="332"/>
        <w:spacing w:after="0" w:line="359"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Improved the design of and increased the level of precision in which documentation of review controls related to the review of the asset impairment assessment and impairment and disposal of long-lived assets and inventories so these controls would operate effectively to identify errors;</w:t>
      </w:r>
    </w:p>
    <w:p>
      <w:pPr>
        <w:spacing w:after="0" w:line="20" w:lineRule="exact"/>
        <w:rPr>
          <w:rFonts w:ascii="Arial" w:cs="Arial" w:eastAsia="Arial" w:hAnsi="Arial"/>
          <w:sz w:val="15"/>
          <w:szCs w:val="15"/>
          <w:color w:val="auto"/>
        </w:rPr>
      </w:pPr>
    </w:p>
    <w:p>
      <w:pPr>
        <w:ind w:left="900" w:hanging="332"/>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Held training sessions with relevant personnel and developed specific review procedures regarding the review of impairment assessments; and</w:t>
      </w:r>
    </w:p>
    <w:p>
      <w:pPr>
        <w:spacing w:after="0" w:line="143" w:lineRule="exact"/>
        <w:rPr>
          <w:rFonts w:ascii="Arial" w:cs="Arial" w:eastAsia="Arial" w:hAnsi="Arial"/>
          <w:sz w:val="16"/>
          <w:szCs w:val="16"/>
          <w:color w:val="auto"/>
        </w:rPr>
      </w:pPr>
    </w:p>
    <w:p>
      <w:pPr>
        <w:ind w:left="900" w:right="460" w:hanging="332"/>
        <w:spacing w:after="0" w:line="28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Developed checklists to ensure that all appropriate accounting principles were being applied during the accounting for these transactions and to facilitate the review of the accounting of these transactions by knowledgeable accounting personnel.</w:t>
      </w:r>
    </w:p>
    <w:p>
      <w:pPr>
        <w:spacing w:after="0" w:line="158" w:lineRule="exact"/>
        <w:rPr>
          <w:sz w:val="20"/>
          <w:szCs w:val="20"/>
          <w:color w:val="auto"/>
        </w:rPr>
      </w:pPr>
    </w:p>
    <w:p>
      <w:pPr>
        <w:ind w:right="100" w:firstLine="457"/>
        <w:spacing w:after="0" w:line="322" w:lineRule="auto"/>
        <w:rPr>
          <w:sz w:val="20"/>
          <w:szCs w:val="20"/>
          <w:color w:val="auto"/>
        </w:rPr>
      </w:pPr>
      <w:r>
        <w:rPr>
          <w:rFonts w:ascii="Arial" w:cs="Arial" w:eastAsia="Arial" w:hAnsi="Arial"/>
          <w:sz w:val="16"/>
          <w:szCs w:val="16"/>
          <w:color w:val="auto"/>
        </w:rPr>
        <w:t>In addition to the material weakness noted above, as of June 30, 2016 our management concluded that our internal control over financial reporting was not effective based on the COSO criteria. In making this assessment, the Company’s management used the criteria set forth by the 2013 Framework.</w:t>
      </w:r>
    </w:p>
    <w:p>
      <w:pPr>
        <w:spacing w:after="0" w:line="13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color w:val="auto"/>
        </w:rPr>
        <w:t>The following is a description of the material weakness previously identified in our internal control over financial reporting: In connection with the preparation of our quarterly report on Form 10-Q for the quarter ended June 30, 2016 we identified a material weakness in our internal control over significant non-routine transactions. Specifically, this deficiency in operation of internal controls resulted in an inadequate evaluation of the underlying accounting guidance for transactions entered into during the quarter and insufficient review of underlying analyses.</w:t>
      </w:r>
    </w:p>
    <w:p>
      <w:pPr>
        <w:spacing w:after="0" w:line="178" w:lineRule="exact"/>
        <w:rPr>
          <w:sz w:val="20"/>
          <w:szCs w:val="20"/>
          <w:color w:val="auto"/>
        </w:rPr>
      </w:pPr>
    </w:p>
    <w:p>
      <w:pPr>
        <w:ind w:right="160" w:firstLine="457"/>
        <w:spacing w:after="0" w:line="325" w:lineRule="auto"/>
        <w:rPr>
          <w:sz w:val="20"/>
          <w:szCs w:val="20"/>
          <w:color w:val="auto"/>
        </w:rPr>
      </w:pPr>
      <w:r>
        <w:rPr>
          <w:rFonts w:ascii="Arial" w:cs="Arial" w:eastAsia="Arial" w:hAnsi="Arial"/>
          <w:sz w:val="15"/>
          <w:szCs w:val="15"/>
          <w:color w:val="auto"/>
        </w:rPr>
        <w:t>As soon as we learned of the material weakness as of June 30, 2016, we began taking steps intended to remediate this material weakness and improve our control processes and procedures with respect to operating effectiveness regarding our controls over significant and non-routine transactions. The following activities have been implemented as part of our efforts to become compliant with the requirements of Section 404 of the Sarbanes-Oxley Act of 2002:</w:t>
      </w:r>
    </w:p>
    <w:p>
      <w:pPr>
        <w:spacing w:after="0" w:line="46" w:lineRule="exact"/>
        <w:rPr>
          <w:sz w:val="20"/>
          <w:szCs w:val="20"/>
          <w:color w:val="auto"/>
        </w:rPr>
      </w:pPr>
    </w:p>
    <w:p>
      <w:pPr>
        <w:ind w:left="900" w:hanging="332"/>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Enhanced the design of the existing controls related to significant non-routine transactions;</w:t>
      </w:r>
    </w:p>
    <w:p>
      <w:pPr>
        <w:spacing w:after="0" w:line="131" w:lineRule="exact"/>
        <w:rPr>
          <w:rFonts w:ascii="Arial" w:cs="Arial" w:eastAsia="Arial" w:hAnsi="Arial"/>
          <w:sz w:val="17"/>
          <w:szCs w:val="17"/>
          <w:color w:val="auto"/>
        </w:rPr>
      </w:pPr>
    </w:p>
    <w:p>
      <w:pPr>
        <w:ind w:left="900" w:hanging="332"/>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Conduct weekly meetings with relevant personnel so that significant non-routine transactions are identified and addressed in a timely manner; and</w:t>
      </w:r>
    </w:p>
    <w:p>
      <w:pPr>
        <w:spacing w:after="0" w:line="143" w:lineRule="exact"/>
        <w:rPr>
          <w:rFonts w:ascii="Arial" w:cs="Arial" w:eastAsia="Arial" w:hAnsi="Arial"/>
          <w:sz w:val="16"/>
          <w:szCs w:val="16"/>
          <w:color w:val="auto"/>
        </w:rPr>
      </w:pPr>
    </w:p>
    <w:p>
      <w:pPr>
        <w:ind w:left="900" w:right="180" w:hanging="332"/>
        <w:spacing w:after="0" w:line="289"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Hired consultants with accounting expertise to review the accounting for significant non-routine transactions to ensure that the accounting for these transactions are proper.</w:t>
      </w:r>
    </w:p>
    <w:p>
      <w:pPr>
        <w:spacing w:after="0" w:line="15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In particular, our remediation steps, noted above, were designed and implemented to ensure that the recording of the impairment of long-lived assets and inventories is appropriate and that adequate evaluations of the underlying accounting guidance for significant non-routine transactions are appropriate, sufficiently reviewed and addressed in a timely manner. The newly implemented controls have also been tested by management and concluded to be operating effectively. Management believes that as of December 31, 2016, the remediation steps implemented during 2016 successfully remediated the material weaknesses in 2015 and the quarter ended June 30, 2016.</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5" w:lineRule="exact"/>
        <w:rPr>
          <w:sz w:val="20"/>
          <w:szCs w:val="20"/>
          <w:color w:val="auto"/>
        </w:rPr>
      </w:pPr>
    </w:p>
    <w:p>
      <w:pPr>
        <w:ind w:right="160" w:firstLine="457"/>
        <w:spacing w:after="0" w:line="273" w:lineRule="auto"/>
        <w:rPr>
          <w:sz w:val="20"/>
          <w:szCs w:val="20"/>
          <w:color w:val="auto"/>
        </w:rPr>
      </w:pPr>
      <w:r>
        <w:rPr>
          <w:rFonts w:ascii="Arial" w:cs="Arial" w:eastAsia="Arial" w:hAnsi="Arial"/>
          <w:sz w:val="17"/>
          <w:szCs w:val="17"/>
          <w:color w:val="auto"/>
        </w:rPr>
        <w:t>Except as described above related to the remediation of the material weaknesses, there were no changes in internal control over financial reporting (as defined in Exchange Act Rules 13a-15(f) and 15d-15(f)) that occurred during the fourth quarter of 2016 that have materially affected, or are reasonably likely to materially affect, our internal control over financial reporting.</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60"/>
          </w:cols>
          <w:pgMar w:left="240" w:top="449" w:right="2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MannKind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Valencia, California</w:t>
      </w:r>
    </w:p>
    <w:p>
      <w:pPr>
        <w:spacing w:after="0" w:line="212"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 xml:space="preserve">We have audited the internal control over financial reporting of MannKind Corporation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8" w:lineRule="exact"/>
        <w:rPr>
          <w:sz w:val="20"/>
          <w:szCs w:val="20"/>
          <w:color w:val="auto"/>
        </w:rPr>
      </w:pPr>
    </w:p>
    <w:p>
      <w:pPr>
        <w:ind w:right="100" w:firstLine="457"/>
        <w:spacing w:after="0" w:line="265"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8"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8" w:lineRule="exact"/>
        <w:rPr>
          <w:sz w:val="20"/>
          <w:szCs w:val="20"/>
          <w:color w:val="auto"/>
        </w:rPr>
      </w:pPr>
    </w:p>
    <w:p>
      <w:pPr>
        <w:ind w:right="200" w:firstLine="457"/>
        <w:spacing w:after="0" w:line="359" w:lineRule="auto"/>
        <w:rPr>
          <w:sz w:val="20"/>
          <w:szCs w:val="20"/>
          <w:color w:val="auto"/>
        </w:rPr>
      </w:pPr>
      <w:r>
        <w:rPr>
          <w:rFonts w:ascii="Arial" w:cs="Arial" w:eastAsia="Arial" w:hAnsi="Arial"/>
          <w:sz w:val="15"/>
          <w:szCs w:val="15"/>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p>
    <w:p>
      <w:pPr>
        <w:spacing w:after="0" w:line="113" w:lineRule="exact"/>
        <w:rPr>
          <w:sz w:val="20"/>
          <w:szCs w:val="20"/>
          <w:color w:val="auto"/>
        </w:rPr>
      </w:pPr>
    </w:p>
    <w:p>
      <w:pPr>
        <w:ind w:right="200" w:firstLine="457"/>
        <w:spacing w:after="0" w:line="325" w:lineRule="auto"/>
        <w:rPr>
          <w:sz w:val="20"/>
          <w:szCs w:val="20"/>
          <w:color w:val="auto"/>
        </w:rPr>
      </w:pPr>
      <w:r>
        <w:rPr>
          <w:rFonts w:ascii="Arial" w:cs="Arial" w:eastAsia="Arial" w:hAnsi="Arial"/>
          <w:sz w:val="15"/>
          <w:szCs w:val="15"/>
          <w:color w:val="auto"/>
        </w:rPr>
        <w:t>We have also audited, in accordance with the standards of the Public Company Accounting Oversight Board (United States), the consolidated financial statements as of and for the year ended December 31, 2016 of the Company and our report dated March 16, 2017 expressed an unqualified opinion on those financial statements and includes explanatory paragraphs relating to the Company’s ability to continue as a going concern and the effects of a reverse stock split.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Stamford, Connecticut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March 16, 2017</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9"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25" w:lineRule="exact"/>
        <w:rPr>
          <w:sz w:val="20"/>
          <w:szCs w:val="20"/>
          <w:color w:val="auto"/>
        </w:rPr>
      </w:pPr>
    </w:p>
    <w:p>
      <w:pPr>
        <w:ind w:right="480" w:firstLine="461"/>
        <w:spacing w:after="0" w:line="289" w:lineRule="auto"/>
        <w:tabs>
          <w:tab w:leader="none" w:pos="69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Executive Officers — </w:t>
      </w:r>
      <w:r>
        <w:rPr>
          <w:rFonts w:ascii="Arial" w:cs="Arial" w:eastAsia="Arial" w:hAnsi="Arial"/>
          <w:sz w:val="17"/>
          <w:szCs w:val="17"/>
          <w:color w:val="auto"/>
        </w:rPr>
        <w:t>For information regarding the identification and business experience of our executive officers, see “Executive Officers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Registrant” in Part I, Item 1 of this Annual Report on Form 10-K.</w:t>
      </w:r>
    </w:p>
    <w:p>
      <w:pPr>
        <w:spacing w:after="0" w:line="157" w:lineRule="exact"/>
        <w:rPr>
          <w:rFonts w:ascii="Arial" w:cs="Arial" w:eastAsia="Arial" w:hAnsi="Arial"/>
          <w:sz w:val="17"/>
          <w:szCs w:val="17"/>
          <w:color w:val="auto"/>
        </w:rPr>
      </w:pPr>
    </w:p>
    <w:p>
      <w:pPr>
        <w:ind w:right="60" w:firstLine="461"/>
        <w:spacing w:after="0" w:line="267" w:lineRule="auto"/>
        <w:tabs>
          <w:tab w:leader="none" w:pos="70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Directors — </w:t>
      </w:r>
      <w:r>
        <w:rPr>
          <w:rFonts w:ascii="Arial" w:cs="Arial" w:eastAsia="Arial" w:hAnsi="Arial"/>
          <w:sz w:val="17"/>
          <w:szCs w:val="17"/>
          <w:color w:val="auto"/>
        </w:rPr>
        <w:t>The information required by this Item regarding the identification and business experience of our directors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will be contained in the section entitled “Proposal 1 — Election of Directors” and “Corporate Governance Principles and Board and Committee Matters” in our definitive proxy statement for our 2017 Annual Meeting of Stockholders (the “Proxy Statement”), to be filed with the SEC on or before May 1, 2017, and is incorporated herein by reference.</w:t>
      </w:r>
    </w:p>
    <w:p>
      <w:pPr>
        <w:spacing w:after="0" w:line="178" w:lineRule="exact"/>
        <w:rPr>
          <w:sz w:val="20"/>
          <w:szCs w:val="20"/>
          <w:color w:val="auto"/>
        </w:rPr>
      </w:pPr>
    </w:p>
    <w:p>
      <w:pPr>
        <w:ind w:right="640" w:firstLine="457"/>
        <w:spacing w:after="0" w:line="289" w:lineRule="auto"/>
        <w:rPr>
          <w:sz w:val="20"/>
          <w:szCs w:val="20"/>
          <w:color w:val="auto"/>
        </w:rPr>
      </w:pPr>
      <w:r>
        <w:rPr>
          <w:rFonts w:ascii="Arial" w:cs="Arial" w:eastAsia="Arial" w:hAnsi="Arial"/>
          <w:sz w:val="17"/>
          <w:szCs w:val="17"/>
          <w:color w:val="auto"/>
        </w:rPr>
        <w:t>Additional information required by this Item will be set forth in the Proxy Statement under the section entitled “Section 16(a) Beneficial Ownership Reporting Compliance,” and is incorporated herein by reference.</w:t>
      </w:r>
    </w:p>
    <w:p>
      <w:pPr>
        <w:spacing w:after="0" w:line="158"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25" w:lineRule="exact"/>
        <w:rPr>
          <w:sz w:val="20"/>
          <w:szCs w:val="20"/>
          <w:color w:val="auto"/>
        </w:rPr>
      </w:pPr>
    </w:p>
    <w:p>
      <w:pPr>
        <w:jc w:val="both"/>
        <w:ind w:right="660" w:firstLine="457"/>
        <w:spacing w:after="0" w:line="322" w:lineRule="auto"/>
        <w:rPr>
          <w:sz w:val="20"/>
          <w:szCs w:val="20"/>
          <w:color w:val="auto"/>
        </w:rPr>
      </w:pPr>
      <w:r>
        <w:rPr>
          <w:rFonts w:ascii="Arial" w:cs="Arial" w:eastAsia="Arial" w:hAnsi="Arial"/>
          <w:sz w:val="16"/>
          <w:szCs w:val="16"/>
          <w:color w:val="auto"/>
        </w:rPr>
        <w:t>The information required by this Item will be set forth under the caption “Executive Compensation,” “Compensation of Directors,” “Compensation Committee Interlocks and Insider Participation” and “Compensation Committee Report” in the Proxy Statement, and is incorporated herein by reference.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25" w:lineRule="exact"/>
        <w:rPr>
          <w:sz w:val="20"/>
          <w:szCs w:val="20"/>
          <w:color w:val="auto"/>
        </w:rPr>
      </w:pPr>
    </w:p>
    <w:p>
      <w:pPr>
        <w:ind w:right="620" w:firstLine="457"/>
        <w:spacing w:after="0" w:line="322" w:lineRule="auto"/>
        <w:rPr>
          <w:sz w:val="20"/>
          <w:szCs w:val="20"/>
          <w:color w:val="auto"/>
        </w:rPr>
      </w:pPr>
      <w:r>
        <w:rPr>
          <w:rFonts w:ascii="Arial" w:cs="Arial" w:eastAsia="Arial" w:hAnsi="Arial"/>
          <w:sz w:val="16"/>
          <w:szCs w:val="16"/>
          <w:color w:val="auto"/>
        </w:rPr>
        <w:t>The information required by this Item will be set forth under the captions “Security Ownership of Certain Beneficial Owners and Management” and “Securities Authorized for Issuance under Equity Compensation Plans” in the Proxy Statement, and is incorporated herein by reference.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Related Transactions and Director Independence</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The information under the caption “Certain Transactions” and “Corporate Governance Principles and Board and Committee Matters” in the Proxy Statement is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25" w:lineRule="exact"/>
        <w:rPr>
          <w:sz w:val="20"/>
          <w:szCs w:val="20"/>
          <w:color w:val="auto"/>
        </w:rPr>
      </w:pPr>
    </w:p>
    <w:p>
      <w:pPr>
        <w:ind w:right="680" w:firstLine="457"/>
        <w:spacing w:after="0" w:line="289" w:lineRule="auto"/>
        <w:rPr>
          <w:sz w:val="20"/>
          <w:szCs w:val="20"/>
          <w:color w:val="auto"/>
        </w:rPr>
      </w:pPr>
      <w:r>
        <w:rPr>
          <w:rFonts w:ascii="Arial" w:cs="Arial" w:eastAsia="Arial" w:hAnsi="Arial"/>
          <w:sz w:val="17"/>
          <w:szCs w:val="17"/>
          <w:color w:val="auto"/>
        </w:rPr>
        <w:t>The information required by this Item will be set forth under the caption “Principal Accounting Fees and Services” and “Pre-Approval Policies and Procedures” in the Proxy Statement and is incorporated herein by reference.</w:t>
      </w:r>
    </w:p>
    <w:p>
      <w:pPr>
        <w:spacing w:after="0" w:line="158"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49"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IV</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The following documents are filed as part of, or incorporated by reference into, this Annual Report on Form 10-K:</w:t>
      </w:r>
    </w:p>
    <w:p>
      <w:pPr>
        <w:spacing w:after="0" w:line="119" w:lineRule="exact"/>
        <w:rPr>
          <w:sz w:val="20"/>
          <w:szCs w:val="20"/>
          <w:color w:val="auto"/>
        </w:rPr>
      </w:pPr>
    </w:p>
    <w:p>
      <w:pPr>
        <w:ind w:left="460" w:right="160" w:firstLine="438"/>
        <w:spacing w:after="0" w:line="359" w:lineRule="auto"/>
        <w:rPr>
          <w:sz w:val="20"/>
          <w:szCs w:val="20"/>
          <w:color w:val="auto"/>
        </w:rPr>
      </w:pPr>
      <w:r>
        <w:rPr>
          <w:rFonts w:ascii="Arial" w:cs="Arial" w:eastAsia="Arial" w:hAnsi="Arial"/>
          <w:sz w:val="15"/>
          <w:szCs w:val="15"/>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81: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82">
              <w:r>
                <w:rPr>
                  <w:rFonts w:ascii="Arial" w:cs="Arial" w:eastAsia="Arial" w:hAnsi="Arial"/>
                  <w:sz w:val="17"/>
                  <w:szCs w:val="17"/>
                  <w:color w:val="0000EE"/>
                  <w:w w:val="93"/>
                </w:rPr>
                <w:t>Report of Independent Registered Public Accounting Firm</w:t>
              </w:r>
            </w:hyperlink>
          </w:p>
        </w:tc>
        <w:tc>
          <w:tcPr>
            <w:tcW w:w="3560" w:type="dxa"/>
            <w:vAlign w:val="bottom"/>
            <w:gridSpan w:val="2"/>
          </w:tcPr>
          <w:p>
            <w:pPr>
              <w:spacing w:after="0"/>
              <w:rPr>
                <w:sz w:val="16"/>
                <w:szCs w:val="16"/>
                <w:color w:val="auto"/>
              </w:rPr>
            </w:pPr>
          </w:p>
        </w:tc>
        <w:tc>
          <w:tcPr>
            <w:tcW w:w="37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0"/>
        </w:trPr>
        <w:tc>
          <w:tcPr>
            <w:tcW w:w="2040" w:type="dxa"/>
            <w:vAlign w:val="bottom"/>
            <w:tcBorders>
              <w:bottom w:val="single" w:sz="8" w:color="0000EE"/>
            </w:tcBorders>
          </w:tcPr>
          <w:p>
            <w:pPr>
              <w:spacing w:after="0" w:line="189" w:lineRule="exact"/>
              <w:rPr>
                <w:rFonts w:ascii="Arial" w:cs="Arial" w:eastAsia="Arial" w:hAnsi="Arial"/>
                <w:sz w:val="17"/>
                <w:szCs w:val="17"/>
                <w:color w:val="0000EE"/>
                <w:w w:val="90"/>
              </w:rPr>
            </w:pPr>
            <w:hyperlink w:anchor="page83">
              <w:r>
                <w:rPr>
                  <w:rFonts w:ascii="Arial" w:cs="Arial" w:eastAsia="Arial" w:hAnsi="Arial"/>
                  <w:sz w:val="17"/>
                  <w:szCs w:val="17"/>
                  <w:color w:val="0000EE"/>
                  <w:w w:val="90"/>
                </w:rPr>
                <w:t>Consolidated Balance Sheets</w:t>
              </w:r>
            </w:hyperlink>
          </w:p>
        </w:tc>
        <w:tc>
          <w:tcPr>
            <w:tcW w:w="5620" w:type="dxa"/>
            <w:vAlign w:val="bottom"/>
            <w:gridSpan w:val="7"/>
          </w:tcPr>
          <w:p>
            <w:pPr>
              <w:spacing w:after="0"/>
              <w:rPr>
                <w:sz w:val="16"/>
                <w:szCs w:val="16"/>
                <w:color w:val="auto"/>
              </w:rPr>
            </w:pPr>
          </w:p>
        </w:tc>
        <w:tc>
          <w:tcPr>
            <w:tcW w:w="3720" w:type="dxa"/>
            <w:vAlign w:val="bottom"/>
          </w:tcPr>
          <w:p>
            <w:pPr>
              <w:jc w:val="right"/>
              <w:spacing w:after="0" w:line="189" w:lineRule="exact"/>
              <w:rPr>
                <w:sz w:val="20"/>
                <w:szCs w:val="20"/>
                <w:color w:val="auto"/>
              </w:rPr>
            </w:pPr>
            <w:r>
              <w:rPr>
                <w:rFonts w:ascii="Arial" w:cs="Arial" w:eastAsia="Arial" w:hAnsi="Arial"/>
                <w:sz w:val="17"/>
                <w:szCs w:val="17"/>
                <w:color w:val="auto"/>
              </w:rPr>
              <w:t>82</w:t>
            </w:r>
          </w:p>
        </w:tc>
      </w:tr>
      <w:tr>
        <w:trPr>
          <w:trHeight w:val="190"/>
        </w:trPr>
        <w:tc>
          <w:tcPr>
            <w:tcW w:w="2740" w:type="dxa"/>
            <w:vAlign w:val="bottom"/>
            <w:tcBorders>
              <w:bottom w:val="single" w:sz="8" w:color="0000EE"/>
            </w:tcBorders>
            <w:gridSpan w:val="2"/>
          </w:tcPr>
          <w:p>
            <w:pPr>
              <w:spacing w:after="0" w:line="189" w:lineRule="exact"/>
              <w:rPr>
                <w:rFonts w:ascii="Arial" w:cs="Arial" w:eastAsia="Arial" w:hAnsi="Arial"/>
                <w:sz w:val="17"/>
                <w:szCs w:val="17"/>
                <w:color w:val="0000EE"/>
                <w:w w:val="91"/>
              </w:rPr>
            </w:pPr>
            <w:hyperlink w:anchor="page84">
              <w:r>
                <w:rPr>
                  <w:rFonts w:ascii="Arial" w:cs="Arial" w:eastAsia="Arial" w:hAnsi="Arial"/>
                  <w:sz w:val="17"/>
                  <w:szCs w:val="17"/>
                  <w:color w:val="0000EE"/>
                  <w:w w:val="91"/>
                </w:rPr>
                <w:t>Consolidated Statements of Operations</w:t>
              </w:r>
            </w:hyperlink>
          </w:p>
        </w:tc>
        <w:tc>
          <w:tcPr>
            <w:tcW w:w="4920" w:type="dxa"/>
            <w:vAlign w:val="bottom"/>
            <w:gridSpan w:val="6"/>
          </w:tcPr>
          <w:p>
            <w:pPr>
              <w:spacing w:after="0"/>
              <w:rPr>
                <w:sz w:val="16"/>
                <w:szCs w:val="16"/>
                <w:color w:val="auto"/>
              </w:rPr>
            </w:pPr>
          </w:p>
        </w:tc>
        <w:tc>
          <w:tcPr>
            <w:tcW w:w="3720" w:type="dxa"/>
            <w:vAlign w:val="bottom"/>
          </w:tcPr>
          <w:p>
            <w:pPr>
              <w:jc w:val="right"/>
              <w:spacing w:after="0" w:line="189" w:lineRule="exact"/>
              <w:rPr>
                <w:sz w:val="20"/>
                <w:szCs w:val="20"/>
                <w:color w:val="auto"/>
              </w:rPr>
            </w:pPr>
            <w:r>
              <w:rPr>
                <w:rFonts w:ascii="Arial" w:cs="Arial" w:eastAsia="Arial" w:hAnsi="Arial"/>
                <w:sz w:val="17"/>
                <w:szCs w:val="17"/>
                <w:color w:val="auto"/>
              </w:rPr>
              <w:t>83</w:t>
            </w:r>
          </w:p>
        </w:tc>
      </w:tr>
      <w:tr>
        <w:trPr>
          <w:trHeight w:val="190"/>
        </w:trPr>
        <w:tc>
          <w:tcPr>
            <w:tcW w:w="4120" w:type="dxa"/>
            <w:vAlign w:val="bottom"/>
            <w:tcBorders>
              <w:bottom w:val="single" w:sz="8" w:color="0000EE"/>
            </w:tcBorders>
            <w:gridSpan w:val="7"/>
          </w:tcPr>
          <w:p>
            <w:pPr>
              <w:spacing w:after="0" w:line="189" w:lineRule="exact"/>
              <w:rPr>
                <w:rFonts w:ascii="Arial" w:cs="Arial" w:eastAsia="Arial" w:hAnsi="Arial"/>
                <w:sz w:val="17"/>
                <w:szCs w:val="17"/>
                <w:color w:val="0000EE"/>
                <w:w w:val="92"/>
              </w:rPr>
            </w:pPr>
            <w:hyperlink w:anchor="page85">
              <w:r>
                <w:rPr>
                  <w:rFonts w:ascii="Arial" w:cs="Arial" w:eastAsia="Arial" w:hAnsi="Arial"/>
                  <w:sz w:val="17"/>
                  <w:szCs w:val="17"/>
                  <w:color w:val="0000EE"/>
                  <w:w w:val="92"/>
                </w:rPr>
                <w:t>Consolidated Statements of Comprehensive Income (Loss)</w:t>
              </w:r>
            </w:hyperlink>
          </w:p>
        </w:tc>
        <w:tc>
          <w:tcPr>
            <w:tcW w:w="3540" w:type="dxa"/>
            <w:vAlign w:val="bottom"/>
          </w:tcPr>
          <w:p>
            <w:pPr>
              <w:spacing w:after="0"/>
              <w:rPr>
                <w:sz w:val="16"/>
                <w:szCs w:val="16"/>
                <w:color w:val="auto"/>
              </w:rPr>
            </w:pPr>
          </w:p>
        </w:tc>
        <w:tc>
          <w:tcPr>
            <w:tcW w:w="3720" w:type="dxa"/>
            <w:vAlign w:val="bottom"/>
          </w:tcPr>
          <w:p>
            <w:pPr>
              <w:jc w:val="right"/>
              <w:spacing w:after="0" w:line="189" w:lineRule="exact"/>
              <w:rPr>
                <w:sz w:val="20"/>
                <w:szCs w:val="20"/>
                <w:color w:val="auto"/>
              </w:rPr>
            </w:pPr>
            <w:r>
              <w:rPr>
                <w:rFonts w:ascii="Arial" w:cs="Arial" w:eastAsia="Arial" w:hAnsi="Arial"/>
                <w:sz w:val="17"/>
                <w:szCs w:val="17"/>
                <w:color w:val="auto"/>
              </w:rPr>
              <w:t>84</w:t>
            </w:r>
          </w:p>
        </w:tc>
      </w:tr>
      <w:tr>
        <w:trPr>
          <w:trHeight w:val="190"/>
        </w:trPr>
        <w:tc>
          <w:tcPr>
            <w:tcW w:w="7660" w:type="dxa"/>
            <w:vAlign w:val="bottom"/>
            <w:gridSpan w:val="8"/>
          </w:tcPr>
          <w:p>
            <w:pPr>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Consolidated Statements of Stockholders’ Deficit</w:t>
              </w:r>
            </w:hyperlink>
          </w:p>
        </w:tc>
        <w:tc>
          <w:tcPr>
            <w:tcW w:w="3720" w:type="dxa"/>
            <w:vAlign w:val="bottom"/>
          </w:tcPr>
          <w:p>
            <w:pPr>
              <w:jc w:val="right"/>
              <w:spacing w:after="0" w:line="189" w:lineRule="exact"/>
              <w:rPr>
                <w:sz w:val="20"/>
                <w:szCs w:val="20"/>
                <w:color w:val="auto"/>
              </w:rPr>
            </w:pPr>
            <w:r>
              <w:rPr>
                <w:rFonts w:ascii="Arial" w:cs="Arial" w:eastAsia="Arial" w:hAnsi="Arial"/>
                <w:sz w:val="17"/>
                <w:szCs w:val="17"/>
                <w:color w:val="auto"/>
              </w:rPr>
              <w:t>85</w:t>
            </w:r>
          </w:p>
        </w:tc>
      </w:tr>
      <w:tr>
        <w:trPr>
          <w:trHeight w:val="190"/>
        </w:trPr>
        <w:tc>
          <w:tcPr>
            <w:tcW w:w="346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Consolidated Statements of Cash Flows</w:t>
              </w:r>
            </w:hyperlink>
          </w:p>
        </w:tc>
        <w:tc>
          <w:tcPr>
            <w:tcW w:w="4200" w:type="dxa"/>
            <w:vAlign w:val="bottom"/>
            <w:gridSpan w:val="3"/>
          </w:tcPr>
          <w:p>
            <w:pPr>
              <w:spacing w:after="0"/>
              <w:rPr>
                <w:sz w:val="16"/>
                <w:szCs w:val="16"/>
                <w:color w:val="auto"/>
              </w:rPr>
            </w:pPr>
          </w:p>
        </w:tc>
        <w:tc>
          <w:tcPr>
            <w:tcW w:w="3720" w:type="dxa"/>
            <w:vAlign w:val="bottom"/>
          </w:tcPr>
          <w:p>
            <w:pPr>
              <w:jc w:val="right"/>
              <w:spacing w:after="0" w:line="189" w:lineRule="exact"/>
              <w:rPr>
                <w:sz w:val="20"/>
                <w:szCs w:val="20"/>
                <w:color w:val="auto"/>
              </w:rPr>
            </w:pPr>
            <w:r>
              <w:rPr>
                <w:rFonts w:ascii="Arial" w:cs="Arial" w:eastAsia="Arial" w:hAnsi="Arial"/>
                <w:sz w:val="17"/>
                <w:szCs w:val="17"/>
                <w:color w:val="auto"/>
              </w:rPr>
              <w:t>86</w:t>
            </w:r>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190"/>
        </w:trPr>
        <w:tc>
          <w:tcPr>
            <w:tcW w:w="3060" w:type="dxa"/>
            <w:vAlign w:val="bottom"/>
            <w:tcBorders>
              <w:bottom w:val="single" w:sz="8" w:color="0000EE"/>
            </w:tcBorders>
            <w:gridSpan w:val="4"/>
          </w:tcPr>
          <w:p>
            <w:pPr>
              <w:spacing w:after="0" w:line="189" w:lineRule="exact"/>
              <w:rPr>
                <w:rFonts w:ascii="Arial" w:cs="Arial" w:eastAsia="Arial" w:hAnsi="Arial"/>
                <w:sz w:val="17"/>
                <w:szCs w:val="17"/>
                <w:color w:val="0000EE"/>
                <w:w w:val="91"/>
              </w:rPr>
            </w:pPr>
            <w:hyperlink w:anchor="page89">
              <w:r>
                <w:rPr>
                  <w:rFonts w:ascii="Arial" w:cs="Arial" w:eastAsia="Arial" w:hAnsi="Arial"/>
                  <w:sz w:val="17"/>
                  <w:szCs w:val="17"/>
                  <w:color w:val="0000EE"/>
                  <w:w w:val="91"/>
                </w:rPr>
                <w:t>Notes to Consolidated Financial Statements</w:t>
              </w:r>
            </w:hyperlink>
          </w:p>
        </w:tc>
        <w:tc>
          <w:tcPr>
            <w:tcW w:w="4600" w:type="dxa"/>
            <w:vAlign w:val="bottom"/>
            <w:gridSpan w:val="4"/>
          </w:tcPr>
          <w:p>
            <w:pPr>
              <w:spacing w:after="0"/>
              <w:rPr>
                <w:sz w:val="16"/>
                <w:szCs w:val="16"/>
                <w:color w:val="auto"/>
              </w:rPr>
            </w:pPr>
          </w:p>
        </w:tc>
        <w:tc>
          <w:tcPr>
            <w:tcW w:w="3720" w:type="dxa"/>
            <w:vAlign w:val="bottom"/>
          </w:tcPr>
          <w:p>
            <w:pPr>
              <w:jc w:val="right"/>
              <w:spacing w:after="0" w:line="189" w:lineRule="exact"/>
              <w:rPr>
                <w:sz w:val="20"/>
                <w:szCs w:val="20"/>
                <w:color w:val="auto"/>
              </w:rPr>
            </w:pPr>
            <w:r>
              <w:rPr>
                <w:rFonts w:ascii="Arial" w:cs="Arial" w:eastAsia="Arial" w:hAnsi="Arial"/>
                <w:sz w:val="17"/>
                <w:szCs w:val="17"/>
                <w:color w:val="auto"/>
              </w:rPr>
              <w:t>88</w:t>
            </w:r>
          </w:p>
        </w:tc>
      </w:tr>
    </w:tbl>
    <w:p>
      <w:pPr>
        <w:spacing w:after="0" w:line="223" w:lineRule="exact"/>
        <w:rPr>
          <w:sz w:val="20"/>
          <w:szCs w:val="20"/>
          <w:color w:val="auto"/>
        </w:rPr>
      </w:pPr>
    </w:p>
    <w:p>
      <w:pPr>
        <w:ind w:right="520" w:firstLine="457"/>
        <w:spacing w:after="0" w:line="322" w:lineRule="auto"/>
        <w:rPr>
          <w:sz w:val="20"/>
          <w:szCs w:val="20"/>
          <w:color w:val="auto"/>
        </w:rPr>
      </w:pPr>
      <w:r>
        <w:rPr>
          <w:rFonts w:ascii="Arial" w:cs="Arial" w:eastAsia="Arial" w:hAnsi="Arial"/>
          <w:sz w:val="16"/>
          <w:szCs w:val="16"/>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30" w:lineRule="exact"/>
        <w:rPr>
          <w:sz w:val="20"/>
          <w:szCs w:val="20"/>
          <w:color w:val="auto"/>
        </w:rPr>
      </w:pPr>
    </w:p>
    <w:p>
      <w:pPr>
        <w:ind w:left="460" w:right="260" w:firstLine="440"/>
        <w:spacing w:after="0" w:line="289" w:lineRule="auto"/>
        <w:tabs>
          <w:tab w:leader="none" w:pos="1146" w:val="left"/>
        </w:tabs>
        <w:numPr>
          <w:ilvl w:val="1"/>
          <w:numId w:val="32"/>
        </w:numPr>
        <w:rPr>
          <w:rFonts w:ascii="Arial" w:cs="Arial" w:eastAsia="Arial" w:hAnsi="Arial"/>
          <w:sz w:val="17"/>
          <w:szCs w:val="17"/>
          <w:color w:val="auto"/>
        </w:rPr>
      </w:pPr>
      <w:r>
        <w:rPr>
          <w:rFonts w:ascii="Arial" w:cs="Arial" w:eastAsia="Arial" w:hAnsi="Arial"/>
          <w:sz w:val="17"/>
          <w:szCs w:val="17"/>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57" w:lineRule="exact"/>
        <w:rPr>
          <w:rFonts w:ascii="Arial" w:cs="Arial" w:eastAsia="Arial" w:hAnsi="Arial"/>
          <w:sz w:val="17"/>
          <w:szCs w:val="17"/>
          <w:color w:val="auto"/>
        </w:rPr>
      </w:pPr>
    </w:p>
    <w:p>
      <w:pPr>
        <w:ind w:left="700" w:hanging="239"/>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Exhibits. The following exhibits are filed or furnished as part of, or incorporated by reference into, this Annual Report on Form 10-K:</w:t>
      </w:r>
    </w:p>
    <w:p>
      <w:pPr>
        <w:sectPr>
          <w:pgSz w:w="11900" w:h="16838" w:orient="portrait"/>
          <w:cols w:equalWidth="0" w:num="1">
            <w:col w:w="11380"/>
          </w:cols>
          <w:pgMar w:left="240" w:top="449" w:right="279" w:bottom="1440" w:gutter="0" w:footer="0" w:header="0"/>
        </w:sect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Description of Document</w:t>
      </w:r>
    </w:p>
    <w:p>
      <w:pPr>
        <w:spacing w:after="0" w:line="111"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Amended and Restated Certificate of Incorporation (incorporated by reference to Exhibit 3.1 to MannKind’s Quarterly Report on Form 10-Q (File No. 000-50865), filed with the SEC on August 9, 2016).</w:t>
      </w:r>
    </w:p>
    <w:p>
      <w:pPr>
        <w:spacing w:after="0" w:line="53" w:lineRule="exact"/>
        <w:rPr>
          <w:sz w:val="20"/>
          <w:szCs w:val="20"/>
          <w:color w:val="auto"/>
        </w:rPr>
      </w:pPr>
    </w:p>
    <w:p>
      <w:pPr>
        <w:sectPr>
          <w:pgSz w:w="11900" w:h="16838" w:orient="portrait"/>
          <w:cols w:equalWidth="0" w:num="2">
            <w:col w:w="560" w:space="720"/>
            <w:col w:w="10100"/>
          </w:cols>
          <w:pgMar w:left="240" w:top="449" w:right="279" w:bottom="1440" w:gutter="0" w:footer="0" w:header="0"/>
          <w:type w:val="continuous"/>
        </w:sectPr>
      </w:pPr>
    </w:p>
    <w:tbl>
      <w:tblPr>
        <w:tblLayout w:type="fixed"/>
        <w:tblInd w:w="100" w:type="dxa"/>
        <w:tblCellMar>
          <w:top w:w="0" w:type="dxa"/>
          <w:left w:w="0" w:type="dxa"/>
          <w:bottom w:w="0" w:type="dxa"/>
          <w:right w:w="0" w:type="dxa"/>
        </w:tblCellMar>
      </w:tblPr>
      <w:tr>
        <w:trPr>
          <w:trHeight w:val="210"/>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3.2</w:t>
            </w:r>
          </w:p>
        </w:tc>
        <w:tc>
          <w:tcPr>
            <w:tcW w:w="10480" w:type="dxa"/>
            <w:vAlign w:val="bottom"/>
          </w:tcPr>
          <w:p>
            <w:pPr>
              <w:ind w:left="480"/>
              <w:spacing w:after="0"/>
              <w:rPr>
                <w:sz w:val="20"/>
                <w:szCs w:val="20"/>
                <w:color w:val="auto"/>
              </w:rPr>
            </w:pPr>
            <w:r>
              <w:rPr>
                <w:rFonts w:ascii="Arial" w:cs="Arial" w:eastAsia="Arial" w:hAnsi="Arial"/>
                <w:sz w:val="17"/>
                <w:szCs w:val="17"/>
                <w:color w:val="auto"/>
                <w:w w:val="94"/>
              </w:rPr>
              <w:t>Certificate of Amendment of Amended and Restated Certificate of Incorporation (incorporated by reference to MannKind’s Current Report on</w:t>
            </w:r>
          </w:p>
        </w:tc>
      </w:tr>
      <w:tr>
        <w:trPr>
          <w:trHeight w:val="222"/>
        </w:trPr>
        <w:tc>
          <w:tcPr>
            <w:tcW w:w="70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7"/>
                <w:szCs w:val="17"/>
                <w:color w:val="auto"/>
              </w:rPr>
              <w:t>Form 8-K (File No. 000-50865), filed with the SEC on March 2, 2017).</w:t>
            </w:r>
          </w:p>
        </w:tc>
      </w:tr>
      <w:tr>
        <w:trPr>
          <w:trHeight w:val="302"/>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3.3</w:t>
            </w:r>
          </w:p>
        </w:tc>
        <w:tc>
          <w:tcPr>
            <w:tcW w:w="10480" w:type="dxa"/>
            <w:vAlign w:val="bottom"/>
          </w:tcPr>
          <w:p>
            <w:pPr>
              <w:ind w:left="480"/>
              <w:spacing w:after="0"/>
              <w:rPr>
                <w:sz w:val="20"/>
                <w:szCs w:val="20"/>
                <w:color w:val="auto"/>
              </w:rPr>
            </w:pPr>
            <w:r>
              <w:rPr>
                <w:rFonts w:ascii="Arial" w:cs="Arial" w:eastAsia="Arial" w:hAnsi="Arial"/>
                <w:sz w:val="17"/>
                <w:szCs w:val="17"/>
                <w:color w:val="auto"/>
                <w:w w:val="96"/>
              </w:rPr>
              <w:t>Amended and Restated Bylaws (incorporated by reference to MannKind’s Current Report on Form 8-K (File No. 000-50865), filed with the</w:t>
            </w:r>
          </w:p>
        </w:tc>
      </w:tr>
      <w:tr>
        <w:trPr>
          <w:trHeight w:val="222"/>
        </w:trPr>
        <w:tc>
          <w:tcPr>
            <w:tcW w:w="70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7"/>
                <w:szCs w:val="17"/>
                <w:color w:val="auto"/>
              </w:rPr>
              <w:t>SEC on November 19, 2007).</w:t>
            </w:r>
          </w:p>
        </w:tc>
      </w:tr>
      <w:tr>
        <w:trPr>
          <w:trHeight w:val="314"/>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4.1</w:t>
            </w:r>
          </w:p>
        </w:tc>
        <w:tc>
          <w:tcPr>
            <w:tcW w:w="10480" w:type="dxa"/>
            <w:vAlign w:val="bottom"/>
          </w:tcPr>
          <w:p>
            <w:pPr>
              <w:ind w:left="480"/>
              <w:spacing w:after="0"/>
              <w:rPr>
                <w:sz w:val="20"/>
                <w:szCs w:val="20"/>
                <w:color w:val="auto"/>
              </w:rPr>
            </w:pPr>
            <w:r>
              <w:rPr>
                <w:rFonts w:ascii="Arial" w:cs="Arial" w:eastAsia="Arial" w:hAnsi="Arial"/>
                <w:sz w:val="17"/>
                <w:szCs w:val="17"/>
                <w:color w:val="auto"/>
              </w:rPr>
              <w:t>Reference is made to Exhibits 3.1, 3.2 and 3.3.</w:t>
            </w:r>
          </w:p>
        </w:tc>
      </w:tr>
      <w:tr>
        <w:trPr>
          <w:trHeight w:val="314"/>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4.2</w:t>
            </w:r>
          </w:p>
        </w:tc>
        <w:tc>
          <w:tcPr>
            <w:tcW w:w="10480" w:type="dxa"/>
            <w:vAlign w:val="bottom"/>
          </w:tcPr>
          <w:p>
            <w:pPr>
              <w:ind w:left="480"/>
              <w:spacing w:after="0"/>
              <w:rPr>
                <w:sz w:val="20"/>
                <w:szCs w:val="20"/>
                <w:color w:val="auto"/>
              </w:rPr>
            </w:pPr>
            <w:r>
              <w:rPr>
                <w:rFonts w:ascii="Arial" w:cs="Arial" w:eastAsia="Arial" w:hAnsi="Arial"/>
                <w:sz w:val="17"/>
                <w:szCs w:val="17"/>
                <w:color w:val="auto"/>
              </w:rPr>
              <w:t>Form of common stock certificate.</w:t>
            </w:r>
          </w:p>
        </w:tc>
      </w:tr>
      <w:tr>
        <w:trPr>
          <w:trHeight w:val="302"/>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4.3</w:t>
            </w:r>
          </w:p>
        </w:tc>
        <w:tc>
          <w:tcPr>
            <w:tcW w:w="10480" w:type="dxa"/>
            <w:vAlign w:val="bottom"/>
          </w:tcPr>
          <w:p>
            <w:pPr>
              <w:ind w:left="480"/>
              <w:spacing w:after="0"/>
              <w:rPr>
                <w:sz w:val="20"/>
                <w:szCs w:val="20"/>
                <w:color w:val="auto"/>
              </w:rPr>
            </w:pPr>
            <w:r>
              <w:rPr>
                <w:rFonts w:ascii="Arial" w:cs="Arial" w:eastAsia="Arial" w:hAnsi="Arial"/>
                <w:sz w:val="17"/>
                <w:szCs w:val="17"/>
                <w:color w:val="auto"/>
                <w:w w:val="93"/>
              </w:rPr>
              <w:t>Form of 9.75% Senior Secured Convertible Promissory Note due 2019 (incorporated by reference to MannKind’s Current Report on Form 8-K</w:t>
            </w:r>
          </w:p>
        </w:tc>
      </w:tr>
      <w:tr>
        <w:trPr>
          <w:trHeight w:val="222"/>
        </w:trPr>
        <w:tc>
          <w:tcPr>
            <w:tcW w:w="70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7"/>
                <w:szCs w:val="17"/>
                <w:color w:val="auto"/>
              </w:rPr>
              <w:t>(File No. 000-50865), filed with the SEC on July 1, 2013).</w:t>
            </w:r>
          </w:p>
        </w:tc>
      </w:tr>
      <w:tr>
        <w:trPr>
          <w:trHeight w:val="302"/>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4.4</w:t>
            </w:r>
          </w:p>
        </w:tc>
        <w:tc>
          <w:tcPr>
            <w:tcW w:w="10480" w:type="dxa"/>
            <w:vAlign w:val="bottom"/>
          </w:tcPr>
          <w:p>
            <w:pPr>
              <w:ind w:left="480"/>
              <w:spacing w:after="0"/>
              <w:rPr>
                <w:sz w:val="20"/>
                <w:szCs w:val="20"/>
                <w:color w:val="auto"/>
              </w:rPr>
            </w:pPr>
            <w:r>
              <w:rPr>
                <w:rFonts w:ascii="Arial" w:cs="Arial" w:eastAsia="Arial" w:hAnsi="Arial"/>
                <w:sz w:val="17"/>
                <w:szCs w:val="17"/>
                <w:color w:val="auto"/>
                <w:w w:val="96"/>
              </w:rPr>
              <w:t>Form of Amended and Restated 9.75% Senior Secured Convertible Promissory Note due 2019 (incorporated by reference to Exhibit 4.7 to</w:t>
            </w:r>
          </w:p>
        </w:tc>
      </w:tr>
      <w:tr>
        <w:trPr>
          <w:trHeight w:val="222"/>
        </w:trPr>
        <w:tc>
          <w:tcPr>
            <w:tcW w:w="70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7"/>
                <w:szCs w:val="17"/>
                <w:color w:val="auto"/>
              </w:rPr>
              <w:t>MannKind’s Annual Report on Form 10-K (File No. 000-50865), filed with the SEC on March 3, 2014).</w:t>
            </w:r>
          </w:p>
        </w:tc>
      </w:tr>
      <w:tr>
        <w:trPr>
          <w:trHeight w:val="302"/>
        </w:trPr>
        <w:tc>
          <w:tcPr>
            <w:tcW w:w="700" w:type="dxa"/>
            <w:vAlign w:val="bottom"/>
          </w:tcPr>
          <w:p>
            <w:pPr>
              <w:jc w:val="right"/>
              <w:ind w:right="393"/>
              <w:spacing w:after="0"/>
              <w:rPr>
                <w:sz w:val="20"/>
                <w:szCs w:val="20"/>
                <w:color w:val="auto"/>
              </w:rPr>
            </w:pPr>
            <w:r>
              <w:rPr>
                <w:rFonts w:ascii="Arial" w:cs="Arial" w:eastAsia="Arial" w:hAnsi="Arial"/>
                <w:sz w:val="17"/>
                <w:szCs w:val="17"/>
                <w:color w:val="auto"/>
                <w:w w:val="84"/>
              </w:rPr>
              <w:t>4.5</w:t>
            </w:r>
          </w:p>
        </w:tc>
        <w:tc>
          <w:tcPr>
            <w:tcW w:w="10480" w:type="dxa"/>
            <w:vAlign w:val="bottom"/>
          </w:tcPr>
          <w:p>
            <w:pPr>
              <w:ind w:left="480"/>
              <w:spacing w:after="0"/>
              <w:rPr>
                <w:sz w:val="20"/>
                <w:szCs w:val="20"/>
                <w:color w:val="auto"/>
              </w:rPr>
            </w:pPr>
            <w:r>
              <w:rPr>
                <w:rFonts w:ascii="Arial" w:cs="Arial" w:eastAsia="Arial" w:hAnsi="Arial"/>
                <w:sz w:val="17"/>
                <w:szCs w:val="17"/>
                <w:color w:val="auto"/>
                <w:w w:val="95"/>
              </w:rPr>
              <w:t>Form of Tranche B Senior Secured Note due 2019 (incorporated by reference to Exhibit 4.8 to MannKind’s Quarterly Report on Form 10-Q</w:t>
            </w:r>
          </w:p>
        </w:tc>
      </w:tr>
      <w:tr>
        <w:trPr>
          <w:trHeight w:val="222"/>
        </w:trPr>
        <w:tc>
          <w:tcPr>
            <w:tcW w:w="700" w:type="dxa"/>
            <w:vAlign w:val="bottom"/>
          </w:tcPr>
          <w:p>
            <w:pPr>
              <w:spacing w:after="0"/>
              <w:rPr>
                <w:sz w:val="19"/>
                <w:szCs w:val="19"/>
                <w:color w:val="auto"/>
              </w:rPr>
            </w:pPr>
          </w:p>
        </w:tc>
        <w:tc>
          <w:tcPr>
            <w:tcW w:w="10480" w:type="dxa"/>
            <w:vAlign w:val="bottom"/>
          </w:tcPr>
          <w:p>
            <w:pPr>
              <w:ind w:left="480"/>
              <w:spacing w:after="0"/>
              <w:rPr>
                <w:sz w:val="20"/>
                <w:szCs w:val="20"/>
                <w:color w:val="auto"/>
              </w:rPr>
            </w:pPr>
            <w:r>
              <w:rPr>
                <w:rFonts w:ascii="Arial" w:cs="Arial" w:eastAsia="Arial" w:hAnsi="Arial"/>
                <w:sz w:val="17"/>
                <w:szCs w:val="17"/>
                <w:color w:val="auto"/>
              </w:rPr>
              <w:t>(File No. 000-50865), filed with the SEC on May 12, 2014).</w:t>
            </w:r>
          </w:p>
        </w:tc>
      </w:tr>
      <w:tr>
        <w:trPr>
          <w:trHeight w:val="354"/>
        </w:trPr>
        <w:tc>
          <w:tcPr>
            <w:tcW w:w="700" w:type="dxa"/>
            <w:vAlign w:val="bottom"/>
          </w:tcPr>
          <w:p>
            <w:pPr>
              <w:spacing w:after="0"/>
              <w:rPr>
                <w:sz w:val="24"/>
                <w:szCs w:val="24"/>
                <w:color w:val="auto"/>
              </w:rPr>
            </w:pPr>
          </w:p>
        </w:tc>
        <w:tc>
          <w:tcPr>
            <w:tcW w:w="10480" w:type="dxa"/>
            <w:vAlign w:val="bottom"/>
          </w:tcPr>
          <w:p>
            <w:pPr>
              <w:ind w:left="4820"/>
              <w:spacing w:after="0"/>
              <w:rPr>
                <w:sz w:val="20"/>
                <w:szCs w:val="20"/>
                <w:color w:val="auto"/>
              </w:rPr>
            </w:pPr>
            <w:r>
              <w:rPr>
                <w:rFonts w:ascii="Arial" w:cs="Arial" w:eastAsia="Arial" w:hAnsi="Arial"/>
                <w:sz w:val="17"/>
                <w:szCs w:val="17"/>
                <w:color w:val="auto"/>
              </w:rPr>
              <w:t>72</w:t>
            </w:r>
          </w:p>
        </w:tc>
      </w:tr>
    </w:tbl>
    <w:p>
      <w:pPr>
        <w:sectPr>
          <w:pgSz w:w="11900" w:h="16838" w:orient="portrait"/>
          <w:cols w:equalWidth="0" w:num="1">
            <w:col w:w="11380"/>
          </w:cols>
          <w:pgMar w:left="240" w:top="449" w:right="279" w:bottom="1440" w:gutter="0" w:footer="0" w:header="0"/>
          <w:type w:val="continuous"/>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40"/>
              <w:spacing w:after="0"/>
              <w:rPr>
                <w:sz w:val="20"/>
                <w:szCs w:val="20"/>
                <w:color w:val="auto"/>
              </w:rPr>
            </w:pPr>
            <w:r>
              <w:rPr>
                <w:rFonts w:ascii="Arial" w:cs="Arial" w:eastAsia="Arial" w:hAnsi="Arial"/>
                <w:sz w:val="14"/>
                <w:szCs w:val="14"/>
                <w:b w:val="1"/>
                <w:bCs w:val="1"/>
                <w:color w:val="auto"/>
                <w:w w:val="94"/>
              </w:rPr>
              <w:t>Exhibit</w:t>
            </w: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10900" w:type="dxa"/>
            <w:vAlign w:val="bottom"/>
            <w:gridSpan w:val="3"/>
          </w:tcPr>
          <w:p>
            <w:pPr>
              <w:ind w:left="50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68"/>
        </w:trPr>
        <w:tc>
          <w:tcPr>
            <w:tcW w:w="500" w:type="dxa"/>
            <w:vAlign w:val="bottom"/>
          </w:tcPr>
          <w:p>
            <w:pPr>
              <w:ind w:left="100"/>
              <w:spacing w:after="0"/>
              <w:rPr>
                <w:sz w:val="20"/>
                <w:szCs w:val="20"/>
                <w:color w:val="auto"/>
              </w:rPr>
            </w:pPr>
            <w:r>
              <w:rPr>
                <w:rFonts w:ascii="Arial" w:cs="Arial" w:eastAsia="Arial" w:hAnsi="Arial"/>
                <w:sz w:val="17"/>
                <w:szCs w:val="17"/>
                <w:color w:val="auto"/>
              </w:rPr>
              <w:t>4.6</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5"/>
              </w:rPr>
              <w:t>Milestone Rights Purchase Agreement, dated as of July 1, 2013, by and among MannKind, Deerfield Private Design Fund II, L.P. and Horizon</w:t>
            </w:r>
          </w:p>
        </w:tc>
      </w:tr>
      <w:tr>
        <w:trPr>
          <w:trHeight w:val="210"/>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6"/>
              </w:rPr>
              <w:t>Santé FLML SÁRL (incorporated by reference to MannKind’s Current Report on Form 8-K (File No. 000-50865), filed with the SEC on July 1,</w:t>
            </w:r>
          </w:p>
        </w:tc>
      </w:tr>
      <w:tr>
        <w:trPr>
          <w:trHeight w:val="222"/>
        </w:trPr>
        <w:tc>
          <w:tcPr>
            <w:tcW w:w="500" w:type="dxa"/>
            <w:vAlign w:val="bottom"/>
          </w:tcPr>
          <w:p>
            <w:pPr>
              <w:spacing w:after="0"/>
              <w:rPr>
                <w:sz w:val="19"/>
                <w:szCs w:val="19"/>
                <w:color w:val="auto"/>
              </w:rPr>
            </w:pPr>
          </w:p>
        </w:tc>
        <w:tc>
          <w:tcPr>
            <w:tcW w:w="5060" w:type="dxa"/>
            <w:vAlign w:val="bottom"/>
          </w:tcPr>
          <w:p>
            <w:pPr>
              <w:ind w:left="680"/>
              <w:spacing w:after="0"/>
              <w:rPr>
                <w:sz w:val="20"/>
                <w:szCs w:val="20"/>
                <w:color w:val="auto"/>
              </w:rPr>
            </w:pPr>
            <w:r>
              <w:rPr>
                <w:rFonts w:ascii="Arial" w:cs="Arial" w:eastAsia="Arial" w:hAnsi="Arial"/>
                <w:sz w:val="17"/>
                <w:szCs w:val="17"/>
                <w:color w:val="auto"/>
              </w:rPr>
              <w:t>2013).</w:t>
            </w:r>
          </w:p>
        </w:tc>
        <w:tc>
          <w:tcPr>
            <w:tcW w:w="14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4.7</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6"/>
              </w:rPr>
              <w:t>Guaranty and Security Agreement, dated as of July 1, 2013, by and among MannKind, MannKind LLC, Deerfield Private Design Fund II, L.P.,</w:t>
            </w:r>
          </w:p>
        </w:tc>
      </w:tr>
      <w:tr>
        <w:trPr>
          <w:trHeight w:val="210"/>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8"/>
              </w:rPr>
              <w:t>Deerfield Private Design International II, L.P. and Horizon Santé FLML SÁRL (incorporated by reference to MannKind’s Current Report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Form 8-K (File No. 000-50865), filed with the SEC on July 1, 2013).</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4.8</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8"/>
              </w:rPr>
              <w:t>Facility Agreement, dated as of July 1, 2013, by and among MannKind, Deerfield Private Design Fund II, L.P. and Deerfield Private Design</w:t>
            </w:r>
          </w:p>
        </w:tc>
      </w:tr>
      <w:tr>
        <w:trPr>
          <w:trHeight w:val="210"/>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6"/>
              </w:rPr>
              <w:t>International II, L.P (incorporated by reference to MannKind’s Current Report on Form 8-K (File No. 000-50865), filed with the SEC on July 1,</w:t>
            </w:r>
          </w:p>
        </w:tc>
      </w:tr>
      <w:tr>
        <w:trPr>
          <w:trHeight w:val="222"/>
        </w:trPr>
        <w:tc>
          <w:tcPr>
            <w:tcW w:w="500" w:type="dxa"/>
            <w:vAlign w:val="bottom"/>
          </w:tcPr>
          <w:p>
            <w:pPr>
              <w:spacing w:after="0"/>
              <w:rPr>
                <w:sz w:val="19"/>
                <w:szCs w:val="19"/>
                <w:color w:val="auto"/>
              </w:rPr>
            </w:pPr>
          </w:p>
        </w:tc>
        <w:tc>
          <w:tcPr>
            <w:tcW w:w="5060" w:type="dxa"/>
            <w:vAlign w:val="bottom"/>
          </w:tcPr>
          <w:p>
            <w:pPr>
              <w:ind w:left="680"/>
              <w:spacing w:after="0"/>
              <w:rPr>
                <w:sz w:val="20"/>
                <w:szCs w:val="20"/>
                <w:color w:val="auto"/>
              </w:rPr>
            </w:pPr>
            <w:r>
              <w:rPr>
                <w:rFonts w:ascii="Arial" w:cs="Arial" w:eastAsia="Arial" w:hAnsi="Arial"/>
                <w:sz w:val="17"/>
                <w:szCs w:val="17"/>
                <w:color w:val="auto"/>
              </w:rPr>
              <w:t>2013).</w:t>
            </w:r>
          </w:p>
        </w:tc>
        <w:tc>
          <w:tcPr>
            <w:tcW w:w="148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4.9</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4"/>
              </w:rPr>
              <w:t>First Amendment to Facility Agreement and Registration Rights Agreement, dated as of February 28, 2014, by and among MannKind, Deerfield</w:t>
            </w:r>
          </w:p>
        </w:tc>
      </w:tr>
      <w:tr>
        <w:trPr>
          <w:trHeight w:val="210"/>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4"/>
              </w:rPr>
              <w:t>Private Design Fund II, L.P. and Deerfield Private Design International II, L.P. (incorporated by reference to Exhibit 10.39 to MannKind’s Annual</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Report on Form 10-K (File No. 000-50865), filed with the SEC on March 3, 2014).</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4.10</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Second Amendment to Facility Agreement and Registration Rights Agreement, dated as of</w:t>
            </w:r>
          </w:p>
        </w:tc>
      </w:tr>
      <w:tr>
        <w:trPr>
          <w:trHeight w:val="210"/>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August 11, 2014, by and among MannKind, Deerfield Private Design Fund II, L.P. and Deerfield Private Design International II, L.P.</w:t>
            </w:r>
          </w:p>
        </w:tc>
      </w:tr>
      <w:tr>
        <w:trPr>
          <w:trHeight w:val="210"/>
        </w:trPr>
        <w:tc>
          <w:tcPr>
            <w:tcW w:w="500" w:type="dxa"/>
            <w:vAlign w:val="bottom"/>
          </w:tcPr>
          <w:p>
            <w:pPr>
              <w:spacing w:after="0"/>
              <w:rPr>
                <w:sz w:val="18"/>
                <w:szCs w:val="18"/>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(incorporated by reference to Exhibit 4.14 to MannKind’s Quarterly Report on Form 10-Q (File No. 000-50865), filed with the SEC on</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November 10, 2014).</w:t>
            </w:r>
          </w:p>
        </w:tc>
      </w:tr>
      <w:tr>
        <w:trPr>
          <w:trHeight w:val="315"/>
        </w:trPr>
        <w:tc>
          <w:tcPr>
            <w:tcW w:w="500" w:type="dxa"/>
            <w:vAlign w:val="bottom"/>
          </w:tcPr>
          <w:p>
            <w:pPr>
              <w:ind w:left="100"/>
              <w:spacing w:after="0"/>
              <w:rPr>
                <w:sz w:val="20"/>
                <w:szCs w:val="20"/>
                <w:color w:val="auto"/>
              </w:rPr>
            </w:pPr>
            <w:r>
              <w:rPr>
                <w:rFonts w:ascii="Arial" w:cs="Arial" w:eastAsia="Arial" w:hAnsi="Arial"/>
                <w:sz w:val="17"/>
                <w:szCs w:val="17"/>
                <w:color w:val="auto"/>
              </w:rPr>
              <w:t>4.11</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4"/>
              </w:rPr>
              <w:t>Indenture, by and between MannKind and U.S. Bank (as successor trustee to Wells Fargo Bank, N.A.), dated August 10, 2015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reference to Exhibit 4.18 to MannKind’s Quarterly Report on Form 10-Q (File No. 000-50865), filed with the SEC on August 10, 2015).</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4.12</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9"/>
              </w:rPr>
              <w:t>Form of 5.75% Convertible Senior Subordinated Exchange Note due 2018 (included in Exhibit 4.11 as Exhibit A thereto)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reference to Exhibit 4.19 to MannKind’s Quarterly Report on Form 10-Q (File No. 000-50865), filed with the SEC on August 10, 2015).</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4.13</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3"/>
              </w:rPr>
              <w:t>Form of Warrant to Purchase Common Stock issued November 16, 2015 (incorporated by reference to Exhibit 4.17 to MannKind’s Annual Report</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on Form 10-K (File No. 000-50865), filed with the SEC on March 15, 2016).</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4.14</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5"/>
              </w:rPr>
              <w:t>Form of Series A Common Stock Purchase Warrant (incorporated by reference to Exhibit 4.1 to MannKind’s Current Report on Form 8-K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No. 000-50865), filed with the SEC on May 10, 2016).</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4.15</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5"/>
              </w:rPr>
              <w:t>Form of Series B Common Stock Purchase Warrant (incorporated by reference to Exhibit 4.2 to MannKind’s Current Report on Form 8-K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No. 000-50865), filed with the SEC on May 10, 2016).</w:t>
            </w:r>
          </w:p>
        </w:tc>
      </w:tr>
      <w:tr>
        <w:trPr>
          <w:trHeight w:val="302"/>
        </w:trPr>
        <w:tc>
          <w:tcPr>
            <w:tcW w:w="500" w:type="dxa"/>
            <w:vAlign w:val="bottom"/>
          </w:tcPr>
          <w:p>
            <w:pPr>
              <w:ind w:left="100"/>
              <w:spacing w:after="0"/>
              <w:rPr>
                <w:sz w:val="20"/>
                <w:szCs w:val="20"/>
                <w:color w:val="auto"/>
              </w:rPr>
            </w:pPr>
            <w:r>
              <w:rPr>
                <w:rFonts w:ascii="Arial" w:cs="Arial" w:eastAsia="Arial" w:hAnsi="Arial"/>
                <w:sz w:val="17"/>
                <w:szCs w:val="17"/>
                <w:color w:val="auto"/>
              </w:rPr>
              <w:t>4.16</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Form of Securities Purchase Agreement (incorporated by reference to Exhibit 99.1 to MannKind’s Current Report on Form 8-K (File</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No. 000-50865), filed with the SEC on May 10, 2016).</w:t>
            </w:r>
          </w:p>
        </w:tc>
      </w:tr>
      <w:tr>
        <w:trPr>
          <w:trHeight w:val="302"/>
        </w:trPr>
        <w:tc>
          <w:tcPr>
            <w:tcW w:w="500" w:type="dxa"/>
            <w:vAlign w:val="bottom"/>
          </w:tcPr>
          <w:p>
            <w:pPr>
              <w:spacing w:after="0"/>
              <w:rPr>
                <w:sz w:val="20"/>
                <w:szCs w:val="20"/>
                <w:color w:val="auto"/>
              </w:rPr>
            </w:pPr>
            <w:r>
              <w:rPr>
                <w:rFonts w:ascii="Arial" w:cs="Arial" w:eastAsia="Arial" w:hAnsi="Arial"/>
                <w:sz w:val="17"/>
                <w:szCs w:val="17"/>
                <w:color w:val="auto"/>
              </w:rPr>
              <w:t>10.1</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9"/>
              </w:rPr>
              <w:t>Amended and Restated Promissory Note made by MannKind in favor of The Mann Group LLC, dated October 18, 2012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reference to MannKind’s Current Report on Form 8-K (File No. 000-50865), filed with the SEC on October 19, 2012).</w:t>
            </w:r>
          </w:p>
        </w:tc>
      </w:tr>
      <w:tr>
        <w:trPr>
          <w:trHeight w:val="302"/>
        </w:trPr>
        <w:tc>
          <w:tcPr>
            <w:tcW w:w="500" w:type="dxa"/>
            <w:vAlign w:val="bottom"/>
          </w:tcPr>
          <w:p>
            <w:pPr>
              <w:spacing w:after="0"/>
              <w:rPr>
                <w:sz w:val="20"/>
                <w:szCs w:val="20"/>
                <w:color w:val="auto"/>
              </w:rPr>
            </w:pPr>
            <w:r>
              <w:rPr>
                <w:rFonts w:ascii="Arial" w:cs="Arial" w:eastAsia="Arial" w:hAnsi="Arial"/>
                <w:sz w:val="17"/>
                <w:szCs w:val="17"/>
                <w:color w:val="auto"/>
              </w:rPr>
              <w:t>10.2</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3"/>
              </w:rPr>
              <w:t>Agreement, dated September 13, 2006, between MannKind and Torcon, Inc. (incorporated by reference to MannKind’s Quarterly Report on Form</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10-Q (File No. 000-50865), filed with the SEC on August 9, 2007).</w:t>
            </w:r>
          </w:p>
        </w:tc>
      </w:tr>
      <w:tr>
        <w:trPr>
          <w:trHeight w:val="302"/>
        </w:trPr>
        <w:tc>
          <w:tcPr>
            <w:tcW w:w="500" w:type="dxa"/>
            <w:vAlign w:val="bottom"/>
          </w:tcPr>
          <w:p>
            <w:pPr>
              <w:spacing w:after="0"/>
              <w:rPr>
                <w:sz w:val="20"/>
                <w:szCs w:val="20"/>
                <w:color w:val="auto"/>
              </w:rPr>
            </w:pPr>
            <w:r>
              <w:rPr>
                <w:rFonts w:ascii="Arial" w:cs="Arial" w:eastAsia="Arial" w:hAnsi="Arial"/>
                <w:sz w:val="17"/>
                <w:szCs w:val="17"/>
                <w:color w:val="auto"/>
              </w:rPr>
              <w:t>10.3</w:t>
            </w: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w w:val="94"/>
              </w:rPr>
              <w:t>Securities Purchase Agreement, dated August 2, 2005 by and among MannKind and the purchasers listed on Exhibit A thereto (incorporated by</w:t>
            </w:r>
          </w:p>
        </w:tc>
      </w:tr>
      <w:tr>
        <w:trPr>
          <w:trHeight w:val="222"/>
        </w:trPr>
        <w:tc>
          <w:tcPr>
            <w:tcW w:w="500" w:type="dxa"/>
            <w:vAlign w:val="bottom"/>
          </w:tcPr>
          <w:p>
            <w:pPr>
              <w:spacing w:after="0"/>
              <w:rPr>
                <w:sz w:val="19"/>
                <w:szCs w:val="19"/>
                <w:color w:val="auto"/>
              </w:rPr>
            </w:pPr>
          </w:p>
        </w:tc>
        <w:tc>
          <w:tcPr>
            <w:tcW w:w="10900" w:type="dxa"/>
            <w:vAlign w:val="bottom"/>
            <w:gridSpan w:val="3"/>
          </w:tcPr>
          <w:p>
            <w:pPr>
              <w:ind w:left="680"/>
              <w:spacing w:after="0"/>
              <w:rPr>
                <w:sz w:val="20"/>
                <w:szCs w:val="20"/>
                <w:color w:val="auto"/>
              </w:rPr>
            </w:pPr>
            <w:r>
              <w:rPr>
                <w:rFonts w:ascii="Arial" w:cs="Arial" w:eastAsia="Arial" w:hAnsi="Arial"/>
                <w:sz w:val="17"/>
                <w:szCs w:val="17"/>
                <w:color w:val="auto"/>
              </w:rPr>
              <w:t>reference to MannKind’s Current Report on Form 8-K (File No. 000-50865), filed with the SEC on August 5, 2005).</w:t>
            </w:r>
          </w:p>
        </w:tc>
      </w:tr>
      <w:tr>
        <w:trPr>
          <w:trHeight w:val="354"/>
        </w:trPr>
        <w:tc>
          <w:tcPr>
            <w:tcW w:w="500" w:type="dxa"/>
            <w:vAlign w:val="bottom"/>
          </w:tcPr>
          <w:p>
            <w:pPr>
              <w:spacing w:after="0"/>
              <w:rPr>
                <w:sz w:val="24"/>
                <w:szCs w:val="24"/>
                <w:color w:val="auto"/>
              </w:rPr>
            </w:pPr>
          </w:p>
        </w:tc>
        <w:tc>
          <w:tcPr>
            <w:tcW w:w="6540" w:type="dxa"/>
            <w:vAlign w:val="bottom"/>
            <w:gridSpan w:val="2"/>
          </w:tcPr>
          <w:p>
            <w:pPr>
              <w:ind w:left="5120"/>
              <w:spacing w:after="0"/>
              <w:rPr>
                <w:sz w:val="20"/>
                <w:szCs w:val="20"/>
                <w:color w:val="auto"/>
              </w:rPr>
            </w:pPr>
            <w:r>
              <w:rPr>
                <w:rFonts w:ascii="Arial" w:cs="Arial" w:eastAsia="Arial" w:hAnsi="Arial"/>
                <w:sz w:val="17"/>
                <w:szCs w:val="17"/>
                <w:color w:val="auto"/>
              </w:rPr>
              <w:t>73</w:t>
            </w:r>
          </w:p>
        </w:tc>
        <w:tc>
          <w:tcPr>
            <w:tcW w:w="4360" w:type="dxa"/>
            <w:vAlign w:val="bottom"/>
          </w:tcPr>
          <w:p>
            <w:pPr>
              <w:spacing w:after="0"/>
              <w:rPr>
                <w:sz w:val="24"/>
                <w:szCs w:val="24"/>
                <w:color w:val="auto"/>
              </w:rPr>
            </w:pPr>
          </w:p>
        </w:tc>
      </w:tr>
    </w:tbl>
    <w:p>
      <w:pPr>
        <w:sectPr>
          <w:pgSz w:w="11900" w:h="16838" w:orient="portrait"/>
          <w:cols w:equalWidth="0" w:num="1">
            <w:col w:w="11400"/>
          </w:cols>
          <w:pgMar w:left="240" w:top="449"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Exhibit</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460" w:type="dxa"/>
            <w:vAlign w:val="bottom"/>
            <w:gridSpan w:val="3"/>
          </w:tcPr>
          <w:p>
            <w:pPr>
              <w:ind w:left="46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68"/>
        </w:trPr>
        <w:tc>
          <w:tcPr>
            <w:tcW w:w="540" w:type="dxa"/>
            <w:vAlign w:val="bottom"/>
            <w:gridSpan w:val="2"/>
          </w:tcPr>
          <w:p>
            <w:pPr>
              <w:spacing w:after="0"/>
              <w:rPr>
                <w:sz w:val="20"/>
                <w:szCs w:val="20"/>
                <w:color w:val="auto"/>
              </w:rPr>
            </w:pPr>
            <w:r>
              <w:rPr>
                <w:rFonts w:ascii="Arial" w:cs="Arial" w:eastAsia="Arial" w:hAnsi="Arial"/>
                <w:sz w:val="17"/>
                <w:szCs w:val="17"/>
                <w:color w:val="auto"/>
              </w:rPr>
              <w:t>10.4**</w:t>
            </w:r>
          </w:p>
        </w:tc>
        <w:tc>
          <w:tcPr>
            <w:tcW w:w="420" w:type="dxa"/>
            <w:vAlign w:val="bottom"/>
          </w:tcPr>
          <w:p>
            <w:pPr>
              <w:spacing w:after="0"/>
              <w:rPr>
                <w:sz w:val="23"/>
                <w:szCs w:val="23"/>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Supply Agreement, dated December 31, 2004, between MannKind and Vaupell, Inc. (incorporated by reference to MannKind’s Current Report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on Form 8-K (File No. 000-50865), filed with the SEC on February 23, 2005).</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10.5*</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Form of Indemnity Agreement entered into between MannKind and each of its directors and officers (incorporated by reference to MannKind’s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Registration Statement on Form S-1 (File No. 333-115020), filed with the SEC on April 30, 2004, as amended).</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10.6*</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Description of Officers’ Incentive Program (incorporated by reference to MannKind’s Annual Report on Form 10-K (File No. 000-50865), filed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with the SEC on March 16, 2006).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10.7*</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Executive Severance Agreement, dated October 10, 2007, between MannKind and David Thomson (incorporated by reference to MannKind’s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Current Report on Form 8-K (File No. 000-50865), as amended, filed with the SEC on October 17, 2007).</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10.8*</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Separation Agreement, dated March 11, 2016, by and between MannKind and Juergen Martens (incorporated by reference to Exhibit 10.8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MannKind’s Annual Report on Form 10-K (File No. 000-50865), filed with the SEC on March 15, 2016).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10.9*</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Executive Severance Agreement, dated April 21, 2008, between MannKind and Matthew J. Pfeffer (incorporated by reference to MannKind’s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Current Report on Form 8-K (File No. 000-50865), as amended, filed with the SEC on October 17, 2007).</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10.10*</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6"/>
              </w:rPr>
              <w:t>Change of Control Agreement, dated October 10, 2007, between MannKind and David Thomson (incorporated by reference to MannKind’s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Current Report on Form 8-K (File No. 000-50865), as amended, filed with the SEC on October 17, 2007).</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10.11*</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7"/>
              </w:rPr>
              <w:t>Change of Control Agreement, dated April 21, 2008, between MannKind and Matthew J. Pfeffer (incorporated by reference to MannKind’s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Current Report on Form 8-K (File No. 000-50865), as amended, filed with the SEC on October 17, 2007).</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10.12*</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2004 Equity Incentive Plan, as amended (incorporated by reference to MannKind’s proxy statement on Schedule 14A (File No. 000-50865),</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filed with the SEC on April 6, 2012).</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10.13*</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Form of Stock Option Agreement under the 2004 Equity Incentive Plan (incorporated by reference to MannKind’s Registration Statement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Form S-1 (File No. 333-115020), originally filed with the SEC on April 30, 2004, as amended).</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10.14*</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Form of Phantom Stock Award Agreement under the 2004 Equity Incentive Plan (incorporated by reference to MannKind’s Current Report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Form 8-K (File No. 000-50865), filed with the SEC on December 14, 2005).</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10.15*</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2004 Non-Employee Directors’ Stock Option Plan and form of stock option agreement there under (incorporated by reference to MannKind’s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Annual Report on Form 10-K (File No. 000-50865), filed with the SEC on March 16, 2006).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10.16*</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8"/>
              </w:rPr>
              <w:t>2004 Employee Stock Purchase Plan and form of offering document there under (incorporated by reference to MannKind’s Registration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Statement on Form S-1 (File No. 333-115020), originally filed with the SEC on April 30, 2004, as amended).</w:t>
            </w:r>
          </w:p>
        </w:tc>
      </w:tr>
      <w:tr>
        <w:trPr>
          <w:trHeight w:val="302"/>
        </w:trPr>
        <w:tc>
          <w:tcPr>
            <w:tcW w:w="960" w:type="dxa"/>
            <w:vAlign w:val="bottom"/>
            <w:gridSpan w:val="3"/>
          </w:tcPr>
          <w:p>
            <w:pPr>
              <w:spacing w:after="0"/>
              <w:rPr>
                <w:sz w:val="20"/>
                <w:szCs w:val="20"/>
                <w:color w:val="auto"/>
              </w:rPr>
            </w:pPr>
            <w:r>
              <w:rPr>
                <w:rFonts w:ascii="Arial" w:cs="Arial" w:eastAsia="Arial" w:hAnsi="Arial"/>
                <w:sz w:val="17"/>
                <w:szCs w:val="17"/>
                <w:color w:val="auto"/>
              </w:rPr>
              <w:t>10.17**</w:t>
            </w: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6"/>
              </w:rPr>
              <w:t>Letter Agreement, dated June 4, 2011, between MannKind and N.V. Organon (incorporated by reference to MannKind’s Current Report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Form 8-K (File No. 000-50865), filed with the SEC on July 1, 2013).</w:t>
            </w:r>
          </w:p>
        </w:tc>
      </w:tr>
      <w:tr>
        <w:trPr>
          <w:trHeight w:val="302"/>
        </w:trPr>
        <w:tc>
          <w:tcPr>
            <w:tcW w:w="960" w:type="dxa"/>
            <w:vAlign w:val="bottom"/>
            <w:gridSpan w:val="3"/>
          </w:tcPr>
          <w:p>
            <w:pPr>
              <w:spacing w:after="0"/>
              <w:rPr>
                <w:sz w:val="20"/>
                <w:szCs w:val="20"/>
                <w:color w:val="auto"/>
              </w:rPr>
            </w:pPr>
            <w:r>
              <w:rPr>
                <w:rFonts w:ascii="Arial" w:cs="Arial" w:eastAsia="Arial" w:hAnsi="Arial"/>
                <w:sz w:val="17"/>
                <w:szCs w:val="17"/>
                <w:color w:val="auto"/>
              </w:rPr>
              <w:t>10.18**</w:t>
            </w: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5"/>
              </w:rPr>
              <w:t>Insulin Maintenance and Call-Option Agreement, dated June 19, 2009, by and among Pfizer Manufacturing Frankfurt GmbH, Pfizer Inc. and</w:t>
            </w:r>
          </w:p>
        </w:tc>
      </w:t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8"/>
              </w:rPr>
              <w:t>MannKind (incorporated by reference to MannKind’s Quarterly Report on Form 10-Q (File No. 000-50865), filed with the SEC on May 4,</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80" w:type="dxa"/>
            <w:vAlign w:val="bottom"/>
          </w:tcPr>
          <w:p>
            <w:pPr>
              <w:ind w:left="400"/>
              <w:spacing w:after="0"/>
              <w:rPr>
                <w:sz w:val="20"/>
                <w:szCs w:val="20"/>
                <w:color w:val="auto"/>
              </w:rPr>
            </w:pPr>
            <w:r>
              <w:rPr>
                <w:rFonts w:ascii="Arial" w:cs="Arial" w:eastAsia="Arial" w:hAnsi="Arial"/>
                <w:sz w:val="17"/>
                <w:szCs w:val="17"/>
                <w:color w:val="auto"/>
              </w:rPr>
              <w:t>2009).</w:t>
            </w:r>
          </w:p>
        </w:tc>
        <w:tc>
          <w:tcPr>
            <w:tcW w:w="148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5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gridSpan w:val="2"/>
          </w:tcPr>
          <w:p>
            <w:pPr>
              <w:ind w:left="4660"/>
              <w:spacing w:after="0"/>
              <w:rPr>
                <w:sz w:val="20"/>
                <w:szCs w:val="20"/>
                <w:color w:val="auto"/>
              </w:rPr>
            </w:pPr>
            <w:r>
              <w:rPr>
                <w:rFonts w:ascii="Arial" w:cs="Arial" w:eastAsia="Arial" w:hAnsi="Arial"/>
                <w:sz w:val="17"/>
                <w:szCs w:val="17"/>
                <w:color w:val="auto"/>
              </w:rPr>
              <w:t>74</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Exhibit</w:t>
            </w:r>
          </w:p>
        </w:tc>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Number</w:t>
            </w:r>
          </w:p>
        </w:tc>
        <w:tc>
          <w:tcPr>
            <w:tcW w:w="10460" w:type="dxa"/>
            <w:vAlign w:val="bottom"/>
            <w:gridSpan w:val="3"/>
          </w:tcPr>
          <w:p>
            <w:pPr>
              <w:ind w:left="468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68"/>
        </w:trPr>
        <w:tc>
          <w:tcPr>
            <w:tcW w:w="540" w:type="dxa"/>
            <w:vAlign w:val="bottom"/>
            <w:gridSpan w:val="2"/>
          </w:tcPr>
          <w:p>
            <w:pPr>
              <w:spacing w:after="0"/>
              <w:rPr>
                <w:sz w:val="20"/>
                <w:szCs w:val="20"/>
                <w:color w:val="auto"/>
              </w:rPr>
            </w:pPr>
            <w:r>
              <w:rPr>
                <w:rFonts w:ascii="Arial" w:cs="Arial" w:eastAsia="Arial" w:hAnsi="Arial"/>
                <w:sz w:val="17"/>
                <w:szCs w:val="17"/>
                <w:color w:val="auto"/>
              </w:rPr>
              <w:t>10.19*</w:t>
            </w:r>
          </w:p>
        </w:tc>
        <w:tc>
          <w:tcPr>
            <w:tcW w:w="420" w:type="dxa"/>
            <w:vAlign w:val="bottom"/>
          </w:tcPr>
          <w:p>
            <w:pPr>
              <w:spacing w:after="0"/>
              <w:rPr>
                <w:sz w:val="23"/>
                <w:szCs w:val="23"/>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8"/>
              </w:rPr>
              <w:t>Acknowledgment and Agreement, dated as of October 31, 2013, by and between MannKind and The Mann Group LLC (incorporated by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reference to MannKind’s Current Report on Form 8-K (File No. 000-50865), filed with the SEC on November 4, 2013).</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10.20*</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Non-Employee Director Compensation Program (incorporated by reference to MannKind’s Quarterly Report on Form 10-Q (File</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No. 000-50865), filed with the SEC on August 9, 2013).</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10.21*</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MannKind Corporation 2013 Equity Incentive Plan, as amended (incorporated by reference to Exhibit 10.1 to MannKind’s Quarterly Report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Form 10-Q (File No. 000-50865), filed with the SEC on August 9, 2016).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10.22*</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Form of Stock Option Grant Notice, Stock Option Agreement and Notice of Exercise under the MannKind 2013 Equity Incentive Plan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7"/>
              </w:rPr>
              <w:t>(incorporated by reference to MannKind’s registration statement on Form S-8 (File No. 000-188790), filed with the SEC on May 23, 2013).</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10.23*</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8"/>
              </w:rPr>
              <w:t>Form of Restricted Stock Unit Grant Notice and Restricted Stock Unit Award Agreement under the MannKind 2013 Equity Incentive Plan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7"/>
              </w:rPr>
              <w:t>(incorporated by reference to MannKind’s registration statement on Form S-8 (File No. 000-188790), filed with the SEC on May 23, 2013).</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10.24</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6"/>
              </w:rPr>
              <w:t>Facility Agreement, dated as of July 1, 2013, by and among MannKind, Deerfield Private Design Fund II, L.P. and Deerfield Private Design</w:t>
            </w:r>
          </w:p>
        </w:tc>
      </w:t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9"/>
              </w:rPr>
              <w:t>International II, L.P. (incorporated by reference to MannKind’s Current Report on Form 8-K (File No. 000-50865), filed with the SEC on</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July 1, 2013).</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10.25</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First Amendment to Facility Agreement and Registration Rights Agreement, dated as of February 28, 2014, by and among MannKind,</w:t>
            </w:r>
          </w:p>
        </w:tc>
      </w:t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Deerfield Private Design Fund II, L.P., and Deerfield Private Design International II, L.P. (incorporated by reference to Exhibit 10.39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MannKind’s Annual Report on Form 10-K (File No. 000-50865), filed with the SEC on March 3, 2014).</w:t>
            </w:r>
          </w:p>
        </w:tc>
      </w:tr>
      <w:tr>
        <w:trPr>
          <w:trHeight w:val="302"/>
        </w:trPr>
        <w:tc>
          <w:tcPr>
            <w:tcW w:w="960" w:type="dxa"/>
            <w:vAlign w:val="bottom"/>
            <w:gridSpan w:val="3"/>
          </w:tcPr>
          <w:p>
            <w:pPr>
              <w:spacing w:after="0"/>
              <w:rPr>
                <w:sz w:val="20"/>
                <w:szCs w:val="20"/>
                <w:color w:val="auto"/>
              </w:rPr>
            </w:pPr>
            <w:r>
              <w:rPr>
                <w:rFonts w:ascii="Arial" w:cs="Arial" w:eastAsia="Arial" w:hAnsi="Arial"/>
                <w:sz w:val="17"/>
                <w:szCs w:val="17"/>
                <w:color w:val="auto"/>
              </w:rPr>
              <w:t>10.26**</w:t>
            </w: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6"/>
              </w:rPr>
              <w:t>Supply Agreement, dated as of July 31, 2014, by and between MannKind and Amphastar France Pharmaceuticals S.A.S. (incorporated by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7"/>
              </w:rPr>
              <w:t>reference to Exhibit 10.3 to MannKind’s Quarterly Report on Form 10-Q (File No. 000-50865), filed with the SEC on November 10, 2014).</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10.27</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3"/>
              </w:rPr>
              <w:t>Sublease Agreement, dated May 1, 2015, by and between MannKind and the Alfred Mann Foundation for Scientific Research (incorporated by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reference to Exhibit 10.37 to MannKind’s Annual Report on Form 10-K (File No. 000-50865), filed with the SEC on March 15, 2016).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10.28*</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Offer Letter, dated March 9, 2016, by and between MannKind and Michael Castagna (incorporated by reference to Exhibit 10.38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MannKind’s Annual Report on Form 10-K (File No. 000-50865), filed with the SEC on March 15, 2016).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10.29</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8"/>
              </w:rPr>
              <w:t>At Market Issuance Sales Agreement, by and between MannKind and FBR Capital Markets &amp; Co., dated April 26, 2016 (incorporated by</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reference to MannKind’s Current Report on Form 8-K filed with the SEC on April 26, 2016).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10.30</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Engagement Letter, dated May 8, 2016, by and between MannKind and H.C. Wainwright &amp; Co. LLC (incorporated by reference to Exhibit 99.2</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to MannKind’s Current Report on Form 8-K (File No. 000-50865), filed with the SEC on May 10, 2016).</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10.31</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3"/>
              </w:rPr>
              <w:t>Settlement Agreement, dated November 9, 2016, by and among MannKind, Technosphere International C.V., MannKind Netherlands B.V. and</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Sanofi-Aventis U.S. LLC.</w:t>
            </w:r>
          </w:p>
        </w:tc>
      </w:tr>
      <w:tr>
        <w:trPr>
          <w:trHeight w:val="302"/>
        </w:trPr>
        <w:tc>
          <w:tcPr>
            <w:tcW w:w="540" w:type="dxa"/>
            <w:vAlign w:val="bottom"/>
            <w:gridSpan w:val="2"/>
          </w:tcPr>
          <w:p>
            <w:pPr>
              <w:spacing w:after="0"/>
              <w:rPr>
                <w:sz w:val="20"/>
                <w:szCs w:val="20"/>
                <w:color w:val="auto"/>
              </w:rPr>
            </w:pPr>
            <w:r>
              <w:rPr>
                <w:rFonts w:ascii="Arial" w:cs="Arial" w:eastAsia="Arial" w:hAnsi="Arial"/>
                <w:sz w:val="17"/>
                <w:szCs w:val="17"/>
                <w:color w:val="auto"/>
              </w:rPr>
              <w:t>10.32</w:t>
            </w:r>
          </w:p>
        </w:tc>
        <w:tc>
          <w:tcPr>
            <w:tcW w:w="420" w:type="dxa"/>
            <w:vAlign w:val="bottom"/>
          </w:tcPr>
          <w:p>
            <w:pPr>
              <w:spacing w:after="0"/>
              <w:rPr>
                <w:sz w:val="24"/>
                <w:szCs w:val="24"/>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4"/>
              </w:rPr>
              <w:t>First Amendment to Supply Agreement, dated October 31, 2014, by and between MannKind and Amphastar France Pharmaceuticals, S.A.S.</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rPr>
              <w:t>and Amphastar Pharmaceuticals, Inc.</w:t>
            </w:r>
          </w:p>
        </w:tc>
      </w:tr>
      <w:tr>
        <w:trPr>
          <w:trHeight w:val="314"/>
        </w:trPr>
        <w:tc>
          <w:tcPr>
            <w:tcW w:w="960" w:type="dxa"/>
            <w:vAlign w:val="bottom"/>
            <w:gridSpan w:val="3"/>
          </w:tcPr>
          <w:p>
            <w:pPr>
              <w:spacing w:after="0"/>
              <w:rPr>
                <w:sz w:val="20"/>
                <w:szCs w:val="20"/>
                <w:color w:val="auto"/>
              </w:rPr>
            </w:pPr>
            <w:r>
              <w:rPr>
                <w:rFonts w:ascii="Arial" w:cs="Arial" w:eastAsia="Arial" w:hAnsi="Arial"/>
                <w:sz w:val="17"/>
                <w:szCs w:val="17"/>
                <w:color w:val="auto"/>
              </w:rPr>
              <w:t>10.33**</w:t>
            </w:r>
          </w:p>
        </w:tc>
        <w:tc>
          <w:tcPr>
            <w:tcW w:w="10460" w:type="dxa"/>
            <w:vAlign w:val="bottom"/>
            <w:gridSpan w:val="3"/>
          </w:tcPr>
          <w:p>
            <w:pPr>
              <w:ind w:left="400"/>
              <w:spacing w:after="0"/>
              <w:rPr>
                <w:sz w:val="20"/>
                <w:szCs w:val="20"/>
                <w:color w:val="auto"/>
              </w:rPr>
            </w:pPr>
            <w:r>
              <w:rPr>
                <w:rFonts w:ascii="Arial" w:cs="Arial" w:eastAsia="Arial" w:hAnsi="Arial"/>
                <w:sz w:val="17"/>
                <w:szCs w:val="17"/>
                <w:color w:val="auto"/>
                <w:w w:val="99"/>
              </w:rPr>
              <w:t>Second Amendment to Supply Agreement, dated November 9, 2016, by and between MannKind and Amphastar Pharmaceuticals, Inc.</w:t>
            </w:r>
          </w:p>
        </w:tc>
      </w:tr>
      <w:tr>
        <w:trPr>
          <w:trHeight w:val="35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60" w:type="dxa"/>
            <w:vAlign w:val="bottom"/>
            <w:gridSpan w:val="2"/>
          </w:tcPr>
          <w:p>
            <w:pPr>
              <w:ind w:left="4660"/>
              <w:spacing w:after="0"/>
              <w:rPr>
                <w:sz w:val="20"/>
                <w:szCs w:val="20"/>
                <w:color w:val="auto"/>
              </w:rPr>
            </w:pPr>
            <w:r>
              <w:rPr>
                <w:rFonts w:ascii="Arial" w:cs="Arial" w:eastAsia="Arial" w:hAnsi="Arial"/>
                <w:sz w:val="17"/>
                <w:szCs w:val="17"/>
                <w:color w:val="auto"/>
              </w:rPr>
              <w:t>75</w:t>
            </w:r>
          </w:p>
        </w:tc>
        <w:tc>
          <w:tcPr>
            <w:tcW w:w="430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80"/>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80" w:type="dxa"/>
            <w:vAlign w:val="bottom"/>
          </w:tcPr>
          <w:p>
            <w:pPr>
              <w:spacing w:after="0"/>
              <w:rPr>
                <w:sz w:val="15"/>
                <w:szCs w:val="15"/>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268"/>
        </w:trPr>
        <w:tc>
          <w:tcPr>
            <w:tcW w:w="480" w:type="dxa"/>
            <w:vAlign w:val="bottom"/>
          </w:tcPr>
          <w:p>
            <w:pPr>
              <w:ind w:left="40"/>
              <w:spacing w:after="0"/>
              <w:rPr>
                <w:sz w:val="20"/>
                <w:szCs w:val="20"/>
                <w:color w:val="auto"/>
              </w:rPr>
            </w:pPr>
            <w:r>
              <w:rPr>
                <w:rFonts w:ascii="Arial" w:cs="Arial" w:eastAsia="Arial" w:hAnsi="Arial"/>
                <w:sz w:val="17"/>
                <w:szCs w:val="17"/>
                <w:color w:val="auto"/>
                <w:w w:val="98"/>
              </w:rPr>
              <w:t>10.34</w:t>
            </w:r>
          </w:p>
        </w:tc>
        <w:tc>
          <w:tcPr>
            <w:tcW w:w="320" w:type="dxa"/>
            <w:vAlign w:val="bottom"/>
          </w:tcPr>
          <w:p>
            <w:pPr>
              <w:spacing w:after="0"/>
              <w:rPr>
                <w:sz w:val="23"/>
                <w:szCs w:val="23"/>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w w:val="92"/>
              </w:rPr>
              <w:t>Agreement of Purchase and Sale and Joint Escrow Instructions, dated January 6, 2017, by and between MannKind and Rexford Industrial Realty,</w:t>
            </w:r>
          </w:p>
        </w:tc>
      </w:tr>
      <w:tr>
        <w:trPr>
          <w:trHeight w:val="210"/>
        </w:trPr>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rPr>
              <w:t>L.P. (incorporated by reference to Exhibit 99.1 to MannKind’s Current Report on Form 8-K (File No. 000-50865), filed with the SEC on</w:t>
            </w:r>
          </w:p>
        </w:tc>
      </w:tr>
      <w:tr>
        <w:trPr>
          <w:trHeight w:val="222"/>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rPr>
              <w:t>January 12, 2017).</w:t>
            </w:r>
          </w:p>
        </w:tc>
      </w:tr>
      <w:tr>
        <w:trPr>
          <w:trHeight w:val="302"/>
        </w:trPr>
        <w:tc>
          <w:tcPr>
            <w:tcW w:w="480" w:type="dxa"/>
            <w:vAlign w:val="bottom"/>
          </w:tcPr>
          <w:p>
            <w:pPr>
              <w:ind w:left="40"/>
              <w:spacing w:after="0"/>
              <w:rPr>
                <w:sz w:val="20"/>
                <w:szCs w:val="20"/>
                <w:color w:val="auto"/>
              </w:rPr>
            </w:pPr>
            <w:r>
              <w:rPr>
                <w:rFonts w:ascii="Arial" w:cs="Arial" w:eastAsia="Arial" w:hAnsi="Arial"/>
                <w:sz w:val="17"/>
                <w:szCs w:val="17"/>
                <w:color w:val="auto"/>
                <w:w w:val="98"/>
              </w:rPr>
              <w:t>10.35</w:t>
            </w:r>
          </w:p>
        </w:tc>
        <w:tc>
          <w:tcPr>
            <w:tcW w:w="32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w w:val="94"/>
              </w:rPr>
              <w:t>First, Second and Third Amendments to Agreement of Purchase and Sale and Joint Escrow Instructions, dated February 7, 2017, February 10,</w:t>
            </w:r>
          </w:p>
        </w:tc>
      </w:tr>
      <w:tr>
        <w:trPr>
          <w:trHeight w:val="222"/>
        </w:trPr>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rPr>
              <w:t>2017 and February 15, 2017, respectively, by and between MannKind and Rexford Industrial Realty, L.P.</w:t>
            </w:r>
          </w:p>
        </w:tc>
      </w:tr>
      <w:tr>
        <w:trPr>
          <w:trHeight w:val="314"/>
        </w:trPr>
        <w:tc>
          <w:tcPr>
            <w:tcW w:w="800" w:type="dxa"/>
            <w:vAlign w:val="bottom"/>
            <w:gridSpan w:val="2"/>
          </w:tcPr>
          <w:p>
            <w:pPr>
              <w:ind w:left="40"/>
              <w:spacing w:after="0"/>
              <w:rPr>
                <w:sz w:val="20"/>
                <w:szCs w:val="20"/>
                <w:color w:val="auto"/>
              </w:rPr>
            </w:pPr>
            <w:r>
              <w:rPr>
                <w:rFonts w:ascii="Arial" w:cs="Arial" w:eastAsia="Arial" w:hAnsi="Arial"/>
                <w:sz w:val="17"/>
                <w:szCs w:val="17"/>
                <w:color w:val="auto"/>
              </w:rPr>
              <w:t>10.36*</w:t>
            </w: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rPr>
              <w:t>Offer Letter dated December 22, 2016, by and between MannKind and Stuart Tross.</w:t>
            </w:r>
          </w:p>
        </w:tc>
      </w:tr>
      <w:tr>
        <w:trPr>
          <w:trHeight w:val="314"/>
        </w:trPr>
        <w:tc>
          <w:tcPr>
            <w:tcW w:w="480" w:type="dxa"/>
            <w:vAlign w:val="bottom"/>
          </w:tcPr>
          <w:p>
            <w:pPr>
              <w:ind w:left="40"/>
              <w:spacing w:after="0"/>
              <w:rPr>
                <w:sz w:val="20"/>
                <w:szCs w:val="20"/>
                <w:color w:val="auto"/>
              </w:rPr>
            </w:pPr>
            <w:r>
              <w:rPr>
                <w:rFonts w:ascii="Arial" w:cs="Arial" w:eastAsia="Arial" w:hAnsi="Arial"/>
                <w:sz w:val="17"/>
                <w:szCs w:val="17"/>
                <w:color w:val="auto"/>
              </w:rPr>
              <w:t>23.1</w:t>
            </w:r>
          </w:p>
        </w:tc>
        <w:tc>
          <w:tcPr>
            <w:tcW w:w="32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314"/>
        </w:trPr>
        <w:tc>
          <w:tcPr>
            <w:tcW w:w="480" w:type="dxa"/>
            <w:vAlign w:val="bottom"/>
          </w:tcPr>
          <w:p>
            <w:pPr>
              <w:ind w:left="40"/>
              <w:spacing w:after="0"/>
              <w:rPr>
                <w:sz w:val="20"/>
                <w:szCs w:val="20"/>
                <w:color w:val="auto"/>
              </w:rPr>
            </w:pPr>
            <w:r>
              <w:rPr>
                <w:rFonts w:ascii="Arial" w:cs="Arial" w:eastAsia="Arial" w:hAnsi="Arial"/>
                <w:sz w:val="17"/>
                <w:szCs w:val="17"/>
                <w:color w:val="auto"/>
              </w:rPr>
              <w:t>24.1</w:t>
            </w:r>
          </w:p>
        </w:tc>
        <w:tc>
          <w:tcPr>
            <w:tcW w:w="32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17"/>
                <w:szCs w:val="17"/>
                <w:color w:val="auto"/>
              </w:rPr>
              <w:t>Power of Attorney (see signature page hereto).</w:t>
            </w:r>
          </w:p>
        </w:tc>
      </w:tr>
    </w:tbl>
    <w:p>
      <w:pPr>
        <w:spacing w:after="0" w:line="93" w:lineRule="exact"/>
        <w:rPr>
          <w:sz w:val="20"/>
          <w:szCs w:val="20"/>
          <w:color w:val="auto"/>
        </w:rPr>
      </w:pPr>
    </w:p>
    <w:p>
      <w:pPr>
        <w:ind w:left="1160" w:hanging="1068"/>
        <w:spacing w:after="0" w:line="289"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Certification of the Chief Executive Officer and Chief Financial Officer pursuant to Rules 13a-14(a) and 15d-14(a) of the Securities Exchange Act of 1934, as amended.</w:t>
      </w:r>
    </w:p>
    <w:p>
      <w:pPr>
        <w:spacing w:after="0" w:line="53" w:lineRule="exact"/>
        <w:rPr>
          <w:rFonts w:ascii="Arial" w:cs="Arial" w:eastAsia="Arial" w:hAnsi="Arial"/>
          <w:sz w:val="17"/>
          <w:szCs w:val="17"/>
          <w:color w:val="auto"/>
        </w:rPr>
      </w:pPr>
    </w:p>
    <w:p>
      <w:pPr>
        <w:ind w:left="1160" w:right="200" w:hanging="1068"/>
        <w:spacing w:after="0" w:line="289"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53"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32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77" w:lineRule="exact"/>
        <w:rPr>
          <w:sz w:val="20"/>
          <w:szCs w:val="20"/>
          <w:color w:val="auto"/>
        </w:rPr>
      </w:pPr>
    </w:p>
    <w:p>
      <w:pPr>
        <w:ind w:left="460" w:hanging="455"/>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6" w:lineRule="exact"/>
        <w:rPr>
          <w:sz w:val="20"/>
          <w:szCs w:val="20"/>
          <w:color w:val="auto"/>
        </w:rPr>
      </w:pPr>
    </w:p>
    <w:p>
      <w:pPr>
        <w:jc w:val="center"/>
        <w:ind w:left="5620" w:right="760" w:hanging="5615"/>
        <w:spacing w:after="0" w:line="451" w:lineRule="auto"/>
        <w:tabs>
          <w:tab w:leader="none" w:pos="443"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Confidential treatment has been granted with respect to certain portions of this exhibit. Omitted portions have been filed separately with the SEC. 76</w:t>
      </w:r>
    </w:p>
    <w:p>
      <w:pPr>
        <w:sectPr>
          <w:pgSz w:w="11900" w:h="16838" w:orient="portrait"/>
          <w:cols w:equalWidth="0" w:num="1">
            <w:col w:w="11380"/>
          </w:cols>
          <w:pgMar w:left="240" w:top="449" w:right="2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340" w:firstLine="457"/>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w:t>
      </w:r>
      <w:r>
        <w:rPr>
          <w:rFonts w:ascii="Arial" w:cs="Arial" w:eastAsia="Arial" w:hAnsi="Arial"/>
          <w:sz w:val="14"/>
          <w:szCs w:val="14"/>
          <w:color w:val="auto"/>
        </w:rPr>
        <w:t>ANN</w:t>
      </w:r>
      <w:r>
        <w:rPr>
          <w:rFonts w:ascii="Arial" w:cs="Arial" w:eastAsia="Arial" w:hAnsi="Arial"/>
          <w:sz w:val="17"/>
          <w:szCs w:val="17"/>
          <w:color w:val="auto"/>
        </w:rPr>
        <w:t>K</w:t>
      </w:r>
      <w:r>
        <w:rPr>
          <w:rFonts w:ascii="Arial" w:cs="Arial" w:eastAsia="Arial" w:hAnsi="Arial"/>
          <w:sz w:val="14"/>
          <w:szCs w:val="14"/>
          <w:color w:val="auto"/>
        </w:rPr>
        <w:t>IND</w:t>
      </w:r>
      <w:r>
        <w:rPr>
          <w:rFonts w:ascii="Arial" w:cs="Arial" w:eastAsia="Arial" w:hAnsi="Arial"/>
          <w:sz w:val="17"/>
          <w:szCs w:val="17"/>
          <w:color w:val="auto"/>
        </w:rPr>
        <w:t xml:space="preserve"> C</w:t>
      </w:r>
      <w:r>
        <w:rPr>
          <w:rFonts w:ascii="Arial" w:cs="Arial" w:eastAsia="Arial" w:hAnsi="Arial"/>
          <w:sz w:val="14"/>
          <w:szCs w:val="14"/>
          <w:color w:val="auto"/>
        </w:rPr>
        <w:t>ORPORATION</w:t>
      </w:r>
    </w:p>
    <w:p>
      <w:pPr>
        <w:spacing w:after="0" w:line="224"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7"/>
          <w:szCs w:val="17"/>
          <w:color w:val="auto"/>
        </w:rPr>
        <w:t>By:  /s/</w:t>
      </w:r>
      <w:r>
        <w:rPr>
          <w:sz w:val="20"/>
          <w:szCs w:val="20"/>
          <w:color w:val="auto"/>
        </w:rPr>
        <w:tab/>
      </w:r>
      <w:r>
        <w:rPr>
          <w:rFonts w:ascii="Arial" w:cs="Arial" w:eastAsia="Arial" w:hAnsi="Arial"/>
          <w:sz w:val="16"/>
          <w:szCs w:val="16"/>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16510</wp:posOffset>
            </wp:positionV>
            <wp:extent cx="26606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60650" cy="8255"/>
                    </a:xfrm>
                    <a:prstGeom prst="rect">
                      <a:avLst/>
                    </a:prstGeom>
                    <a:noFill/>
                  </pic:spPr>
                </pic:pic>
              </a:graphicData>
            </a:graphic>
          </wp:anchor>
        </w:drawing>
      </w:r>
    </w:p>
    <w:p>
      <w:pPr>
        <w:spacing w:after="0" w:line="20"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Matthew J. Pfeffer</w:t>
      </w:r>
    </w:p>
    <w:p>
      <w:pPr>
        <w:spacing w:after="0" w:line="26"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Chief Executive Officer, Chief Financial Officer, and</w:t>
      </w:r>
    </w:p>
    <w:p>
      <w:pPr>
        <w:spacing w:after="0" w:line="14"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Director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Dated: March 16,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POWER OF ATTORNEY</w:t>
      </w:r>
    </w:p>
    <w:p>
      <w:pPr>
        <w:spacing w:after="0" w:line="230" w:lineRule="exact"/>
        <w:rPr>
          <w:sz w:val="20"/>
          <w:szCs w:val="20"/>
          <w:color w:val="auto"/>
        </w:rPr>
      </w:pPr>
    </w:p>
    <w:p>
      <w:pPr>
        <w:ind w:right="180" w:firstLine="457"/>
        <w:spacing w:after="0" w:line="26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Matthew J.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182"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4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740" w:type="dxa"/>
            <w:vAlign w:val="bottom"/>
          </w:tcPr>
          <w:p>
            <w:pPr>
              <w:spacing w:after="0"/>
              <w:rPr>
                <w:sz w:val="15"/>
                <w:szCs w:val="15"/>
                <w:color w:val="auto"/>
              </w:rPr>
            </w:pPr>
          </w:p>
        </w:tc>
        <w:tc>
          <w:tcPr>
            <w:tcW w:w="4920" w:type="dxa"/>
            <w:vAlign w:val="bottom"/>
            <w:gridSpan w:val="3"/>
          </w:tcPr>
          <w:p>
            <w:pPr>
              <w:jc w:val="center"/>
              <w:ind w:left="154"/>
              <w:spacing w:after="0"/>
              <w:rPr>
                <w:sz w:val="20"/>
                <w:szCs w:val="20"/>
                <w:color w:val="auto"/>
              </w:rPr>
            </w:pPr>
            <w:r>
              <w:rPr>
                <w:rFonts w:ascii="Arial" w:cs="Arial" w:eastAsia="Arial" w:hAnsi="Arial"/>
                <w:sz w:val="14"/>
                <w:szCs w:val="14"/>
                <w:b w:val="1"/>
                <w:bCs w:val="1"/>
                <w:color w:val="auto"/>
                <w:w w:val="97"/>
              </w:rPr>
              <w:t>Title</w:t>
            </w:r>
          </w:p>
        </w:tc>
        <w:tc>
          <w:tcPr>
            <w:tcW w:w="1960" w:type="dxa"/>
            <w:vAlign w:val="bottom"/>
            <w:gridSpan w:val="3"/>
          </w:tcPr>
          <w:p>
            <w:pPr>
              <w:jc w:val="center"/>
              <w:ind w:left="755"/>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9"/>
        </w:trPr>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J. Pfeffer</w:t>
            </w:r>
          </w:p>
        </w:tc>
        <w:tc>
          <w:tcPr>
            <w:tcW w:w="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920" w:type="dxa"/>
            <w:vAlign w:val="bottom"/>
            <w:gridSpan w:val="3"/>
          </w:tcPr>
          <w:p>
            <w:pPr>
              <w:jc w:val="center"/>
              <w:ind w:left="154"/>
              <w:spacing w:after="0"/>
              <w:rPr>
                <w:sz w:val="20"/>
                <w:szCs w:val="20"/>
                <w:color w:val="auto"/>
              </w:rPr>
            </w:pPr>
            <w:r>
              <w:rPr>
                <w:rFonts w:ascii="Arial" w:cs="Arial" w:eastAsia="Arial" w:hAnsi="Arial"/>
                <w:sz w:val="17"/>
                <w:szCs w:val="17"/>
                <w:color w:val="auto"/>
                <w:w w:val="96"/>
              </w:rPr>
              <w:t>Chief Executive Officer, Chief Financial</w:t>
            </w:r>
          </w:p>
        </w:tc>
        <w:tc>
          <w:tcPr>
            <w:tcW w:w="1960" w:type="dxa"/>
            <w:vAlign w:val="bottom"/>
            <w:gridSpan w:val="3"/>
          </w:tcPr>
          <w:p>
            <w:pPr>
              <w:jc w:val="center"/>
              <w:ind w:left="755"/>
              <w:spacing w:after="0"/>
              <w:rPr>
                <w:sz w:val="20"/>
                <w:szCs w:val="20"/>
                <w:color w:val="auto"/>
              </w:rPr>
            </w:pPr>
            <w:r>
              <w:rPr>
                <w:rFonts w:ascii="Arial" w:cs="Arial" w:eastAsia="Arial" w:hAnsi="Arial"/>
                <w:sz w:val="17"/>
                <w:szCs w:val="17"/>
                <w:color w:val="auto"/>
                <w:w w:val="94"/>
              </w:rPr>
              <w:t>March 16, 2017</w:t>
            </w:r>
          </w:p>
        </w:tc>
      </w:tr>
      <w:tr>
        <w:trPr>
          <w:trHeight w:val="178"/>
        </w:trPr>
        <w:tc>
          <w:tcPr>
            <w:tcW w:w="2320" w:type="dxa"/>
            <w:vAlign w:val="bottom"/>
            <w:gridSpan w:val="2"/>
          </w:tcPr>
          <w:p>
            <w:pPr>
              <w:spacing w:after="0" w:line="177" w:lineRule="exact"/>
              <w:rPr>
                <w:sz w:val="20"/>
                <w:szCs w:val="20"/>
                <w:color w:val="auto"/>
              </w:rPr>
            </w:pPr>
            <w:r>
              <w:rPr>
                <w:rFonts w:ascii="Arial" w:cs="Arial" w:eastAsia="Arial" w:hAnsi="Arial"/>
                <w:sz w:val="17"/>
                <w:szCs w:val="17"/>
                <w:color w:val="auto"/>
              </w:rPr>
              <w:t>Matthew J. Pfeffer</w:t>
            </w:r>
          </w:p>
        </w:tc>
        <w:tc>
          <w:tcPr>
            <w:tcW w:w="1740" w:type="dxa"/>
            <w:vAlign w:val="bottom"/>
          </w:tcPr>
          <w:p>
            <w:pPr>
              <w:spacing w:after="0"/>
              <w:rPr>
                <w:sz w:val="15"/>
                <w:szCs w:val="15"/>
                <w:color w:val="auto"/>
              </w:rPr>
            </w:pPr>
          </w:p>
        </w:tc>
        <w:tc>
          <w:tcPr>
            <w:tcW w:w="4920" w:type="dxa"/>
            <w:vAlign w:val="bottom"/>
            <w:gridSpan w:val="3"/>
          </w:tcPr>
          <w:p>
            <w:pPr>
              <w:jc w:val="center"/>
              <w:ind w:left="134"/>
              <w:spacing w:after="0" w:line="177" w:lineRule="exact"/>
              <w:rPr>
                <w:sz w:val="20"/>
                <w:szCs w:val="20"/>
                <w:color w:val="auto"/>
              </w:rPr>
            </w:pPr>
            <w:r>
              <w:rPr>
                <w:rFonts w:ascii="Arial" w:cs="Arial" w:eastAsia="Arial" w:hAnsi="Arial"/>
                <w:sz w:val="17"/>
                <w:szCs w:val="17"/>
                <w:color w:val="auto"/>
                <w:w w:val="96"/>
              </w:rPr>
              <w:t>Officer and Director</w:t>
            </w: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0"/>
        </w:trPr>
        <w:tc>
          <w:tcPr>
            <w:tcW w:w="1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920" w:type="dxa"/>
            <w:vAlign w:val="bottom"/>
            <w:gridSpan w:val="3"/>
          </w:tcPr>
          <w:p>
            <w:pPr>
              <w:jc w:val="center"/>
              <w:ind w:left="134"/>
              <w:spacing w:after="0"/>
              <w:rPr>
                <w:sz w:val="20"/>
                <w:szCs w:val="20"/>
                <w:color w:val="auto"/>
              </w:rPr>
            </w:pPr>
            <w:r>
              <w:rPr>
                <w:rFonts w:ascii="Arial" w:cs="Arial" w:eastAsia="Arial" w:hAnsi="Arial"/>
                <w:sz w:val="17"/>
                <w:szCs w:val="17"/>
                <w:i w:val="1"/>
                <w:iCs w:val="1"/>
                <w:color w:val="auto"/>
                <w:w w:val="97"/>
              </w:rPr>
              <w:t>(Principal Executive Officer and Principal</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1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920" w:type="dxa"/>
            <w:vAlign w:val="bottom"/>
            <w:gridSpan w:val="3"/>
          </w:tcPr>
          <w:p>
            <w:pPr>
              <w:jc w:val="center"/>
              <w:ind w:left="154"/>
              <w:spacing w:after="0"/>
              <w:rPr>
                <w:sz w:val="20"/>
                <w:szCs w:val="20"/>
                <w:color w:val="auto"/>
              </w:rPr>
            </w:pPr>
            <w:r>
              <w:rPr>
                <w:rFonts w:ascii="Arial" w:cs="Arial" w:eastAsia="Arial" w:hAnsi="Arial"/>
                <w:sz w:val="17"/>
                <w:szCs w:val="17"/>
                <w:i w:val="1"/>
                <w:iCs w:val="1"/>
                <w:color w:val="auto"/>
                <w:w w:val="99"/>
              </w:rPr>
              <w:t>Financial Officer)</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2"/>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Rosabel R. Alinaya</w:t>
            </w:r>
          </w:p>
        </w:tc>
        <w:tc>
          <w:tcPr>
            <w:tcW w:w="1740" w:type="dxa"/>
            <w:vAlign w:val="bottom"/>
            <w:tcBorders>
              <w:bottom w:val="single" w:sz="8" w:color="auto"/>
            </w:tcBorders>
          </w:tcPr>
          <w:p>
            <w:pPr>
              <w:spacing w:after="0"/>
              <w:rPr>
                <w:sz w:val="24"/>
                <w:szCs w:val="24"/>
                <w:color w:val="auto"/>
              </w:rPr>
            </w:pPr>
          </w:p>
        </w:tc>
        <w:tc>
          <w:tcPr>
            <w:tcW w:w="4920" w:type="dxa"/>
            <w:vAlign w:val="bottom"/>
            <w:gridSpan w:val="3"/>
          </w:tcPr>
          <w:p>
            <w:pPr>
              <w:jc w:val="center"/>
              <w:ind w:left="154"/>
              <w:spacing w:after="0"/>
              <w:rPr>
                <w:sz w:val="20"/>
                <w:szCs w:val="20"/>
                <w:color w:val="auto"/>
              </w:rPr>
            </w:pPr>
            <w:r>
              <w:rPr>
                <w:rFonts w:ascii="Arial" w:cs="Arial" w:eastAsia="Arial" w:hAnsi="Arial"/>
                <w:sz w:val="17"/>
                <w:szCs w:val="17"/>
                <w:color w:val="auto"/>
                <w:w w:val="92"/>
              </w:rPr>
              <w:t>Senior Vice President, Finance</w:t>
            </w:r>
          </w:p>
        </w:tc>
        <w:tc>
          <w:tcPr>
            <w:tcW w:w="1960" w:type="dxa"/>
            <w:vAlign w:val="bottom"/>
            <w:gridSpan w:val="3"/>
          </w:tcPr>
          <w:p>
            <w:pPr>
              <w:jc w:val="center"/>
              <w:ind w:left="755"/>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Rosabel R. Alinaya</w:t>
            </w:r>
          </w:p>
        </w:tc>
        <w:tc>
          <w:tcPr>
            <w:tcW w:w="1740" w:type="dxa"/>
            <w:vAlign w:val="bottom"/>
          </w:tcPr>
          <w:p>
            <w:pPr>
              <w:spacing w:after="0"/>
              <w:rPr>
                <w:sz w:val="18"/>
                <w:szCs w:val="18"/>
                <w:color w:val="auto"/>
              </w:rPr>
            </w:pPr>
          </w:p>
        </w:tc>
        <w:tc>
          <w:tcPr>
            <w:tcW w:w="4920" w:type="dxa"/>
            <w:vAlign w:val="bottom"/>
            <w:gridSpan w:val="3"/>
          </w:tcPr>
          <w:p>
            <w:pPr>
              <w:jc w:val="center"/>
              <w:ind w:left="154"/>
              <w:spacing w:after="0"/>
              <w:rPr>
                <w:sz w:val="20"/>
                <w:szCs w:val="20"/>
                <w:color w:val="auto"/>
              </w:rPr>
            </w:pPr>
            <w:r>
              <w:rPr>
                <w:rFonts w:ascii="Arial" w:cs="Arial" w:eastAsia="Arial" w:hAnsi="Arial"/>
                <w:sz w:val="17"/>
                <w:szCs w:val="17"/>
                <w:i w:val="1"/>
                <w:iCs w:val="1"/>
                <w:color w:val="auto"/>
                <w:w w:val="98"/>
              </w:rPr>
              <w:t>(Principal Accounting Officer)</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0"/>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Kent Kresa</w:t>
            </w:r>
          </w:p>
        </w:tc>
        <w:tc>
          <w:tcPr>
            <w:tcW w:w="1740" w:type="dxa"/>
            <w:vAlign w:val="bottom"/>
            <w:tcBorders>
              <w:bottom w:val="single" w:sz="8" w:color="auto"/>
            </w:tcBorders>
          </w:tcPr>
          <w:p>
            <w:pPr>
              <w:spacing w:after="0"/>
              <w:rPr>
                <w:sz w:val="24"/>
                <w:szCs w:val="24"/>
                <w:color w:val="auto"/>
              </w:rPr>
            </w:pPr>
          </w:p>
        </w:tc>
        <w:tc>
          <w:tcPr>
            <w:tcW w:w="4920" w:type="dxa"/>
            <w:vAlign w:val="bottom"/>
            <w:gridSpan w:val="3"/>
          </w:tcPr>
          <w:p>
            <w:pPr>
              <w:jc w:val="center"/>
              <w:ind w:left="154"/>
              <w:spacing w:after="0"/>
              <w:rPr>
                <w:sz w:val="20"/>
                <w:szCs w:val="20"/>
                <w:color w:val="auto"/>
              </w:rPr>
            </w:pPr>
            <w:r>
              <w:rPr>
                <w:rFonts w:ascii="Arial" w:cs="Arial" w:eastAsia="Arial" w:hAnsi="Arial"/>
                <w:sz w:val="17"/>
                <w:szCs w:val="17"/>
                <w:color w:val="auto"/>
                <w:w w:val="94"/>
              </w:rPr>
              <w:t>Chairman of the Board of Directors</w:t>
            </w:r>
          </w:p>
        </w:tc>
        <w:tc>
          <w:tcPr>
            <w:tcW w:w="1960" w:type="dxa"/>
            <w:vAlign w:val="bottom"/>
            <w:gridSpan w:val="3"/>
          </w:tcPr>
          <w:p>
            <w:pPr>
              <w:jc w:val="center"/>
              <w:ind w:left="755"/>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Kent Kresa</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0"/>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Ronald J. Consiglio</w:t>
            </w:r>
          </w:p>
        </w:tc>
        <w:tc>
          <w:tcPr>
            <w:tcW w:w="1740" w:type="dxa"/>
            <w:vAlign w:val="bottom"/>
            <w:tcBorders>
              <w:bottom w:val="single" w:sz="8" w:color="auto"/>
            </w:tcBorders>
          </w:tcPr>
          <w:p>
            <w:pPr>
              <w:spacing w:after="0"/>
              <w:rPr>
                <w:sz w:val="24"/>
                <w:szCs w:val="24"/>
                <w:color w:val="auto"/>
              </w:rPr>
            </w:pPr>
          </w:p>
        </w:tc>
        <w:tc>
          <w:tcPr>
            <w:tcW w:w="4920" w:type="dxa"/>
            <w:vAlign w:val="bottom"/>
            <w:gridSpan w:val="3"/>
          </w:tcPr>
          <w:p>
            <w:pPr>
              <w:jc w:val="center"/>
              <w:ind w:left="134"/>
              <w:spacing w:after="0"/>
              <w:rPr>
                <w:sz w:val="20"/>
                <w:szCs w:val="20"/>
                <w:color w:val="auto"/>
              </w:rPr>
            </w:pPr>
            <w:r>
              <w:rPr>
                <w:rFonts w:ascii="Arial" w:cs="Arial" w:eastAsia="Arial" w:hAnsi="Arial"/>
                <w:sz w:val="17"/>
                <w:szCs w:val="17"/>
                <w:color w:val="auto"/>
                <w:w w:val="97"/>
              </w:rPr>
              <w:t>Director</w:t>
            </w:r>
          </w:p>
        </w:tc>
        <w:tc>
          <w:tcPr>
            <w:tcW w:w="1960" w:type="dxa"/>
            <w:vAlign w:val="bottom"/>
            <w:gridSpan w:val="3"/>
          </w:tcPr>
          <w:p>
            <w:pPr>
              <w:jc w:val="center"/>
              <w:ind w:left="755"/>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Ronald J. Consiglio</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0"/>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Michael Friedman</w:t>
            </w:r>
          </w:p>
        </w:tc>
        <w:tc>
          <w:tcPr>
            <w:tcW w:w="1740" w:type="dxa"/>
            <w:vAlign w:val="bottom"/>
            <w:tcBorders>
              <w:bottom w:val="single" w:sz="8" w:color="auto"/>
            </w:tcBorders>
          </w:tcPr>
          <w:p>
            <w:pPr>
              <w:spacing w:after="0"/>
              <w:rPr>
                <w:sz w:val="24"/>
                <w:szCs w:val="24"/>
                <w:color w:val="auto"/>
              </w:rPr>
            </w:pPr>
          </w:p>
        </w:tc>
        <w:tc>
          <w:tcPr>
            <w:tcW w:w="4920" w:type="dxa"/>
            <w:vAlign w:val="bottom"/>
            <w:gridSpan w:val="3"/>
          </w:tcPr>
          <w:p>
            <w:pPr>
              <w:jc w:val="center"/>
              <w:ind w:left="134"/>
              <w:spacing w:after="0"/>
              <w:rPr>
                <w:sz w:val="20"/>
                <w:szCs w:val="20"/>
                <w:color w:val="auto"/>
              </w:rPr>
            </w:pPr>
            <w:r>
              <w:rPr>
                <w:rFonts w:ascii="Arial" w:cs="Arial" w:eastAsia="Arial" w:hAnsi="Arial"/>
                <w:sz w:val="17"/>
                <w:szCs w:val="17"/>
                <w:color w:val="auto"/>
                <w:w w:val="97"/>
              </w:rPr>
              <w:t>Director</w:t>
            </w:r>
          </w:p>
        </w:tc>
        <w:tc>
          <w:tcPr>
            <w:tcW w:w="1960" w:type="dxa"/>
            <w:vAlign w:val="bottom"/>
            <w:gridSpan w:val="3"/>
          </w:tcPr>
          <w:p>
            <w:pPr>
              <w:jc w:val="center"/>
              <w:ind w:left="755"/>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Michael Friedman, M.D.</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0"/>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David H. MacCallum</w:t>
            </w:r>
          </w:p>
        </w:tc>
        <w:tc>
          <w:tcPr>
            <w:tcW w:w="1740" w:type="dxa"/>
            <w:vAlign w:val="bottom"/>
            <w:tcBorders>
              <w:bottom w:val="single" w:sz="8" w:color="auto"/>
            </w:tcBorders>
          </w:tcPr>
          <w:p>
            <w:pPr>
              <w:spacing w:after="0"/>
              <w:rPr>
                <w:sz w:val="24"/>
                <w:szCs w:val="24"/>
                <w:color w:val="auto"/>
              </w:rPr>
            </w:pPr>
          </w:p>
        </w:tc>
        <w:tc>
          <w:tcPr>
            <w:tcW w:w="4920" w:type="dxa"/>
            <w:vAlign w:val="bottom"/>
            <w:gridSpan w:val="3"/>
          </w:tcPr>
          <w:p>
            <w:pPr>
              <w:jc w:val="center"/>
              <w:ind w:left="134"/>
              <w:spacing w:after="0"/>
              <w:rPr>
                <w:sz w:val="20"/>
                <w:szCs w:val="20"/>
                <w:color w:val="auto"/>
              </w:rPr>
            </w:pPr>
            <w:r>
              <w:rPr>
                <w:rFonts w:ascii="Arial" w:cs="Arial" w:eastAsia="Arial" w:hAnsi="Arial"/>
                <w:sz w:val="17"/>
                <w:szCs w:val="17"/>
                <w:color w:val="auto"/>
                <w:w w:val="97"/>
              </w:rPr>
              <w:t>Director</w:t>
            </w:r>
          </w:p>
        </w:tc>
        <w:tc>
          <w:tcPr>
            <w:tcW w:w="1960" w:type="dxa"/>
            <w:vAlign w:val="bottom"/>
            <w:gridSpan w:val="3"/>
          </w:tcPr>
          <w:p>
            <w:pPr>
              <w:jc w:val="center"/>
              <w:ind w:left="755"/>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David H. MacCallum</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54"/>
        </w:trPr>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gridSpan w:val="2"/>
          </w:tcPr>
          <w:p>
            <w:pPr>
              <w:jc w:val="right"/>
              <w:ind w:right="614"/>
              <w:spacing w:after="0"/>
              <w:rPr>
                <w:sz w:val="20"/>
                <w:szCs w:val="20"/>
                <w:color w:val="auto"/>
              </w:rPr>
            </w:pPr>
            <w:r>
              <w:rPr>
                <w:rFonts w:ascii="Arial" w:cs="Arial" w:eastAsia="Arial" w:hAnsi="Arial"/>
                <w:sz w:val="17"/>
                <w:szCs w:val="17"/>
                <w:color w:val="auto"/>
              </w:rPr>
              <w:t>77</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00"/>
          </w:cols>
          <w:pgMar w:left="240" w:top="449"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4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740" w:type="dxa"/>
            <w:vAlign w:val="bottom"/>
          </w:tcPr>
          <w:p>
            <w:pPr>
              <w:spacing w:after="0"/>
              <w:rPr>
                <w:sz w:val="15"/>
                <w:szCs w:val="15"/>
                <w:color w:val="auto"/>
              </w:rPr>
            </w:pPr>
          </w:p>
        </w:tc>
        <w:tc>
          <w:tcPr>
            <w:tcW w:w="432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w w:val="97"/>
              </w:rPr>
              <w:t>Title</w:t>
            </w:r>
          </w:p>
        </w:tc>
        <w:tc>
          <w:tcPr>
            <w:tcW w:w="2560" w:type="dxa"/>
            <w:vAlign w:val="bottom"/>
            <w:gridSpan w:val="3"/>
          </w:tcPr>
          <w:p>
            <w:pPr>
              <w:jc w:val="center"/>
              <w:ind w:left="1359"/>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9"/>
        </w:trPr>
        <w:tc>
          <w:tcPr>
            <w:tcW w:w="1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Henry L. Nordhoff</w:t>
            </w:r>
          </w:p>
        </w:tc>
        <w:tc>
          <w:tcPr>
            <w:tcW w:w="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739"/>
              <w:spacing w:after="0"/>
              <w:rPr>
                <w:sz w:val="20"/>
                <w:szCs w:val="20"/>
                <w:color w:val="auto"/>
              </w:rPr>
            </w:pPr>
            <w:r>
              <w:rPr>
                <w:rFonts w:ascii="Arial" w:cs="Arial" w:eastAsia="Arial" w:hAnsi="Arial"/>
                <w:sz w:val="17"/>
                <w:szCs w:val="17"/>
                <w:color w:val="auto"/>
                <w:w w:val="97"/>
              </w:rPr>
              <w:t>Director</w:t>
            </w:r>
          </w:p>
        </w:tc>
        <w:tc>
          <w:tcPr>
            <w:tcW w:w="2560" w:type="dxa"/>
            <w:vAlign w:val="bottom"/>
            <w:gridSpan w:val="3"/>
          </w:tcPr>
          <w:p>
            <w:pPr>
              <w:jc w:val="center"/>
              <w:ind w:left="1359"/>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Henry L. Nordhoff</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0"/>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James S. Shannon</w:t>
            </w:r>
          </w:p>
        </w:tc>
        <w:tc>
          <w:tcPr>
            <w:tcW w:w="1740" w:type="dxa"/>
            <w:vAlign w:val="bottom"/>
            <w:tcBorders>
              <w:bottom w:val="single" w:sz="8" w:color="auto"/>
            </w:tcBorders>
          </w:tcPr>
          <w:p>
            <w:pPr>
              <w:spacing w:after="0"/>
              <w:rPr>
                <w:sz w:val="24"/>
                <w:szCs w:val="24"/>
                <w:color w:val="auto"/>
              </w:rPr>
            </w:pPr>
          </w:p>
        </w:tc>
        <w:tc>
          <w:tcPr>
            <w:tcW w:w="4320" w:type="dxa"/>
            <w:vAlign w:val="bottom"/>
            <w:gridSpan w:val="3"/>
          </w:tcPr>
          <w:p>
            <w:pPr>
              <w:jc w:val="center"/>
              <w:ind w:left="739"/>
              <w:spacing w:after="0"/>
              <w:rPr>
                <w:sz w:val="20"/>
                <w:szCs w:val="20"/>
                <w:color w:val="auto"/>
              </w:rPr>
            </w:pPr>
            <w:r>
              <w:rPr>
                <w:rFonts w:ascii="Arial" w:cs="Arial" w:eastAsia="Arial" w:hAnsi="Arial"/>
                <w:sz w:val="17"/>
                <w:szCs w:val="17"/>
                <w:color w:val="auto"/>
                <w:w w:val="97"/>
              </w:rPr>
              <w:t>Director</w:t>
            </w:r>
          </w:p>
        </w:tc>
        <w:tc>
          <w:tcPr>
            <w:tcW w:w="2560" w:type="dxa"/>
            <w:vAlign w:val="bottom"/>
            <w:gridSpan w:val="3"/>
          </w:tcPr>
          <w:p>
            <w:pPr>
              <w:jc w:val="center"/>
              <w:ind w:left="1359"/>
              <w:spacing w:after="0"/>
              <w:rPr>
                <w:sz w:val="20"/>
                <w:szCs w:val="20"/>
                <w:color w:val="auto"/>
              </w:rPr>
            </w:pPr>
            <w:r>
              <w:rPr>
                <w:rFonts w:ascii="Arial" w:cs="Arial" w:eastAsia="Arial" w:hAnsi="Arial"/>
                <w:sz w:val="17"/>
                <w:szCs w:val="17"/>
                <w:color w:val="auto"/>
                <w:w w:val="94"/>
              </w:rPr>
              <w:t>March 16, 2017</w:t>
            </w:r>
          </w:p>
        </w:tc>
      </w:tr>
      <w:tr>
        <w:trPr>
          <w:trHeight w:val="215"/>
        </w:trPr>
        <w:tc>
          <w:tcPr>
            <w:tcW w:w="2320" w:type="dxa"/>
            <w:vAlign w:val="bottom"/>
            <w:gridSpan w:val="2"/>
          </w:tcPr>
          <w:p>
            <w:pPr>
              <w:spacing w:after="0"/>
              <w:rPr>
                <w:sz w:val="20"/>
                <w:szCs w:val="20"/>
                <w:color w:val="auto"/>
              </w:rPr>
            </w:pPr>
            <w:r>
              <w:rPr>
                <w:rFonts w:ascii="Arial" w:cs="Arial" w:eastAsia="Arial" w:hAnsi="Arial"/>
                <w:sz w:val="17"/>
                <w:szCs w:val="17"/>
                <w:color w:val="auto"/>
              </w:rPr>
              <w:t>James S. Shannon</w:t>
            </w:r>
          </w:p>
        </w:tc>
        <w:tc>
          <w:tcPr>
            <w:tcW w:w="1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54"/>
        </w:trPr>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gridSpan w:val="2"/>
          </w:tcPr>
          <w:p>
            <w:pPr>
              <w:jc w:val="right"/>
              <w:ind w:right="619"/>
              <w:spacing w:after="0"/>
              <w:rPr>
                <w:sz w:val="20"/>
                <w:szCs w:val="20"/>
                <w:color w:val="auto"/>
              </w:rPr>
            </w:pPr>
            <w:r>
              <w:rPr>
                <w:rFonts w:ascii="Arial" w:cs="Arial" w:eastAsia="Arial" w:hAnsi="Arial"/>
                <w:sz w:val="17"/>
                <w:szCs w:val="17"/>
                <w:color w:val="auto"/>
              </w:rPr>
              <w:t>78</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40"/>
          </w:cols>
          <w:pgMar w:left="240" w:top="449" w:right="719" w:bottom="1440" w:gutter="0" w:footer="0" w:header="0"/>
        </w:sectPr>
      </w:pPr>
    </w:p>
    <w:bookmarkStart w:id="80" w:name="page81"/>
    <w:bookmarkEnd w:id="8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9460" w:type="dxa"/>
            <w:vAlign w:val="bottom"/>
            <w:gridSpan w:val="9"/>
          </w:tcPr>
          <w:p>
            <w:pPr>
              <w:spacing w:after="0"/>
              <w:rPr>
                <w:rFonts w:ascii="Arial" w:cs="Arial" w:eastAsia="Arial" w:hAnsi="Arial"/>
                <w:sz w:val="17"/>
                <w:szCs w:val="17"/>
                <w:b w:val="1"/>
                <w:bCs w:val="1"/>
                <w:color w:val="0000EE"/>
              </w:rPr>
            </w:pPr>
            <w:hyperlink w:anchor="page2">
              <w:r>
                <w:rPr>
                  <w:rFonts w:ascii="Arial" w:cs="Arial" w:eastAsia="Arial" w:hAnsi="Arial"/>
                  <w:sz w:val="17"/>
                  <w:szCs w:val="17"/>
                  <w:b w:val="1"/>
                  <w:bCs w:val="1"/>
                  <w:color w:val="0000EE"/>
                </w:rPr>
                <w:t>Table of Contents</w:t>
              </w:r>
            </w:hyperlink>
          </w:p>
        </w:tc>
        <w:tc>
          <w:tcPr>
            <w:tcW w:w="1920" w:type="dxa"/>
            <w:vAlign w:val="bottom"/>
          </w:tcPr>
          <w:p>
            <w:pPr>
              <w:spacing w:after="0"/>
              <w:rPr>
                <w:sz w:val="16"/>
                <w:szCs w:val="16"/>
                <w:color w:val="auto"/>
              </w:rPr>
            </w:pPr>
          </w:p>
        </w:tc>
      </w:tr>
      <w:tr>
        <w:trPr>
          <w:trHeight w:val="516"/>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gridSpan w:val="3"/>
          </w:tcPr>
          <w:p>
            <w:pPr>
              <w:jc w:val="center"/>
              <w:ind w:right="1413"/>
              <w:spacing w:after="0"/>
              <w:rPr>
                <w:sz w:val="20"/>
                <w:szCs w:val="20"/>
                <w:color w:val="auto"/>
              </w:rPr>
            </w:pPr>
            <w:r>
              <w:rPr>
                <w:rFonts w:ascii="Arial" w:cs="Arial" w:eastAsia="Arial" w:hAnsi="Arial"/>
                <w:sz w:val="17"/>
                <w:szCs w:val="17"/>
                <w:b w:val="1"/>
                <w:bCs w:val="1"/>
                <w:color w:val="auto"/>
              </w:rPr>
              <w:t>MANNKIND CORPORATION AND SUBSIDIARIES</w:t>
            </w:r>
          </w:p>
        </w:tc>
        <w:tc>
          <w:tcPr>
            <w:tcW w:w="1920" w:type="dxa"/>
            <w:vAlign w:val="bottom"/>
          </w:tcPr>
          <w:p>
            <w:pPr>
              <w:spacing w:after="0"/>
              <w:rPr>
                <w:sz w:val="24"/>
                <w:szCs w:val="24"/>
                <w:color w:val="auto"/>
              </w:rPr>
            </w:pPr>
          </w:p>
        </w:tc>
      </w:tr>
      <w:tr>
        <w:trPr>
          <w:trHeight w:val="31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tcPr>
          <w:p>
            <w:pPr>
              <w:jc w:val="center"/>
              <w:ind w:right="2073"/>
              <w:spacing w:after="0"/>
              <w:rPr>
                <w:sz w:val="20"/>
                <w:szCs w:val="20"/>
                <w:color w:val="auto"/>
              </w:rPr>
            </w:pPr>
            <w:r>
              <w:rPr>
                <w:rFonts w:ascii="Arial" w:cs="Arial" w:eastAsia="Arial" w:hAnsi="Arial"/>
                <w:sz w:val="17"/>
                <w:szCs w:val="17"/>
                <w:b w:val="1"/>
                <w:bCs w:val="1"/>
                <w:color w:val="auto"/>
              </w:rPr>
              <w:t>INDEX TO FINANCIAL STATEMENTS</w:t>
            </w:r>
          </w:p>
        </w:tc>
        <w:tc>
          <w:tcPr>
            <w:tcW w:w="1920" w:type="dxa"/>
            <w:vAlign w:val="bottom"/>
          </w:tcPr>
          <w:p>
            <w:pPr>
              <w:spacing w:after="0"/>
              <w:rPr>
                <w:sz w:val="24"/>
                <w:szCs w:val="24"/>
                <w:color w:val="auto"/>
              </w:rPr>
            </w:pPr>
          </w:p>
        </w:tc>
      </w:tr>
      <w:tr>
        <w:trPr>
          <w:trHeight w:val="406"/>
        </w:trPr>
        <w:tc>
          <w:tcPr>
            <w:tcW w:w="410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82">
              <w:r>
                <w:rPr>
                  <w:rFonts w:ascii="Arial" w:cs="Arial" w:eastAsia="Arial" w:hAnsi="Arial"/>
                  <w:sz w:val="17"/>
                  <w:szCs w:val="17"/>
                  <w:color w:val="0000EE"/>
                  <w:w w:val="93"/>
                </w:rPr>
                <w:t>Report of Independent Registered Public Accounting Firm</w:t>
              </w:r>
            </w:hyperlink>
          </w:p>
        </w:tc>
        <w:tc>
          <w:tcPr>
            <w:tcW w:w="536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190"/>
        </w:trPr>
        <w:tc>
          <w:tcPr>
            <w:tcW w:w="2040" w:type="dxa"/>
            <w:vAlign w:val="bottom"/>
            <w:tcBorders>
              <w:bottom w:val="single" w:sz="8" w:color="0000EE"/>
            </w:tcBorders>
            <w:gridSpan w:val="2"/>
          </w:tcPr>
          <w:p>
            <w:pPr>
              <w:spacing w:after="0" w:line="189" w:lineRule="exact"/>
              <w:rPr>
                <w:rFonts w:ascii="Arial" w:cs="Arial" w:eastAsia="Arial" w:hAnsi="Arial"/>
                <w:sz w:val="17"/>
                <w:szCs w:val="17"/>
                <w:color w:val="0000EE"/>
                <w:w w:val="90"/>
              </w:rPr>
            </w:pPr>
            <w:hyperlink w:anchor="page83">
              <w:r>
                <w:rPr>
                  <w:rFonts w:ascii="Arial" w:cs="Arial" w:eastAsia="Arial" w:hAnsi="Arial"/>
                  <w:sz w:val="17"/>
                  <w:szCs w:val="17"/>
                  <w:color w:val="0000EE"/>
                  <w:w w:val="90"/>
                </w:rPr>
                <w:t>Consolidated Balance Sheets</w:t>
              </w:r>
            </w:hyperlink>
          </w:p>
        </w:tc>
        <w:tc>
          <w:tcPr>
            <w:tcW w:w="7420" w:type="dxa"/>
            <w:vAlign w:val="bottom"/>
            <w:gridSpan w:val="7"/>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82</w:t>
            </w:r>
          </w:p>
        </w:tc>
      </w:tr>
      <w:tr>
        <w:trPr>
          <w:trHeight w:val="190"/>
        </w:trPr>
        <w:tc>
          <w:tcPr>
            <w:tcW w:w="2740" w:type="dxa"/>
            <w:vAlign w:val="bottom"/>
            <w:tcBorders>
              <w:bottom w:val="single" w:sz="8" w:color="0000EE"/>
            </w:tcBorders>
            <w:gridSpan w:val="3"/>
          </w:tcPr>
          <w:p>
            <w:pPr>
              <w:spacing w:after="0" w:line="189" w:lineRule="exact"/>
              <w:rPr>
                <w:rFonts w:ascii="Arial" w:cs="Arial" w:eastAsia="Arial" w:hAnsi="Arial"/>
                <w:sz w:val="17"/>
                <w:szCs w:val="17"/>
                <w:color w:val="0000EE"/>
                <w:w w:val="91"/>
              </w:rPr>
            </w:pPr>
            <w:hyperlink w:anchor="page84">
              <w:r>
                <w:rPr>
                  <w:rFonts w:ascii="Arial" w:cs="Arial" w:eastAsia="Arial" w:hAnsi="Arial"/>
                  <w:sz w:val="17"/>
                  <w:szCs w:val="17"/>
                  <w:color w:val="0000EE"/>
                  <w:w w:val="91"/>
                </w:rPr>
                <w:t>Consolidated Statements of Operations</w:t>
              </w:r>
            </w:hyperlink>
          </w:p>
        </w:tc>
        <w:tc>
          <w:tcPr>
            <w:tcW w:w="6720" w:type="dxa"/>
            <w:vAlign w:val="bottom"/>
            <w:gridSpan w:val="6"/>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83</w:t>
            </w:r>
          </w:p>
        </w:tc>
      </w:tr>
      <w:tr>
        <w:trPr>
          <w:trHeight w:val="190"/>
        </w:trPr>
        <w:tc>
          <w:tcPr>
            <w:tcW w:w="412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w:anchor="page85">
              <w:r>
                <w:rPr>
                  <w:rFonts w:ascii="Arial" w:cs="Arial" w:eastAsia="Arial" w:hAnsi="Arial"/>
                  <w:sz w:val="17"/>
                  <w:szCs w:val="17"/>
                  <w:color w:val="0000EE"/>
                  <w:w w:val="92"/>
                </w:rPr>
                <w:t>Consolidated Statements of Comprehensive Income (Loss)</w:t>
              </w:r>
            </w:hyperlink>
          </w:p>
        </w:tc>
        <w:tc>
          <w:tcPr>
            <w:tcW w:w="534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84</w:t>
            </w:r>
          </w:p>
        </w:tc>
      </w:tr>
      <w:tr>
        <w:trPr>
          <w:trHeight w:val="190"/>
        </w:trPr>
        <w:tc>
          <w:tcPr>
            <w:tcW w:w="9460" w:type="dxa"/>
            <w:vAlign w:val="bottom"/>
            <w:gridSpan w:val="9"/>
          </w:tcPr>
          <w:p>
            <w:pPr>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Consolidated Statements of Stockholders’ Deficit</w:t>
              </w:r>
            </w:hyperlink>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85</w:t>
            </w:r>
          </w:p>
        </w:tc>
      </w:tr>
      <w:tr>
        <w:trPr>
          <w:trHeight w:val="190"/>
        </w:trPr>
        <w:tc>
          <w:tcPr>
            <w:tcW w:w="3460" w:type="dxa"/>
            <w:vAlign w:val="bottom"/>
            <w:tcBorders>
              <w:top w:val="single" w:sz="8" w:color="0000EE"/>
            </w:tcBorders>
            <w:gridSpan w:val="6"/>
          </w:tcPr>
          <w:p>
            <w:pPr>
              <w:spacing w:after="0" w:line="189" w:lineRule="exact"/>
              <w:rPr>
                <w:rFonts w:ascii="Arial" w:cs="Arial" w:eastAsia="Arial" w:hAnsi="Arial"/>
                <w:sz w:val="17"/>
                <w:szCs w:val="17"/>
                <w:color w:val="0000EE"/>
              </w:rPr>
            </w:pPr>
            <w:hyperlink w:anchor="page87">
              <w:r>
                <w:rPr>
                  <w:rFonts w:ascii="Arial" w:cs="Arial" w:eastAsia="Arial" w:hAnsi="Arial"/>
                  <w:sz w:val="17"/>
                  <w:szCs w:val="17"/>
                  <w:color w:val="0000EE"/>
                </w:rPr>
                <w:t>Consolidated Statements of Cash Flows</w:t>
              </w:r>
            </w:hyperlink>
          </w:p>
        </w:tc>
        <w:tc>
          <w:tcPr>
            <w:tcW w:w="6000" w:type="dxa"/>
            <w:vAlign w:val="bottom"/>
            <w:gridSpan w:val="3"/>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86</w:t>
            </w:r>
          </w:p>
        </w:tc>
      </w:tr>
      <w:tr>
        <w:trPr>
          <w:trHeight w:val="20"/>
        </w:trPr>
        <w:tc>
          <w:tcPr>
            <w:tcW w:w="27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0"/>
        </w:trPr>
        <w:tc>
          <w:tcPr>
            <w:tcW w:w="306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89">
              <w:r>
                <w:rPr>
                  <w:rFonts w:ascii="Arial" w:cs="Arial" w:eastAsia="Arial" w:hAnsi="Arial"/>
                  <w:sz w:val="17"/>
                  <w:szCs w:val="17"/>
                  <w:color w:val="0000EE"/>
                  <w:w w:val="91"/>
                </w:rPr>
                <w:t>Notes to Consolidated Financial Statements</w:t>
              </w:r>
            </w:hyperlink>
          </w:p>
        </w:tc>
        <w:tc>
          <w:tcPr>
            <w:tcW w:w="6400" w:type="dxa"/>
            <w:vAlign w:val="bottom"/>
            <w:gridSpan w:val="4"/>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7"/>
                <w:szCs w:val="17"/>
                <w:color w:val="auto"/>
              </w:rPr>
              <w:t>88</w:t>
            </w:r>
          </w:p>
        </w:tc>
      </w:tr>
      <w:tr>
        <w:trPr>
          <w:trHeight w:val="372"/>
        </w:trPr>
        <w:tc>
          <w:tcPr>
            <w:tcW w:w="9460" w:type="dxa"/>
            <w:vAlign w:val="bottom"/>
            <w:gridSpan w:val="9"/>
          </w:tcPr>
          <w:p>
            <w:pPr>
              <w:jc w:val="center"/>
              <w:ind w:left="1873"/>
              <w:spacing w:after="0"/>
              <w:rPr>
                <w:sz w:val="20"/>
                <w:szCs w:val="20"/>
                <w:color w:val="auto"/>
              </w:rPr>
            </w:pPr>
            <w:r>
              <w:rPr>
                <w:rFonts w:ascii="Arial" w:cs="Arial" w:eastAsia="Arial" w:hAnsi="Arial"/>
                <w:sz w:val="17"/>
                <w:szCs w:val="17"/>
                <w:color w:val="auto"/>
                <w:w w:val="94"/>
              </w:rPr>
              <w:t>79</w:t>
            </w:r>
          </w:p>
        </w:tc>
        <w:tc>
          <w:tcPr>
            <w:tcW w:w="1920" w:type="dxa"/>
            <w:vAlign w:val="bottom"/>
          </w:tcPr>
          <w:p>
            <w:pPr>
              <w:spacing w:after="0"/>
              <w:rPr>
                <w:sz w:val="24"/>
                <w:szCs w:val="24"/>
                <w:color w:val="auto"/>
              </w:rPr>
            </w:pPr>
          </w:p>
        </w:tc>
      </w:tr>
    </w:tbl>
    <w:p>
      <w:pPr>
        <w:sectPr>
          <w:pgSz w:w="11900" w:h="16838" w:orient="portrait"/>
          <w:cols w:equalWidth="0" w:num="1">
            <w:col w:w="11380"/>
          </w:cols>
          <w:pgMar w:left="240" w:top="442" w:right="2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MannKind Corporation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Valencia, California</w:t>
      </w:r>
    </w:p>
    <w:p>
      <w:pPr>
        <w:spacing w:after="0" w:line="212"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color w:val="auto"/>
        </w:rPr>
        <w:t>We have audited the accompanying consolidated balance sheets of MannKind Corporation and subsidiaries (the “Company”) as of December 31, 2016 and 2015 and the related consolidated statements of operations, comprehensive income (loss), stockholders’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7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820" w:firstLine="457"/>
        <w:spacing w:after="0" w:line="297"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MannKind Corporation and subsidiaries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5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consolidated financial statements, the Company’s available cash resources and continuing cash needs raise substantial doubt about its ability to continue as a going concern. Management’s plans concerning these matters are also described in Note 1 to the consolidated financial statements. The consolidated financial statements do not include any adjustments that might result from the outcome of these uncertainties.</w:t>
      </w:r>
    </w:p>
    <w:p>
      <w:pPr>
        <w:spacing w:after="0" w:line="178"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As discussed in Note 1 to the consolidated financial statements, on March 1, 2017, the Company approved a reverse stock split with a ratio of 1-for-5. As a result, common stock share amounts included in these consolidated financial statements have been retrospectively adjusted.</w:t>
      </w:r>
    </w:p>
    <w:p>
      <w:pPr>
        <w:spacing w:after="0" w:line="15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March 16, 2017 expressed an unqualified opinion on the Company’s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Stamford, Connecticut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16, 2017</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49" w:right="2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522"/>
              <w:spacing w:after="0"/>
              <w:rPr>
                <w:sz w:val="20"/>
                <w:szCs w:val="20"/>
                <w:color w:val="auto"/>
              </w:rPr>
            </w:pPr>
            <w:r>
              <w:rPr>
                <w:rFonts w:ascii="Arial" w:cs="Arial" w:eastAsia="Arial" w:hAnsi="Arial"/>
                <w:sz w:val="14"/>
                <w:szCs w:val="14"/>
                <w:color w:val="auto"/>
                <w:w w:val="88"/>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9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62"/>
              <w:spacing w:after="0" w:line="137" w:lineRule="exact"/>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2"/>
              <w:spacing w:after="0" w:line="137"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9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100" w:type="dxa"/>
            <w:vAlign w:val="bottom"/>
            <w:gridSpan w:val="5"/>
          </w:tcPr>
          <w:p>
            <w:pPr>
              <w:jc w:val="center"/>
              <w:ind w:right="2"/>
              <w:spacing w:after="0" w:line="115" w:lineRule="exact"/>
              <w:rPr>
                <w:sz w:val="20"/>
                <w:szCs w:val="20"/>
                <w:color w:val="auto"/>
              </w:rPr>
            </w:pPr>
            <w:r>
              <w:rPr>
                <w:rFonts w:ascii="Arial" w:cs="Arial" w:eastAsia="Arial" w:hAnsi="Arial"/>
                <w:sz w:val="13"/>
                <w:szCs w:val="13"/>
                <w:b w:val="1"/>
                <w:bCs w:val="1"/>
                <w:color w:val="auto"/>
                <w:w w:val="94"/>
              </w:rPr>
              <w:t>(In thousands, except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9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gridSpan w:val="4"/>
          </w:tcPr>
          <w:p>
            <w:pPr>
              <w:jc w:val="center"/>
              <w:ind w:left="522"/>
              <w:spacing w:after="0"/>
              <w:rPr>
                <w:sz w:val="20"/>
                <w:szCs w:val="20"/>
                <w:color w:val="auto"/>
              </w:rPr>
            </w:pPr>
            <w:r>
              <w:rPr>
                <w:rFonts w:ascii="Arial" w:cs="Arial" w:eastAsia="Arial" w:hAnsi="Arial"/>
                <w:sz w:val="14"/>
                <w:szCs w:val="14"/>
                <w:b w:val="1"/>
                <w:bCs w:val="1"/>
                <w:color w:val="auto"/>
                <w:w w:val="88"/>
              </w:rPr>
              <w:t>share data)</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4020"/>
              <w:spacing w:after="0"/>
              <w:rPr>
                <w:sz w:val="20"/>
                <w:szCs w:val="20"/>
                <w:color w:val="auto"/>
              </w:rPr>
            </w:pPr>
            <w:r>
              <w:rPr>
                <w:rFonts w:ascii="Arial" w:cs="Arial" w:eastAsia="Arial" w:hAnsi="Arial"/>
                <w:sz w:val="16"/>
                <w:szCs w:val="16"/>
                <w:b w:val="1"/>
                <w:bCs w:val="1"/>
                <w:color w:val="auto"/>
              </w:rPr>
              <w:t>ASSETS</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tcPr>
          <w:p>
            <w:pPr>
              <w:spacing w:after="0"/>
              <w:rPr>
                <w:sz w:val="20"/>
                <w:szCs w:val="20"/>
                <w:color w:val="auto"/>
              </w:rPr>
            </w:pPr>
            <w:r>
              <w:rPr>
                <w:rFonts w:ascii="Arial" w:cs="Arial" w:eastAsia="Arial" w:hAnsi="Arial"/>
                <w:sz w:val="16"/>
                <w:szCs w:val="16"/>
                <w:color w:val="auto"/>
              </w:rPr>
              <w:t>Current assets:</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22,895</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59,074</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302</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Receivable from Sanofi</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Inventory</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2,331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Asset held for sale</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Deferred costs from commercial product sales</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costs from collaboration</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13,539</w:t>
            </w:r>
          </w:p>
        </w:tc>
        <w:tc>
          <w:tcPr>
            <w:tcW w:w="0" w:type="dxa"/>
            <w:vAlign w:val="bottom"/>
          </w:tcPr>
          <w:p>
            <w:pPr>
              <w:spacing w:after="0"/>
              <w:rPr>
                <w:sz w:val="1"/>
                <w:szCs w:val="1"/>
                <w:color w:val="auto"/>
              </w:rPr>
            </w:pPr>
          </w:p>
        </w:tc>
      </w:tr>
      <w:tr>
        <w:trPr>
          <w:trHeight w:val="203"/>
        </w:trPr>
        <w:tc>
          <w:tcPr>
            <w:tcW w:w="918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76,654</w:t>
            </w:r>
          </w:p>
        </w:tc>
        <w:tc>
          <w:tcPr>
            <w:tcW w:w="0" w:type="dxa"/>
            <w:vAlign w:val="bottom"/>
          </w:tcPr>
          <w:p>
            <w:pPr>
              <w:spacing w:after="0"/>
              <w:rPr>
                <w:sz w:val="1"/>
                <w:szCs w:val="1"/>
                <w:color w:val="auto"/>
              </w:rPr>
            </w:pPr>
          </w:p>
        </w:tc>
      </w:tr>
      <w:tr>
        <w:trPr>
          <w:trHeight w:val="298"/>
        </w:trPr>
        <w:tc>
          <w:tcPr>
            <w:tcW w:w="918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28,927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48,749</w:t>
            </w:r>
          </w:p>
        </w:tc>
        <w:tc>
          <w:tcPr>
            <w:tcW w:w="0" w:type="dxa"/>
            <w:vAlign w:val="bottom"/>
          </w:tcPr>
          <w:p>
            <w:pPr>
              <w:spacing w:after="0"/>
              <w:rPr>
                <w:sz w:val="1"/>
                <w:szCs w:val="1"/>
                <w:color w:val="auto"/>
              </w:rPr>
            </w:pPr>
          </w:p>
        </w:tc>
      </w:tr>
      <w:tr>
        <w:trPr>
          <w:trHeight w:val="200"/>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80" w:type="dxa"/>
            <w:vAlign w:val="bottom"/>
          </w:tcPr>
          <w:p>
            <w:pPr>
              <w:ind w:left="940"/>
              <w:spacing w:after="0"/>
              <w:rPr>
                <w:sz w:val="20"/>
                <w:szCs w:val="20"/>
                <w:color w:val="auto"/>
              </w:rPr>
            </w:pPr>
            <w:r>
              <w:rPr>
                <w:rFonts w:ascii="Arial" w:cs="Arial" w:eastAsia="Arial" w:hAnsi="Arial"/>
                <w:sz w:val="16"/>
                <w:szCs w:val="16"/>
                <w:color w:val="auto"/>
              </w:rPr>
              <w:t>Total assets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107,063</w:t>
            </w:r>
          </w:p>
        </w:tc>
        <w:tc>
          <w:tcPr>
            <w:tcW w:w="34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126,412</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180" w:type="dxa"/>
            <w:vAlign w:val="bottom"/>
            <w:shd w:val="clear" w:color="auto" w:fill="CCEEFF"/>
          </w:tcPr>
          <w:p>
            <w:pPr>
              <w:ind w:left="2580"/>
              <w:spacing w:after="0"/>
              <w:rPr>
                <w:sz w:val="20"/>
                <w:szCs w:val="20"/>
                <w:color w:val="auto"/>
              </w:rPr>
            </w:pPr>
            <w:r>
              <w:rPr>
                <w:rFonts w:ascii="Arial" w:cs="Arial" w:eastAsia="Arial" w:hAnsi="Arial"/>
                <w:sz w:val="16"/>
                <w:szCs w:val="16"/>
                <w:b w:val="1"/>
                <w:bCs w:val="1"/>
                <w:color w:val="auto"/>
              </w:rPr>
              <w:t>LIABILITIES AND STOCKHOLDERS’ DEFICIT</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80" w:type="dxa"/>
            <w:vAlign w:val="bottom"/>
          </w:tcPr>
          <w:p>
            <w:pPr>
              <w:spacing w:after="0"/>
              <w:rPr>
                <w:sz w:val="20"/>
                <w:szCs w:val="20"/>
                <w:color w:val="auto"/>
              </w:rPr>
            </w:pPr>
            <w:r>
              <w:rPr>
                <w:rFonts w:ascii="Arial" w:cs="Arial" w:eastAsia="Arial" w:hAnsi="Arial"/>
                <w:sz w:val="16"/>
                <w:szCs w:val="16"/>
                <w:color w:val="auto"/>
              </w:rPr>
              <w:t>Current liabilities:</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15,599</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Accrued expenses and other current liabilities</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7,937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7,929</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Facility financing obligation</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74,582</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Deferred revenue — net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3,419</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payments from collaboration</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140,231</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Deferred sales from collaboration</w:t>
            </w:r>
          </w:p>
        </w:tc>
        <w:tc>
          <w:tcPr>
            <w:tcW w:w="6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17,503</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Recognized loss on purchase commitments — current</w:t>
            </w:r>
          </w:p>
        </w:tc>
        <w:tc>
          <w:tcPr>
            <w:tcW w:w="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180" w:type="dxa"/>
            <w:vAlign w:val="bottom"/>
          </w:tcPr>
          <w:p>
            <w:pPr>
              <w:ind w:left="640"/>
              <w:spacing w:after="0"/>
              <w:rPr>
                <w:sz w:val="20"/>
                <w:szCs w:val="20"/>
                <w:color w:val="auto"/>
              </w:rPr>
            </w:pPr>
            <w:r>
              <w:rPr>
                <w:rFonts w:ascii="Arial" w:cs="Arial" w:eastAsia="Arial" w:hAnsi="Arial"/>
                <w:sz w:val="16"/>
                <w:szCs w:val="16"/>
                <w:color w:val="auto"/>
              </w:rPr>
              <w:t>Total current liabilities</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92,051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268,319</w:t>
            </w:r>
          </w:p>
        </w:tc>
        <w:tc>
          <w:tcPr>
            <w:tcW w:w="0" w:type="dxa"/>
            <w:vAlign w:val="bottom"/>
          </w:tcPr>
          <w:p>
            <w:pPr>
              <w:spacing w:after="0"/>
              <w:rPr>
                <w:sz w:val="1"/>
                <w:szCs w:val="1"/>
                <w:color w:val="auto"/>
              </w:rPr>
            </w:pPr>
          </w:p>
        </w:tc>
      </w:tr>
      <w:tr>
        <w:trPr>
          <w:trHeight w:val="111"/>
        </w:trPr>
        <w:tc>
          <w:tcPr>
            <w:tcW w:w="9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Note payable to principal stockholder</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49,521</w:t>
            </w:r>
          </w:p>
        </w:tc>
        <w:tc>
          <w:tcPr>
            <w:tcW w:w="0" w:type="dxa"/>
            <w:vAlign w:val="bottom"/>
          </w:tcPr>
          <w:p>
            <w:pPr>
              <w:spacing w:after="0"/>
              <w:rPr>
                <w:sz w:val="1"/>
                <w:szCs w:val="1"/>
                <w:color w:val="auto"/>
              </w:rPr>
            </w:pPr>
          </w:p>
        </w:tc>
      </w:tr>
      <w:tr>
        <w:trPr>
          <w:trHeight w:val="196"/>
        </w:trPr>
        <w:tc>
          <w:tcPr>
            <w:tcW w:w="9180" w:type="dxa"/>
            <w:vAlign w:val="bottom"/>
          </w:tcPr>
          <w:p>
            <w:pPr>
              <w:spacing w:after="0"/>
              <w:rPr>
                <w:sz w:val="20"/>
                <w:szCs w:val="20"/>
                <w:color w:val="auto"/>
              </w:rPr>
            </w:pPr>
            <w:r>
              <w:rPr>
                <w:rFonts w:ascii="Arial" w:cs="Arial" w:eastAsia="Arial" w:hAnsi="Arial"/>
                <w:sz w:val="16"/>
                <w:szCs w:val="16"/>
                <w:color w:val="auto"/>
              </w:rPr>
              <w:t>Accrued interest — note payable to principal stockholder</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9,281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6,380</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Senior convertible notes</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27,613</w:t>
            </w:r>
          </w:p>
        </w:tc>
        <w:tc>
          <w:tcPr>
            <w:tcW w:w="0" w:type="dxa"/>
            <w:vAlign w:val="bottom"/>
          </w:tcPr>
          <w:p>
            <w:pPr>
              <w:spacing w:after="0"/>
              <w:rPr>
                <w:sz w:val="1"/>
                <w:szCs w:val="1"/>
                <w:color w:val="auto"/>
              </w:rPr>
            </w:pPr>
          </w:p>
        </w:tc>
      </w:tr>
      <w:tr>
        <w:trPr>
          <w:trHeight w:val="196"/>
        </w:trPr>
        <w:tc>
          <w:tcPr>
            <w:tcW w:w="9180" w:type="dxa"/>
            <w:vAlign w:val="bottom"/>
          </w:tcPr>
          <w:p>
            <w:pPr>
              <w:spacing w:after="0"/>
              <w:rPr>
                <w:sz w:val="20"/>
                <w:szCs w:val="20"/>
                <w:color w:val="auto"/>
              </w:rPr>
            </w:pPr>
            <w:r>
              <w:rPr>
                <w:rFonts w:ascii="Arial" w:cs="Arial" w:eastAsia="Arial" w:hAnsi="Arial"/>
                <w:sz w:val="16"/>
                <w:szCs w:val="16"/>
                <w:color w:val="auto"/>
              </w:rPr>
              <w:t>Sanofi loan facility and loss share obligation</w:t>
            </w:r>
          </w:p>
        </w:tc>
        <w:tc>
          <w:tcPr>
            <w:tcW w:w="6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62,371</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Recognized loss on purchase commitments — long term</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53,692</w:t>
            </w:r>
          </w:p>
        </w:tc>
        <w:tc>
          <w:tcPr>
            <w:tcW w:w="0" w:type="dxa"/>
            <w:vAlign w:val="bottom"/>
          </w:tcPr>
          <w:p>
            <w:pPr>
              <w:spacing w:after="0"/>
              <w:rPr>
                <w:sz w:val="1"/>
                <w:szCs w:val="1"/>
                <w:color w:val="auto"/>
              </w:rPr>
            </w:pPr>
          </w:p>
        </w:tc>
      </w:tr>
      <w:tr>
        <w:trPr>
          <w:trHeight w:val="196"/>
        </w:trPr>
        <w:tc>
          <w:tcPr>
            <w:tcW w:w="9180" w:type="dxa"/>
            <w:vAlign w:val="bottom"/>
          </w:tcPr>
          <w:p>
            <w:pPr>
              <w:spacing w:after="0"/>
              <w:rPr>
                <w:sz w:val="20"/>
                <w:szCs w:val="20"/>
                <w:color w:val="auto"/>
              </w:rPr>
            </w:pPr>
            <w:r>
              <w:rPr>
                <w:rFonts w:ascii="Arial" w:cs="Arial" w:eastAsia="Arial" w:hAnsi="Arial"/>
                <w:sz w:val="16"/>
                <w:szCs w:val="16"/>
                <w:color w:val="auto"/>
              </w:rPr>
              <w:t>Warrant liability</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7,381</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Milestone rights liability and other liabilities</w:t>
            </w:r>
          </w:p>
        </w:tc>
        <w:tc>
          <w:tcPr>
            <w:tcW w:w="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180" w:type="dxa"/>
            <w:vAlign w:val="bottom"/>
          </w:tcPr>
          <w:p>
            <w:pPr>
              <w:ind w:left="640"/>
              <w:spacing w:after="0"/>
              <w:rPr>
                <w:sz w:val="20"/>
                <w:szCs w:val="20"/>
                <w:color w:val="auto"/>
              </w:rPr>
            </w:pPr>
            <w:r>
              <w:rPr>
                <w:rFonts w:ascii="Arial" w:cs="Arial" w:eastAsia="Arial" w:hAnsi="Arial"/>
                <w:sz w:val="16"/>
                <w:szCs w:val="16"/>
                <w:color w:val="auto"/>
              </w:rPr>
              <w:t>Total liabilities</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290,656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476,741</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13)</w:t>
            </w: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9180" w:type="dxa"/>
            <w:vAlign w:val="bottom"/>
          </w:tcPr>
          <w:p>
            <w:pPr>
              <w:spacing w:after="0"/>
              <w:rPr>
                <w:sz w:val="20"/>
                <w:szCs w:val="20"/>
                <w:color w:val="auto"/>
              </w:rPr>
            </w:pPr>
            <w:r>
              <w:rPr>
                <w:rFonts w:ascii="Arial" w:cs="Arial" w:eastAsia="Arial" w:hAnsi="Arial"/>
                <w:sz w:val="16"/>
                <w:szCs w:val="16"/>
                <w:color w:val="auto"/>
              </w:rPr>
              <w:t>Stockholders’ deficit:</w:t>
            </w: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Undesignated preferred stock, $0.01 par value — 10,000,000 shares authorized; no shares issued or or outstanding at December 31,</w:t>
            </w: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2016 and 2015</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9180" w:type="dxa"/>
            <w:vAlign w:val="bottom"/>
          </w:tcPr>
          <w:p>
            <w:pPr>
              <w:ind w:left="320"/>
              <w:spacing w:after="0"/>
              <w:rPr>
                <w:sz w:val="20"/>
                <w:szCs w:val="20"/>
                <w:color w:val="auto"/>
              </w:rPr>
            </w:pPr>
            <w:r>
              <w:rPr>
                <w:rFonts w:ascii="Arial" w:cs="Arial" w:eastAsia="Arial" w:hAnsi="Arial"/>
                <w:sz w:val="16"/>
                <w:szCs w:val="16"/>
                <w:color w:val="auto"/>
                <w:w w:val="95"/>
              </w:rPr>
              <w:t>Common stock, $0.05 par value — 140,000,000 and 110,000,000 shares authorized at December 31, 2016 and 2015, respectively;</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180" w:type="dxa"/>
            <w:vAlign w:val="bottom"/>
          </w:tcPr>
          <w:p>
            <w:pPr>
              <w:ind w:left="480"/>
              <w:spacing w:after="0"/>
              <w:rPr>
                <w:sz w:val="20"/>
                <w:szCs w:val="20"/>
                <w:color w:val="auto"/>
              </w:rPr>
            </w:pPr>
            <w:r>
              <w:rPr>
                <w:rFonts w:ascii="Arial" w:cs="Arial" w:eastAsia="Arial" w:hAnsi="Arial"/>
                <w:sz w:val="16"/>
                <w:szCs w:val="16"/>
                <w:color w:val="auto"/>
              </w:rPr>
              <w:t>95,680,831 and 85,734,188 shares issued and outstanding at December 31, 2016 and 2015, respectively</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4,784</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4,287</w:t>
            </w:r>
          </w:p>
        </w:tc>
        <w:tc>
          <w:tcPr>
            <w:tcW w:w="0" w:type="dxa"/>
            <w:vAlign w:val="bottom"/>
          </w:tcPr>
          <w:p>
            <w:pPr>
              <w:spacing w:after="0"/>
              <w:rPr>
                <w:sz w:val="1"/>
                <w:szCs w:val="1"/>
                <w:color w:val="auto"/>
              </w:rPr>
            </w:pPr>
          </w:p>
        </w:tc>
      </w:tr>
      <w:tr>
        <w:trPr>
          <w:trHeight w:val="200"/>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Additional paid-in capital</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2,549,212</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2,508,633</w:t>
            </w:r>
          </w:p>
        </w:tc>
        <w:tc>
          <w:tcPr>
            <w:tcW w:w="0" w:type="dxa"/>
            <w:vAlign w:val="bottom"/>
          </w:tcPr>
          <w:p>
            <w:pPr>
              <w:spacing w:after="0"/>
              <w:rPr>
                <w:sz w:val="1"/>
                <w:szCs w:val="1"/>
                <w:color w:val="auto"/>
              </w:rPr>
            </w:pPr>
          </w:p>
        </w:tc>
      </w:tr>
      <w:tr>
        <w:trPr>
          <w:trHeight w:val="196"/>
        </w:trPr>
        <w:tc>
          <w:tcPr>
            <w:tcW w:w="9180" w:type="dxa"/>
            <w:vAlign w:val="bottom"/>
          </w:tcPr>
          <w:p>
            <w:pPr>
              <w:ind w:left="320"/>
              <w:spacing w:after="0"/>
              <w:rPr>
                <w:sz w:val="20"/>
                <w:szCs w:val="20"/>
                <w:color w:val="auto"/>
              </w:rPr>
            </w:pPr>
            <w:r>
              <w:rPr>
                <w:rFonts w:ascii="Arial" w:cs="Arial" w:eastAsia="Arial" w:hAnsi="Arial"/>
                <w:sz w:val="16"/>
                <w:szCs w:val="16"/>
                <w:color w:val="auto"/>
              </w:rPr>
              <w:t>Accumulated other comprehensive loss</w:t>
            </w:r>
          </w:p>
        </w:tc>
        <w:tc>
          <w:tcPr>
            <w:tcW w:w="6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deficit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7"/>
              </w:rPr>
              <w:t>(2,737,565)</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5"/>
              </w:rPr>
              <w:t>(2,863,229)</w:t>
            </w:r>
          </w:p>
        </w:tc>
        <w:tc>
          <w:tcPr>
            <w:tcW w:w="0" w:type="dxa"/>
            <w:vAlign w:val="bottom"/>
          </w:tcPr>
          <w:p>
            <w:pPr>
              <w:spacing w:after="0"/>
              <w:rPr>
                <w:sz w:val="1"/>
                <w:szCs w:val="1"/>
                <w:color w:val="auto"/>
              </w:rPr>
            </w:pPr>
          </w:p>
        </w:tc>
      </w:tr>
      <w:tr>
        <w:trPr>
          <w:trHeight w:val="20"/>
        </w:trPr>
        <w:tc>
          <w:tcPr>
            <w:tcW w:w="9180" w:type="dxa"/>
            <w:vAlign w:val="bottom"/>
            <w:vMerge w:val="restart"/>
          </w:tcPr>
          <w:p>
            <w:pPr>
              <w:ind w:left="640"/>
              <w:spacing w:after="0"/>
              <w:rPr>
                <w:sz w:val="20"/>
                <w:szCs w:val="20"/>
                <w:color w:val="auto"/>
              </w:rPr>
            </w:pPr>
            <w:r>
              <w:rPr>
                <w:rFonts w:ascii="Arial" w:cs="Arial" w:eastAsia="Arial" w:hAnsi="Arial"/>
                <w:sz w:val="16"/>
                <w:szCs w:val="16"/>
                <w:color w:val="auto"/>
              </w:rPr>
              <w:t>Total stockholders’ deficit</w:t>
            </w: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1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(183,593)</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(350,329)</w:t>
            </w:r>
          </w:p>
        </w:tc>
        <w:tc>
          <w:tcPr>
            <w:tcW w:w="0" w:type="dxa"/>
            <w:vAlign w:val="bottom"/>
          </w:tcPr>
          <w:p>
            <w:pPr>
              <w:spacing w:after="0"/>
              <w:rPr>
                <w:sz w:val="1"/>
                <w:szCs w:val="1"/>
                <w:color w:val="auto"/>
              </w:rPr>
            </w:pPr>
          </w:p>
        </w:tc>
      </w:tr>
      <w:tr>
        <w:trPr>
          <w:trHeight w:val="29"/>
        </w:trPr>
        <w:tc>
          <w:tcPr>
            <w:tcW w:w="9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9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107,063</w:t>
            </w:r>
          </w:p>
        </w:tc>
        <w:tc>
          <w:tcPr>
            <w:tcW w:w="3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126,412</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9"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4"/>
                <w:szCs w:val="14"/>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4"/>
              <w:spacing w:after="0" w:line="137"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53"/>
              <w:spacing w:after="0" w:line="137" w:lineRule="exact"/>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3"/>
              <w:spacing w:after="0" w:line="137"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gridSpan w:val="8"/>
          </w:tcPr>
          <w:p>
            <w:pPr>
              <w:jc w:val="right"/>
              <w:ind w:right="293"/>
              <w:spacing w:after="0" w:line="137" w:lineRule="exact"/>
              <w:rPr>
                <w:sz w:val="20"/>
                <w:szCs w:val="20"/>
                <w:color w:val="auto"/>
              </w:rPr>
            </w:pPr>
            <w:r>
              <w:rPr>
                <w:rFonts w:ascii="Arial" w:cs="Arial" w:eastAsia="Arial" w:hAnsi="Arial"/>
                <w:sz w:val="14"/>
                <w:szCs w:val="14"/>
                <w:b w:val="1"/>
                <w:bCs w:val="1"/>
                <w:color w:val="auto"/>
                <w:w w:val="98"/>
              </w:rPr>
              <w:t>(In thousands, except per share data)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Net revenue — collaboration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171,965</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revenue — commercial product sales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7"/>
                <w:szCs w:val="17"/>
                <w:color w:val="auto"/>
              </w:rPr>
              <w:t>Revenue — bulk insulin sales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174,758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7"/>
                <w:szCs w:val="17"/>
                <w:color w:val="auto"/>
              </w:rPr>
              <w:t>Expenses: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Costs of revenue — collaboration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Cost of goods sold</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64,745</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29,674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100,244</w:t>
            </w: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46,928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40,960</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79,383</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 impairment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140,412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(Gain) loss on foreign currency translation</w:t>
            </w:r>
          </w:p>
        </w:tc>
        <w:tc>
          <w:tcPr>
            <w:tcW w:w="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7"/>
                <w:szCs w:val="17"/>
                <w:color w:val="auto"/>
              </w:rPr>
              <w:t>(3,433)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2,697</w:t>
            </w: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loss on purchase commitments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7"/>
                <w:szCs w:val="17"/>
                <w:color w:val="auto"/>
              </w:rPr>
              <w:t>(2,265)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66,167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700"/>
              <w:spacing w:after="0"/>
              <w:rPr>
                <w:sz w:val="20"/>
                <w:szCs w:val="20"/>
                <w:color w:val="auto"/>
              </w:rPr>
            </w:pPr>
            <w:r>
              <w:rPr>
                <w:rFonts w:ascii="Arial" w:cs="Arial" w:eastAsia="Arial" w:hAnsi="Arial"/>
                <w:sz w:val="17"/>
                <w:szCs w:val="17"/>
                <w:color w:val="auto"/>
              </w:rPr>
              <w:t>Total expenses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107,498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344,655</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179,627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6"/>
              </w:rPr>
              <w:t>(344,655)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(179,627)</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7"/>
                <w:szCs w:val="17"/>
                <w:color w:val="auto"/>
              </w:rPr>
              <w:t>Other income (expense):</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 in fair value of warrant liability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expense on notes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7"/>
                <w:szCs w:val="17"/>
                <w:color w:val="auto"/>
              </w:rPr>
              <w:t>(15,576)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(21,231)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(17,549)</w:t>
            </w: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Interest expense on note payable to principal stockholder</w:t>
            </w:r>
          </w:p>
        </w:tc>
        <w:tc>
          <w:tcPr>
            <w:tcW w:w="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7"/>
                <w:szCs w:val="17"/>
                <w:color w:val="auto"/>
              </w:rPr>
              <w:t>(2,901)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(2,894)</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(2,894)</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Gain (loss) on extinguishment of debt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Other (expense) income</w:t>
            </w:r>
          </w:p>
        </w:tc>
        <w:tc>
          <w:tcPr>
            <w:tcW w:w="120" w:type="dxa"/>
            <w:vAlign w:val="bottom"/>
          </w:tcPr>
          <w:p>
            <w:pPr>
              <w:spacing w:after="0"/>
              <w:rPr>
                <w:sz w:val="18"/>
                <w:szCs w:val="18"/>
                <w:color w:val="auto"/>
              </w:rPr>
            </w:pPr>
          </w:p>
        </w:tc>
        <w:tc>
          <w:tcPr>
            <w:tcW w:w="780" w:type="dxa"/>
            <w:vAlign w:val="bottom"/>
            <w:gridSpan w:val="2"/>
          </w:tcPr>
          <w:p>
            <w:pPr>
              <w:jc w:val="right"/>
              <w:ind w:right="50"/>
              <w:spacing w:after="0"/>
              <w:rPr>
                <w:sz w:val="20"/>
                <w:szCs w:val="20"/>
                <w:color w:val="auto"/>
              </w:rPr>
            </w:pPr>
            <w:r>
              <w:rPr>
                <w:rFonts w:ascii="Arial" w:cs="Arial" w:eastAsia="Arial" w:hAnsi="Arial"/>
                <w:sz w:val="17"/>
                <w:szCs w:val="17"/>
                <w:color w:val="auto"/>
              </w:rPr>
              <w:t>(597)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1,366</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1,679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Total other income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(23,790)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(18,755)</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Income (loss) before benefit for income taxes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125,664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(368,445)</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(198,382)</w:t>
            </w:r>
          </w:p>
        </w:tc>
        <w:tc>
          <w:tcPr>
            <w:tcW w:w="0" w:type="dxa"/>
            <w:vAlign w:val="bottom"/>
          </w:tcPr>
          <w:p>
            <w:pPr>
              <w:spacing w:after="0"/>
              <w:rPr>
                <w:sz w:val="1"/>
                <w:szCs w:val="1"/>
                <w:color w:val="auto"/>
              </w:rPr>
            </w:pPr>
          </w:p>
        </w:tc>
      </w:tr>
      <w:tr>
        <w:trPr>
          <w:trHeight w:val="105"/>
        </w:trPr>
        <w:tc>
          <w:tcPr>
            <w:tcW w:w="8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125,664</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w w:val="96"/>
              </w:rPr>
              <w:t>(368,445)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(198,382)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Net income (loss) per share —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1.36</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(4.54)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Shares used to compute basic net income (loss) per share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81,233</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77,045</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Shares used to compute diluted 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92,085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81,233</w:t>
            </w:r>
          </w:p>
        </w:tc>
        <w:tc>
          <w:tcPr>
            <w:tcW w:w="12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77,045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9"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
              <w:spacing w:after="0"/>
              <w:rPr>
                <w:sz w:val="20"/>
                <w:szCs w:val="20"/>
                <w:color w:val="auto"/>
              </w:rPr>
            </w:pPr>
            <w:r>
              <w:rPr>
                <w:rFonts w:ascii="Arial" w:cs="Arial" w:eastAsia="Arial" w:hAnsi="Arial"/>
                <w:sz w:val="14"/>
                <w:szCs w:val="14"/>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720" w:type="dxa"/>
            <w:vAlign w:val="bottom"/>
            <w:tcBorders>
              <w:bottom w:val="single" w:sz="8" w:color="auto"/>
            </w:tcBorders>
          </w:tcPr>
          <w:p>
            <w:pPr>
              <w:jc w:val="right"/>
              <w:ind w:right="137"/>
              <w:spacing w:after="0" w:line="137" w:lineRule="exact"/>
              <w:rPr>
                <w:sz w:val="20"/>
                <w:szCs w:val="20"/>
                <w:color w:val="auto"/>
              </w:rPr>
            </w:pPr>
            <w:r>
              <w:rPr>
                <w:rFonts w:ascii="Arial" w:cs="Arial" w:eastAsia="Arial" w:hAnsi="Arial"/>
                <w:sz w:val="14"/>
                <w:szCs w:val="14"/>
                <w:color w:val="auto"/>
              </w:rPr>
              <w:t>2016</w:t>
            </w: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ind w:right="153"/>
              <w:spacing w:after="0" w:line="137" w:lineRule="exact"/>
              <w:rPr>
                <w:sz w:val="20"/>
                <w:szCs w:val="20"/>
                <w:color w:val="auto"/>
              </w:rPr>
            </w:pPr>
            <w:r>
              <w:rPr>
                <w:rFonts w:ascii="Arial" w:cs="Arial" w:eastAsia="Arial" w:hAnsi="Arial"/>
                <w:sz w:val="14"/>
                <w:szCs w:val="14"/>
                <w:color w:val="auto"/>
              </w:rPr>
              <w:t>2015</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7"/>
              <w:spacing w:after="0" w:line="137"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right"/>
              <w:ind w:right="260"/>
              <w:spacing w:after="0" w:line="137"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$ 125,664</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 (368,445)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(198,382)</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Cumulative translation loss</w:t>
            </w: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7"/>
                <w:szCs w:val="17"/>
                <w:color w:val="auto"/>
              </w:rPr>
              <w:t>(4)</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7"/>
                <w:szCs w:val="17"/>
                <w:color w:val="auto"/>
              </w:rPr>
              <w:t>Comprehensive income (loss)</w:t>
            </w: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$ 125,660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w w:val="94"/>
              </w:rPr>
              <w:t>$ (368,451)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(198,392)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9"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DEFICIT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1360" w:type="dxa"/>
            <w:vAlign w:val="bottom"/>
            <w:gridSpan w:val="6"/>
            <w:vMerge w:val="restart"/>
          </w:tcPr>
          <w:p>
            <w:pPr>
              <w:ind w:left="16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w w:val="97"/>
              </w:rPr>
              <w:t>Additional</w:t>
            </w:r>
          </w:p>
        </w:tc>
        <w:tc>
          <w:tcPr>
            <w:tcW w:w="260" w:type="dxa"/>
            <w:vAlign w:val="bottom"/>
          </w:tcPr>
          <w:p>
            <w:pPr>
              <w:spacing w:after="0"/>
              <w:rPr>
                <w:sz w:val="12"/>
                <w:szCs w:val="12"/>
                <w:color w:val="auto"/>
              </w:rPr>
            </w:pPr>
          </w:p>
        </w:tc>
        <w:tc>
          <w:tcPr>
            <w:tcW w:w="640" w:type="dxa"/>
            <w:vAlign w:val="bottom"/>
          </w:tcPr>
          <w:p>
            <w:pPr>
              <w:jc w:val="center"/>
              <w:ind w:left="171"/>
              <w:spacing w:after="0" w:line="144"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080" w:type="dxa"/>
            <w:vAlign w:val="bottom"/>
          </w:tcPr>
          <w:p>
            <w:pPr>
              <w:spacing w:after="0"/>
              <w:rPr>
                <w:sz w:val="11"/>
                <w:szCs w:val="11"/>
                <w:color w:val="auto"/>
              </w:rPr>
            </w:pPr>
          </w:p>
        </w:tc>
        <w:tc>
          <w:tcPr>
            <w:tcW w:w="1360" w:type="dxa"/>
            <w:vAlign w:val="bottom"/>
            <w:gridSpan w:val="6"/>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60"/>
              <w:spacing w:after="0" w:line="116" w:lineRule="exact"/>
              <w:rPr>
                <w:sz w:val="20"/>
                <w:szCs w:val="20"/>
                <w:color w:val="auto"/>
              </w:rPr>
            </w:pPr>
            <w:r>
              <w:rPr>
                <w:rFonts w:ascii="Arial" w:cs="Arial" w:eastAsia="Arial" w:hAnsi="Arial"/>
                <w:sz w:val="13"/>
                <w:szCs w:val="13"/>
                <w:color w:val="auto"/>
              </w:rPr>
              <w:t>Paid-In</w:t>
            </w:r>
          </w:p>
        </w:tc>
        <w:tc>
          <w:tcPr>
            <w:tcW w:w="260" w:type="dxa"/>
            <w:vAlign w:val="bottom"/>
          </w:tcPr>
          <w:p>
            <w:pPr>
              <w:spacing w:after="0"/>
              <w:rPr>
                <w:sz w:val="11"/>
                <w:szCs w:val="11"/>
                <w:color w:val="auto"/>
              </w:rPr>
            </w:pPr>
          </w:p>
        </w:tc>
        <w:tc>
          <w:tcPr>
            <w:tcW w:w="1180" w:type="dxa"/>
            <w:vAlign w:val="bottom"/>
            <w:gridSpan w:val="3"/>
          </w:tcPr>
          <w:p>
            <w:pPr>
              <w:spacing w:after="0" w:line="116" w:lineRule="exact"/>
              <w:rPr>
                <w:sz w:val="20"/>
                <w:szCs w:val="20"/>
                <w:color w:val="auto"/>
              </w:rPr>
            </w:pPr>
            <w:r>
              <w:rPr>
                <w:rFonts w:ascii="Arial" w:cs="Arial" w:eastAsia="Arial" w:hAnsi="Arial"/>
                <w:sz w:val="13"/>
                <w:szCs w:val="13"/>
                <w:color w:val="auto"/>
              </w:rPr>
              <w:t>Comprehensive</w:t>
            </w:r>
          </w:p>
        </w:tc>
        <w:tc>
          <w:tcPr>
            <w:tcW w:w="1040" w:type="dxa"/>
            <w:vAlign w:val="bottom"/>
            <w:gridSpan w:val="3"/>
          </w:tcPr>
          <w:p>
            <w:pPr>
              <w:spacing w:after="0" w:line="116" w:lineRule="exact"/>
              <w:rPr>
                <w:sz w:val="20"/>
                <w:szCs w:val="20"/>
                <w:color w:val="auto"/>
              </w:rPr>
            </w:pPr>
            <w:r>
              <w:rPr>
                <w:rFonts w:ascii="Arial" w:cs="Arial" w:eastAsia="Arial" w:hAnsi="Arial"/>
                <w:sz w:val="13"/>
                <w:szCs w:val="13"/>
                <w:color w:val="auto"/>
              </w:rPr>
              <w:t>Accumulated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080" w:type="dxa"/>
            <w:vAlign w:val="bottom"/>
          </w:tcPr>
          <w:p>
            <w:pPr>
              <w:spacing w:after="0"/>
              <w:rPr>
                <w:sz w:val="13"/>
                <w:szCs w:val="13"/>
                <w:color w:val="auto"/>
              </w:rPr>
            </w:pPr>
          </w:p>
        </w:tc>
        <w:tc>
          <w:tcPr>
            <w:tcW w:w="740" w:type="dxa"/>
            <w:vAlign w:val="bottom"/>
            <w:tcBorders>
              <w:top w:val="single" w:sz="8" w:color="auto"/>
            </w:tcBorders>
            <w:gridSpan w:val="3"/>
          </w:tcPr>
          <w:p>
            <w:pPr>
              <w:ind w:left="40"/>
              <w:spacing w:after="0" w:line="150" w:lineRule="exact"/>
              <w:rPr>
                <w:sz w:val="20"/>
                <w:szCs w:val="20"/>
                <w:color w:val="auto"/>
              </w:rPr>
            </w:pPr>
            <w:r>
              <w:rPr>
                <w:rFonts w:ascii="Arial" w:cs="Arial" w:eastAsia="Arial" w:hAnsi="Arial"/>
                <w:sz w:val="14"/>
                <w:szCs w:val="14"/>
                <w:color w:val="auto"/>
              </w:rPr>
              <w:t>Shares</w:t>
            </w:r>
          </w:p>
        </w:tc>
        <w:tc>
          <w:tcPr>
            <w:tcW w:w="460" w:type="dxa"/>
            <w:vAlign w:val="bottom"/>
            <w:tcBorders>
              <w:top w:val="single" w:sz="8" w:color="auto"/>
            </w:tcBorders>
            <w:gridSpan w:val="2"/>
          </w:tcPr>
          <w:p>
            <w:pPr>
              <w:spacing w:after="0" w:line="150"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60"/>
              <w:spacing w:after="0" w:line="150"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3"/>
                <w:szCs w:val="13"/>
                <w:color w:val="auto"/>
              </w:rPr>
            </w:pPr>
          </w:p>
        </w:tc>
        <w:tc>
          <w:tcPr>
            <w:tcW w:w="640" w:type="dxa"/>
            <w:vAlign w:val="bottom"/>
          </w:tcPr>
          <w:p>
            <w:pPr>
              <w:jc w:val="center"/>
              <w:ind w:left="151"/>
              <w:spacing w:after="0" w:line="150" w:lineRule="exact"/>
              <w:rPr>
                <w:sz w:val="20"/>
                <w:szCs w:val="20"/>
                <w:color w:val="auto"/>
              </w:rPr>
            </w:pPr>
            <w:r>
              <w:rPr>
                <w:rFonts w:ascii="Arial" w:cs="Arial" w:eastAsia="Arial" w:hAnsi="Arial"/>
                <w:sz w:val="14"/>
                <w:szCs w:val="14"/>
                <w:color w:val="auto"/>
                <w:w w:val="87"/>
              </w:rPr>
              <w:t>Loss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39"/>
              <w:spacing w:after="0" w:line="150" w:lineRule="exact"/>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3"/>
                <w:szCs w:val="13"/>
                <w:color w:val="auto"/>
              </w:rPr>
            </w:pPr>
          </w:p>
        </w:tc>
        <w:tc>
          <w:tcPr>
            <w:tcW w:w="600" w:type="dxa"/>
            <w:vAlign w:val="bottom"/>
            <w:gridSpan w:val="2"/>
          </w:tcPr>
          <w:p>
            <w:pPr>
              <w:jc w:val="right"/>
              <w:ind w:right="199"/>
              <w:spacing w:after="0" w:line="150"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b w:val="1"/>
                <w:bCs w:val="1"/>
                <w:color w:val="auto"/>
                <w:w w:val="89"/>
              </w:rPr>
              <w:t>(In thousands)</w:t>
            </w: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JANUARY 1, 2014</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w w:val="97"/>
              </w:rPr>
              <w:t>73,878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w w:val="96"/>
              </w:rPr>
              <w:t>3,697</w:t>
            </w:r>
          </w:p>
        </w:tc>
        <w:tc>
          <w:tcPr>
            <w:tcW w:w="7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$2,261,996</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60"/>
              <w:spacing w:after="0" w:line="144"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19"/>
              <w:spacing w:after="0" w:line="144" w:lineRule="exact"/>
              <w:rPr>
                <w:sz w:val="20"/>
                <w:szCs w:val="20"/>
                <w:color w:val="auto"/>
              </w:rPr>
            </w:pPr>
            <w:r>
              <w:rPr>
                <w:rFonts w:ascii="Arial" w:cs="Arial" w:eastAsia="Arial" w:hAnsi="Arial"/>
                <w:sz w:val="14"/>
                <w:szCs w:val="14"/>
                <w:color w:val="auto"/>
                <w:w w:val="92"/>
              </w:rPr>
              <w:t>(2,296,402)</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(30,713)</w:t>
            </w:r>
          </w:p>
        </w:tc>
        <w:tc>
          <w:tcPr>
            <w:tcW w:w="0" w:type="dxa"/>
            <w:vAlign w:val="bottom"/>
          </w:tcPr>
          <w:p>
            <w:pPr>
              <w:spacing w:after="0"/>
              <w:rPr>
                <w:sz w:val="1"/>
                <w:szCs w:val="1"/>
                <w:color w:val="auto"/>
              </w:rPr>
            </w:pPr>
          </w:p>
        </w:tc>
      </w:tr>
      <w:tr>
        <w:trPr>
          <w:trHeight w:val="249"/>
        </w:trPr>
        <w:tc>
          <w:tcPr>
            <w:tcW w:w="608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w w:val="94"/>
              </w:rPr>
              <w:t>650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10,943</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940" w:type="dxa"/>
            <w:vAlign w:val="bottom"/>
            <w:gridSpan w:val="2"/>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10,978</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from the release of restricted stock units</w:t>
            </w:r>
          </w:p>
        </w:tc>
        <w:tc>
          <w:tcPr>
            <w:tcW w:w="46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4"/>
                <w:szCs w:val="14"/>
                <w:color w:val="auto"/>
                <w:w w:val="94"/>
              </w:rPr>
              <w:t>799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(26,946)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(26,908)</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of common shares pursuant to warrant exercises</w:t>
            </w:r>
          </w:p>
        </w:tc>
        <w:tc>
          <w:tcPr>
            <w:tcW w:w="46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2,315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115</w:t>
            </w: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27,664</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27,779</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under Employee Stock Purchase Plan</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65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1,361</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Stock-based compensation expense</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25,660</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25,660</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pursuant to debt conversions by Deerfield</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3,505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w w:val="85"/>
              </w:rPr>
              <w:t>174</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93,327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93,501</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Remeasurement of performance based grants pursuant to the modification of terms</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22,962</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22,962</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Cumulative translation loss</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Net loss</w:t>
            </w:r>
          </w:p>
        </w:tc>
        <w:tc>
          <w:tcPr>
            <w:tcW w:w="440" w:type="dxa"/>
            <w:vAlign w:val="bottom"/>
          </w:tcPr>
          <w:p>
            <w:pPr>
              <w:ind w:left="220"/>
              <w:spacing w:after="0" w:line="144" w:lineRule="exact"/>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ind w:left="140"/>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1"/>
              <w:spacing w:after="0" w:line="14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ind w:right="10"/>
              <w:spacing w:after="0" w:line="144" w:lineRule="exact"/>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19"/>
              <w:spacing w:after="0" w:line="144" w:lineRule="exact"/>
              <w:rPr>
                <w:sz w:val="20"/>
                <w:szCs w:val="20"/>
                <w:color w:val="auto"/>
              </w:rPr>
            </w:pPr>
            <w:r>
              <w:rPr>
                <w:rFonts w:ascii="Arial" w:cs="Arial" w:eastAsia="Arial" w:hAnsi="Arial"/>
                <w:sz w:val="14"/>
                <w:szCs w:val="14"/>
                <w:color w:val="auto"/>
              </w:rPr>
              <w:t>(198,382)</w:t>
            </w:r>
          </w:p>
        </w:tc>
        <w:tc>
          <w:tcPr>
            <w:tcW w:w="80" w:type="dxa"/>
            <w:vAlign w:val="bottom"/>
          </w:tcPr>
          <w:p>
            <w:pPr>
              <w:spacing w:after="0"/>
              <w:rPr>
                <w:sz w:val="12"/>
                <w:szCs w:val="12"/>
                <w:color w:val="auto"/>
              </w:rPr>
            </w:pPr>
          </w:p>
        </w:tc>
        <w:tc>
          <w:tcPr>
            <w:tcW w:w="600" w:type="dxa"/>
            <w:vAlign w:val="bottom"/>
            <w:gridSpan w:val="2"/>
          </w:tcPr>
          <w:p>
            <w:pPr>
              <w:jc w:val="right"/>
              <w:spacing w:after="0" w:line="144" w:lineRule="exact"/>
              <w:rPr>
                <w:sz w:val="20"/>
                <w:szCs w:val="20"/>
                <w:color w:val="auto"/>
              </w:rPr>
            </w:pPr>
            <w:r>
              <w:rPr>
                <w:rFonts w:ascii="Arial" w:cs="Arial" w:eastAsia="Arial" w:hAnsi="Arial"/>
                <w:sz w:val="14"/>
                <w:szCs w:val="14"/>
                <w:color w:val="auto"/>
                <w:w w:val="90"/>
              </w:rPr>
              <w:t>(198,382)</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DECEMBER 31, 2014</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81,212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4,061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9"/>
              </w:rPr>
              <w:t>2,416,967</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19"/>
              <w:spacing w:after="0" w:line="144" w:lineRule="exact"/>
              <w:rPr>
                <w:sz w:val="20"/>
                <w:szCs w:val="20"/>
                <w:color w:val="auto"/>
              </w:rPr>
            </w:pPr>
            <w:r>
              <w:rPr>
                <w:rFonts w:ascii="Arial" w:cs="Arial" w:eastAsia="Arial" w:hAnsi="Arial"/>
                <w:sz w:val="14"/>
                <w:szCs w:val="14"/>
                <w:color w:val="auto"/>
                <w:w w:val="92"/>
              </w:rPr>
              <w:t>(2,494,784)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(73,770)</w:t>
            </w:r>
          </w:p>
        </w:tc>
        <w:tc>
          <w:tcPr>
            <w:tcW w:w="0" w:type="dxa"/>
            <w:vAlign w:val="bottom"/>
          </w:tcPr>
          <w:p>
            <w:pPr>
              <w:spacing w:after="0"/>
              <w:rPr>
                <w:sz w:val="1"/>
                <w:szCs w:val="1"/>
                <w:color w:val="auto"/>
              </w:rPr>
            </w:pPr>
          </w:p>
        </w:tc>
      </w:tr>
      <w:tr>
        <w:trPr>
          <w:trHeight w:val="249"/>
        </w:trPr>
        <w:tc>
          <w:tcPr>
            <w:tcW w:w="608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460" w:type="dxa"/>
            <w:vAlign w:val="bottom"/>
            <w:gridSpan w:val="2"/>
          </w:tcPr>
          <w:p>
            <w:pPr>
              <w:ind w:left="220"/>
              <w:spacing w:after="0"/>
              <w:rPr>
                <w:sz w:val="20"/>
                <w:szCs w:val="20"/>
                <w:color w:val="auto"/>
              </w:rPr>
            </w:pPr>
            <w:r>
              <w:rPr>
                <w:rFonts w:ascii="Arial" w:cs="Arial" w:eastAsia="Arial" w:hAnsi="Arial"/>
                <w:sz w:val="14"/>
                <w:szCs w:val="14"/>
                <w:color w:val="auto"/>
                <w:w w:val="94"/>
              </w:rPr>
              <w:t>340</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3,241</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940" w:type="dxa"/>
            <w:vAlign w:val="bottom"/>
            <w:gridSpan w:val="2"/>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from the release of restricted stock units</w:t>
            </w:r>
          </w:p>
        </w:tc>
        <w:tc>
          <w:tcPr>
            <w:tcW w:w="46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4"/>
                <w:szCs w:val="14"/>
                <w:color w:val="auto"/>
                <w:w w:val="94"/>
              </w:rPr>
              <w:t>144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9"/>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of common shares pursuant to warrant exercises</w:t>
            </w:r>
          </w:p>
        </w:tc>
        <w:tc>
          <w:tcPr>
            <w:tcW w:w="460" w:type="dxa"/>
            <w:vAlign w:val="bottom"/>
            <w:gridSpan w:val="2"/>
          </w:tcPr>
          <w:p>
            <w:pPr>
              <w:ind w:left="220"/>
              <w:spacing w:after="0" w:line="144" w:lineRule="exact"/>
              <w:rPr>
                <w:sz w:val="20"/>
                <w:szCs w:val="20"/>
                <w:color w:val="auto"/>
              </w:rPr>
            </w:pPr>
            <w:r>
              <w:rPr>
                <w:rFonts w:ascii="Arial" w:cs="Arial" w:eastAsia="Arial" w:hAnsi="Arial"/>
                <w:sz w:val="14"/>
                <w:szCs w:val="14"/>
                <w:color w:val="auto"/>
                <w:w w:val="94"/>
              </w:rPr>
              <w:t>843</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42</w:t>
            </w:r>
          </w:p>
        </w:tc>
        <w:tc>
          <w:tcPr>
            <w:tcW w:w="160" w:type="dxa"/>
            <w:vAlign w:val="bottom"/>
          </w:tcPr>
          <w:p>
            <w:pPr>
              <w:spacing w:after="0"/>
              <w:rPr>
                <w:sz w:val="12"/>
                <w:szCs w:val="12"/>
                <w:color w:val="auto"/>
              </w:rPr>
            </w:pP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10,081</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10,123</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under Employee Stock Purchase Plan</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884</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Stock-based compensation expense</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8,725</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8,725</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Restricted stock units taxes paid in cash</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(1,856)</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(1,856)</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Capital contribution</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40</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pursuant to conversions of certain 2015 notes</w:t>
            </w:r>
          </w:p>
        </w:tc>
        <w:tc>
          <w:tcPr>
            <w:tcW w:w="46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4"/>
                <w:szCs w:val="14"/>
                <w:color w:val="auto"/>
                <w:w w:val="94"/>
              </w:rPr>
              <w:t>375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19</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7,907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7,926</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of common stock for lender financing fees</w:t>
            </w:r>
          </w:p>
        </w:tc>
        <w:tc>
          <w:tcPr>
            <w:tcW w:w="46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160</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Discount on notes-for-stock exchange</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169</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of common stock pursuant to TASE stock sale</w:t>
            </w:r>
          </w:p>
        </w:tc>
        <w:tc>
          <w:tcPr>
            <w:tcW w:w="46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2,771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ind w:left="140"/>
              <w:spacing w:after="0" w:line="144" w:lineRule="exact"/>
              <w:rPr>
                <w:sz w:val="20"/>
                <w:szCs w:val="20"/>
                <w:color w:val="auto"/>
              </w:rPr>
            </w:pPr>
            <w:r>
              <w:rPr>
                <w:rFonts w:ascii="Arial" w:cs="Arial" w:eastAsia="Arial" w:hAnsi="Arial"/>
                <w:sz w:val="14"/>
                <w:szCs w:val="14"/>
                <w:color w:val="auto"/>
                <w:w w:val="85"/>
              </w:rPr>
              <w:t>139</w:t>
            </w:r>
          </w:p>
        </w:tc>
        <w:tc>
          <w:tcPr>
            <w:tcW w:w="160" w:type="dxa"/>
            <w:vAlign w:val="bottom"/>
          </w:tcPr>
          <w:p>
            <w:pPr>
              <w:spacing w:after="0"/>
              <w:rPr>
                <w:sz w:val="12"/>
                <w:szCs w:val="12"/>
                <w:color w:val="auto"/>
              </w:rPr>
            </w:pP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34,571</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34,710</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Return of loaned common stock</w:t>
            </w:r>
          </w:p>
        </w:tc>
        <w:tc>
          <w:tcPr>
            <w:tcW w:w="740" w:type="dxa"/>
            <w:vAlign w:val="bottom"/>
            <w:gridSpan w:val="3"/>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(90)</w:t>
            </w:r>
          </w:p>
        </w:tc>
        <w:tc>
          <w:tcPr>
            <w:tcW w:w="7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90</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9"/>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of common stock pursuant to at-the-market issuances</w:t>
            </w:r>
          </w:p>
        </w:tc>
        <w:tc>
          <w:tcPr>
            <w:tcW w:w="46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1,788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89</w:t>
            </w:r>
          </w:p>
        </w:tc>
        <w:tc>
          <w:tcPr>
            <w:tcW w:w="160" w:type="dxa"/>
            <w:vAlign w:val="bottom"/>
          </w:tcPr>
          <w:p>
            <w:pPr>
              <w:spacing w:after="0"/>
              <w:rPr>
                <w:sz w:val="12"/>
                <w:szCs w:val="12"/>
                <w:color w:val="auto"/>
              </w:rPr>
            </w:pPr>
          </w:p>
        </w:tc>
        <w:tc>
          <w:tcPr>
            <w:tcW w:w="820" w:type="dxa"/>
            <w:vAlign w:val="bottom"/>
            <w:gridSpan w:val="3"/>
          </w:tcPr>
          <w:p>
            <w:pPr>
              <w:jc w:val="right"/>
              <w:ind w:right="40"/>
              <w:spacing w:after="0" w:line="144" w:lineRule="exact"/>
              <w:rPr>
                <w:sz w:val="20"/>
                <w:szCs w:val="20"/>
                <w:color w:val="auto"/>
              </w:rPr>
            </w:pPr>
            <w:r>
              <w:rPr>
                <w:rFonts w:ascii="Arial" w:cs="Arial" w:eastAsia="Arial" w:hAnsi="Arial"/>
                <w:sz w:val="14"/>
                <w:szCs w:val="14"/>
                <w:color w:val="auto"/>
              </w:rPr>
              <w:t>27,754</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27,843</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warrant liability</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(202)</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Reclassification of warrant liability to equity</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109</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Cumulative translation loss</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Net loss</w:t>
            </w:r>
          </w:p>
        </w:tc>
        <w:tc>
          <w:tcPr>
            <w:tcW w:w="440" w:type="dxa"/>
            <w:vAlign w:val="bottom"/>
          </w:tcPr>
          <w:p>
            <w:pPr>
              <w:ind w:left="220"/>
              <w:spacing w:after="0" w:line="144" w:lineRule="exact"/>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ind w:left="140"/>
              <w:spacing w:after="0" w:line="144"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1"/>
              <w:spacing w:after="0" w:line="144"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jc w:val="right"/>
              <w:ind w:right="10"/>
              <w:spacing w:after="0" w:line="144" w:lineRule="exact"/>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19"/>
              <w:spacing w:after="0" w:line="144" w:lineRule="exact"/>
              <w:rPr>
                <w:sz w:val="20"/>
                <w:szCs w:val="20"/>
                <w:color w:val="auto"/>
              </w:rPr>
            </w:pPr>
            <w:r>
              <w:rPr>
                <w:rFonts w:ascii="Arial" w:cs="Arial" w:eastAsia="Arial" w:hAnsi="Arial"/>
                <w:sz w:val="14"/>
                <w:szCs w:val="14"/>
                <w:color w:val="auto"/>
              </w:rPr>
              <w:t>(368,445)</w:t>
            </w:r>
          </w:p>
        </w:tc>
        <w:tc>
          <w:tcPr>
            <w:tcW w:w="80" w:type="dxa"/>
            <w:vAlign w:val="bottom"/>
          </w:tcPr>
          <w:p>
            <w:pPr>
              <w:spacing w:after="0"/>
              <w:rPr>
                <w:sz w:val="12"/>
                <w:szCs w:val="12"/>
                <w:color w:val="auto"/>
              </w:rPr>
            </w:pPr>
          </w:p>
        </w:tc>
        <w:tc>
          <w:tcPr>
            <w:tcW w:w="600" w:type="dxa"/>
            <w:vAlign w:val="bottom"/>
            <w:gridSpan w:val="2"/>
          </w:tcPr>
          <w:p>
            <w:pPr>
              <w:jc w:val="right"/>
              <w:spacing w:after="0" w:line="144" w:lineRule="exact"/>
              <w:rPr>
                <w:sz w:val="20"/>
                <w:szCs w:val="20"/>
                <w:color w:val="auto"/>
              </w:rPr>
            </w:pPr>
            <w:r>
              <w:rPr>
                <w:rFonts w:ascii="Arial" w:cs="Arial" w:eastAsia="Arial" w:hAnsi="Arial"/>
                <w:sz w:val="14"/>
                <w:szCs w:val="14"/>
                <w:color w:val="auto"/>
                <w:w w:val="90"/>
              </w:rPr>
              <w:t>(368,445)</w:t>
            </w: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60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DECEMBER 31, 2015</w:t>
            </w: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7"/>
              </w:rPr>
              <w:t>85,735</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6"/>
              </w:rPr>
              <w:t>4,287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9"/>
              </w:rPr>
              <w:t>2,508,633</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19"/>
              <w:spacing w:after="0" w:line="144" w:lineRule="exact"/>
              <w:rPr>
                <w:sz w:val="20"/>
                <w:szCs w:val="20"/>
                <w:color w:val="auto"/>
              </w:rPr>
            </w:pPr>
            <w:r>
              <w:rPr>
                <w:rFonts w:ascii="Arial" w:cs="Arial" w:eastAsia="Arial" w:hAnsi="Arial"/>
                <w:sz w:val="14"/>
                <w:szCs w:val="14"/>
                <w:color w:val="auto"/>
                <w:w w:val="92"/>
              </w:rPr>
              <w:t>(2,863,229)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(350,329)</w:t>
            </w:r>
          </w:p>
        </w:tc>
        <w:tc>
          <w:tcPr>
            <w:tcW w:w="0" w:type="dxa"/>
            <w:vAlign w:val="bottom"/>
          </w:tcPr>
          <w:p>
            <w:pPr>
              <w:spacing w:after="0"/>
              <w:rPr>
                <w:sz w:val="1"/>
                <w:szCs w:val="1"/>
                <w:color w:val="auto"/>
              </w:rPr>
            </w:pPr>
          </w:p>
        </w:tc>
      </w:tr>
      <w:tr>
        <w:trPr>
          <w:trHeight w:val="249"/>
        </w:trPr>
        <w:tc>
          <w:tcPr>
            <w:tcW w:w="608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464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940" w:type="dxa"/>
            <w:vAlign w:val="bottom"/>
            <w:gridSpan w:val="2"/>
          </w:tcPr>
          <w:p>
            <w:pPr>
              <w:jc w:val="right"/>
              <w:ind w:right="3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600" w:type="dxa"/>
            <w:vAlign w:val="bottom"/>
            <w:gridSpan w:val="2"/>
          </w:tcPr>
          <w:p>
            <w:pPr>
              <w:jc w:val="right"/>
              <w:ind w:right="39"/>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common shares from the release of restricted stock units</w:t>
            </w:r>
          </w:p>
        </w:tc>
        <w:tc>
          <w:tcPr>
            <w:tcW w:w="460" w:type="dxa"/>
            <w:vAlign w:val="bottom"/>
            <w:gridSpan w:val="2"/>
            <w:shd w:val="clear" w:color="auto" w:fill="CCEEFF"/>
          </w:tcPr>
          <w:p>
            <w:pPr>
              <w:ind w:left="220"/>
              <w:spacing w:after="0" w:line="144" w:lineRule="exact"/>
              <w:rPr>
                <w:sz w:val="20"/>
                <w:szCs w:val="20"/>
                <w:color w:val="auto"/>
              </w:rPr>
            </w:pPr>
            <w:r>
              <w:rPr>
                <w:rFonts w:ascii="Arial" w:cs="Arial" w:eastAsia="Arial" w:hAnsi="Arial"/>
                <w:sz w:val="14"/>
                <w:szCs w:val="14"/>
                <w:color w:val="auto"/>
                <w:w w:val="94"/>
              </w:rPr>
              <w:t>131</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9"/>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of common shares under Employee Stock Purchase Plan</w:t>
            </w:r>
          </w:p>
        </w:tc>
        <w:tc>
          <w:tcPr>
            <w:tcW w:w="46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51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line="144"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78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424</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39"/>
              <w:spacing w:after="0" w:line="144" w:lineRule="exact"/>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Stock-based compensation expense</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5,135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5,135</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Restricted stock units taxes paid in cash</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4" w:lineRule="exact"/>
              <w:rPr>
                <w:sz w:val="20"/>
                <w:szCs w:val="20"/>
                <w:color w:val="auto"/>
              </w:rPr>
            </w:pPr>
            <w:r>
              <w:rPr>
                <w:rFonts w:ascii="Arial" w:cs="Arial" w:eastAsia="Arial" w:hAnsi="Arial"/>
                <w:sz w:val="14"/>
                <w:szCs w:val="14"/>
                <w:color w:val="auto"/>
              </w:rPr>
              <w:t>(165)</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of direct placement — common stock and warrants</w:t>
            </w:r>
          </w:p>
        </w:tc>
        <w:tc>
          <w:tcPr>
            <w:tcW w:w="46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9,709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w w:val="85"/>
              </w:rPr>
              <w:t>485</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49,515</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Issuance costs associated with direct placement</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line="144" w:lineRule="exact"/>
              <w:rPr>
                <w:sz w:val="20"/>
                <w:szCs w:val="20"/>
                <w:color w:val="auto"/>
              </w:rPr>
            </w:pPr>
            <w:r>
              <w:rPr>
                <w:rFonts w:ascii="Arial" w:cs="Arial" w:eastAsia="Arial" w:hAnsi="Arial"/>
                <w:sz w:val="14"/>
                <w:szCs w:val="14"/>
                <w:color w:val="auto"/>
              </w:rPr>
              <w:t>(2,037)</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(2,037)</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Proceeds allocated to warrant liabilities</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spacing w:after="0" w:line="144" w:lineRule="exact"/>
              <w:rPr>
                <w:sz w:val="20"/>
                <w:szCs w:val="20"/>
                <w:color w:val="auto"/>
              </w:rPr>
            </w:pPr>
            <w:r>
              <w:rPr>
                <w:rFonts w:ascii="Arial" w:cs="Arial" w:eastAsia="Arial" w:hAnsi="Arial"/>
                <w:sz w:val="14"/>
                <w:szCs w:val="14"/>
                <w:color w:val="auto"/>
              </w:rPr>
              <w:t>(12,750)</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(12,750)</w:t>
            </w:r>
          </w:p>
        </w:tc>
        <w:tc>
          <w:tcPr>
            <w:tcW w:w="0" w:type="dxa"/>
            <w:vAlign w:val="bottom"/>
          </w:tcPr>
          <w:p>
            <w:pPr>
              <w:spacing w:after="0"/>
              <w:rPr>
                <w:sz w:val="1"/>
                <w:szCs w:val="1"/>
                <w:color w:val="auto"/>
              </w:rPr>
            </w:pPr>
          </w:p>
        </w:tc>
      </w:tr>
      <w:tr>
        <w:trPr>
          <w:trHeight w:val="144"/>
        </w:trPr>
        <w:tc>
          <w:tcPr>
            <w:tcW w:w="6080" w:type="dxa"/>
            <w:vAlign w:val="bottom"/>
          </w:tcPr>
          <w:p>
            <w:pPr>
              <w:ind w:left="280"/>
              <w:spacing w:after="0" w:line="144" w:lineRule="exact"/>
              <w:rPr>
                <w:sz w:val="20"/>
                <w:szCs w:val="20"/>
                <w:color w:val="auto"/>
              </w:rPr>
            </w:pPr>
            <w:r>
              <w:rPr>
                <w:rFonts w:ascii="Arial" w:cs="Arial" w:eastAsia="Arial" w:hAnsi="Arial"/>
                <w:sz w:val="14"/>
                <w:szCs w:val="14"/>
                <w:color w:val="auto"/>
              </w:rPr>
              <w:t>Cumulative translation loss</w:t>
            </w:r>
          </w:p>
        </w:tc>
        <w:tc>
          <w:tcPr>
            <w:tcW w:w="740" w:type="dxa"/>
            <w:vAlign w:val="bottom"/>
            <w:gridSpan w:val="3"/>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40"/>
              <w:spacing w:after="0" w:line="144"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gridSpan w:val="2"/>
          </w:tcPr>
          <w:p>
            <w:pPr>
              <w:jc w:val="right"/>
              <w:ind w:right="260"/>
              <w:spacing w:after="0" w:line="144"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940" w:type="dxa"/>
            <w:vAlign w:val="bottom"/>
            <w:gridSpan w:val="2"/>
          </w:tcPr>
          <w:p>
            <w:pPr>
              <w:jc w:val="right"/>
              <w:ind w:right="31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Net income</w:t>
            </w:r>
          </w:p>
        </w:tc>
        <w:tc>
          <w:tcPr>
            <w:tcW w:w="740" w:type="dxa"/>
            <w:vAlign w:val="bottom"/>
            <w:gridSpan w:val="3"/>
            <w:shd w:val="clear" w:color="auto" w:fill="CCEEFF"/>
          </w:tcPr>
          <w:p>
            <w:pPr>
              <w:ind w:left="22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59"/>
              <w:spacing w:after="0" w:line="144" w:lineRule="exact"/>
              <w:rPr>
                <w:sz w:val="20"/>
                <w:szCs w:val="20"/>
                <w:color w:val="auto"/>
              </w:rPr>
            </w:pPr>
            <w:r>
              <w:rPr>
                <w:rFonts w:ascii="Arial" w:cs="Arial" w:eastAsia="Arial" w:hAnsi="Arial"/>
                <w:sz w:val="14"/>
                <w:szCs w:val="14"/>
                <w:color w:val="auto"/>
              </w:rPr>
              <w:t>125,664</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4" w:lineRule="exact"/>
              <w:rPr>
                <w:sz w:val="20"/>
                <w:szCs w:val="20"/>
                <w:color w:val="auto"/>
              </w:rPr>
            </w:pPr>
            <w:r>
              <w:rPr>
                <w:rFonts w:ascii="Arial" w:cs="Arial" w:eastAsia="Arial" w:hAnsi="Arial"/>
                <w:sz w:val="14"/>
                <w:szCs w:val="14"/>
                <w:color w:val="auto"/>
                <w:w w:val="98"/>
              </w:rPr>
              <w:t>125,664</w:t>
            </w:r>
          </w:p>
        </w:tc>
        <w:tc>
          <w:tcPr>
            <w:tcW w:w="0" w:type="dxa"/>
            <w:vAlign w:val="bottom"/>
          </w:tcPr>
          <w:p>
            <w:pPr>
              <w:spacing w:after="0"/>
              <w:rPr>
                <w:sz w:val="1"/>
                <w:szCs w:val="1"/>
                <w:color w:val="auto"/>
              </w:rPr>
            </w:pPr>
          </w:p>
        </w:tc>
      </w:tr>
      <w:tr>
        <w:trPr>
          <w:trHeight w:val="150"/>
        </w:trPr>
        <w:tc>
          <w:tcPr>
            <w:tcW w:w="6080" w:type="dxa"/>
            <w:vAlign w:val="bottom"/>
          </w:tcPr>
          <w:p>
            <w:pPr>
              <w:spacing w:after="0" w:line="150" w:lineRule="exact"/>
              <w:rPr>
                <w:sz w:val="20"/>
                <w:szCs w:val="20"/>
                <w:color w:val="auto"/>
              </w:rPr>
            </w:pPr>
            <w:r>
              <w:rPr>
                <w:rFonts w:ascii="Arial" w:cs="Arial" w:eastAsia="Arial" w:hAnsi="Arial"/>
                <w:sz w:val="14"/>
                <w:szCs w:val="14"/>
                <w:color w:val="auto"/>
              </w:rPr>
              <w:t>BALANCE, DECEMBER 31, 2016</w:t>
            </w:r>
          </w:p>
        </w:tc>
        <w:tc>
          <w:tcPr>
            <w:tcW w:w="4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97"/>
              </w:rPr>
              <w:t>95,681</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0"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96"/>
              </w:rPr>
              <w:t>4,784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2,549,212</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bottom w:val="single" w:sz="8" w:color="auto"/>
            </w:tcBorders>
          </w:tcPr>
          <w:p>
            <w:pPr>
              <w:spacing w:after="0" w:line="150"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88"/>
              </w:rPr>
              <w:t>(24)</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0"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92"/>
              </w:rPr>
              <w:t>(2,737,565</w:t>
            </w:r>
          </w:p>
        </w:tc>
        <w:tc>
          <w:tcPr>
            <w:tcW w:w="300" w:type="dxa"/>
            <w:vAlign w:val="bottom"/>
          </w:tcPr>
          <w:p>
            <w:pPr>
              <w:jc w:val="right"/>
              <w:ind w:right="2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w w:val="90"/>
              </w:rPr>
              <w:t>(183,593</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9"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900" w:type="dxa"/>
            <w:vAlign w:val="bottom"/>
          </w:tcPr>
          <w:p>
            <w:pPr>
              <w:spacing w:after="0"/>
              <w:rPr>
                <w:sz w:val="14"/>
                <w:szCs w:val="14"/>
                <w:color w:val="auto"/>
              </w:rPr>
            </w:pPr>
          </w:p>
        </w:tc>
        <w:tc>
          <w:tcPr>
            <w:tcW w:w="2520" w:type="dxa"/>
            <w:vAlign w:val="bottom"/>
            <w:gridSpan w:val="8"/>
          </w:tcPr>
          <w:p>
            <w:pPr>
              <w:jc w:val="center"/>
              <w:ind w:right="100"/>
              <w:spacing w:after="0"/>
              <w:rPr>
                <w:sz w:val="20"/>
                <w:szCs w:val="20"/>
                <w:color w:val="auto"/>
              </w:rPr>
            </w:pPr>
            <w:r>
              <w:rPr>
                <w:rFonts w:ascii="Arial" w:cs="Arial" w:eastAsia="Arial" w:hAnsi="Arial"/>
                <w:sz w:val="14"/>
                <w:szCs w:val="14"/>
                <w:color w:val="auto"/>
                <w:w w:val="88"/>
              </w:rPr>
              <w:t>Year Ended December 31,</w:t>
            </w:r>
          </w:p>
        </w:tc>
      </w:tr>
      <w:tr>
        <w:trPr>
          <w:trHeight w:val="137"/>
        </w:trPr>
        <w:tc>
          <w:tcPr>
            <w:tcW w:w="890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70"/>
              <w:spacing w:after="0" w:line="137" w:lineRule="exact"/>
              <w:rPr>
                <w:sz w:val="20"/>
                <w:szCs w:val="20"/>
                <w:color w:val="auto"/>
              </w:rPr>
            </w:pPr>
            <w:r>
              <w:rPr>
                <w:rFonts w:ascii="Arial" w:cs="Arial" w:eastAsia="Arial" w:hAnsi="Arial"/>
                <w:sz w:val="14"/>
                <w:szCs w:val="14"/>
                <w:color w:val="auto"/>
              </w:rPr>
              <w:t>2016</w:t>
            </w: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jc w:val="center"/>
              <w:ind w:left="130"/>
              <w:spacing w:after="0" w:line="137" w:lineRule="exact"/>
              <w:rPr>
                <w:sz w:val="20"/>
                <w:szCs w:val="20"/>
                <w:color w:val="auto"/>
              </w:rPr>
            </w:pPr>
            <w:r>
              <w:rPr>
                <w:rFonts w:ascii="Arial" w:cs="Arial" w:eastAsia="Arial" w:hAnsi="Arial"/>
                <w:sz w:val="14"/>
                <w:szCs w:val="14"/>
                <w:color w:val="auto"/>
                <w:w w:val="89"/>
              </w:rPr>
              <w:t>2015</w:t>
            </w:r>
          </w:p>
        </w:tc>
        <w:tc>
          <w:tcPr>
            <w:tcW w:w="3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90"/>
              <w:spacing w:after="0" w:line="137"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1"/>
                <w:szCs w:val="11"/>
                <w:color w:val="auto"/>
              </w:rPr>
            </w:pPr>
          </w:p>
        </w:tc>
      </w:tr>
      <w:tr>
        <w:trPr>
          <w:trHeight w:val="137"/>
        </w:trPr>
        <w:tc>
          <w:tcPr>
            <w:tcW w:w="8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jc w:val="center"/>
              <w:ind w:right="100"/>
              <w:spacing w:after="0" w:line="137" w:lineRule="exact"/>
              <w:rPr>
                <w:sz w:val="20"/>
                <w:szCs w:val="20"/>
                <w:color w:val="auto"/>
              </w:rPr>
            </w:pPr>
            <w:r>
              <w:rPr>
                <w:rFonts w:ascii="Arial" w:cs="Arial" w:eastAsia="Arial" w:hAnsi="Arial"/>
                <w:sz w:val="14"/>
                <w:szCs w:val="14"/>
                <w:b w:val="1"/>
                <w:bCs w:val="1"/>
                <w:color w:val="auto"/>
                <w:w w:val="89"/>
              </w:rPr>
              <w:t>(In thousands)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9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OPERATING ACTIVITIES: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900" w:type="dxa"/>
            <w:vAlign w:val="bottom"/>
          </w:tcPr>
          <w:p>
            <w:pPr>
              <w:spacing w:after="0" w:line="144" w:lineRule="exact"/>
              <w:rPr>
                <w:sz w:val="20"/>
                <w:szCs w:val="20"/>
                <w:color w:val="auto"/>
              </w:rPr>
            </w:pPr>
            <w:r>
              <w:rPr>
                <w:rFonts w:ascii="Arial" w:cs="Arial" w:eastAsia="Arial" w:hAnsi="Arial"/>
                <w:sz w:val="14"/>
                <w:szCs w:val="14"/>
                <w:color w:val="auto"/>
              </w:rPr>
              <w:t>Net income (loss)</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w w:val="89"/>
              </w:rPr>
              <w:t>$ 125,664</w:t>
            </w:r>
          </w:p>
        </w:tc>
        <w:tc>
          <w:tcPr>
            <w:tcW w:w="100" w:type="dxa"/>
            <w:vAlign w:val="bottom"/>
          </w:tcPr>
          <w:p>
            <w:pPr>
              <w:spacing w:after="0"/>
              <w:rPr>
                <w:sz w:val="12"/>
                <w:szCs w:val="12"/>
                <w:color w:val="auto"/>
              </w:rPr>
            </w:pP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 (368,445)</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w w:val="86"/>
              </w:rPr>
              <w:t>$ (198,382)</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Depreciation, amortization and accretion</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4,158</w:t>
            </w:r>
          </w:p>
        </w:tc>
        <w:tc>
          <w:tcPr>
            <w:tcW w:w="100" w:type="dxa"/>
            <w:vAlign w:val="bottom"/>
          </w:tcPr>
          <w:p>
            <w:pPr>
              <w:spacing w:after="0"/>
              <w:rPr>
                <w:sz w:val="12"/>
                <w:szCs w:val="12"/>
                <w:color w:val="auto"/>
              </w:rPr>
            </w:pPr>
          </w:p>
        </w:tc>
        <w:tc>
          <w:tcPr>
            <w:tcW w:w="1120" w:type="dxa"/>
            <w:vAlign w:val="bottom"/>
            <w:gridSpan w:val="3"/>
          </w:tcPr>
          <w:p>
            <w:pPr>
              <w:jc w:val="right"/>
              <w:ind w:right="320"/>
              <w:spacing w:after="0" w:line="144" w:lineRule="exact"/>
              <w:rPr>
                <w:sz w:val="20"/>
                <w:szCs w:val="20"/>
                <w:color w:val="auto"/>
              </w:rPr>
            </w:pPr>
            <w:r>
              <w:rPr>
                <w:rFonts w:ascii="Arial" w:cs="Arial" w:eastAsia="Arial" w:hAnsi="Arial"/>
                <w:sz w:val="14"/>
                <w:szCs w:val="14"/>
                <w:color w:val="auto"/>
              </w:rPr>
              <w:t>13,276</w:t>
            </w: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18,575</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Stock-based compensation expense</w:t>
            </w: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5,135</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8,725</w:t>
            </w:r>
          </w:p>
        </w:tc>
        <w:tc>
          <w:tcPr>
            <w:tcW w:w="7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48,622</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Change in fair value of warrant liability</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(5,369)</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(Gain) loss on foreign currency translation</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(3,433)</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2,697</w:t>
            </w: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(10)</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(Gain) loss on extinguishment of debt</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(72,024)</w:t>
            </w:r>
          </w:p>
        </w:tc>
        <w:tc>
          <w:tcPr>
            <w:tcW w:w="1120" w:type="dxa"/>
            <w:vAlign w:val="bottom"/>
            <w:gridSpan w:val="3"/>
          </w:tcPr>
          <w:p>
            <w:pPr>
              <w:jc w:val="right"/>
              <w:ind w:right="320"/>
              <w:spacing w:after="0" w:line="144" w:lineRule="exact"/>
              <w:rPr>
                <w:sz w:val="20"/>
                <w:szCs w:val="20"/>
                <w:color w:val="auto"/>
              </w:rPr>
            </w:pPr>
            <w:r>
              <w:rPr>
                <w:rFonts w:ascii="Arial" w:cs="Arial" w:eastAsia="Arial" w:hAnsi="Arial"/>
                <w:sz w:val="14"/>
                <w:szCs w:val="14"/>
                <w:color w:val="auto"/>
              </w:rPr>
              <w:t>1,049</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Interest incurred through borrowings under Sanofi Loan Facility</w:t>
            </w: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4,478</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1,652</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Interest on note payable to principal stockholder</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2,901</w:t>
            </w:r>
          </w:p>
        </w:tc>
        <w:tc>
          <w:tcPr>
            <w:tcW w:w="100" w:type="dxa"/>
            <w:vAlign w:val="bottom"/>
          </w:tcPr>
          <w:p>
            <w:pPr>
              <w:spacing w:after="0"/>
              <w:rPr>
                <w:sz w:val="12"/>
                <w:szCs w:val="12"/>
                <w:color w:val="auto"/>
              </w:rPr>
            </w:pPr>
          </w:p>
        </w:tc>
        <w:tc>
          <w:tcPr>
            <w:tcW w:w="1120" w:type="dxa"/>
            <w:vAlign w:val="bottom"/>
            <w:gridSpan w:val="3"/>
          </w:tcPr>
          <w:p>
            <w:pPr>
              <w:jc w:val="right"/>
              <w:ind w:right="320"/>
              <w:spacing w:after="0" w:line="144" w:lineRule="exact"/>
              <w:rPr>
                <w:sz w:val="20"/>
                <w:szCs w:val="20"/>
                <w:color w:val="auto"/>
              </w:rPr>
            </w:pPr>
            <w:r>
              <w:rPr>
                <w:rFonts w:ascii="Arial" w:cs="Arial" w:eastAsia="Arial" w:hAnsi="Arial"/>
                <w:sz w:val="14"/>
                <w:szCs w:val="14"/>
                <w:color w:val="auto"/>
              </w:rPr>
              <w:t>2,894</w:t>
            </w: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2,894</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Series A Warrant issuance costs</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653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Other, net</w:t>
            </w:r>
          </w:p>
        </w:tc>
        <w:tc>
          <w:tcPr>
            <w:tcW w:w="580" w:type="dxa"/>
            <w:vAlign w:val="bottom"/>
          </w:tcPr>
          <w:p>
            <w:pPr>
              <w:jc w:val="right"/>
              <w:spacing w:after="0" w:line="144"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Loss on sale, abandonment/disposal or impairment of property and equipment</w:t>
            </w: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140,582</w:t>
            </w:r>
          </w:p>
        </w:tc>
        <w:tc>
          <w:tcPr>
            <w:tcW w:w="7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97</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(Gain) loss on purchase commitments</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(2,265)</w:t>
            </w:r>
          </w:p>
        </w:tc>
        <w:tc>
          <w:tcPr>
            <w:tcW w:w="1120" w:type="dxa"/>
            <w:vAlign w:val="bottom"/>
            <w:gridSpan w:val="3"/>
          </w:tcPr>
          <w:p>
            <w:pPr>
              <w:jc w:val="right"/>
              <w:ind w:right="320"/>
              <w:spacing w:after="0" w:line="144" w:lineRule="exact"/>
              <w:rPr>
                <w:sz w:val="20"/>
                <w:szCs w:val="20"/>
                <w:color w:val="auto"/>
              </w:rPr>
            </w:pPr>
            <w:r>
              <w:rPr>
                <w:rFonts w:ascii="Arial" w:cs="Arial" w:eastAsia="Arial" w:hAnsi="Arial"/>
                <w:sz w:val="14"/>
                <w:szCs w:val="14"/>
                <w:color w:val="auto"/>
              </w:rPr>
              <w:t>66,167</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Write-off of inventory</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36,104</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Write-off of Tranche B commitment asset</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1,753</w:t>
            </w:r>
          </w:p>
        </w:tc>
      </w:tr>
      <w:tr>
        <w:trPr>
          <w:trHeight w:val="144"/>
        </w:trPr>
        <w:tc>
          <w:tcPr>
            <w:tcW w:w="890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Write-off of derivative liability</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(363)</w:t>
            </w:r>
          </w:p>
        </w:tc>
      </w:tr>
      <w:tr>
        <w:trPr>
          <w:trHeight w:val="144"/>
        </w:trPr>
        <w:tc>
          <w:tcPr>
            <w:tcW w:w="8900" w:type="dxa"/>
            <w:vAlign w:val="bottom"/>
          </w:tcPr>
          <w:p>
            <w:pPr>
              <w:ind w:left="560"/>
              <w:spacing w:after="0" w:line="144" w:lineRule="exact"/>
              <w:rPr>
                <w:sz w:val="20"/>
                <w:szCs w:val="20"/>
                <w:color w:val="auto"/>
              </w:rPr>
            </w:pPr>
            <w:r>
              <w:rPr>
                <w:rFonts w:ascii="Arial" w:cs="Arial" w:eastAsia="Arial" w:hAnsi="Arial"/>
                <w:sz w:val="14"/>
                <w:szCs w:val="14"/>
                <w:color w:val="auto"/>
              </w:rPr>
              <w:t>Changes in operating assets and liabilities: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Accounts receivable</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(302)</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Receivable from Sanofi</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(30,534)</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Inventory</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(2,331)</w:t>
            </w:r>
          </w:p>
        </w:tc>
        <w:tc>
          <w:tcPr>
            <w:tcW w:w="1120" w:type="dxa"/>
            <w:vAlign w:val="bottom"/>
            <w:gridSpan w:val="3"/>
            <w:shd w:val="clear" w:color="auto" w:fill="CCEEFF"/>
          </w:tcPr>
          <w:p>
            <w:pPr>
              <w:jc w:val="right"/>
              <w:ind w:right="280"/>
              <w:spacing w:after="0" w:line="144" w:lineRule="exact"/>
              <w:rPr>
                <w:sz w:val="20"/>
                <w:szCs w:val="20"/>
                <w:color w:val="auto"/>
              </w:rPr>
            </w:pPr>
            <w:r>
              <w:rPr>
                <w:rFonts w:ascii="Arial" w:cs="Arial" w:eastAsia="Arial" w:hAnsi="Arial"/>
                <w:sz w:val="14"/>
                <w:szCs w:val="14"/>
                <w:color w:val="auto"/>
              </w:rPr>
              <w:t>(26,434)</w:t>
            </w: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(9,670)</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Receivables from collaboration</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320"/>
              <w:spacing w:after="0" w:line="144" w:lineRule="exact"/>
              <w:rPr>
                <w:sz w:val="20"/>
                <w:szCs w:val="20"/>
                <w:color w:val="auto"/>
              </w:rPr>
            </w:pPr>
            <w:r>
              <w:rPr>
                <w:rFonts w:ascii="Arial" w:cs="Arial" w:eastAsia="Arial" w:hAnsi="Arial"/>
                <w:sz w:val="14"/>
                <w:szCs w:val="14"/>
                <w:color w:val="auto"/>
              </w:rPr>
              <w:t>50,413</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rPr>
              <w:t>(50,436)</w:t>
            </w: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Deferred costs from commercial product sales</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(309)</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Deferred costs from collaboration</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13,539</w:t>
            </w:r>
          </w:p>
        </w:tc>
        <w:tc>
          <w:tcPr>
            <w:tcW w:w="100" w:type="dxa"/>
            <w:vAlign w:val="bottom"/>
          </w:tcPr>
          <w:p>
            <w:pPr>
              <w:spacing w:after="0"/>
              <w:rPr>
                <w:sz w:val="12"/>
                <w:szCs w:val="12"/>
                <w:color w:val="auto"/>
              </w:rPr>
            </w:pP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(13,539)</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Prepaid expenses and other current assets</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(346)</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13,481</w:t>
            </w: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(14,734)</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Other assets</w:t>
            </w:r>
          </w:p>
        </w:tc>
        <w:tc>
          <w:tcPr>
            <w:tcW w:w="580" w:type="dxa"/>
            <w:vAlign w:val="bottom"/>
          </w:tcPr>
          <w:p>
            <w:pPr>
              <w:jc w:val="right"/>
              <w:spacing w:after="0" w:line="144" w:lineRule="exact"/>
              <w:rPr>
                <w:sz w:val="20"/>
                <w:szCs w:val="20"/>
                <w:color w:val="auto"/>
              </w:rPr>
            </w:pPr>
            <w:r>
              <w:rPr>
                <w:rFonts w:ascii="Arial" w:cs="Arial" w:eastAsia="Arial" w:hAnsi="Arial"/>
                <w:sz w:val="14"/>
                <w:szCs w:val="14"/>
                <w:color w:val="auto"/>
              </w:rPr>
              <w:t>361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150</w:t>
            </w:r>
          </w:p>
        </w:tc>
        <w:tc>
          <w:tcPr>
            <w:tcW w:w="320" w:type="dxa"/>
            <w:vAlign w:val="bottom"/>
          </w:tcPr>
          <w:p>
            <w:pPr>
              <w:spacing w:after="0"/>
              <w:rPr>
                <w:sz w:val="12"/>
                <w:szCs w:val="12"/>
                <w:color w:val="auto"/>
              </w:rPr>
            </w:pP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rPr>
              <w:t>(615)</w:t>
            </w: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Accounts payable</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(12,118)</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8,413</w:t>
            </w:r>
          </w:p>
        </w:tc>
        <w:tc>
          <w:tcPr>
            <w:tcW w:w="7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3,622</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Accrued expenses and other current liabilities</w:t>
            </w:r>
          </w:p>
        </w:tc>
        <w:tc>
          <w:tcPr>
            <w:tcW w:w="580" w:type="dxa"/>
            <w:vAlign w:val="bottom"/>
          </w:tcPr>
          <w:p>
            <w:pPr>
              <w:jc w:val="right"/>
              <w:spacing w:after="0" w:line="144"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(12,467)</w:t>
            </w: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2,276</w:t>
            </w: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Deferred revenue</w:t>
            </w:r>
          </w:p>
        </w:tc>
        <w:tc>
          <w:tcPr>
            <w:tcW w:w="600" w:type="dxa"/>
            <w:vAlign w:val="bottom"/>
            <w:gridSpan w:val="2"/>
            <w:shd w:val="clear" w:color="auto" w:fill="CCEEFF"/>
          </w:tcPr>
          <w:p>
            <w:pPr>
              <w:jc w:val="right"/>
              <w:ind w:right="20"/>
              <w:spacing w:after="0" w:line="144" w:lineRule="exact"/>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Deferred payments from collaboration</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(134,056)</w:t>
            </w:r>
          </w:p>
        </w:tc>
        <w:tc>
          <w:tcPr>
            <w:tcW w:w="80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950</w:t>
            </w:r>
          </w:p>
        </w:tc>
        <w:tc>
          <w:tcPr>
            <w:tcW w:w="320" w:type="dxa"/>
            <w:vAlign w:val="bottom"/>
          </w:tcPr>
          <w:p>
            <w:pPr>
              <w:spacing w:after="0"/>
              <w:rPr>
                <w:sz w:val="12"/>
                <w:szCs w:val="12"/>
                <w:color w:val="auto"/>
              </w:rPr>
            </w:pP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200,436</w:t>
            </w:r>
          </w:p>
        </w:tc>
      </w:tr>
      <w:tr>
        <w:trPr>
          <w:trHeight w:val="144"/>
        </w:trPr>
        <w:tc>
          <w:tcPr>
            <w:tcW w:w="8900" w:type="dxa"/>
            <w:vAlign w:val="bottom"/>
            <w:shd w:val="clear" w:color="auto" w:fill="CCEEFF"/>
          </w:tcPr>
          <w:p>
            <w:pPr>
              <w:ind w:left="840"/>
              <w:spacing w:after="0" w:line="144" w:lineRule="exact"/>
              <w:rPr>
                <w:sz w:val="20"/>
                <w:szCs w:val="20"/>
                <w:color w:val="auto"/>
              </w:rPr>
            </w:pPr>
            <w:r>
              <w:rPr>
                <w:rFonts w:ascii="Arial" w:cs="Arial" w:eastAsia="Arial" w:hAnsi="Arial"/>
                <w:sz w:val="14"/>
                <w:szCs w:val="14"/>
                <w:color w:val="auto"/>
              </w:rPr>
              <w:t>Deferred sales from collaboration</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(17,503)</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17,067</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840"/>
              <w:spacing w:after="0" w:line="144" w:lineRule="exact"/>
              <w:rPr>
                <w:sz w:val="20"/>
                <w:szCs w:val="20"/>
                <w:color w:val="auto"/>
              </w:rPr>
            </w:pPr>
            <w:r>
              <w:rPr>
                <w:rFonts w:ascii="Arial" w:cs="Arial" w:eastAsia="Arial" w:hAnsi="Arial"/>
                <w:sz w:val="14"/>
                <w:szCs w:val="14"/>
                <w:color w:val="auto"/>
              </w:rPr>
              <w:t>Recognized loss on purchase commitments</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40,566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57"/>
        </w:trPr>
        <w:tc>
          <w:tcPr>
            <w:tcW w:w="8900" w:type="dxa"/>
            <w:vAlign w:val="bottom"/>
            <w:shd w:val="clear" w:color="auto" w:fill="CCEEFF"/>
          </w:tcPr>
          <w:p>
            <w:pPr>
              <w:ind w:left="840"/>
              <w:spacing w:after="0" w:line="157" w:lineRule="exact"/>
              <w:rPr>
                <w:sz w:val="20"/>
                <w:szCs w:val="20"/>
                <w:color w:val="auto"/>
              </w:rPr>
            </w:pPr>
            <w:r>
              <w:rPr>
                <w:rFonts w:ascii="Arial" w:cs="Arial" w:eastAsia="Arial" w:hAnsi="Arial"/>
                <w:sz w:val="14"/>
                <w:szCs w:val="14"/>
                <w:color w:val="auto"/>
              </w:rPr>
              <w:t>Milestone rights liability and other liabilities</w:t>
            </w:r>
          </w:p>
        </w:tc>
        <w:tc>
          <w:tcPr>
            <w:tcW w:w="700" w:type="dxa"/>
            <w:vAlign w:val="bottom"/>
            <w:gridSpan w:val="3"/>
            <w:shd w:val="clear" w:color="auto" w:fill="CCEEFF"/>
          </w:tcPr>
          <w:p>
            <w:pPr>
              <w:jc w:val="right"/>
              <w:ind w:right="18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33</w:t>
            </w:r>
          </w:p>
        </w:tc>
        <w:tc>
          <w:tcPr>
            <w:tcW w:w="3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w:t>
            </w:r>
          </w:p>
        </w:tc>
      </w:tr>
      <w:tr>
        <w:trPr>
          <w:trHeight w:val="156"/>
        </w:trPr>
        <w:tc>
          <w:tcPr>
            <w:tcW w:w="8900" w:type="dxa"/>
            <w:vAlign w:val="bottom"/>
          </w:tcPr>
          <w:p>
            <w:pPr>
              <w:ind w:left="1120"/>
              <w:spacing w:after="0" w:line="150" w:lineRule="exact"/>
              <w:rPr>
                <w:sz w:val="20"/>
                <w:szCs w:val="20"/>
                <w:color w:val="auto"/>
              </w:rPr>
            </w:pPr>
            <w:r>
              <w:rPr>
                <w:rFonts w:ascii="Arial" w:cs="Arial" w:eastAsia="Arial" w:hAnsi="Arial"/>
                <w:sz w:val="14"/>
                <w:szCs w:val="14"/>
                <w:color w:val="auto"/>
              </w:rPr>
              <w:t>Net cash (used in) provided by operating activities</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(78,090)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(57,232)</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4,086</w:t>
            </w:r>
          </w:p>
        </w:tc>
        <w:tc>
          <w:tcPr>
            <w:tcW w:w="100" w:type="dxa"/>
            <w:vAlign w:val="bottom"/>
          </w:tcPr>
          <w:p>
            <w:pPr>
              <w:spacing w:after="0"/>
              <w:rPr>
                <w:sz w:val="13"/>
                <w:szCs w:val="13"/>
                <w:color w:val="auto"/>
              </w:rPr>
            </w:pPr>
          </w:p>
        </w:tc>
      </w:tr>
      <w:tr>
        <w:trPr>
          <w:trHeight w:val="144"/>
        </w:trPr>
        <w:tc>
          <w:tcPr>
            <w:tcW w:w="89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INVESTING ACTIVITIES: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Purchase of property and equipment</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(1,144)</w:t>
            </w: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(10,285)</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rPr>
              <w:t>(24,097)</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Proceeds from sale of property and equipment</w:t>
            </w:r>
          </w:p>
        </w:tc>
        <w:tc>
          <w:tcPr>
            <w:tcW w:w="5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82</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56"/>
        </w:trPr>
        <w:tc>
          <w:tcPr>
            <w:tcW w:w="8900" w:type="dxa"/>
            <w:vAlign w:val="bottom"/>
          </w:tcPr>
          <w:p>
            <w:pPr>
              <w:ind w:left="1120"/>
              <w:spacing w:after="0" w:line="150"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(1,127)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(10,203)</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(24,097)</w:t>
            </w:r>
          </w:p>
        </w:tc>
        <w:tc>
          <w:tcPr>
            <w:tcW w:w="100" w:type="dxa"/>
            <w:vAlign w:val="bottom"/>
          </w:tcPr>
          <w:p>
            <w:pPr>
              <w:spacing w:after="0"/>
              <w:rPr>
                <w:sz w:val="13"/>
                <w:szCs w:val="13"/>
                <w:color w:val="auto"/>
              </w:rPr>
            </w:pPr>
          </w:p>
        </w:tc>
      </w:tr>
      <w:tr>
        <w:trPr>
          <w:trHeight w:val="144"/>
        </w:trPr>
        <w:tc>
          <w:tcPr>
            <w:tcW w:w="89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Proceeds from direct placement of common stock and warrants</w:t>
            </w:r>
          </w:p>
        </w:tc>
        <w:tc>
          <w:tcPr>
            <w:tcW w:w="600" w:type="dxa"/>
            <w:vAlign w:val="bottom"/>
            <w:gridSpan w:val="2"/>
          </w:tcPr>
          <w:p>
            <w:pPr>
              <w:jc w:val="right"/>
              <w:ind w:right="20"/>
              <w:spacing w:after="0" w:line="144"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Issuance costs associated with direct placement</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(2,690)</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Payment of notes payable to Deerfield</w:t>
            </w:r>
          </w:p>
        </w:tc>
        <w:tc>
          <w:tcPr>
            <w:tcW w:w="700" w:type="dxa"/>
            <w:vAlign w:val="bottom"/>
            <w:gridSpan w:val="3"/>
          </w:tcPr>
          <w:p>
            <w:pPr>
              <w:jc w:val="right"/>
              <w:ind w:right="60"/>
              <w:spacing w:after="0" w:line="144" w:lineRule="exact"/>
              <w:rPr>
                <w:sz w:val="20"/>
                <w:szCs w:val="20"/>
                <w:color w:val="auto"/>
              </w:rPr>
            </w:pPr>
            <w:r>
              <w:rPr>
                <w:rFonts w:ascii="Arial" w:cs="Arial" w:eastAsia="Arial" w:hAnsi="Arial"/>
                <w:sz w:val="14"/>
                <w:szCs w:val="14"/>
                <w:color w:val="auto"/>
              </w:rPr>
              <w:t>(5,000)</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Payment of employment taxes related to vested restricted stock units</w:t>
            </w:r>
          </w:p>
        </w:tc>
        <w:tc>
          <w:tcPr>
            <w:tcW w:w="700" w:type="dxa"/>
            <w:vAlign w:val="bottom"/>
            <w:gridSpan w:val="3"/>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(165)</w:t>
            </w:r>
          </w:p>
        </w:tc>
        <w:tc>
          <w:tcPr>
            <w:tcW w:w="1120" w:type="dxa"/>
            <w:vAlign w:val="bottom"/>
            <w:gridSpan w:val="3"/>
            <w:shd w:val="clear" w:color="auto" w:fill="CCEEFF"/>
          </w:tcPr>
          <w:p>
            <w:pPr>
              <w:jc w:val="right"/>
              <w:ind w:right="280"/>
              <w:spacing w:after="0" w:line="144" w:lineRule="exact"/>
              <w:rPr>
                <w:sz w:val="20"/>
                <w:szCs w:val="20"/>
                <w:color w:val="auto"/>
              </w:rPr>
            </w:pPr>
            <w:r>
              <w:rPr>
                <w:rFonts w:ascii="Arial" w:cs="Arial" w:eastAsia="Arial" w:hAnsi="Arial"/>
                <w:sz w:val="14"/>
                <w:szCs w:val="14"/>
                <w:color w:val="auto"/>
              </w:rPr>
              <w:t>(1,858)</w:t>
            </w:r>
          </w:p>
        </w:tc>
        <w:tc>
          <w:tcPr>
            <w:tcW w:w="70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(26,908)</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Proceeds from issuance of common stock</w:t>
            </w:r>
          </w:p>
        </w:tc>
        <w:tc>
          <w:tcPr>
            <w:tcW w:w="580" w:type="dxa"/>
            <w:vAlign w:val="bottom"/>
          </w:tcPr>
          <w:p>
            <w:pPr>
              <w:jc w:val="right"/>
              <w:spacing w:after="0" w:line="144" w:lineRule="exact"/>
              <w:rPr>
                <w:sz w:val="20"/>
                <w:szCs w:val="20"/>
                <w:color w:val="auto"/>
              </w:rPr>
            </w:pPr>
            <w:r>
              <w:rPr>
                <w:rFonts w:ascii="Arial" w:cs="Arial" w:eastAsia="Arial" w:hAnsi="Arial"/>
                <w:sz w:val="14"/>
                <w:szCs w:val="14"/>
                <w:color w:val="auto"/>
              </w:rPr>
              <w:t>893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right"/>
              <w:ind w:right="320"/>
              <w:spacing w:after="0" w:line="144" w:lineRule="exact"/>
              <w:rPr>
                <w:sz w:val="20"/>
                <w:szCs w:val="20"/>
                <w:color w:val="auto"/>
              </w:rPr>
            </w:pPr>
            <w:r>
              <w:rPr>
                <w:rFonts w:ascii="Arial" w:cs="Arial" w:eastAsia="Arial" w:hAnsi="Arial"/>
                <w:sz w:val="14"/>
                <w:szCs w:val="14"/>
                <w:color w:val="auto"/>
              </w:rPr>
              <w:t>4,146</w:t>
            </w: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12,341</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Proceeds from issuance of common stock under Tel Aviv Stock Exchange</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36,142</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Issuance costs associated with the Tel Aviv Stock Exchange</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(1,432)</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Exercise of warrants for common stock</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10,123</w:t>
            </w:r>
          </w:p>
        </w:tc>
        <w:tc>
          <w:tcPr>
            <w:tcW w:w="7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27,779</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Payment of 2015 notes</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(64,287)</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Payment of debt issuance costs on 2018 notes</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80"/>
              <w:spacing w:after="0" w:line="144" w:lineRule="exact"/>
              <w:rPr>
                <w:sz w:val="20"/>
                <w:szCs w:val="20"/>
                <w:color w:val="auto"/>
              </w:rPr>
            </w:pPr>
            <w:r>
              <w:rPr>
                <w:rFonts w:ascii="Arial" w:cs="Arial" w:eastAsia="Arial" w:hAnsi="Arial"/>
                <w:sz w:val="14"/>
                <w:szCs w:val="14"/>
                <w:color w:val="auto"/>
              </w:rPr>
              <w:t>(831)</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Proceeds from issuance of facility financing obligation and milestone rights</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4" w:lineRule="exact"/>
              <w:rPr>
                <w:sz w:val="20"/>
                <w:szCs w:val="20"/>
                <w:color w:val="auto"/>
              </w:rPr>
            </w:pPr>
            <w:r>
              <w:rPr>
                <w:rFonts w:ascii="Arial" w:cs="Arial" w:eastAsia="Arial" w:hAnsi="Arial"/>
                <w:sz w:val="14"/>
                <w:szCs w:val="14"/>
                <w:color w:val="auto"/>
              </w:rPr>
              <w:t>40,000</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Proceeds from issuance of Tranche B of the facility financing obligation</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4"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20,000</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Milestone payment</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(4,219)</w:t>
            </w:r>
          </w:p>
        </w:tc>
        <w:tc>
          <w:tcPr>
            <w:tcW w:w="700" w:type="dxa"/>
            <w:vAlign w:val="bottom"/>
            <w:gridSpan w:val="2"/>
          </w:tcPr>
          <w:p>
            <w:pPr>
              <w:jc w:val="right"/>
              <w:ind w:right="60"/>
              <w:spacing w:after="0" w:line="144" w:lineRule="exact"/>
              <w:rPr>
                <w:sz w:val="20"/>
                <w:szCs w:val="20"/>
                <w:color w:val="auto"/>
              </w:rPr>
            </w:pPr>
            <w:r>
              <w:rPr>
                <w:rFonts w:ascii="Arial" w:cs="Arial" w:eastAsia="Arial" w:hAnsi="Arial"/>
                <w:sz w:val="14"/>
                <w:szCs w:val="14"/>
                <w:color w:val="auto"/>
              </w:rPr>
              <w:t>(3,150)</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Proceeds from issuance of common stock pursuant to at-the-market issuance</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320"/>
              <w:spacing w:after="0" w:line="144" w:lineRule="exact"/>
              <w:rPr>
                <w:sz w:val="20"/>
                <w:szCs w:val="20"/>
                <w:color w:val="auto"/>
              </w:rPr>
            </w:pPr>
            <w:r>
              <w:rPr>
                <w:rFonts w:ascii="Arial" w:cs="Arial" w:eastAsia="Arial" w:hAnsi="Arial"/>
                <w:sz w:val="14"/>
                <w:szCs w:val="14"/>
                <w:color w:val="auto"/>
              </w:rPr>
              <w:t>28,392</w:t>
            </w: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tcPr>
          <w:p>
            <w:pPr>
              <w:ind w:left="280"/>
              <w:spacing w:after="0" w:line="144" w:lineRule="exact"/>
              <w:rPr>
                <w:sz w:val="20"/>
                <w:szCs w:val="20"/>
                <w:color w:val="auto"/>
              </w:rPr>
            </w:pPr>
            <w:r>
              <w:rPr>
                <w:rFonts w:ascii="Arial" w:cs="Arial" w:eastAsia="Arial" w:hAnsi="Arial"/>
                <w:sz w:val="14"/>
                <w:szCs w:val="14"/>
                <w:color w:val="auto"/>
              </w:rPr>
              <w:t>Issuance costs of at-the-market transactions</w:t>
            </w:r>
          </w:p>
        </w:tc>
        <w:tc>
          <w:tcPr>
            <w:tcW w:w="700" w:type="dxa"/>
            <w:vAlign w:val="bottom"/>
            <w:gridSpan w:val="3"/>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80"/>
              <w:spacing w:after="0" w:line="144" w:lineRule="exact"/>
              <w:rPr>
                <w:sz w:val="20"/>
                <w:szCs w:val="20"/>
                <w:color w:val="auto"/>
              </w:rPr>
            </w:pPr>
            <w:r>
              <w:rPr>
                <w:rFonts w:ascii="Arial" w:cs="Arial" w:eastAsia="Arial" w:hAnsi="Arial"/>
                <w:sz w:val="14"/>
                <w:szCs w:val="14"/>
                <w:color w:val="auto"/>
              </w:rPr>
              <w:t>(548)</w:t>
            </w:r>
          </w:p>
        </w:tc>
        <w:tc>
          <w:tcPr>
            <w:tcW w:w="700" w:type="dxa"/>
            <w:vAlign w:val="bottom"/>
            <w:gridSpan w:val="2"/>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44"/>
        </w:trPr>
        <w:tc>
          <w:tcPr>
            <w:tcW w:w="890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Other</w:t>
            </w:r>
          </w:p>
        </w:tc>
        <w:tc>
          <w:tcPr>
            <w:tcW w:w="700" w:type="dxa"/>
            <w:vAlign w:val="bottom"/>
            <w:gridSpan w:val="3"/>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40</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w:t>
            </w:r>
          </w:p>
        </w:tc>
      </w:tr>
      <w:tr>
        <w:trPr>
          <w:trHeight w:val="150"/>
        </w:trPr>
        <w:tc>
          <w:tcPr>
            <w:tcW w:w="8900" w:type="dxa"/>
            <w:vAlign w:val="bottom"/>
          </w:tcPr>
          <w:p>
            <w:pPr>
              <w:ind w:left="1120"/>
              <w:spacing w:after="0" w:line="150" w:lineRule="exact"/>
              <w:rPr>
                <w:sz w:val="20"/>
                <w:szCs w:val="20"/>
                <w:color w:val="auto"/>
              </w:rPr>
            </w:pPr>
            <w:r>
              <w:rPr>
                <w:rFonts w:ascii="Arial" w:cs="Arial" w:eastAsia="Arial" w:hAnsi="Arial"/>
                <w:sz w:val="14"/>
                <w:szCs w:val="14"/>
                <w:color w:val="auto"/>
              </w:rPr>
              <w:t>Net cash provided by financing activities</w:t>
            </w:r>
          </w:p>
        </w:tc>
        <w:tc>
          <w:tcPr>
            <w:tcW w:w="58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43,038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5,668</w:t>
            </w:r>
          </w:p>
        </w:tc>
        <w:tc>
          <w:tcPr>
            <w:tcW w:w="32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70,062</w:t>
            </w:r>
          </w:p>
        </w:tc>
        <w:tc>
          <w:tcPr>
            <w:tcW w:w="100" w:type="dxa"/>
            <w:vAlign w:val="bottom"/>
          </w:tcPr>
          <w:p>
            <w:pPr>
              <w:spacing w:after="0"/>
              <w:rPr>
                <w:sz w:val="13"/>
                <w:szCs w:val="13"/>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9"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center"/>
              <w:ind w:left="310"/>
              <w:spacing w:after="0"/>
              <w:rPr>
                <w:sz w:val="20"/>
                <w:szCs w:val="20"/>
                <w:color w:val="auto"/>
              </w:rPr>
            </w:pPr>
            <w:r>
              <w:rPr>
                <w:rFonts w:ascii="Arial" w:cs="Arial" w:eastAsia="Arial" w:hAnsi="Arial"/>
                <w:sz w:val="14"/>
                <w:szCs w:val="14"/>
                <w:color w:val="auto"/>
                <w:w w:val="89"/>
              </w:rPr>
              <w:t>Year Ended December 31,</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7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0"/>
              <w:spacing w:after="0" w:line="137" w:lineRule="exact"/>
              <w:rPr>
                <w:sz w:val="20"/>
                <w:szCs w:val="20"/>
                <w:color w:val="auto"/>
              </w:rPr>
            </w:pPr>
            <w:r>
              <w:rPr>
                <w:rFonts w:ascii="Arial" w:cs="Arial" w:eastAsia="Arial" w:hAnsi="Arial"/>
                <w:sz w:val="14"/>
                <w:szCs w:val="14"/>
                <w:color w:val="auto"/>
                <w:w w:val="96"/>
              </w:rPr>
              <w:t>2016</w:t>
            </w: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ind w:right="30"/>
              <w:spacing w:after="0" w:line="137" w:lineRule="exact"/>
              <w:rPr>
                <w:sz w:val="20"/>
                <w:szCs w:val="20"/>
                <w:color w:val="auto"/>
              </w:rPr>
            </w:pPr>
            <w:r>
              <w:rPr>
                <w:rFonts w:ascii="Arial" w:cs="Arial" w:eastAsia="Arial" w:hAnsi="Arial"/>
                <w:sz w:val="14"/>
                <w:szCs w:val="14"/>
                <w:color w:val="auto"/>
                <w:w w:val="89"/>
              </w:rPr>
              <w:t>2015</w:t>
            </w: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0"/>
              <w:spacing w:after="0" w:line="137" w:lineRule="exact"/>
              <w:rPr>
                <w:sz w:val="20"/>
                <w:szCs w:val="20"/>
                <w:color w:val="auto"/>
              </w:rPr>
            </w:pPr>
            <w:r>
              <w:rPr>
                <w:rFonts w:ascii="Arial" w:cs="Arial" w:eastAsia="Arial" w:hAnsi="Arial"/>
                <w:sz w:val="14"/>
                <w:szCs w:val="14"/>
                <w:color w:val="auto"/>
              </w:rPr>
              <w:t>2014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jc w:val="center"/>
              <w:spacing w:after="0" w:line="137"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(DECREASE) INCREASE IN CASH AND CASH EQUIVALENTS</w:t>
            </w:r>
          </w:p>
        </w:tc>
        <w:tc>
          <w:tcPr>
            <w:tcW w:w="14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w w:val="88"/>
              </w:rPr>
              <w:t>(36,179)</w:t>
            </w:r>
          </w:p>
        </w:tc>
        <w:tc>
          <w:tcPr>
            <w:tcW w:w="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4"/>
                <w:szCs w:val="14"/>
                <w:color w:val="auto"/>
                <w:w w:val="91"/>
              </w:rPr>
              <w:t>(61,767)</w:t>
            </w:r>
          </w:p>
        </w:tc>
        <w:tc>
          <w:tcPr>
            <w:tcW w:w="2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50,051</w:t>
            </w:r>
          </w:p>
        </w:tc>
        <w:tc>
          <w:tcPr>
            <w:tcW w:w="0" w:type="dxa"/>
            <w:vAlign w:val="bottom"/>
          </w:tcPr>
          <w:p>
            <w:pPr>
              <w:spacing w:after="0"/>
              <w:rPr>
                <w:sz w:val="1"/>
                <w:szCs w:val="1"/>
                <w:color w:val="auto"/>
              </w:rPr>
            </w:pPr>
          </w:p>
        </w:tc>
      </w:tr>
      <w:tr>
        <w:trPr>
          <w:trHeight w:val="144"/>
        </w:trPr>
        <w:tc>
          <w:tcPr>
            <w:tcW w:w="7540" w:type="dxa"/>
            <w:vAlign w:val="bottom"/>
          </w:tcPr>
          <w:p>
            <w:pPr>
              <w:spacing w:after="0" w:line="144" w:lineRule="exact"/>
              <w:rPr>
                <w:sz w:val="20"/>
                <w:szCs w:val="20"/>
                <w:color w:val="auto"/>
              </w:rPr>
            </w:pPr>
            <w:r>
              <w:rPr>
                <w:rFonts w:ascii="Arial" w:cs="Arial" w:eastAsia="Arial" w:hAnsi="Arial"/>
                <w:sz w:val="14"/>
                <w:szCs w:val="14"/>
                <w:color w:val="auto"/>
              </w:rPr>
              <w:t>CASH AND CASH EQUIVALENTS, BEGINNING OF PERIOD</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4" w:lineRule="exact"/>
              <w:rPr>
                <w:sz w:val="20"/>
                <w:szCs w:val="20"/>
                <w:color w:val="auto"/>
              </w:rPr>
            </w:pPr>
            <w:r>
              <w:rPr>
                <w:rFonts w:ascii="Arial" w:cs="Arial" w:eastAsia="Arial" w:hAnsi="Arial"/>
                <w:sz w:val="14"/>
                <w:szCs w:val="14"/>
                <w:color w:val="auto"/>
                <w:w w:val="93"/>
              </w:rPr>
              <w:t>59,074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4" w:lineRule="exact"/>
              <w:rPr>
                <w:sz w:val="20"/>
                <w:szCs w:val="20"/>
                <w:color w:val="auto"/>
              </w:rPr>
            </w:pPr>
            <w:r>
              <w:rPr>
                <w:rFonts w:ascii="Arial" w:cs="Arial" w:eastAsia="Arial" w:hAnsi="Arial"/>
                <w:sz w:val="14"/>
                <w:szCs w:val="14"/>
                <w:color w:val="auto"/>
                <w:w w:val="86"/>
              </w:rPr>
              <w:t>120,841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4" w:lineRule="exact"/>
              <w:rPr>
                <w:sz w:val="20"/>
                <w:szCs w:val="20"/>
                <w:color w:val="auto"/>
              </w:rPr>
            </w:pPr>
            <w:r>
              <w:rPr>
                <w:rFonts w:ascii="Arial" w:cs="Arial" w:eastAsia="Arial" w:hAnsi="Arial"/>
                <w:sz w:val="14"/>
                <w:szCs w:val="14"/>
                <w:color w:val="auto"/>
              </w:rPr>
              <w:t>70,790</w:t>
            </w: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7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AND CASH EQUIVALENTS, END OF PERIOD</w:t>
            </w:r>
          </w:p>
        </w:tc>
        <w:tc>
          <w:tcPr>
            <w:tcW w:w="14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w w:val="93"/>
              </w:rPr>
              <w:t>22,895</w:t>
            </w:r>
          </w:p>
        </w:tc>
        <w:tc>
          <w:tcPr>
            <w:tcW w:w="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4" w:lineRule="exact"/>
              <w:rPr>
                <w:sz w:val="20"/>
                <w:szCs w:val="20"/>
                <w:color w:val="auto"/>
              </w:rPr>
            </w:pPr>
            <w:r>
              <w:rPr>
                <w:rFonts w:ascii="Arial" w:cs="Arial" w:eastAsia="Arial" w:hAnsi="Arial"/>
                <w:sz w:val="14"/>
                <w:szCs w:val="14"/>
                <w:color w:val="auto"/>
              </w:rPr>
              <w:t>59,074</w:t>
            </w:r>
          </w:p>
        </w:tc>
        <w:tc>
          <w:tcPr>
            <w:tcW w:w="2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u w:val="single" w:color="auto"/>
                <w:color w:val="auto"/>
              </w:rPr>
              <w:t>$</w:t>
            </w: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86"/>
              </w:rPr>
              <w:t>120,841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4"/>
                <w:szCs w:val="14"/>
                <w:color w:val="auto"/>
              </w:rPr>
              <w:t>SUPPLEMENTAL CASH FLOWS DISCLOSURES: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54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Interest paid in cash, net of amounts capitalized to construction in progress</w:t>
            </w:r>
          </w:p>
        </w:tc>
        <w:tc>
          <w:tcPr>
            <w:tcW w:w="14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4"/>
                <w:szCs w:val="14"/>
                <w:color w:val="auto"/>
              </w:rPr>
              <w:t>8,991</w:t>
            </w:r>
          </w:p>
        </w:tc>
        <w:tc>
          <w:tcPr>
            <w:tcW w:w="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4" w:lineRule="exact"/>
              <w:rPr>
                <w:sz w:val="20"/>
                <w:szCs w:val="20"/>
                <w:color w:val="auto"/>
              </w:rPr>
            </w:pPr>
            <w:r>
              <w:rPr>
                <w:rFonts w:ascii="Arial" w:cs="Arial" w:eastAsia="Arial" w:hAnsi="Arial"/>
                <w:sz w:val="14"/>
                <w:szCs w:val="14"/>
                <w:color w:val="auto"/>
              </w:rPr>
              <w:t>13,355</w:t>
            </w:r>
          </w:p>
        </w:tc>
        <w:tc>
          <w:tcPr>
            <w:tcW w:w="2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4"/>
                <w:szCs w:val="14"/>
                <w:color w:val="auto"/>
              </w:rPr>
              <w:t>NON-CASH INVESTING AND FINANCING ACTIVITIES:</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54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Payment of 2015 notes and interest through issuance of common stock</w:t>
            </w:r>
          </w:p>
        </w:tc>
        <w:tc>
          <w:tcPr>
            <w:tcW w:w="14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20"/>
              <w:spacing w:after="0" w:line="144"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00"/>
              <w:spacing w:after="0" w:line="144" w:lineRule="exact"/>
              <w:rPr>
                <w:sz w:val="20"/>
                <w:szCs w:val="20"/>
                <w:color w:val="auto"/>
              </w:rPr>
            </w:pPr>
            <w:r>
              <w:rPr>
                <w:rFonts w:ascii="Arial" w:cs="Arial" w:eastAsia="Arial" w:hAnsi="Arial"/>
                <w:sz w:val="14"/>
                <w:szCs w:val="14"/>
                <w:color w:val="auto"/>
              </w:rPr>
              <w:t>8,253</w:t>
            </w:r>
          </w:p>
        </w:tc>
        <w:tc>
          <w:tcPr>
            <w:tcW w:w="2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44"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80"/>
              <w:spacing w:after="0"/>
              <w:rPr>
                <w:sz w:val="20"/>
                <w:szCs w:val="20"/>
                <w:color w:val="auto"/>
              </w:rPr>
            </w:pPr>
            <w:r>
              <w:rPr>
                <w:rFonts w:ascii="Arial" w:cs="Arial" w:eastAsia="Arial" w:hAnsi="Arial"/>
                <w:sz w:val="14"/>
                <w:szCs w:val="14"/>
                <w:color w:val="auto"/>
              </w:rPr>
              <w:t>Issuance of common stock pursuant to debt conversion by Deerfield</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10"/>
              <w:spacing w:after="0" w:line="13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93,500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shd w:val="clear" w:color="auto" w:fill="CCEEFF"/>
          </w:tcPr>
          <w:p>
            <w:pPr>
              <w:ind w:left="280"/>
              <w:spacing w:after="0" w:line="137" w:lineRule="exact"/>
              <w:rPr>
                <w:sz w:val="20"/>
                <w:szCs w:val="20"/>
                <w:color w:val="auto"/>
              </w:rPr>
            </w:pPr>
            <w:r>
              <w:rPr>
                <w:rFonts w:ascii="Arial" w:cs="Arial" w:eastAsia="Arial" w:hAnsi="Arial"/>
                <w:sz w:val="14"/>
                <w:szCs w:val="14"/>
                <w:color w:val="auto"/>
              </w:rPr>
              <w:t>Non-cash construction in progress and property and equipment</w:t>
            </w:r>
          </w:p>
        </w:tc>
        <w:tc>
          <w:tcPr>
            <w:tcW w:w="14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4"/>
                <w:szCs w:val="14"/>
                <w:color w:val="auto"/>
              </w:rPr>
              <w:t>588</w:t>
            </w:r>
          </w:p>
        </w:tc>
        <w:tc>
          <w:tcPr>
            <w:tcW w:w="3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280"/>
              <w:spacing w:after="0"/>
              <w:rPr>
                <w:sz w:val="20"/>
                <w:szCs w:val="20"/>
                <w:color w:val="auto"/>
              </w:rPr>
            </w:pPr>
            <w:r>
              <w:rPr>
                <w:rFonts w:ascii="Arial" w:cs="Arial" w:eastAsia="Arial" w:hAnsi="Arial"/>
                <w:sz w:val="14"/>
                <w:szCs w:val="14"/>
                <w:color w:val="auto"/>
              </w:rPr>
              <w:t>Reclassification of deferred payments from collaboration to Sanofi loan facility and loss share obligation</w:t>
            </w: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5,174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59,337</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3,034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540" w:type="dxa"/>
            <w:vAlign w:val="bottom"/>
            <w:shd w:val="clear" w:color="auto" w:fill="CCEEFF"/>
          </w:tcPr>
          <w:p>
            <w:pPr>
              <w:ind w:left="280"/>
              <w:spacing w:after="0" w:line="137" w:lineRule="exact"/>
              <w:rPr>
                <w:sz w:val="20"/>
                <w:szCs w:val="20"/>
                <w:color w:val="auto"/>
              </w:rPr>
            </w:pPr>
            <w:r>
              <w:rPr>
                <w:rFonts w:ascii="Arial" w:cs="Arial" w:eastAsia="Arial" w:hAnsi="Arial"/>
                <w:sz w:val="14"/>
                <w:szCs w:val="14"/>
                <w:color w:val="auto"/>
              </w:rPr>
              <w:t>Reclassification of property and equipment to asset held for sale</w:t>
            </w:r>
          </w:p>
        </w:tc>
        <w:tc>
          <w:tcPr>
            <w:tcW w:w="148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37" w:lineRule="exact"/>
              <w:rPr>
                <w:sz w:val="20"/>
                <w:szCs w:val="20"/>
                <w:color w:val="auto"/>
              </w:rPr>
            </w:pPr>
            <w:r>
              <w:rPr>
                <w:rFonts w:ascii="Arial" w:cs="Arial" w:eastAsia="Arial" w:hAnsi="Arial"/>
                <w:sz w:val="14"/>
                <w:szCs w:val="14"/>
                <w:color w:val="auto"/>
                <w:w w:val="93"/>
              </w:rPr>
              <w:t>17,294</w:t>
            </w:r>
          </w:p>
        </w:tc>
        <w:tc>
          <w:tcPr>
            <w:tcW w:w="36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80"/>
              <w:spacing w:after="0" w:line="137"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49"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MANNKIND CORPORATION AND SUBSIDIARIES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125"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i w:val="1"/>
          <w:iCs w:val="1"/>
          <w:color w:val="auto"/>
        </w:rPr>
        <w:t xml:space="preserve">Business </w:t>
      </w:r>
      <w:r>
        <w:rPr>
          <w:rFonts w:ascii="Arial" w:cs="Arial" w:eastAsia="Arial" w:hAnsi="Arial"/>
          <w:sz w:val="17"/>
          <w:szCs w:val="17"/>
          <w:color w:val="auto"/>
        </w:rPr>
        <w:t>— MannKind Corporation and subsidiaries (the “Company”) is a biopharmaceutical company focused on the discovery and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products for diseases such as diabetes. The Company’s only approved product, Afrezza, (insulin human [rDNA origin]) inhalation powder, is a rapid-acting inhaled insulin that was approved by the U.S. Food and Drug Administration (the “FDA”) on June 27, 2014 to improve glycemic control in adult patients with diabetes.</w:t>
      </w:r>
    </w:p>
    <w:p>
      <w:pPr>
        <w:spacing w:after="0" w:line="17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 On August 11, 2014, the Company entered into a license and collaboration agreement (the “Sanofi License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Sanofi-Aventis Deutschland GmbH (which subsequently assigned its rights and obligations under the agreement to Sanofi-Aventis U.S. LLC (“Sanofi”)), pursuant to which Sanofi was responsible for Afrezza global commercial, regulatory and development activities for Afrezza.</w:t>
      </w:r>
    </w:p>
    <w:p>
      <w:pPr>
        <w:spacing w:after="0" w:line="171"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On January 4, 2016, the Company received written notification from Sanofi of its election to terminate in its entirety the Sanofi License Agreement. The effective date of termination (the “Termination Date”) was April 4, 2016, which was when the Company assumed responsibility for worldwide development and commercialization of Afrezza. Under terms of a transition agreement, Sanofi continued to fulfill orders for Afrezza in the United States until the Company began distributing MannKind-branded Afrezza product to major wholesalers in late July 2016. The Company began recognizing commercial product sales revenue when MannKind-branded Afrezza was dispensed from pharmacies to patients in August 2016.</w:t>
      </w:r>
    </w:p>
    <w:p>
      <w:pPr>
        <w:spacing w:after="0" w:line="178"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(the “Sanofi Loan Facility”) between the Company and Aventisub LLC (“Aventisub”), a Sanofi affiliate, was terminated, with Aventisub agreeing to forgive the full outstanding loan balance of $72.0 million, which includes $0.5 million of previously uncharged costs pursuant to the Sanofi License Agreement. Sanofi also agreed to purchase $10.2 million of insulin from the Company in December 2016 under an existing insulin put option as well as make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and Sanofi also agreed to a general release of potential claims against each other.</w:t>
      </w:r>
    </w:p>
    <w:p>
      <w:pPr>
        <w:spacing w:after="0" w:line="168"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color w:val="auto"/>
        </w:rPr>
        <w:t>During their initial transition of the commercial responsibilities from Sanofi, the Company utilized a contract sales organization to promote Afrezza while the Company focused its internal resources on establishing a channel strategy, entering into distribution agreements and developing co-pay assistance programs, a voucher program, data agreements and payor relationships. In early 2017, the Company recruited their own sales force, which included some of the sales reps that previously were employed by the contract sales organization. The Company intend to continue the commercialization of Afrezza in the United States through their own commercial organization. The Company’s current strategy for the future commercialization of Afrezza outside of the United States, subject to receipt of the necessary foreign regulatory approvals, is to seek and establish regional partnerships in foreign jurisdictions where there are appropriate commercial opportunities.</w:t>
      </w:r>
    </w:p>
    <w:p>
      <w:pPr>
        <w:spacing w:after="0" w:line="151" w:lineRule="exact"/>
        <w:rPr>
          <w:sz w:val="20"/>
          <w:szCs w:val="20"/>
          <w:color w:val="auto"/>
        </w:rPr>
      </w:pPr>
    </w:p>
    <w:p>
      <w:pPr>
        <w:ind w:right="140" w:firstLine="457"/>
        <w:spacing w:after="0" w:line="273" w:lineRule="auto"/>
        <w:rPr>
          <w:sz w:val="20"/>
          <w:szCs w:val="20"/>
          <w:color w:val="auto"/>
        </w:rPr>
      </w:pPr>
      <w:r>
        <w:rPr>
          <w:rFonts w:ascii="Arial" w:cs="Arial" w:eastAsia="Arial" w:hAnsi="Arial"/>
          <w:sz w:val="17"/>
          <w:szCs w:val="17"/>
          <w:color w:val="auto"/>
        </w:rPr>
        <w:t>It has been costly to develop our therapeutic product, conduct clinical studies, and market and sell Afrezza. As of and for the year ended December 31, 2016, the Company has reported an accumulated deficit of $2.7 billion and has reported negative cash flow from operations for each year since inception, except for 2014, when the Company received the $150.0 million upfront payment from Sanofi.</w:t>
      </w:r>
    </w:p>
    <w:p>
      <w:pPr>
        <w:spacing w:after="0" w:line="171"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At December 31, 2016, the Company’s capital resources consisted of cash and cash equivalents of $22.9 million. The Company expects to continue to incur significant expenditures to support commercial</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80"/>
          </w:cols>
          <w:pgMar w:left="240" w:top="449" w:right="2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manufacturing and sales and marketing of Afrezza and the development of other product candidates. The facility agreement (the “Facility Agreement”) with Deerfield Private Design Fund II, L.P. (Deerfield Private Design Fund) and Deerfield Private Design International II, L.P. (collectively, “Deerfield”) and the First Amendment to Facility Agreement and Registration Rights Agreement (the “First Amendment”) that resulted in additional sales of an additional tranche of notes (the “Tranche B notes”) (see Note 7 — Borrowings) requires the Company to maintain at least $25.0 million, which can be comprised of cash and cash equivalents and available borrowings under the loan arrangement, dated as of October 2, 2007, between the Company and The Mann Group LLC (as amended, restated, or otherwise modified as of the date hereof, “the Mann Group Loan Arrangement”), as of the last day of each fiscal quarter.</w:t>
      </w:r>
    </w:p>
    <w:p>
      <w:pPr>
        <w:spacing w:after="0" w:line="16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Additional funding sources that are, or in certain circumstances may be available to the Company, include approximately $30.1 million principal amount of available borrowings under The Mann Group Loan Arrangement. A portion of these available borrowings may be used to capitalize accrued interest into principal, upon mutual agreement of the parties, as it becomes due and payable under The Mann Group Loan Arrangement (see Note 6 — Related-party Arrangements). The Company cannot provide assurances that its plans will not change or that changed circumstances will not result in the depletion of its capital resources more rapidly than it currently anticipates. The Company will need to raise additional capital, whether through a sale of equity or debt securities, a strategic business collaboration with a pharmaceutical company, the establishment of other funding facilities, licensing arrangements, asset sales or other means, in order to continue the commercialization of Afrezza and development of other product candidates and to support its other ongoing activities. The Company cannot provide assurances that such additional capital will be available on acceptable terms or at all. These factors raise substantial doubt about the Company’s ability to continue as a going concern. The financial statements do not include any adjustments that might result from the outcome of this uncertainty.</w:t>
      </w:r>
    </w:p>
    <w:p>
      <w:pPr>
        <w:spacing w:after="0" w:line="170"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On September 14, 2016, the Company received notice from the Listing Qualifications Department of the NASDAQ Stock Market indicating that, for the previous 30 consecutive business days, the bid price for the common stock closed below the minimum $1.00 per share required for continued inclusion on The NASDAQ Global Market. The notification letter stated that the Company would be afforded 180 calendar days, or until March 13, 2017, to regain compliance with the minimum bid price requirement. In order to regain compliance, shares of the Company’s common stock must maintain a minimum bid closing price of at least $1.00 per share for a minimum of 10 consecutive business days.</w:t>
      </w:r>
    </w:p>
    <w:p>
      <w:pPr>
        <w:spacing w:after="0" w:line="178"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i w:val="1"/>
          <w:iCs w:val="1"/>
          <w:color w:val="auto"/>
        </w:rPr>
        <w:t xml:space="preserve">Reverse Stock Split </w:t>
      </w:r>
      <w:r>
        <w:rPr>
          <w:rFonts w:ascii="Arial" w:cs="Arial" w:eastAsia="Arial" w:hAnsi="Arial"/>
          <w:sz w:val="16"/>
          <w:szCs w:val="16"/>
          <w:color w:val="auto"/>
        </w:rPr>
        <w:t>— On March 1, 2017, following stockholder approval, the Company’s board of directors approved a reverse stock split ratio of</w:t>
      </w:r>
      <w:r>
        <w:rPr>
          <w:rFonts w:ascii="Arial" w:cs="Arial" w:eastAsia="Arial" w:hAnsi="Arial"/>
          <w:sz w:val="16"/>
          <w:szCs w:val="16"/>
          <w:i w:val="1"/>
          <w:iCs w:val="1"/>
          <w:color w:val="auto"/>
        </w:rPr>
        <w:t xml:space="preserve"> </w:t>
      </w:r>
      <w:r>
        <w:rPr>
          <w:rFonts w:ascii="Arial" w:cs="Arial" w:eastAsia="Arial" w:hAnsi="Arial"/>
          <w:sz w:val="16"/>
          <w:szCs w:val="16"/>
          <w:color w:val="auto"/>
        </w:rPr>
        <w:t>1-for-5. On March 1, 2017, the Company filed with the Secretary of State of the State of Delaware a Certificate of Amendment of the Company’s Amended and Restated Certificate of Incorporation to effect the 1-for-5 reverse stock split of the Company’s outstanding common stock and to reduce the authorized number of shares of the Company’s common stock from 700,000,000 to 140,000,000 shares. The Company’s common stock began trading on The NASDAQ Global Market on a split-adjusted basis when the market opened on March 3, 2017. See Note 20 — Subsequent Events for further information. As a result, all common stock share amounts included in these consolidated financial statements have been retroactively reduced by a factor of five, and all common stock per share amounts have been increased by a factor of five, with the exception of the Company’s common stock par value.</w:t>
      </w:r>
    </w:p>
    <w:p>
      <w:pPr>
        <w:spacing w:after="0" w:line="168"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the Company and its wholly-owned subsidiaries. Intercompany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and transactions have been eliminated.</w:t>
      </w:r>
    </w:p>
    <w:p>
      <w:pPr>
        <w:spacing w:after="0" w:line="158" w:lineRule="exact"/>
        <w:rPr>
          <w:sz w:val="20"/>
          <w:szCs w:val="20"/>
          <w:color w:val="auto"/>
        </w:rPr>
      </w:pPr>
    </w:p>
    <w:p>
      <w:pPr>
        <w:ind w:right="200" w:firstLine="457"/>
        <w:spacing w:after="0" w:line="273"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449"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5" w:lineRule="exact"/>
        <w:rPr>
          <w:sz w:val="20"/>
          <w:szCs w:val="20"/>
          <w:color w:val="auto"/>
        </w:rPr>
      </w:pPr>
    </w:p>
    <w:p>
      <w:pPr>
        <w:ind w:firstLine="457"/>
        <w:spacing w:after="0" w:line="280"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accounting principles generally accepted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of America (GAAP) requires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The more significant estimates reflected in these accompanying consolidated financial statements include revenue recognition, assessing long-lived assets for impairment, accrued expenses, including clinical study expenses, inventory recoverability, valuation of the facility financing obligation, loss on purchase commitment, warrant liability, milestone rights, stock-based compensation and the determination of the provision for income taxes and corresponding deferred tax assets and liabilities and any valuation allowance recorded against net deferred tax assets.</w:t>
      </w:r>
    </w:p>
    <w:p>
      <w:pPr>
        <w:spacing w:after="0" w:line="16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 Certain amounts from previous periods have been reclassified to conform to the 2016 presentation. Specifically, accrued interest — note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principal stockholder has been reclassified from the previously reported classification of other liabilities in the accompanying consolidated balance sheets. Additionally, the remaining balance from the previously reported classification of other liabilities is now identified as milestone rights liability, and is disclosed as a separate line item on the consolidated statements of cash flows. Additionally, on the consolidated statement of operations, product manufacturing has been renamed to cost of goods sold. The Company also reclassified (gain) loss on foreign currency translation from the previously reported classification of product manufacturing in the accompanying consolidated statements of operations. Additionally, certain balances from prepaid expenses and other current assets were reclassed to (gain) loss on foreign currency translation in the consolidated statements of cash flows.</w:t>
      </w:r>
    </w:p>
    <w:p>
      <w:pPr>
        <w:spacing w:after="0" w:line="168" w:lineRule="exact"/>
        <w:rPr>
          <w:sz w:val="20"/>
          <w:szCs w:val="20"/>
          <w:color w:val="auto"/>
        </w:rPr>
      </w:pPr>
    </w:p>
    <w:p>
      <w:pPr>
        <w:ind w:right="120" w:firstLine="457"/>
        <w:spacing w:after="0" w:line="265"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the four basic criteria of revenue recognition are met: (1) persuasive evidence that an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exists; (2) delivery has occurred or services have been rendered; (3) the fee is fixed or determinable; and (4) collectability is reasonably assured. When the accounting requirements for revenue recognition are not met, the Company defers the recognition of revenue by recording deferred revenue on the consolidated balance sheets until such time that all criteria are met. To date, the Company has had revenue from collaborations, commercial sales of Afrezza, and from sales of bulk insulin, which are described more fully below.</w:t>
      </w:r>
    </w:p>
    <w:p>
      <w:pPr>
        <w:spacing w:after="0" w:line="73" w:lineRule="exact"/>
        <w:rPr>
          <w:sz w:val="20"/>
          <w:szCs w:val="20"/>
          <w:color w:val="auto"/>
        </w:rPr>
      </w:pPr>
    </w:p>
    <w:p>
      <w:pPr>
        <w:ind w:left="460" w:right="100" w:firstLine="438"/>
        <w:spacing w:after="0" w:line="285" w:lineRule="auto"/>
        <w:rPr>
          <w:sz w:val="20"/>
          <w:szCs w:val="20"/>
          <w:color w:val="auto"/>
        </w:rPr>
      </w:pPr>
      <w:r>
        <w:rPr>
          <w:rFonts w:ascii="Arial" w:cs="Arial" w:eastAsia="Arial" w:hAnsi="Arial"/>
          <w:sz w:val="16"/>
          <w:szCs w:val="16"/>
          <w:i w:val="1"/>
          <w:iCs w:val="1"/>
          <w:color w:val="auto"/>
        </w:rPr>
        <w:t xml:space="preserve">Revenue Recognition — Net Revenue — Collaborations — </w:t>
      </w:r>
      <w:r>
        <w:rPr>
          <w:rFonts w:ascii="Arial" w:cs="Arial" w:eastAsia="Arial" w:hAnsi="Arial"/>
          <w:sz w:val="16"/>
          <w:szCs w:val="16"/>
          <w:color w:val="auto"/>
        </w:rPr>
        <w:t>The Company enters into collaborations under which we must perform certain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we receive periodic payments. We evaluate the collaborations under the multiple element revenue recognition accounting guidance. Revenue arrangements with multiple elements are divided into separate units of accounting if certain criteria are met, including whether the delivered elements have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60" w:lineRule="exact"/>
        <w:rPr>
          <w:sz w:val="20"/>
          <w:szCs w:val="20"/>
          <w:color w:val="auto"/>
        </w:rPr>
      </w:pPr>
    </w:p>
    <w:p>
      <w:pPr>
        <w:ind w:left="460" w:right="180" w:firstLine="438"/>
        <w:spacing w:after="0" w:line="273"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The terms of and the accounting for the Company’s collaborations are described more fully in Note 8 — Collaboration Arrangements.</w:t>
      </w:r>
    </w:p>
    <w:p>
      <w:pPr>
        <w:spacing w:after="0" w:line="66" w:lineRule="exact"/>
        <w:rPr>
          <w:sz w:val="20"/>
          <w:szCs w:val="20"/>
          <w:color w:val="auto"/>
        </w:rPr>
      </w:pPr>
    </w:p>
    <w:p>
      <w:pPr>
        <w:jc w:val="both"/>
        <w:ind w:left="460" w:right="200" w:firstLine="438"/>
        <w:spacing w:after="0" w:line="314" w:lineRule="auto"/>
        <w:rPr>
          <w:sz w:val="20"/>
          <w:szCs w:val="20"/>
          <w:color w:val="auto"/>
        </w:rPr>
      </w:pPr>
      <w:r>
        <w:rPr>
          <w:rFonts w:ascii="Arial" w:cs="Arial" w:eastAsia="Arial" w:hAnsi="Arial"/>
          <w:sz w:val="15"/>
          <w:szCs w:val="15"/>
          <w:i w:val="1"/>
          <w:iCs w:val="1"/>
          <w:color w:val="auto"/>
        </w:rPr>
        <w:t xml:space="preserve">Revenue Recognition — Net Revenue — Commercial Product Sales — </w:t>
      </w:r>
      <w:r>
        <w:rPr>
          <w:rFonts w:ascii="Arial" w:cs="Arial" w:eastAsia="Arial" w:hAnsi="Arial"/>
          <w:sz w:val="15"/>
          <w:szCs w:val="15"/>
          <w:color w:val="auto"/>
        </w:rPr>
        <w:t>Between July 1, 2016 and December 15, 2016, the Company sold Afrezza to</w:t>
      </w:r>
      <w:r>
        <w:rPr>
          <w:rFonts w:ascii="Arial" w:cs="Arial" w:eastAsia="Arial" w:hAnsi="Arial"/>
          <w:sz w:val="15"/>
          <w:szCs w:val="15"/>
          <w:i w:val="1"/>
          <w:iCs w:val="1"/>
          <w:color w:val="auto"/>
        </w:rPr>
        <w:t xml:space="preserve"> </w:t>
      </w:r>
      <w:r>
        <w:rPr>
          <w:rFonts w:ascii="Arial" w:cs="Arial" w:eastAsia="Arial" w:hAnsi="Arial"/>
          <w:sz w:val="15"/>
          <w:szCs w:val="15"/>
          <w:color w:val="auto"/>
        </w:rPr>
        <w:t>Integrated Commercialization Solutions Direct (ICS) and title and risk of loss transferred to ICS upon shipment. After December 15, 2016, ICS became a third party logistics provider and stopped taking title and risk of loss upon shipment of Afrezza to ICS. The Company sells Afrezza in the United States to wholesale pharmaceutical distributors through ICS, and ultimately to retail pharmacies, which are collectively referred to as “customers”.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9"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firstLine="438"/>
        <w:spacing w:after="0" w:line="273" w:lineRule="auto"/>
        <w:rPr>
          <w:sz w:val="20"/>
          <w:szCs w:val="20"/>
          <w:color w:val="auto"/>
        </w:rPr>
      </w:pPr>
      <w:r>
        <w:rPr>
          <w:rFonts w:ascii="Arial" w:cs="Arial" w:eastAsia="Arial" w:hAnsi="Arial"/>
          <w:sz w:val="17"/>
          <w:szCs w:val="17"/>
          <w:color w:val="auto"/>
        </w:rPr>
        <w:t>The Company provides the right of return to ICS (through December 15, 2016) and its wholesale distributors and, through them, to its retail pharmacy customers for unopened product for a period beginning six months prior to and ending twelve months after its expiration date. Once the product has been prescribed and dispensed to the patient, any right of return ceases to exist.</w:t>
      </w:r>
    </w:p>
    <w:p>
      <w:pPr>
        <w:spacing w:after="0" w:line="66" w:lineRule="exact"/>
        <w:rPr>
          <w:sz w:val="20"/>
          <w:szCs w:val="20"/>
          <w:color w:val="auto"/>
        </w:rPr>
      </w:pPr>
    </w:p>
    <w:p>
      <w:pPr>
        <w:ind w:left="460" w:right="60" w:firstLine="438"/>
        <w:spacing w:after="0" w:line="263" w:lineRule="auto"/>
        <w:rPr>
          <w:sz w:val="20"/>
          <w:szCs w:val="20"/>
          <w:color w:val="auto"/>
        </w:rPr>
      </w:pPr>
      <w:r>
        <w:rPr>
          <w:rFonts w:ascii="Arial" w:cs="Arial" w:eastAsia="Arial" w:hAnsi="Arial"/>
          <w:sz w:val="17"/>
          <w:szCs w:val="17"/>
          <w:color w:val="auto"/>
        </w:rPr>
        <w:t>Given the Company’s limited sales history for Afrezza, the Company cannot reliably estimate expected returns of the product at the time of shipment into the distribution channel. Accordingly, the Company defers recognition of revenue on Afrezza product shipments until the right of return no longer exists, which occurs at the earlier of the time Afrezza is dispensed from pharmacies to patients or expiration of the right of return. The Company recognizes revenue based on Afrezza patient prescriptions dispensed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77" w:lineRule="exact"/>
        <w:rPr>
          <w:sz w:val="20"/>
          <w:szCs w:val="20"/>
          <w:color w:val="auto"/>
        </w:rPr>
      </w:pPr>
    </w:p>
    <w:p>
      <w:pPr>
        <w:ind w:left="460" w:right="100" w:firstLine="438"/>
        <w:spacing w:after="0" w:line="265" w:lineRule="auto"/>
        <w:rPr>
          <w:sz w:val="20"/>
          <w:szCs w:val="20"/>
          <w:color w:val="auto"/>
        </w:rPr>
      </w:pPr>
      <w:r>
        <w:rPr>
          <w:rFonts w:ascii="Arial" w:cs="Arial" w:eastAsia="Arial" w:hAnsi="Arial"/>
          <w:sz w:val="17"/>
          <w:szCs w:val="17"/>
          <w:color w:val="auto"/>
        </w:rPr>
        <w:t xml:space="preserve">For the year ended December 31, 2016, net revenue from commercial product sales consisted of $1.9 million of net sales of Afrezza dispensed to patients. As of December 31, 2016, the Company recorded $3.4 million in deferred revenue on its consolidated balance sheet, of which $1.6 million (net of estimated gross-to-net adjustments) represents product shipped to the Company’s third-party logistics provider and wholesale distributors, but not yet dispensed to patients. The difference represents deferred revenue from bulk insulin sales, which is described more fully under the heading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 Revenue — Bulk Insulin Sales </w:t>
      </w:r>
      <w:r>
        <w:rPr>
          <w:rFonts w:ascii="Arial" w:cs="Arial" w:eastAsia="Arial" w:hAnsi="Arial"/>
          <w:sz w:val="17"/>
          <w:szCs w:val="17"/>
          <w:color w:val="auto"/>
        </w:rPr>
        <w:t>below.</w:t>
      </w:r>
    </w:p>
    <w:p>
      <w:pPr>
        <w:spacing w:after="0" w:line="73" w:lineRule="exact"/>
        <w:rPr>
          <w:sz w:val="20"/>
          <w:szCs w:val="20"/>
          <w:color w:val="auto"/>
        </w:rPr>
      </w:pPr>
    </w:p>
    <w:p>
      <w:pPr>
        <w:ind w:left="460" w:right="100" w:firstLine="438"/>
        <w:spacing w:after="0" w:line="280" w:lineRule="auto"/>
        <w:rPr>
          <w:sz w:val="20"/>
          <w:szCs w:val="20"/>
          <w:color w:val="auto"/>
        </w:rPr>
      </w:pPr>
      <w:r>
        <w:rPr>
          <w:rFonts w:ascii="Arial" w:cs="Arial" w:eastAsia="Arial" w:hAnsi="Arial"/>
          <w:sz w:val="16"/>
          <w:szCs w:val="16"/>
          <w:i w:val="1"/>
          <w:iCs w:val="1"/>
          <w:color w:val="auto"/>
        </w:rPr>
        <w:t xml:space="preserve">Gross-to-net Adjustments — </w:t>
      </w:r>
      <w:r>
        <w:rPr>
          <w:rFonts w:ascii="Arial" w:cs="Arial" w:eastAsia="Arial" w:hAnsi="Arial"/>
          <w:sz w:val="16"/>
          <w:szCs w:val="16"/>
          <w:color w:val="auto"/>
        </w:rPr>
        <w:t>Estimated gross-to-net adjustments for Afrezza include wholesaler distribution fees, prompt pay discounts,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rebates and patient discount and co-pay assistance programs, and are based on estimated amounts owed or to be claimed on the related sales. These estimates take into consideration the terms of the Company’s agreements with its customers and the levels of inventory within the distribution and retail channels that may result in future rebates or discounts taken. In certain cases, such as patient support programs, the Company recognizes the cost of patient discounts as a reduction of revenue based on estimated utilization. If actual future results vary, the Company may need to adjust these estimates, which could have an effect on product revenue in the period of adjustment. The Company records product sales deductions in the consolidated statements of operations at the time product revenue is recognized. At December 31, 2016, year to date total gross-to-net adjustments were approximately $0.8 million, which represents 30% of gross revenue from product sales.</w:t>
      </w:r>
    </w:p>
    <w:p>
      <w:pPr>
        <w:spacing w:after="0" w:line="64" w:lineRule="exact"/>
        <w:rPr>
          <w:sz w:val="20"/>
          <w:szCs w:val="20"/>
          <w:color w:val="auto"/>
        </w:rPr>
      </w:pPr>
    </w:p>
    <w:p>
      <w:pPr>
        <w:jc w:val="both"/>
        <w:ind w:left="920" w:right="80" w:firstLine="420"/>
        <w:spacing w:after="0" w:line="273" w:lineRule="auto"/>
        <w:rPr>
          <w:sz w:val="20"/>
          <w:szCs w:val="20"/>
          <w:color w:val="auto"/>
        </w:rPr>
      </w:pPr>
      <w:r>
        <w:rPr>
          <w:rFonts w:ascii="Arial" w:cs="Arial" w:eastAsia="Arial" w:hAnsi="Arial"/>
          <w:sz w:val="17"/>
          <w:szCs w:val="17"/>
          <w:i w:val="1"/>
          <w:iCs w:val="1"/>
          <w:color w:val="auto"/>
        </w:rPr>
        <w:t xml:space="preserve">Wholesaler Distribution Fees — </w:t>
      </w:r>
      <w:r>
        <w:rPr>
          <w:rFonts w:ascii="Arial" w:cs="Arial" w:eastAsia="Arial" w:hAnsi="Arial"/>
          <w:sz w:val="17"/>
          <w:szCs w:val="17"/>
          <w:color w:val="auto"/>
        </w:rPr>
        <w:t>The Company pays distribution fees to certain wholesale distributors based on contractually determined 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accrues the distribution fees on shipment to the respective wholesale distributors and recognizes the distribution fees as a reduction of revenue in the same period the related revenue is recognized.</w:t>
      </w:r>
    </w:p>
    <w:p>
      <w:pPr>
        <w:spacing w:after="0" w:line="66" w:lineRule="exact"/>
        <w:rPr>
          <w:sz w:val="20"/>
          <w:szCs w:val="20"/>
          <w:color w:val="auto"/>
        </w:rPr>
      </w:pPr>
    </w:p>
    <w:p>
      <w:pPr>
        <w:ind w:left="920" w:right="60" w:firstLine="420"/>
        <w:spacing w:after="0" w:line="273" w:lineRule="auto"/>
        <w:rPr>
          <w:sz w:val="20"/>
          <w:szCs w:val="20"/>
          <w:color w:val="auto"/>
        </w:rPr>
      </w:pPr>
      <w:r>
        <w:rPr>
          <w:rFonts w:ascii="Arial" w:cs="Arial" w:eastAsia="Arial" w:hAnsi="Arial"/>
          <w:sz w:val="17"/>
          <w:szCs w:val="17"/>
          <w:i w:val="1"/>
          <w:iCs w:val="1"/>
          <w:color w:val="auto"/>
        </w:rPr>
        <w:t xml:space="preserve">Prompt Pay Discounts — </w:t>
      </w:r>
      <w:r>
        <w:rPr>
          <w:rFonts w:ascii="Arial" w:cs="Arial" w:eastAsia="Arial" w:hAnsi="Arial"/>
          <w:sz w:val="17"/>
          <w:szCs w:val="17"/>
          <w:color w:val="auto"/>
        </w:rPr>
        <w:t>The Company offers cash discounts to its customers, generally 2% of the sales price, as an incentive for prompt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The Company accounts for cash discounts by reducing accounts receivable by the prompt pay discount amount and recognizes the discount as a reduction of revenue in the same period the related revenue is recognized.</w:t>
      </w:r>
    </w:p>
    <w:p>
      <w:pPr>
        <w:spacing w:after="0" w:line="66" w:lineRule="exact"/>
        <w:rPr>
          <w:sz w:val="20"/>
          <w:szCs w:val="20"/>
          <w:color w:val="auto"/>
        </w:rPr>
      </w:pPr>
    </w:p>
    <w:p>
      <w:pPr>
        <w:ind w:left="920" w:firstLine="420"/>
        <w:spacing w:after="0" w:line="280" w:lineRule="auto"/>
        <w:rPr>
          <w:sz w:val="20"/>
          <w:szCs w:val="20"/>
          <w:color w:val="auto"/>
        </w:rPr>
      </w:pPr>
      <w:r>
        <w:rPr>
          <w:rFonts w:ascii="Arial" w:cs="Arial" w:eastAsia="Arial" w:hAnsi="Arial"/>
          <w:sz w:val="16"/>
          <w:szCs w:val="16"/>
          <w:i w:val="1"/>
          <w:iCs w:val="1"/>
          <w:color w:val="auto"/>
        </w:rPr>
        <w:t xml:space="preserve">Rebates — </w:t>
      </w:r>
      <w:r>
        <w:rPr>
          <w:rFonts w:ascii="Arial" w:cs="Arial" w:eastAsia="Arial" w:hAnsi="Arial"/>
          <w:sz w:val="16"/>
          <w:szCs w:val="16"/>
          <w:color w:val="auto"/>
        </w:rPr>
        <w:t>The Company participates in federal and state government-managed Medicare and Medicaid rebate programs and intends to pursue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in certain other qualifying federal and state government programs whereby discounts and rebates are provided to participating federal and state government entities. Rebates provided through these other qualifying programs are included in the Medicaid and Medicare rebate accrual. The Company accounts for these rebates by establishing an accrual equal to the estimate of rebate claims attributable to a sale and determines its estimate of the rebates accrual based on historical payor data provided by a third-party vendor along with additional data including a forecasted participation rate for Medicare and Medicaid. From that data, as well as input received from MannKind’s commercial team, an estimated participation rate for Medicare and Medicaid is determined and applied at the mandated rate for those sales. Any new information regarding changes in the programs’ regulations and guidelines or any changes in the Company’s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00"/>
          </w:cols>
          <w:pgMar w:left="240" w:top="449"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920" w:right="140"/>
        <w:spacing w:after="0" w:line="289" w:lineRule="auto"/>
        <w:rPr>
          <w:sz w:val="20"/>
          <w:szCs w:val="20"/>
          <w:color w:val="auto"/>
        </w:rPr>
      </w:pPr>
      <w:r>
        <w:rPr>
          <w:rFonts w:ascii="Arial" w:cs="Arial" w:eastAsia="Arial" w:hAnsi="Arial"/>
          <w:sz w:val="16"/>
          <w:szCs w:val="16"/>
          <w:color w:val="auto"/>
        </w:rPr>
        <w:t>government price reporting calculations that would impact the amount of the rebates will also be taken into account in determining or modifying the appropriate reserve. The time period between the date the product is sold into the channel and the date such rebates are paid ranges from approximately six to nine months. As such, continuous monitoring of these estimates are performed on a periodic basis and if necessary, adjusted to reflect new facts and circumstances. Rebates are recognized as a reduction of revenue in the period the related revenue is recognized.</w:t>
      </w:r>
    </w:p>
    <w:p>
      <w:pPr>
        <w:spacing w:after="0" w:line="57" w:lineRule="exact"/>
        <w:rPr>
          <w:sz w:val="20"/>
          <w:szCs w:val="20"/>
          <w:color w:val="auto"/>
        </w:rPr>
      </w:pPr>
    </w:p>
    <w:p>
      <w:pPr>
        <w:ind w:left="920" w:firstLine="420"/>
        <w:spacing w:after="0" w:line="267" w:lineRule="auto"/>
        <w:rPr>
          <w:sz w:val="20"/>
          <w:szCs w:val="20"/>
          <w:color w:val="auto"/>
        </w:rPr>
      </w:pPr>
      <w:r>
        <w:rPr>
          <w:rFonts w:ascii="Arial" w:cs="Arial" w:eastAsia="Arial" w:hAnsi="Arial"/>
          <w:sz w:val="17"/>
          <w:szCs w:val="17"/>
          <w:i w:val="1"/>
          <w:iCs w:val="1"/>
          <w:color w:val="auto"/>
        </w:rPr>
        <w:t xml:space="preserve">Patient Discount and Co-Pay Assistance Programs — </w:t>
      </w:r>
      <w:r>
        <w:rPr>
          <w:rFonts w:ascii="Arial" w:cs="Arial" w:eastAsia="Arial" w:hAnsi="Arial"/>
          <w:sz w:val="17"/>
          <w:szCs w:val="17"/>
          <w:color w:val="auto"/>
        </w:rPr>
        <w:t>The Company offers discount card programs to patients for Afrezza in which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discounts on their prescriptions or a reduction in their co-pay amounts that are reimbursed by the Company. The Company estimates the total amount that will be redeemed based on levels of inventory in the distribution and retail channels and recognizes the discount as a reduction of revenue in the same period the related revenue is recognized.</w:t>
      </w:r>
    </w:p>
    <w:p>
      <w:pPr>
        <w:spacing w:after="0" w:line="73" w:lineRule="exact"/>
        <w:rPr>
          <w:sz w:val="20"/>
          <w:szCs w:val="20"/>
          <w:color w:val="auto"/>
        </w:rPr>
      </w:pPr>
    </w:p>
    <w:p>
      <w:pPr>
        <w:ind w:left="920" w:right="340" w:firstLine="420"/>
        <w:spacing w:after="0" w:line="289" w:lineRule="auto"/>
        <w:rPr>
          <w:sz w:val="20"/>
          <w:szCs w:val="20"/>
          <w:color w:val="auto"/>
        </w:rPr>
      </w:pPr>
      <w:r>
        <w:rPr>
          <w:rFonts w:ascii="Arial" w:cs="Arial" w:eastAsia="Arial" w:hAnsi="Arial"/>
          <w:sz w:val="17"/>
          <w:szCs w:val="17"/>
          <w:i w:val="1"/>
          <w:iCs w:val="1"/>
          <w:color w:val="auto"/>
        </w:rPr>
        <w:t xml:space="preserve">Product Returns — </w:t>
      </w:r>
      <w:r>
        <w:rPr>
          <w:rFonts w:ascii="Arial" w:cs="Arial" w:eastAsia="Arial" w:hAnsi="Arial"/>
          <w:sz w:val="17"/>
          <w:szCs w:val="17"/>
          <w:color w:val="auto"/>
        </w:rPr>
        <w:t>The Company does not provide a reserve for product returns of sales of Afrezza due to its revenue recognition policy of</w:t>
      </w:r>
      <w:r>
        <w:rPr>
          <w:rFonts w:ascii="Arial" w:cs="Arial" w:eastAsia="Arial" w:hAnsi="Arial"/>
          <w:sz w:val="17"/>
          <w:szCs w:val="17"/>
          <w:i w:val="1"/>
          <w:iCs w:val="1"/>
          <w:color w:val="auto"/>
        </w:rPr>
        <w:t xml:space="preserve"> </w:t>
      </w:r>
      <w:r>
        <w:rPr>
          <w:rFonts w:ascii="Arial" w:cs="Arial" w:eastAsia="Arial" w:hAnsi="Arial"/>
          <w:sz w:val="17"/>
          <w:szCs w:val="17"/>
          <w:color w:val="auto"/>
        </w:rPr>
        <w:t>deferring recognition of revenue on product shipments of Afrezza until the right of return no longer exists.</w:t>
      </w:r>
    </w:p>
    <w:p>
      <w:pPr>
        <w:spacing w:after="0" w:line="158"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i w:val="1"/>
          <w:iCs w:val="1"/>
          <w:color w:val="auto"/>
        </w:rPr>
        <w:t xml:space="preserve">Revenue Recognition — Revenue — Bulk Insulin Sales — </w:t>
      </w:r>
      <w:r>
        <w:rPr>
          <w:rFonts w:ascii="Arial" w:cs="Arial" w:eastAsia="Arial" w:hAnsi="Arial"/>
          <w:sz w:val="17"/>
          <w:szCs w:val="17"/>
          <w:color w:val="auto"/>
        </w:rPr>
        <w:t>In 2016, revenue from bulk insulin sales was recognized after delivery and customer acceptance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bulk insulin. When the accounting requirements for revenue recognition of bulk insulin sales are not met, the Company defers recognition of revenue by recording deferred revenue on the balance sheet until such time that all criteria are met.</w:t>
      </w:r>
    </w:p>
    <w:p>
      <w:pPr>
        <w:spacing w:after="0" w:line="171" w:lineRule="exact"/>
        <w:rPr>
          <w:sz w:val="20"/>
          <w:szCs w:val="20"/>
          <w:color w:val="auto"/>
        </w:rPr>
      </w:pPr>
    </w:p>
    <w:p>
      <w:pPr>
        <w:ind w:right="840" w:firstLine="457"/>
        <w:spacing w:after="0" w:line="322" w:lineRule="auto"/>
        <w:rPr>
          <w:sz w:val="20"/>
          <w:szCs w:val="20"/>
          <w:color w:val="auto"/>
        </w:rPr>
      </w:pPr>
      <w:r>
        <w:rPr>
          <w:rFonts w:ascii="Arial" w:cs="Arial" w:eastAsia="Arial" w:hAnsi="Arial"/>
          <w:sz w:val="16"/>
          <w:szCs w:val="16"/>
          <w:color w:val="auto"/>
        </w:rPr>
        <w:t>Deferred revenue includes $1.8 million received from a sale of surplus bulk insulin to a third party that was delivered prior to, but accepted after, December 31, 2016. No deferred cost was recognized related to this sale because the inventory was written off on December 31, 2015.</w:t>
      </w:r>
    </w:p>
    <w:p>
      <w:pPr>
        <w:spacing w:after="0" w:line="135" w:lineRule="exact"/>
        <w:rPr>
          <w:sz w:val="20"/>
          <w:szCs w:val="20"/>
          <w:color w:val="auto"/>
        </w:rPr>
      </w:pPr>
    </w:p>
    <w:p>
      <w:pPr>
        <w:ind w:right="140" w:firstLine="457"/>
        <w:spacing w:after="0" w:line="267" w:lineRule="auto"/>
        <w:rPr>
          <w:sz w:val="20"/>
          <w:szCs w:val="20"/>
          <w:color w:val="auto"/>
        </w:rPr>
      </w:pPr>
      <w:r>
        <w:rPr>
          <w:rFonts w:ascii="Arial" w:cs="Arial" w:eastAsia="Arial" w:hAnsi="Arial"/>
          <w:sz w:val="17"/>
          <w:szCs w:val="17"/>
          <w:i w:val="1"/>
          <w:iCs w:val="1"/>
          <w:color w:val="auto"/>
        </w:rPr>
        <w:t xml:space="preserve">Deferred Costs from Collaboration — </w:t>
      </w:r>
      <w:r>
        <w:rPr>
          <w:rFonts w:ascii="Arial" w:cs="Arial" w:eastAsia="Arial" w:hAnsi="Arial"/>
          <w:sz w:val="17"/>
          <w:szCs w:val="17"/>
          <w:color w:val="auto"/>
        </w:rPr>
        <w:t>Deferred costs from collaboration represents the costs of product manufactured and sold to Sanofi, as well as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direct costs associated with a firm purchase commitment entered into in connection with the collaboration with Sanofi. During the third quarter of 2016, the costs related to the Sanofi product sales were recognized as costs of revenue — collaboration in the consolidated statements of operations, as related revenue was recognized at that time.</w:t>
      </w:r>
    </w:p>
    <w:p>
      <w:pPr>
        <w:spacing w:after="0" w:line="178"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i w:val="1"/>
          <w:iCs w:val="1"/>
          <w:color w:val="auto"/>
        </w:rPr>
        <w:t xml:space="preserve">Deferred Costs from Commercial Product Sales — </w:t>
      </w:r>
      <w:r>
        <w:rPr>
          <w:rFonts w:ascii="Arial" w:cs="Arial" w:eastAsia="Arial" w:hAnsi="Arial"/>
          <w:sz w:val="17"/>
          <w:szCs w:val="17"/>
          <w:color w:val="auto"/>
        </w:rPr>
        <w:t>Deferred costs from commercial product sales represents the cost of product (including labor, overhead</w:t>
      </w:r>
      <w:r>
        <w:rPr>
          <w:rFonts w:ascii="Arial" w:cs="Arial" w:eastAsia="Arial" w:hAnsi="Arial"/>
          <w:sz w:val="17"/>
          <w:szCs w:val="17"/>
          <w:i w:val="1"/>
          <w:iCs w:val="1"/>
          <w:color w:val="auto"/>
        </w:rPr>
        <w:t xml:space="preserve"> </w:t>
      </w:r>
      <w:r>
        <w:rPr>
          <w:rFonts w:ascii="Arial" w:cs="Arial" w:eastAsia="Arial" w:hAnsi="Arial"/>
          <w:sz w:val="17"/>
          <w:szCs w:val="17"/>
          <w:color w:val="auto"/>
        </w:rPr>
        <w:t>and costs to ship to third party logistics) shipped to ICS and wholesale distributors, but not yet dispensed by pharmacies to patients.</w:t>
      </w:r>
    </w:p>
    <w:p>
      <w:pPr>
        <w:spacing w:after="0" w:line="158" w:lineRule="exact"/>
        <w:rPr>
          <w:sz w:val="20"/>
          <w:szCs w:val="20"/>
          <w:color w:val="auto"/>
        </w:rPr>
      </w:pPr>
    </w:p>
    <w:p>
      <w:pPr>
        <w:ind w:right="100" w:firstLine="457"/>
        <w:spacing w:after="0" w:line="359" w:lineRule="auto"/>
        <w:rPr>
          <w:sz w:val="20"/>
          <w:szCs w:val="20"/>
          <w:color w:val="auto"/>
        </w:rPr>
      </w:pPr>
      <w:r>
        <w:rPr>
          <w:rFonts w:ascii="Arial" w:cs="Arial" w:eastAsia="Arial" w:hAnsi="Arial"/>
          <w:sz w:val="15"/>
          <w:szCs w:val="15"/>
          <w:i w:val="1"/>
          <w:iCs w:val="1"/>
          <w:color w:val="auto"/>
        </w:rPr>
        <w:t xml:space="preserve">Cost of Goods Sold — </w:t>
      </w:r>
      <w:r>
        <w:rPr>
          <w:rFonts w:ascii="Arial" w:cs="Arial" w:eastAsia="Arial" w:hAnsi="Arial"/>
          <w:sz w:val="15"/>
          <w:szCs w:val="15"/>
          <w:color w:val="auto"/>
        </w:rPr>
        <w:t>Cost of goods sold includes the costs related to Afrezza product dispensed by pharmacies to patients as well as under-absorbed labor</w:t>
      </w:r>
      <w:r>
        <w:rPr>
          <w:rFonts w:ascii="Arial" w:cs="Arial" w:eastAsia="Arial" w:hAnsi="Arial"/>
          <w:sz w:val="15"/>
          <w:szCs w:val="15"/>
          <w:i w:val="1"/>
          <w:iCs w:val="1"/>
          <w:color w:val="auto"/>
        </w:rPr>
        <w:t xml:space="preserve"> </w:t>
      </w:r>
      <w:r>
        <w:rPr>
          <w:rFonts w:ascii="Arial" w:cs="Arial" w:eastAsia="Arial" w:hAnsi="Arial"/>
          <w:sz w:val="15"/>
          <w:szCs w:val="15"/>
          <w:color w:val="auto"/>
        </w:rPr>
        <w:t>and overhead and inventory write-offs, which are recorded as expenses in the period in which they are incurred, rather than as a portion of the inventory cost.</w:t>
      </w:r>
    </w:p>
    <w:p>
      <w:pPr>
        <w:spacing w:after="0" w:line="113"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 The Company considers all highly liquid investments with original or remaining maturities of 90 days or less at the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that are readily convertible into cash to be cash equivalents. As of December 31, 2016 and 2015, cash equivalents were comprised of money market accounts with maturities less than 90 days from the date of purchase.</w:t>
      </w:r>
    </w:p>
    <w:p>
      <w:pPr>
        <w:spacing w:after="0" w:line="171" w:lineRule="exact"/>
        <w:rPr>
          <w:sz w:val="20"/>
          <w:szCs w:val="20"/>
          <w:color w:val="auto"/>
        </w:rPr>
      </w:pPr>
    </w:p>
    <w:p>
      <w:pPr>
        <w:ind w:right="180" w:firstLine="457"/>
        <w:spacing w:after="0" w:line="273"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which potentially subject the Company to concentration of credit risk consist of cash and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Cash and cash equivalents are held in high credit quality institutions. Cash equivalents consist of interest-bearing money market accounts, which are regularly monitored by management.</w:t>
      </w:r>
    </w:p>
    <w:p>
      <w:pPr>
        <w:spacing w:after="0" w:line="171" w:lineRule="exact"/>
        <w:rPr>
          <w:sz w:val="20"/>
          <w:szCs w:val="20"/>
          <w:color w:val="auto"/>
        </w:rPr>
      </w:pPr>
    </w:p>
    <w:p>
      <w:pPr>
        <w:ind w:right="300" w:firstLine="457"/>
        <w:spacing w:after="0" w:line="289"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maintains an allowance for doubtful accounts for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9"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0"/>
        <w:spacing w:after="0" w:line="359" w:lineRule="auto"/>
        <w:rPr>
          <w:sz w:val="20"/>
          <w:szCs w:val="20"/>
          <w:color w:val="auto"/>
        </w:rPr>
      </w:pPr>
      <w:r>
        <w:rPr>
          <w:rFonts w:ascii="Arial" w:cs="Arial" w:eastAsia="Arial" w:hAnsi="Arial"/>
          <w:sz w:val="15"/>
          <w:szCs w:val="15"/>
          <w:color w:val="auto"/>
        </w:rPr>
        <w:t>estimated losses resulting from the inability of its customers to make required payments. The Company makes ongoing assumptions relating to the collectability of its accounts receivable in its calculation of the allowance for doubtful accounts. As of December 31, 2016 and 2015, there was no allowance for doubtful accounts.</w:t>
      </w:r>
    </w:p>
    <w:p>
      <w:pPr>
        <w:spacing w:after="0" w:line="113" w:lineRule="exact"/>
        <w:rPr>
          <w:sz w:val="20"/>
          <w:szCs w:val="20"/>
          <w:color w:val="auto"/>
        </w:rPr>
      </w:pPr>
    </w:p>
    <w:p>
      <w:pPr>
        <w:ind w:right="140" w:firstLine="457"/>
        <w:spacing w:after="0" w:line="262"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stated at the lower of cost or net realizable value. The Company determines the cost of inventory using the first-in, first-out,</w:t>
      </w:r>
      <w:r>
        <w:rPr>
          <w:rFonts w:ascii="Arial" w:cs="Arial" w:eastAsia="Arial" w:hAnsi="Arial"/>
          <w:sz w:val="17"/>
          <w:szCs w:val="17"/>
          <w:i w:val="1"/>
          <w:iCs w:val="1"/>
          <w:color w:val="auto"/>
        </w:rPr>
        <w:t xml:space="preserve"> </w:t>
      </w:r>
      <w:r>
        <w:rPr>
          <w:rFonts w:ascii="Arial" w:cs="Arial" w:eastAsia="Arial" w:hAnsi="Arial"/>
          <w:sz w:val="17"/>
          <w:szCs w:val="17"/>
          <w:color w:val="auto"/>
        </w:rPr>
        <w:t>or FIFO, method. The Company capitalizes inventory costs associated with the Company’s products based on management’s judgment that future economic benefits are expected to be realized; otherwise, such costs are expensed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will record a charge to write down such unmarketable inventory to its estimated net realizable value.</w:t>
      </w:r>
    </w:p>
    <w:p>
      <w:pPr>
        <w:spacing w:after="0" w:line="182"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Company analyzed its inventory levels to identify inventory that may expire or has a cost basis in excess of its estimated realizable value. The Company performed an assessment of projected sales and evaluated the lower of cost or net realizable value and the potential excess inventory on hand at December 31,</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2016 and 2015. As a result of these assessments, the Company recorded a $0.2 million charge at December 31, 2016 to write-off inventory that will expire prior to sale. At December 31, 2015, the Company recorded a charge of $39.3 million to record the inventory raw materials on hand at the lower of cost or net realizable value, inventory expiry and write-off other inventory related assets.</w:t>
      </w:r>
    </w:p>
    <w:p>
      <w:pPr>
        <w:spacing w:after="0" w:line="179" w:lineRule="exact"/>
        <w:rPr>
          <w:sz w:val="20"/>
          <w:szCs w:val="20"/>
          <w:color w:val="auto"/>
        </w:rPr>
      </w:pPr>
    </w:p>
    <w:p>
      <w:pPr>
        <w:ind w:right="240" w:firstLine="457"/>
        <w:spacing w:after="0" w:line="265" w:lineRule="auto"/>
        <w:rPr>
          <w:sz w:val="20"/>
          <w:szCs w:val="20"/>
          <w:color w:val="auto"/>
        </w:rPr>
      </w:pPr>
      <w:r>
        <w:rPr>
          <w:rFonts w:ascii="Arial" w:cs="Arial" w:eastAsia="Arial" w:hAnsi="Arial"/>
          <w:sz w:val="17"/>
          <w:szCs w:val="17"/>
          <w:i w:val="1"/>
          <w:iCs w:val="1"/>
          <w:color w:val="auto"/>
        </w:rPr>
        <w:t xml:space="preserve">State Research and Development Credit Exchange Receivable </w:t>
      </w:r>
      <w:r>
        <w:rPr>
          <w:rFonts w:ascii="Arial" w:cs="Arial" w:eastAsia="Arial" w:hAnsi="Arial"/>
          <w:sz w:val="17"/>
          <w:szCs w:val="17"/>
          <w:color w:val="auto"/>
        </w:rPr>
        <w:t>— The State of Connecticut provides certain companies with the opportunity to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These amounts are included in prepaid expenses and other current assets on the consolidated balance sheets.</w:t>
      </w:r>
    </w:p>
    <w:p>
      <w:pPr>
        <w:spacing w:after="0" w:line="178" w:lineRule="exact"/>
        <w:rPr>
          <w:sz w:val="20"/>
          <w:szCs w:val="20"/>
          <w:color w:val="auto"/>
        </w:rPr>
      </w:pPr>
    </w:p>
    <w:p>
      <w:pPr>
        <w:ind w:right="200" w:firstLine="457"/>
        <w:spacing w:after="0" w:line="359" w:lineRule="auto"/>
        <w:rPr>
          <w:sz w:val="20"/>
          <w:szCs w:val="20"/>
          <w:color w:val="auto"/>
        </w:rPr>
      </w:pPr>
      <w:r>
        <w:rPr>
          <w:rFonts w:ascii="Arial" w:cs="Arial" w:eastAsia="Arial" w:hAnsi="Arial"/>
          <w:sz w:val="15"/>
          <w:szCs w:val="15"/>
          <w:i w:val="1"/>
          <w:iCs w:val="1"/>
          <w:color w:val="auto"/>
        </w:rPr>
        <w:t xml:space="preserve">Prepaid Expenses and Other Current Assets — </w:t>
      </w:r>
      <w:r>
        <w:rPr>
          <w:rFonts w:ascii="Arial" w:cs="Arial" w:eastAsia="Arial" w:hAnsi="Arial"/>
          <w:sz w:val="15"/>
          <w:szCs w:val="15"/>
          <w:color w:val="auto"/>
        </w:rPr>
        <w:t>As of December 31, 2016 and 2015, prepaid expenses and other current assets primarily consist of prepaid</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for goods and services to be received and includes a certificate of deposit for $350,000 as collateral as required by an agreement with the bank.</w:t>
      </w:r>
    </w:p>
    <w:p>
      <w:pPr>
        <w:spacing w:after="0" w:line="113"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i w:val="1"/>
          <w:iCs w:val="1"/>
          <w:color w:val="auto"/>
        </w:rPr>
        <w:t xml:space="preserve">Sale of intellectual property — </w:t>
      </w:r>
      <w:r>
        <w:rPr>
          <w:rFonts w:ascii="Arial" w:cs="Arial" w:eastAsia="Arial" w:hAnsi="Arial"/>
          <w:sz w:val="16"/>
          <w:szCs w:val="16"/>
          <w:color w:val="auto"/>
        </w:rPr>
        <w:t>On July 18, 2014, the Company entered into an assignment agreement with a third party whereby the third party acquired all</w:t>
      </w:r>
      <w:r>
        <w:rPr>
          <w:rFonts w:ascii="Arial" w:cs="Arial" w:eastAsia="Arial" w:hAnsi="Arial"/>
          <w:sz w:val="16"/>
          <w:szCs w:val="16"/>
          <w:i w:val="1"/>
          <w:iCs w:val="1"/>
          <w:color w:val="auto"/>
        </w:rPr>
        <w:t xml:space="preserve"> </w:t>
      </w:r>
      <w:r>
        <w:rPr>
          <w:rFonts w:ascii="Arial" w:cs="Arial" w:eastAsia="Arial" w:hAnsi="Arial"/>
          <w:sz w:val="16"/>
          <w:szCs w:val="16"/>
          <w:color w:val="auto"/>
        </w:rPr>
        <w:t>proprietary rights, technology and know-how that related to a small molecule inhibitor compound and all pre-clinical data and results related thereto. Under the terms of the assignment agreement, the Company received total consideration of $9.3 million and accrued $1.4 million in expense for a net amount of $7.9 million recorded as other income. In 2015, the Company recorded other income of $1.4 million related to the relief of the $1.4 million accrual for expenses associated with the sale of intellectual property related to oncology in 2014, which was subsequently resolved without payment.</w:t>
      </w:r>
    </w:p>
    <w:p>
      <w:pPr>
        <w:spacing w:after="0" w:line="16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i w:val="1"/>
          <w:iCs w:val="1"/>
          <w:color w:val="auto"/>
        </w:rPr>
        <w:t xml:space="preserve">Assets Held for Sale — </w:t>
      </w:r>
      <w:r>
        <w:rPr>
          <w:rFonts w:ascii="Arial" w:cs="Arial" w:eastAsia="Arial" w:hAnsi="Arial"/>
          <w:sz w:val="17"/>
          <w:szCs w:val="17"/>
          <w:color w:val="auto"/>
        </w:rPr>
        <w:t>The Company classifies long-lived assets anticipated to be sold within one year as held for sale at the lower of their carrying value 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less estimated selling costs.</w:t>
      </w:r>
    </w:p>
    <w:p>
      <w:pPr>
        <w:spacing w:after="0" w:line="158" w:lineRule="exact"/>
        <w:rPr>
          <w:sz w:val="20"/>
          <w:szCs w:val="20"/>
          <w:color w:val="auto"/>
        </w:rPr>
      </w:pPr>
    </w:p>
    <w:p>
      <w:pPr>
        <w:jc w:val="both"/>
        <w:ind w:right="440" w:firstLine="457"/>
        <w:spacing w:after="0" w:line="273"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 Property and equipment are depreciated using the straight-line method over the estimated useful lives of the related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Leasehold improvements are amortized over the term of the lease or the service lives of the improvements, whichever is shorter. Maintenance and repairs are expensed as incurred. Assets under construction are not depreciated until placed into service.</w:t>
      </w:r>
    </w:p>
    <w:p>
      <w:pPr>
        <w:spacing w:after="0" w:line="171"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evaluates long-lived assets for impairment whenever events or changes in circumstances indicate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carrying value of an asset may not be recoverable. Assets are considered to be impaired if the carrying value may not be recoverable.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9"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an operating loss would be recognized.</w:t>
      </w:r>
    </w:p>
    <w:p>
      <w:pPr>
        <w:spacing w:after="0" w:line="171" w:lineRule="exact"/>
        <w:rPr>
          <w:sz w:val="20"/>
          <w:szCs w:val="20"/>
          <w:color w:val="auto"/>
        </w:rPr>
      </w:pPr>
    </w:p>
    <w:p>
      <w:pPr>
        <w:ind w:right="320" w:firstLine="457"/>
        <w:spacing w:after="0" w:line="322" w:lineRule="auto"/>
        <w:rPr>
          <w:sz w:val="20"/>
          <w:szCs w:val="20"/>
          <w:color w:val="auto"/>
        </w:rPr>
      </w:pPr>
      <w:r>
        <w:rPr>
          <w:rFonts w:ascii="Arial" w:cs="Arial" w:eastAsia="Arial" w:hAnsi="Arial"/>
          <w:sz w:val="16"/>
          <w:szCs w:val="16"/>
          <w:color w:val="auto"/>
        </w:rPr>
        <w:t xml:space="preserve">The Company recorded an asset impairment of $1.3 million and $140.4 million for the years ended December 31, 2016 and 2015, respectively. No asset impairment was recognized during the year ended December 31, 2014 (see Note 4 — Property and Equipment and Note 20 </w:t>
      </w:r>
      <w:r>
        <w:rPr>
          <w:rFonts w:ascii="Arial" w:cs="Arial" w:eastAsia="Arial" w:hAnsi="Arial"/>
          <w:sz w:val="16"/>
          <w:szCs w:val="16"/>
          <w:i w:val="1"/>
          <w:iCs w:val="1"/>
          <w:color w:val="auto"/>
        </w:rPr>
        <w:t>—</w:t>
      </w:r>
      <w:r>
        <w:rPr>
          <w:rFonts w:ascii="Arial" w:cs="Arial" w:eastAsia="Arial" w:hAnsi="Arial"/>
          <w:sz w:val="16"/>
          <w:szCs w:val="16"/>
          <w:color w:val="auto"/>
        </w:rPr>
        <w:t xml:space="preserve"> Subsequent Events).</w:t>
      </w:r>
    </w:p>
    <w:p>
      <w:pPr>
        <w:spacing w:after="0" w:line="135" w:lineRule="exact"/>
        <w:rPr>
          <w:sz w:val="20"/>
          <w:szCs w:val="20"/>
          <w:color w:val="auto"/>
        </w:rPr>
      </w:pPr>
    </w:p>
    <w:p>
      <w:pPr>
        <w:ind w:right="100" w:firstLine="457"/>
        <w:spacing w:after="0" w:line="267" w:lineRule="auto"/>
        <w:rPr>
          <w:sz w:val="20"/>
          <w:szCs w:val="20"/>
          <w:color w:val="auto"/>
        </w:rPr>
      </w:pPr>
      <w:r>
        <w:rPr>
          <w:rFonts w:ascii="Arial" w:cs="Arial" w:eastAsia="Arial" w:hAnsi="Arial"/>
          <w:sz w:val="17"/>
          <w:szCs w:val="17"/>
          <w:i w:val="1"/>
          <w:iCs w:val="1"/>
          <w:color w:val="auto"/>
        </w:rPr>
        <w:t xml:space="preserve">Recognized Loss on Purchase Commitments — </w:t>
      </w:r>
      <w:r>
        <w:rPr>
          <w:rFonts w:ascii="Arial" w:cs="Arial" w:eastAsia="Arial" w:hAnsi="Arial"/>
          <w:sz w:val="17"/>
          <w:szCs w:val="17"/>
          <w:color w:val="auto"/>
        </w:rPr>
        <w:t>The Company assesses whether losses on long term purchase commitments should be accrued. Losses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expected to arise from firm, non-cancellable, commitments for the future purchases of inventory items are recognized unless recoverable. The recognized loss on purchase commitments is reduced as inventory items are purchased. Changes in estimates are recorded in the relevant period in (gain) loss on purchase commitments.</w:t>
      </w:r>
    </w:p>
    <w:p>
      <w:pPr>
        <w:spacing w:after="0" w:line="178" w:lineRule="exact"/>
        <w:rPr>
          <w:sz w:val="20"/>
          <w:szCs w:val="20"/>
          <w:color w:val="auto"/>
        </w:rPr>
      </w:pPr>
    </w:p>
    <w:p>
      <w:pPr>
        <w:ind w:right="20" w:firstLine="457"/>
        <w:spacing w:after="0" w:line="289" w:lineRule="auto"/>
        <w:rPr>
          <w:sz w:val="20"/>
          <w:szCs w:val="20"/>
          <w:color w:val="auto"/>
        </w:rPr>
      </w:pPr>
      <w:r>
        <w:rPr>
          <w:rFonts w:ascii="Arial" w:cs="Arial" w:eastAsia="Arial" w:hAnsi="Arial"/>
          <w:sz w:val="16"/>
          <w:szCs w:val="16"/>
          <w:color w:val="auto"/>
        </w:rPr>
        <w:t>During the year ended December 31, 2015, the Company recorded a loss on purchase commitments amounting to $116.2 million offset by $50 million expected to be recovered from Sanofi, primarily due to a long term purchase commitment for insulin raw materials. During the year ended December 31, 2016, the balance was adjusted for the recovery received from Sanofi, current purchases on the contracts and a reduction in the recognized loss related to amendments to purchase contracts. No new contracts were identified in 2016 requiring a new loss on purchase commitment accrual.</w:t>
      </w:r>
    </w:p>
    <w:p>
      <w:pPr>
        <w:spacing w:after="0" w:line="161"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On July 1, 2013, in conjunction with the execution of the Facility Agreement, the Company issued Milestone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Deerfield whereby the Company agreed to provide Deerfield with pre-specified Milestone Payments upon the achievement of 13 specific Milestone Events related to the commercial release and future cumulative net sales of Afrezza. The Company analyzed the Milestone Rights and determined that the agreement does not meet the definition of a freestanding derivative. Since the Company has not elected to apply the fair value option to the Milestone Rights Purchase Agreement, the Company recorded the Milestone Rights at their estimated initial fair value and accounted for the Milestone Rights as a liability.</w:t>
      </w:r>
    </w:p>
    <w:p>
      <w:pPr>
        <w:spacing w:after="0" w:line="165" w:lineRule="exact"/>
        <w:rPr>
          <w:sz w:val="20"/>
          <w:szCs w:val="20"/>
          <w:color w:val="auto"/>
        </w:rPr>
      </w:pPr>
    </w:p>
    <w:p>
      <w:pPr>
        <w:ind w:firstLine="457"/>
        <w:spacing w:after="0" w:line="298" w:lineRule="auto"/>
        <w:rPr>
          <w:sz w:val="20"/>
          <w:szCs w:val="20"/>
          <w:color w:val="auto"/>
        </w:rPr>
      </w:pPr>
      <w:r>
        <w:rPr>
          <w:rFonts w:ascii="Arial" w:cs="Arial" w:eastAsia="Arial" w:hAnsi="Arial"/>
          <w:sz w:val="15"/>
          <w:szCs w:val="15"/>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Borrowings). As of December 31, 2016, the remaining liability balance is $8.9 million.</w:t>
      </w:r>
    </w:p>
    <w:p>
      <w:pPr>
        <w:spacing w:after="0" w:line="158" w:lineRule="exact"/>
        <w:rPr>
          <w:sz w:val="20"/>
          <w:szCs w:val="20"/>
          <w:color w:val="auto"/>
        </w:rPr>
      </w:pPr>
    </w:p>
    <w:p>
      <w:pPr>
        <w:jc w:val="both"/>
        <w:ind w:right="120" w:firstLine="457"/>
        <w:spacing w:after="0" w:line="273"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Company utilizes fair value measurement guidance to value its financial instruments. The guidance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definition of fair value, prescribes methods for measuring fair value, establishes a fair value hierarchy based on the inputs used to measure fair value and expands disclosures about the use of fair value measurements. The valuation techniques utilized are based upon observable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449" w:right="2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unobservable inputs. Observable inputs reflect market data obtained from independent sources, while unobservable inputs reflect internal market assumptions.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two types of inputs create the following fair value hierarchy: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1 — Quoted prices for identical instruments in active markets.</w:t>
      </w:r>
    </w:p>
    <w:p>
      <w:pPr>
        <w:spacing w:after="0" w:line="119" w:lineRule="exact"/>
        <w:rPr>
          <w:sz w:val="20"/>
          <w:szCs w:val="20"/>
          <w:color w:val="auto"/>
        </w:rPr>
      </w:pPr>
    </w:p>
    <w:p>
      <w:pPr>
        <w:ind w:left="460" w:right="400"/>
        <w:spacing w:after="0" w:line="289"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 Significant inputs to the valuation model are unobservable.</w:t>
      </w:r>
    </w:p>
    <w:p>
      <w:pPr>
        <w:spacing w:after="0" w:line="224" w:lineRule="exact"/>
        <w:rPr>
          <w:sz w:val="20"/>
          <w:szCs w:val="20"/>
          <w:color w:val="auto"/>
        </w:rPr>
      </w:pPr>
    </w:p>
    <w:p>
      <w:pPr>
        <w:ind w:firstLine="457"/>
        <w:spacing w:after="0" w:line="289"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61" w:lineRule="exact"/>
        <w:rPr>
          <w:sz w:val="20"/>
          <w:szCs w:val="20"/>
          <w:color w:val="auto"/>
        </w:rPr>
      </w:pPr>
    </w:p>
    <w:p>
      <w:pPr>
        <w:ind w:right="20" w:firstLine="457"/>
        <w:spacing w:after="0" w:line="308" w:lineRule="auto"/>
        <w:rPr>
          <w:sz w:val="20"/>
          <w:szCs w:val="20"/>
          <w:color w:val="auto"/>
        </w:rPr>
      </w:pPr>
      <w:r>
        <w:rPr>
          <w:rFonts w:ascii="Arial" w:cs="Arial" w:eastAsia="Arial" w:hAnsi="Arial"/>
          <w:sz w:val="15"/>
          <w:szCs w:val="15"/>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50" w:lineRule="exact"/>
        <w:rPr>
          <w:sz w:val="20"/>
          <w:szCs w:val="20"/>
          <w:color w:val="auto"/>
        </w:rPr>
      </w:pPr>
    </w:p>
    <w:p>
      <w:pPr>
        <w:ind w:right="160" w:firstLine="457"/>
        <w:spacing w:after="0" w:line="308" w:lineRule="auto"/>
        <w:rPr>
          <w:sz w:val="20"/>
          <w:szCs w:val="20"/>
          <w:color w:val="auto"/>
        </w:rPr>
      </w:pPr>
      <w:r>
        <w:rPr>
          <w:rFonts w:ascii="Arial" w:cs="Arial" w:eastAsia="Arial" w:hAnsi="Arial"/>
          <w:sz w:val="15"/>
          <w:szCs w:val="15"/>
          <w:color w:val="auto"/>
        </w:rPr>
        <w:t>Significant management judgment is involved in determining the provision for income taxes, deferred tax assets, deferred tax liabilities, and any valuation allowance recorded against deferred tax assets. Due to uncertainties related to the realization of the Company’s deferred tax assets as a result of its history of operating losses, a full valuation allowance has been established against the total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w:t>
      </w:r>
    </w:p>
    <w:p>
      <w:pPr>
        <w:spacing w:after="0" w:line="150" w:lineRule="exact"/>
        <w:rPr>
          <w:sz w:val="20"/>
          <w:szCs w:val="20"/>
          <w:color w:val="auto"/>
        </w:rPr>
      </w:pPr>
    </w:p>
    <w:p>
      <w:pPr>
        <w:ind w:right="40" w:firstLine="457"/>
        <w:spacing w:after="0" w:line="26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2"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 As of December 31, 2016, the Company had three active stock-based compensation plans, which are described more fully in</w:t>
      </w:r>
      <w:r>
        <w:rPr>
          <w:rFonts w:ascii="Arial" w:cs="Arial" w:eastAsia="Arial" w:hAnsi="Arial"/>
          <w:sz w:val="17"/>
          <w:szCs w:val="17"/>
          <w:i w:val="1"/>
          <w:iCs w:val="1"/>
          <w:color w:val="auto"/>
        </w:rPr>
        <w:t xml:space="preserve"> </w:t>
      </w:r>
      <w:r>
        <w:rPr>
          <w:rFonts w:ascii="Arial" w:cs="Arial" w:eastAsia="Arial" w:hAnsi="Arial"/>
          <w:sz w:val="17"/>
          <w:szCs w:val="17"/>
          <w:color w:val="auto"/>
        </w:rPr>
        <w:t>Note 12 — Stock Award Plans. The Company accounts for all share-based payments to employees, including grants of stock awards and the compensatory elements of the employee stock purchase plan. All share-based payments to employees, including grants of stock options, restricted stock units, performance-based awards and the compensatory elements of employee stock purchase plans, are recognized in the consolidated statements of operations based upon the fair value of the awards at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49" w:right="2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grant date. The Company uses the Black-Scholes option valuation model to estimate the grant date fair value of employee stock options and the compensatory elements of employee stock purchase plans. Option valuation models require the input of assumptions, including the expected life of the stock-based awards, the estimated stock price volatility, the risk-free interest rate and the expected dividend yield. The expected volatility assumption is based on an assessment of the historical volatility, with consideration of implied volatility, derived from an analysis of historical trade activity.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8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Warrants </w:t>
      </w:r>
      <w:r>
        <w:rPr>
          <w:rFonts w:ascii="Arial" w:cs="Arial" w:eastAsia="Arial" w:hAnsi="Arial"/>
          <w:sz w:val="17"/>
          <w:szCs w:val="17"/>
          <w:color w:val="auto"/>
        </w:rPr>
        <w:t>— The Company has issued warrants to purchase shares of its common stock. The Company accounts for its warrants as either equity or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the characteristics and provisions of each instrument and evaluation of sufficient authorized shares available to satisfy the obligations. Warrants classified as derivative liabilities are recorded on the Company’s consolidated balance sheets at their fair value on the date of issuance and are revalued at each subsequent balance sheet date, with fair value changes recognized in the consolidated statements of operations. The Company estimates the fair value of its derivative liabilities using a third party valuation analysis that utilizes a Monte Carlo pricing valuation model and assumptions that are based on the individual characteristics of the warrants or instruments on the valuation date, as well as expected volatility, expected life, yield and a risk-free interest rate. The expected volatility assumption is primarily based on an assessment of the historical volatility, with consideration of implied volatility, derived from an analysis of historical trade activity. Warrants classified as equity are recorded within additional paid in capital at the issuance date and are not re-measured in subsequent periods, unless the underlying assumptions change to trigger liability accounting.</w:t>
      </w:r>
    </w:p>
    <w:p>
      <w:pPr>
        <w:spacing w:after="0" w:line="182" w:lineRule="exact"/>
        <w:rPr>
          <w:sz w:val="20"/>
          <w:szCs w:val="20"/>
          <w:color w:val="auto"/>
        </w:rPr>
      </w:pPr>
    </w:p>
    <w:p>
      <w:pPr>
        <w:ind w:right="320" w:firstLine="457"/>
        <w:spacing w:after="0" w:line="267" w:lineRule="auto"/>
        <w:rPr>
          <w:sz w:val="20"/>
          <w:szCs w:val="20"/>
          <w:color w:val="auto"/>
        </w:rPr>
      </w:pPr>
      <w:r>
        <w:rPr>
          <w:rFonts w:ascii="Arial" w:cs="Arial" w:eastAsia="Arial" w:hAnsi="Arial"/>
          <w:sz w:val="17"/>
          <w:szCs w:val="17"/>
          <w:i w:val="1"/>
          <w:iCs w:val="1"/>
          <w:color w:val="auto"/>
        </w:rPr>
        <w:t xml:space="preserve">Comprehensive Income (Loss) </w:t>
      </w:r>
      <w:r>
        <w:rPr>
          <w:rFonts w:ascii="Arial" w:cs="Arial" w:eastAsia="Arial" w:hAnsi="Arial"/>
          <w:sz w:val="17"/>
          <w:szCs w:val="17"/>
          <w:color w:val="auto"/>
        </w:rPr>
        <w:t>— Other comprehensive income (loss) requires that all components of comprehensive income (loss) to be reported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 the period in which they are recognized. Other comprehensive income (loss) includes certain changes in stockholders’ equity that are excluded from net income (loss). Specifically, the Company includes unrealized gains and losses on foreign exchange translation in accumulated other comprehensive loss on the consolidated balance sheets.</w:t>
      </w:r>
    </w:p>
    <w:p>
      <w:pPr>
        <w:spacing w:after="0" w:line="178"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 Research and development expenses consist of costs associated with the clinical trials of the Company’s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manufacturing supplies and other development materials,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The Company began commercial manufacturing in the latter part of the fourth quarter of 2014. Commercial manufacturing costs incurred in the fourth quarter of 2014 were included in research and development expense and were immaterial for the year ended December 31, 2014.</w:t>
      </w:r>
    </w:p>
    <w:p>
      <w:pPr>
        <w:spacing w:after="0" w:line="181"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i w:val="1"/>
          <w:iCs w:val="1"/>
          <w:color w:val="auto"/>
        </w:rPr>
        <w:t xml:space="preserve">State Research and Development Credit Exchange Receivable </w:t>
      </w:r>
      <w:r>
        <w:rPr>
          <w:rFonts w:ascii="Arial" w:cs="Arial" w:eastAsia="Arial" w:hAnsi="Arial"/>
          <w:sz w:val="17"/>
          <w:szCs w:val="17"/>
          <w:color w:val="auto"/>
        </w:rPr>
        <w:t>— The State of Connecticut provides certain companies with the opportunity to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2016, 2015 and 2014, research and development expenses were offset by research and development tax credits of $246,000, $743,000 and $816,000, respectively.</w:t>
      </w:r>
    </w:p>
    <w:p>
      <w:pPr>
        <w:spacing w:after="0" w:line="181"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i w:val="1"/>
          <w:iCs w:val="1"/>
          <w:color w:val="auto"/>
        </w:rPr>
        <w:t xml:space="preserve">Clinical Trial Expenses </w:t>
      </w:r>
      <w:r>
        <w:rPr>
          <w:rFonts w:ascii="Arial" w:cs="Arial" w:eastAsia="Arial" w:hAnsi="Arial"/>
          <w:sz w:val="17"/>
          <w:szCs w:val="17"/>
          <w:color w:val="auto"/>
        </w:rPr>
        <w:t>— Clinical trial expenses, which are reflected in research and development expenses in the accompanying consolidated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380"/>
          </w:cols>
          <w:pgMar w:left="240" w:top="449" w:right="2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such contracts. The appropriate level of trial expenses are reflected in the Company’s consolidated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w:t>
      </w:r>
    </w:p>
    <w:p>
      <w:pPr>
        <w:spacing w:after="0" w:line="150" w:lineRule="exact"/>
        <w:rPr>
          <w:sz w:val="20"/>
          <w:szCs w:val="20"/>
          <w:color w:val="auto"/>
        </w:rPr>
      </w:pPr>
    </w:p>
    <w:p>
      <w:pPr>
        <w:jc w:val="both"/>
        <w:ind w:right="120" w:firstLine="457"/>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 Interest costs are expensed as incurred, except to the extent such interest is related to construction in progress, in which case interest is</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Interest cost capitalized for the years ended December 31, 2015 and 2014 was $0.1 million and $0.8 million, respectively. There were no capitalized interest costs for the year ended December 31, 2016.</w:t>
      </w:r>
    </w:p>
    <w:p>
      <w:pPr>
        <w:spacing w:after="0" w:line="171"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i w:val="1"/>
          <w:iCs w:val="1"/>
          <w:color w:val="auto"/>
        </w:rPr>
        <w:t xml:space="preserve">Net Income (Loss) Per Share of Common Stock </w:t>
      </w:r>
      <w:r>
        <w:rPr>
          <w:rFonts w:ascii="Arial" w:cs="Arial" w:eastAsia="Arial" w:hAnsi="Arial"/>
          <w:sz w:val="17"/>
          <w:szCs w:val="17"/>
          <w:color w:val="auto"/>
        </w:rPr>
        <w:t>— Basic net income (loss) per share excludes dilution for potentially dilutive securities and is computed by</w:t>
      </w:r>
      <w:r>
        <w:rPr>
          <w:rFonts w:ascii="Arial" w:cs="Arial" w:eastAsia="Arial" w:hAnsi="Arial"/>
          <w:sz w:val="17"/>
          <w:szCs w:val="17"/>
          <w:i w:val="1"/>
          <w:iCs w:val="1"/>
          <w:color w:val="auto"/>
        </w:rPr>
        <w:t xml:space="preserve"> </w:t>
      </w:r>
      <w:r>
        <w:rPr>
          <w:rFonts w:ascii="Arial" w:cs="Arial" w:eastAsia="Arial" w:hAnsi="Arial"/>
          <w:sz w:val="17"/>
          <w:szCs w:val="17"/>
          <w:color w:val="auto"/>
        </w:rPr>
        <w:t>dividing net income (loss) by the weighted average number of common shares outstanding during the period. Diluted net income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7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i w:val="1"/>
          <w:iCs w:val="1"/>
          <w:color w:val="auto"/>
        </w:rPr>
        <w:t xml:space="preserve">Recently Issued Accounting Standards </w:t>
      </w:r>
      <w:r>
        <w:rPr>
          <w:rFonts w:ascii="Arial" w:cs="Arial" w:eastAsia="Arial" w:hAnsi="Arial"/>
          <w:sz w:val="17"/>
          <w:szCs w:val="17"/>
          <w:color w:val="auto"/>
        </w:rPr>
        <w:t>— From time to time, new accounting pronouncements are issued by the Financial Accounting Standards Board</w:t>
      </w:r>
      <w:r>
        <w:rPr>
          <w:rFonts w:ascii="Arial" w:cs="Arial" w:eastAsia="Arial" w:hAnsi="Arial"/>
          <w:sz w:val="17"/>
          <w:szCs w:val="17"/>
          <w:i w:val="1"/>
          <w:iCs w:val="1"/>
          <w:color w:val="auto"/>
        </w:rPr>
        <w:t xml:space="preserve"> </w:t>
      </w:r>
      <w:r>
        <w:rPr>
          <w:rFonts w:ascii="Arial" w:cs="Arial" w:eastAsia="Arial" w:hAnsi="Arial"/>
          <w:sz w:val="17"/>
          <w:szCs w:val="17"/>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position or results of operations upon adoption.</w:t>
      </w:r>
    </w:p>
    <w:p>
      <w:pPr>
        <w:spacing w:after="0" w:line="178" w:lineRule="exact"/>
        <w:rPr>
          <w:sz w:val="20"/>
          <w:szCs w:val="20"/>
          <w:color w:val="auto"/>
        </w:rPr>
      </w:pPr>
    </w:p>
    <w:p>
      <w:pPr>
        <w:ind w:right="80" w:firstLine="457"/>
        <w:spacing w:after="0" w:line="283"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when promised goods or services are transferred to customers in an amount that reflects the consideration that is expected to be received for those goods or services. This new guidance supersedes previous revenue recognition requirements, along with most existing industry-specific guidance. In August 2015, the FASB issued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which delayed the effective date of the new standard from January 1, 2017 to January 1, 2018. The FASB also agreed to allow entities to choose to adopt the standard as of the original effective date. In 2016 the FASB has issued additional ASUs which clarify certain aspects of the new guidance.</w:t>
      </w:r>
    </w:p>
    <w:p>
      <w:pPr>
        <w:spacing w:after="0" w:line="165" w:lineRule="exact"/>
        <w:rPr>
          <w:sz w:val="20"/>
          <w:szCs w:val="20"/>
          <w:color w:val="auto"/>
        </w:rPr>
      </w:pPr>
    </w:p>
    <w:p>
      <w:pPr>
        <w:ind w:right="180" w:firstLine="457"/>
        <w:spacing w:after="0" w:line="263" w:lineRule="auto"/>
        <w:rPr>
          <w:sz w:val="20"/>
          <w:szCs w:val="20"/>
          <w:color w:val="auto"/>
        </w:rPr>
      </w:pPr>
      <w:r>
        <w:rPr>
          <w:rFonts w:ascii="Arial" w:cs="Arial" w:eastAsia="Arial" w:hAnsi="Arial"/>
          <w:sz w:val="17"/>
          <w:szCs w:val="17"/>
          <w:color w:val="auto"/>
        </w:rPr>
        <w:t>The Company will adopt the new guidance for the year beginning January 1, 2018. The Company has the option to either apply the new guidance retrospectively for all prior reporting periods presented (full retrospective) or retrospectively with the cumulative effect of initially applying the guidance recognized at the date of initial application (modified retrospective). The Company currently anticipates it will apply the new guidance using the modified retrospective approach with the cumulative effect of initial application recognized as of January 1, 2018. The Company plans to continue analyzing the potential impacts of the application throughout 2017 and, depending on factors that may impact the results, could elect to apply the new guidance on a full retrospective basis.</w:t>
      </w:r>
    </w:p>
    <w:p>
      <w:pPr>
        <w:spacing w:after="0" w:line="181" w:lineRule="exact"/>
        <w:rPr>
          <w:sz w:val="20"/>
          <w:szCs w:val="20"/>
          <w:color w:val="auto"/>
        </w:rPr>
      </w:pPr>
    </w:p>
    <w:p>
      <w:pPr>
        <w:ind w:firstLine="457"/>
        <w:spacing w:after="0" w:line="263" w:lineRule="auto"/>
        <w:rPr>
          <w:sz w:val="20"/>
          <w:szCs w:val="20"/>
          <w:color w:val="auto"/>
        </w:rPr>
      </w:pPr>
      <w:r>
        <w:rPr>
          <w:rFonts w:ascii="Arial" w:cs="Arial" w:eastAsia="Arial" w:hAnsi="Arial"/>
          <w:sz w:val="17"/>
          <w:szCs w:val="17"/>
          <w:color w:val="auto"/>
        </w:rPr>
        <w:t>Currently, for commercial sales of Afrezza, the Company has limited sales and returns history, and as such, is unable to reliably estimate expected returns of the product at the time of shipment into the distribution channel. Accordingly, the Company defers recognition of revenue on Afrezza product shipments until the right of return no longer exists, which occurs at the earlier of the time Afrezza is dispensed from pharmacies to patients or expiration of the right of return. The Company recognizes revenue based on Afrezza patient prescriptions dispensed, a sell-through model, as estimated by syndicated data provided by a third party. The Company also analyzes additional data points to ensure that such third-party data is reasonable, including data related to inventory movements within the channel and ongoing prescription demand.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80"/>
          </w:cols>
          <w:pgMar w:left="240" w:top="449" w:right="27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Upon adoption of the new guidance, the Company expects that it will move from its current sell-through model to a sell-to model for revenue related to commercial sales of Afrezza and will record revenue at the time title and risk of loss passes to its distributors (generally at shipment or delivery to the distributors) along with an estimate of potential returns as variable consideration. The Company also anticipates that its ability to estimate potential returns will improve with an additional 12 months of sales history that it will have obtained by January 1, 2018.</w:t>
      </w:r>
    </w:p>
    <w:p>
      <w:pPr>
        <w:spacing w:after="0" w:line="178"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In addition, the Company has historically entered into collaborative agreements with third-parties under which periodic payments have been received. Revenue recognition for certain payments received has been deferred until the price is fixed and determinable. Further, revenue for certain payments to be received in the future has been prohibited from recognition until received. The Company expects that some of these amounts will be considered variable consideration and may be able to be recognized earlier under the new guidance.</w:t>
      </w:r>
    </w:p>
    <w:p>
      <w:pPr>
        <w:spacing w:after="0" w:line="178" w:lineRule="exact"/>
        <w:rPr>
          <w:sz w:val="20"/>
          <w:szCs w:val="20"/>
          <w:color w:val="auto"/>
        </w:rPr>
      </w:pPr>
    </w:p>
    <w:p>
      <w:pPr>
        <w:jc w:val="both"/>
        <w:ind w:right="140" w:firstLine="457"/>
        <w:spacing w:after="0" w:line="265" w:lineRule="auto"/>
        <w:rPr>
          <w:sz w:val="20"/>
          <w:szCs w:val="20"/>
          <w:color w:val="auto"/>
        </w:rPr>
      </w:pPr>
      <w:r>
        <w:rPr>
          <w:rFonts w:ascii="Arial" w:cs="Arial" w:eastAsia="Arial" w:hAnsi="Arial"/>
          <w:sz w:val="17"/>
          <w:szCs w:val="17"/>
          <w:color w:val="auto"/>
        </w:rPr>
        <w:t>The Company has begun its evaluation of the impact of adoption and plans to continue its evaluation throughout 2017. The financial impact upon adoption will be dependent upon a number of factors including; the amount of revenue that has been deferred under the sell-through model for Afrezza, the amount of the revenue deferred under collaborative arrangements and the Company’s estimates of variable consideration at the date of adoption. At this time, the Company has not completed its evaluation of the inputs, assumptions and methodologies that will be used to recognize revenue related to variable consideration under the new guidance.</w:t>
      </w:r>
    </w:p>
    <w:p>
      <w:pPr>
        <w:spacing w:after="0" w:line="17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xml:space="preserve"> Topic 330 currently requires an entity to measure inventory at the lower of cost or market. Market could be replacement cost, net realizable value, or net realizable value less an approximately normal profit margin. The amendments indicate that after adoption an entity should measure inventory within the scope of this ASU at the lower of cost or net realizable value. The amendments are effective for fiscal years beginning after December 15, 2016, including interim periods within those fiscal years. The amendments should be applied prospectively with earlier application permitted as of the beginning of an interim or annual reporting period. The adoption of ASU No. 2015-11 will have no impact on the Company’s annual consolidated financial statements because the Company currently measures inventory at the lower of cost or net realizable value.</w:t>
      </w:r>
    </w:p>
    <w:p>
      <w:pPr>
        <w:spacing w:after="0" w:line="182" w:lineRule="exact"/>
        <w:rPr>
          <w:sz w:val="20"/>
          <w:szCs w:val="20"/>
          <w:color w:val="auto"/>
        </w:rPr>
      </w:pPr>
    </w:p>
    <w:p>
      <w:pPr>
        <w:ind w:right="240" w:firstLine="457"/>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was effective for annual periods ending after December 15, 2016. The adoption of this standard did not have a material impact on its consolidated financial statements.</w:t>
      </w:r>
    </w:p>
    <w:p>
      <w:pPr>
        <w:spacing w:after="0" w:line="161"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Financial Liabilities. </w:t>
      </w:r>
      <w:r>
        <w:rPr>
          <w:rFonts w:ascii="Arial" w:cs="Arial" w:eastAsia="Arial" w:hAnsi="Arial"/>
          <w:sz w:val="17"/>
          <w:szCs w:val="17"/>
          <w:color w:val="auto"/>
        </w:rPr>
        <w:t>The update is intended to improve the recognition and measurement of financial instruments. The update is effective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beginning after December 15, 2017, including interim periods within those fiscal years. The Company is evaluating the impact the adoption of ASU 2016-01 will have on its consolidated financial statements.</w:t>
      </w:r>
    </w:p>
    <w:p>
      <w:pPr>
        <w:spacing w:after="0" w:line="178" w:lineRule="exact"/>
        <w:rPr>
          <w:sz w:val="20"/>
          <w:szCs w:val="20"/>
          <w:color w:val="auto"/>
        </w:rPr>
      </w:pPr>
    </w:p>
    <w:p>
      <w:pPr>
        <w:ind w:right="100" w:firstLine="457"/>
        <w:spacing w:after="0" w:line="28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new standard will be effective on January 1, 2019. The Company is evaluating the impact the adoption of ASU No. 2016-02 will have on its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9"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firstLine="457"/>
        <w:spacing w:after="0" w:line="308" w:lineRule="auto"/>
        <w:rPr>
          <w:sz w:val="20"/>
          <w:szCs w:val="20"/>
          <w:color w:val="auto"/>
        </w:rPr>
      </w:pPr>
      <w:r>
        <w:rPr>
          <w:rFonts w:ascii="Arial" w:cs="Arial" w:eastAsia="Arial" w:hAnsi="Arial"/>
          <w:sz w:val="15"/>
          <w:szCs w:val="15"/>
          <w:color w:val="auto"/>
        </w:rPr>
        <w:t xml:space="preserve">In March 2016, the FASB issued ASU No. 2016-09, </w:t>
      </w:r>
      <w:r>
        <w:rPr>
          <w:rFonts w:ascii="Arial" w:cs="Arial" w:eastAsia="Arial" w:hAnsi="Arial"/>
          <w:sz w:val="15"/>
          <w:szCs w:val="15"/>
          <w:i w:val="1"/>
          <w:iCs w:val="1"/>
          <w:color w:val="auto"/>
        </w:rPr>
        <w:t>Compensation — Stock Compensation (Topic 718):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The new standard involves several aspects of the accounting for share-based payment transactions, including the income tax consequences,</w:t>
      </w:r>
      <w:r>
        <w:rPr>
          <w:rFonts w:ascii="Arial" w:cs="Arial" w:eastAsia="Arial" w:hAnsi="Arial"/>
          <w:sz w:val="15"/>
          <w:szCs w:val="15"/>
          <w:i w:val="1"/>
          <w:iCs w:val="1"/>
          <w:color w:val="auto"/>
        </w:rPr>
        <w:t xml:space="preserve"> </w:t>
      </w:r>
      <w:r>
        <w:rPr>
          <w:rFonts w:ascii="Arial" w:cs="Arial" w:eastAsia="Arial" w:hAnsi="Arial"/>
          <w:sz w:val="15"/>
          <w:szCs w:val="15"/>
          <w:color w:val="auto"/>
        </w:rPr>
        <w:t>classification of awards as either equity or liabilities and classification on the statement of cash flows. For public business entities, the amendments in this standard are effective for annual periods beginning after December 15, 2016, and interim periods within those annual periods. The Company has evaluated the effect that this guidance will have on its consolidated financial statements and related disclosures and has determined it will not result in a material impact.</w:t>
      </w:r>
    </w:p>
    <w:p>
      <w:pPr>
        <w:spacing w:after="0" w:line="150" w:lineRule="exact"/>
        <w:rPr>
          <w:sz w:val="20"/>
          <w:szCs w:val="20"/>
          <w:color w:val="auto"/>
        </w:rPr>
      </w:pPr>
    </w:p>
    <w:p>
      <w:pPr>
        <w:ind w:right="40" w:firstLine="457"/>
        <w:spacing w:after="0" w:line="263"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The new standard seeks to reduce diversity in practice related to the classification of certain transactions in the statement of cash flows. For public business entities, the amendments in this standard are effective for annual periods beginning after December 15, 2017, and interim periods within those annual periods. The amendments should be applied using a retrospective transition method to each period presented. If it is impracticable to apply the amendments retrospectively for some of the issues, the amendments for those issues would be applied prospectively as of the earliest date practicable. The Company is evaluating the impact the adoption of ASU No. 2016-15 will have on its consolidated financial statements.</w:t>
      </w:r>
    </w:p>
    <w:p>
      <w:pPr>
        <w:spacing w:after="0" w:line="181"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This ASU requires that the reconciliation of the beginning-of-period and end-of-period amounts shown in the statement of cash flows include cash and restricted cash equivalents. ASU 2016-08 is effective for fiscal years beginning after December 15, 2018, including interim periods within those periods, using a retrospective transition method to each period presented. The Company has evaluated the effect that this guidance will have on its consolidated financial statements and related disclosures and has determined it will not result in a material impact.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Inventories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Inventories consist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63"/>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tcPr>
          <w:p>
            <w:pPr>
              <w:ind w:left="220"/>
              <w:spacing w:after="0"/>
              <w:rPr>
                <w:sz w:val="20"/>
                <w:szCs w:val="20"/>
                <w:color w:val="auto"/>
              </w:rPr>
            </w:pPr>
            <w:r>
              <w:rPr>
                <w:rFonts w:ascii="Arial" w:cs="Arial" w:eastAsia="Arial" w:hAnsi="Arial"/>
                <w:sz w:val="14"/>
                <w:szCs w:val="14"/>
                <w:color w:val="auto"/>
              </w:rPr>
              <w:t>December 31,</w:t>
            </w:r>
          </w:p>
        </w:tc>
      </w:tr>
      <w:tr>
        <w:trPr>
          <w:trHeight w:val="137"/>
        </w:trPr>
        <w:tc>
          <w:tcPr>
            <w:tcW w:w="72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7" w:lineRule="exact"/>
              <w:rPr>
                <w:sz w:val="20"/>
                <w:szCs w:val="20"/>
                <w:color w:val="auto"/>
              </w:rPr>
            </w:pPr>
            <w:r>
              <w:rPr>
                <w:rFonts w:ascii="Arial" w:cs="Arial" w:eastAsia="Arial" w:hAnsi="Arial"/>
                <w:sz w:val="14"/>
                <w:szCs w:val="14"/>
                <w:color w:val="auto"/>
                <w:w w:val="89"/>
              </w:rPr>
              <w:t>2016</w:t>
            </w:r>
          </w:p>
        </w:tc>
        <w:tc>
          <w:tcPr>
            <w:tcW w:w="2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7" w:lineRule="exact"/>
              <w:rPr>
                <w:sz w:val="20"/>
                <w:szCs w:val="20"/>
                <w:color w:val="auto"/>
              </w:rPr>
            </w:pPr>
            <w:r>
              <w:rPr>
                <w:rFonts w:ascii="Arial" w:cs="Arial" w:eastAsia="Arial" w:hAnsi="Arial"/>
                <w:sz w:val="14"/>
                <w:szCs w:val="14"/>
                <w:color w:val="auto"/>
                <w:w w:val="96"/>
              </w:rPr>
              <w:t>2015</w:t>
            </w:r>
          </w:p>
        </w:tc>
        <w:tc>
          <w:tcPr>
            <w:tcW w:w="40" w:type="dxa"/>
            <w:vAlign w:val="bottom"/>
            <w:tcBorders>
              <w:bottom w:val="single" w:sz="8" w:color="CCEEFF"/>
            </w:tcBorders>
          </w:tcPr>
          <w:p>
            <w:pPr>
              <w:spacing w:after="0"/>
              <w:rPr>
                <w:sz w:val="11"/>
                <w:szCs w:val="11"/>
                <w:color w:val="auto"/>
              </w:rPr>
            </w:pPr>
          </w:p>
        </w:tc>
      </w:tr>
      <w:tr>
        <w:trPr>
          <w:trHeight w:val="203"/>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spacing w:after="0"/>
              <w:rPr>
                <w:sz w:val="17"/>
                <w:szCs w:val="17"/>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90"/>
              </w:rPr>
              <w:t>$—</w:t>
            </w:r>
          </w:p>
        </w:tc>
        <w:tc>
          <w:tcPr>
            <w:tcW w:w="40" w:type="dxa"/>
            <w:vAlign w:val="bottom"/>
            <w:shd w:val="clear" w:color="auto" w:fill="CCEEFF"/>
          </w:tcPr>
          <w:p>
            <w:pPr>
              <w:spacing w:after="0"/>
              <w:rPr>
                <w:sz w:val="17"/>
                <w:szCs w:val="17"/>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Work-in-process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2,120</w:t>
            </w:r>
          </w:p>
        </w:tc>
        <w:tc>
          <w:tcPr>
            <w:tcW w:w="5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Total Inventory</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2,331</w:t>
            </w:r>
          </w:p>
        </w:tc>
        <w:tc>
          <w:tcPr>
            <w:tcW w:w="54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w:t>
            </w: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0" w:firstLine="457"/>
        <w:spacing w:after="0" w:line="267" w:lineRule="auto"/>
        <w:rPr>
          <w:sz w:val="20"/>
          <w:szCs w:val="20"/>
          <w:color w:val="auto"/>
        </w:rPr>
      </w:pPr>
      <w:r>
        <w:rPr>
          <w:rFonts w:ascii="Arial" w:cs="Arial" w:eastAsia="Arial" w:hAnsi="Arial"/>
          <w:sz w:val="17"/>
          <w:szCs w:val="17"/>
          <w:color w:val="auto"/>
        </w:rPr>
        <w:t>As of December 31, 2015, the Company recorded a write-off of all of its inventory. There were no raw materials as of December 31, 2016 because purchases of raw materials in 2016 were recorded at zero value because they had been accrued at December 31, 2015 through the loss on purchase commitment. Work-in-process and finished goods as of December 31, 2016 include conversion costs but not materials cost because the materials used in its production were previously written off.</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00"/>
          </w:cols>
          <w:pgMar w:left="240" w:top="449" w:right="25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Property and Equipment</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consist of the following (in thousands):</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color w:val="auto"/>
                <w:w w:val="89"/>
              </w:rPr>
              <w:t>Estimated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vMerge w:val="restart"/>
          </w:tcPr>
          <w:p>
            <w:pPr>
              <w:jc w:val="right"/>
              <w:spacing w:after="0"/>
              <w:rPr>
                <w:sz w:val="20"/>
                <w:szCs w:val="20"/>
                <w:color w:val="auto"/>
              </w:rPr>
            </w:pPr>
            <w:r>
              <w:rPr>
                <w:rFonts w:ascii="Arial" w:cs="Arial" w:eastAsia="Arial" w:hAnsi="Arial"/>
                <w:sz w:val="14"/>
                <w:szCs w:val="14"/>
                <w:color w:val="auto"/>
              </w:rPr>
              <w:t>December 31,</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6120" w:type="dxa"/>
            <w:vAlign w:val="bottom"/>
          </w:tcPr>
          <w:p>
            <w:pPr>
              <w:spacing w:after="0"/>
              <w:rPr>
                <w:sz w:val="6"/>
                <w:szCs w:val="6"/>
                <w:color w:val="auto"/>
              </w:rPr>
            </w:pPr>
          </w:p>
        </w:tc>
        <w:tc>
          <w:tcPr>
            <w:tcW w:w="1340" w:type="dxa"/>
            <w:vAlign w:val="bottom"/>
            <w:gridSpan w:val="2"/>
            <w:vMerge w:val="restart"/>
          </w:tcPr>
          <w:p>
            <w:pPr>
              <w:jc w:val="center"/>
              <w:ind w:right="700"/>
              <w:spacing w:after="0" w:line="144" w:lineRule="exact"/>
              <w:rPr>
                <w:sz w:val="20"/>
                <w:szCs w:val="20"/>
                <w:color w:val="auto"/>
              </w:rPr>
            </w:pPr>
            <w:r>
              <w:rPr>
                <w:rFonts w:ascii="Arial" w:cs="Arial" w:eastAsia="Arial" w:hAnsi="Arial"/>
                <w:sz w:val="14"/>
                <w:szCs w:val="14"/>
                <w:color w:val="auto"/>
                <w:w w:val="96"/>
              </w:rPr>
              <w:t>Useful Life</w:t>
            </w: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5"/>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61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120" w:type="dxa"/>
            <w:vAlign w:val="bottom"/>
          </w:tcPr>
          <w:p>
            <w:pPr>
              <w:spacing w:after="0"/>
              <w:rPr>
                <w:sz w:val="14"/>
                <w:szCs w:val="14"/>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4"/>
                <w:szCs w:val="14"/>
                <w:color w:val="auto"/>
                <w:w w:val="87"/>
              </w:rPr>
              <w:t>(Years)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Land</w:t>
            </w: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Buildings</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39-40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17,389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21,590</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Building improvements</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5-40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34,957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60,584</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Machinery and equipment</w:t>
            </w: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3-15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62,992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68,434</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office equipment</w:t>
            </w:r>
          </w:p>
        </w:tc>
        <w:tc>
          <w:tcPr>
            <w:tcW w:w="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5-10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4,114</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640" w:type="dxa"/>
            <w:vAlign w:val="bottom"/>
          </w:tcPr>
          <w:p>
            <w:pPr>
              <w:jc w:val="center"/>
              <w:spacing w:after="0"/>
              <w:rPr>
                <w:sz w:val="20"/>
                <w:szCs w:val="20"/>
                <w:color w:val="auto"/>
              </w:rPr>
            </w:pPr>
            <w:r>
              <w:rPr>
                <w:rFonts w:ascii="Arial" w:cs="Arial" w:eastAsia="Arial" w:hAnsi="Arial"/>
                <w:sz w:val="17"/>
                <w:szCs w:val="17"/>
                <w:color w:val="auto"/>
              </w:rPr>
              <w:t>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8,531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9,519</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128,502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168,262</w:t>
            </w: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w w:val="97"/>
              </w:rPr>
              <w:t>(99,575)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(119,513)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7"/>
                <w:szCs w:val="17"/>
                <w:color w:val="auto"/>
              </w:rPr>
              <w:t>Total property and equipment, net</w:t>
            </w: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28,927</w:t>
            </w:r>
          </w:p>
        </w:tc>
        <w:tc>
          <w:tcPr>
            <w:tcW w:w="3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48,749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600" w:firstLine="457"/>
        <w:spacing w:after="0" w:line="289" w:lineRule="auto"/>
        <w:rPr>
          <w:sz w:val="20"/>
          <w:szCs w:val="20"/>
          <w:color w:val="auto"/>
        </w:rPr>
      </w:pPr>
      <w:r>
        <w:rPr>
          <w:rFonts w:ascii="Arial" w:cs="Arial" w:eastAsia="Arial" w:hAnsi="Arial"/>
          <w:sz w:val="17"/>
          <w:szCs w:val="17"/>
          <w:color w:val="auto"/>
        </w:rPr>
        <w:t>Depreciation and amortization expense related to property and equipment for the years ended December 31, 2016, 2015 and 2014, was $2.4 million, $11.0 million and $9.8 million,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December 31, 2016 amounts do not include the Valencia property because it is classified as held for sale as of that date.</w:t>
      </w:r>
    </w:p>
    <w:p>
      <w:pPr>
        <w:spacing w:after="0" w:line="224" w:lineRule="exact"/>
        <w:rPr>
          <w:sz w:val="20"/>
          <w:szCs w:val="20"/>
          <w:color w:val="auto"/>
        </w:rPr>
      </w:pPr>
    </w:p>
    <w:p>
      <w:pPr>
        <w:ind w:right="240" w:firstLine="457"/>
        <w:spacing w:after="0" w:line="263" w:lineRule="auto"/>
        <w:rPr>
          <w:sz w:val="20"/>
          <w:szCs w:val="20"/>
          <w:color w:val="auto"/>
        </w:rPr>
      </w:pPr>
      <w:r>
        <w:rPr>
          <w:rFonts w:ascii="Arial" w:cs="Arial" w:eastAsia="Arial" w:hAnsi="Arial"/>
          <w:sz w:val="17"/>
          <w:szCs w:val="17"/>
          <w:color w:val="auto"/>
        </w:rPr>
        <w:t>In connection with the Company’s quarterly assessment of impairment indicators, the Company evaluated the continued lower than expected sales of Afrezza as reported by Sanofi throughout the fourth quarter of 2015, revised forecasts for sales of Afrezza provided by Sanofi in the fourth quarter of 2015 and level of commercial production in the fourth quarter of 2015, as well as the uncertainty associated with Sanofi’s announcement during the fourth quarter of their intent to reorganize their diabetes business. These factors indicated potentially significant changes in the timing and extent of cash flows, and the Company therefore determined that an impairment indicator existed in the fourth quarter of 2015 and recorded an impairment for the year ended December 31, 2015. No such indications were identified in the current year ended December 31, 2016.</w:t>
      </w:r>
    </w:p>
    <w:p>
      <w:pPr>
        <w:spacing w:after="0" w:line="18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Company identified two primary asset groups to be evaluated for impairment: the Danbury manufacturing facility, which currently performs all the manufacturing of Afrezza, and the Valencia facility, which was previously the Company’s corporate headquarters. The Danbury manufacturing facility was the primary asset group that was impacted by the impairment indicators noted above but the Company also evaluated the Valencia facility for potential impairment given the circumstances and identified an impairment charge of $1.8 million based on a valuation utilizing a combination of market, income and cost approaches. Within the Danbury manufacturing facility, the Company identified the machinery and equipment as the primary assets within the asset group as they are associated with the production of Afrezza. As such, the Company performed the fixed asset impairment test and performed the first step to test for recoverability of the Danbury manufacturing facility by utilizing two undiscounted cash flow projections and applying a probability weighted average to those cash flow projections. The first undiscounted cash flow projection was developed under a scenario assuming Sanofi would continue to sell and market Afrezza as the termination of the arrangement by Sanofi was not known as of the balance sheet date. The second undiscounted cash flow projection assumed Sanofi would terminate the Sanofi License Agreement and that the Company would manufacture, sell and market Afrezza independently.</w:t>
      </w:r>
    </w:p>
    <w:p>
      <w:pPr>
        <w:spacing w:after="0" w:line="173" w:lineRule="exact"/>
        <w:rPr>
          <w:sz w:val="20"/>
          <w:szCs w:val="20"/>
          <w:color w:val="auto"/>
        </w:rPr>
      </w:pPr>
    </w:p>
    <w:p>
      <w:pPr>
        <w:ind w:right="100" w:firstLine="457"/>
        <w:spacing w:after="0" w:line="273" w:lineRule="auto"/>
        <w:rPr>
          <w:sz w:val="20"/>
          <w:szCs w:val="20"/>
          <w:color w:val="auto"/>
        </w:rPr>
      </w:pPr>
      <w:r>
        <w:rPr>
          <w:rFonts w:ascii="Arial" w:cs="Arial" w:eastAsia="Arial" w:hAnsi="Arial"/>
          <w:sz w:val="17"/>
          <w:szCs w:val="17"/>
          <w:color w:val="auto"/>
        </w:rPr>
        <w:t>Based on the evaluation performed, the probabilities assigned to the two undiscounted cash flows were not significant to the evaluation due to the projected negative cash flows over the estimation period, and it was determined that the probability weighted undiscounted cash flows were not sufficient to recover the carrying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20"/>
          </w:cols>
          <w:pgMar w:left="240" w:top="449" w:right="23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value of the Danbury manufacturing facility. As such, the Company was required to determine the fair value of the Danbury manufacturing facility to recognize an impairment loss if the carrying amount exceeds its fair value. The Company determined the fair value of the Danbury manufacturing facility by applying the highest and best use valuation concept and utilizing the market approach valuation technique to value the machinery and equipment and a combination of the market approach and cost approach in valuing the land, buildings and building improvements. As a result of this assessment, the Company recorded, as of December 31, 2015, an impairment charge of $138.6 million for the Danbury manufacturing facility.</w:t>
      </w:r>
    </w:p>
    <w:p>
      <w:pPr>
        <w:spacing w:after="0" w:line="178"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December 31, 2015 balances have been reclassified to the current year presentation by allocating an impairment of $140.4 million, which was previously disclosed in total, to the individual asset groups. An additional impairment of $0.7 million was charged to the individual asset groups for the year ended December 31, 2016, which is included in property and equipment impairment in the accompany consolidated statements of operations, additionally with a $0.6 million impairment charge related to assets held for sale.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 and Other Current Liabilities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expenses and other current liabilities are comprised of the following (in thousands):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gridSpan w:val="5"/>
          </w:tcPr>
          <w:p>
            <w:pPr>
              <w:ind w:left="380"/>
              <w:spacing w:after="0"/>
              <w:rPr>
                <w:sz w:val="20"/>
                <w:szCs w:val="20"/>
                <w:color w:val="auto"/>
              </w:rPr>
            </w:pPr>
            <w:r>
              <w:rPr>
                <w:rFonts w:ascii="Arial" w:cs="Arial" w:eastAsia="Arial" w:hAnsi="Arial"/>
                <w:sz w:val="14"/>
                <w:szCs w:val="14"/>
                <w:color w:val="auto"/>
              </w:rPr>
              <w:t>December 31,</w:t>
            </w:r>
          </w:p>
        </w:tc>
      </w:tr>
      <w:tr>
        <w:trPr>
          <w:trHeight w:val="137"/>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80" w:type="dxa"/>
            <w:vAlign w:val="bottom"/>
            <w:tcBorders>
              <w:top w:val="single" w:sz="8" w:color="auto"/>
            </w:tcBorders>
          </w:tcPr>
          <w:p>
            <w:pPr>
              <w:jc w:val="right"/>
              <w:ind w:right="21"/>
              <w:spacing w:after="0" w:line="137" w:lineRule="exact"/>
              <w:rPr>
                <w:sz w:val="20"/>
                <w:szCs w:val="20"/>
                <w:color w:val="auto"/>
              </w:rPr>
            </w:pPr>
            <w:r>
              <w:rPr>
                <w:rFonts w:ascii="Arial" w:cs="Arial" w:eastAsia="Arial" w:hAnsi="Arial"/>
                <w:sz w:val="14"/>
                <w:szCs w:val="14"/>
                <w:color w:val="auto"/>
              </w:rPr>
              <w:t>2016</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color w:val="auto"/>
              </w:rPr>
              <w:t>2015</w:t>
            </w:r>
          </w:p>
        </w:tc>
        <w:tc>
          <w:tcPr>
            <w:tcW w:w="4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Salary and related expenses</w:t>
            </w:r>
          </w:p>
        </w:tc>
        <w:tc>
          <w:tcPr>
            <w:tcW w:w="16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$3,814</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$2,634</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Restructuring</w:t>
            </w:r>
          </w:p>
        </w:tc>
        <w:tc>
          <w:tcPr>
            <w:tcW w:w="2360" w:type="dxa"/>
            <w:vAlign w:val="bottom"/>
            <w:gridSpan w:val="3"/>
          </w:tcPr>
          <w:p>
            <w:pPr>
              <w:jc w:val="right"/>
              <w:ind w:right="280"/>
              <w:spacing w:after="0"/>
              <w:rPr>
                <w:sz w:val="20"/>
                <w:szCs w:val="20"/>
                <w:color w:val="auto"/>
              </w:rPr>
            </w:pPr>
            <w:r>
              <w:rPr>
                <w:rFonts w:ascii="Arial" w:cs="Arial" w:eastAsia="Arial" w:hAnsi="Arial"/>
                <w:sz w:val="17"/>
                <w:szCs w:val="17"/>
                <w:color w:val="auto"/>
              </w:rPr>
              <w:t>1,376</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3,028</w:t>
            </w: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 services</w:t>
            </w:r>
          </w:p>
        </w:tc>
        <w:tc>
          <w:tcPr>
            <w:tcW w:w="2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144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Professional fees</w:t>
            </w:r>
          </w:p>
        </w:tc>
        <w:tc>
          <w:tcPr>
            <w:tcW w:w="2360" w:type="dxa"/>
            <w:vAlign w:val="bottom"/>
            <w:gridSpan w:val="3"/>
          </w:tcPr>
          <w:p>
            <w:pPr>
              <w:jc w:val="right"/>
              <w:ind w:right="280"/>
              <w:spacing w:after="0"/>
              <w:rPr>
                <w:sz w:val="20"/>
                <w:szCs w:val="20"/>
                <w:color w:val="auto"/>
              </w:rPr>
            </w:pPr>
            <w:r>
              <w:rPr>
                <w:rFonts w:ascii="Arial" w:cs="Arial" w:eastAsia="Arial" w:hAnsi="Arial"/>
                <w:sz w:val="17"/>
                <w:szCs w:val="17"/>
                <w:color w:val="auto"/>
              </w:rPr>
              <w:t>875</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931</w:t>
            </w: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Discounts and allowances for commercial product sales</w:t>
            </w:r>
          </w:p>
        </w:tc>
        <w:tc>
          <w:tcPr>
            <w:tcW w:w="2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754</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Accrued interest</w:t>
            </w:r>
          </w:p>
        </w:tc>
        <w:tc>
          <w:tcPr>
            <w:tcW w:w="2360" w:type="dxa"/>
            <w:vAlign w:val="bottom"/>
            <w:gridSpan w:val="3"/>
          </w:tcPr>
          <w:p>
            <w:pPr>
              <w:jc w:val="right"/>
              <w:ind w:right="280"/>
              <w:spacing w:after="0"/>
              <w:rPr>
                <w:sz w:val="20"/>
                <w:szCs w:val="20"/>
                <w:color w:val="auto"/>
              </w:rPr>
            </w:pPr>
            <w:r>
              <w:rPr>
                <w:rFonts w:ascii="Arial" w:cs="Arial" w:eastAsia="Arial" w:hAnsi="Arial"/>
                <w:sz w:val="17"/>
                <w:szCs w:val="17"/>
                <w:color w:val="auto"/>
              </w:rPr>
              <w:t>619</w:t>
            </w:r>
          </w:p>
        </w:tc>
        <w:tc>
          <w:tcPr>
            <w:tcW w:w="820" w:type="dxa"/>
            <w:vAlign w:val="bottom"/>
            <w:gridSpan w:val="3"/>
          </w:tcPr>
          <w:p>
            <w:pPr>
              <w:jc w:val="right"/>
              <w:ind w:right="40"/>
              <w:spacing w:after="0"/>
              <w:rPr>
                <w:sz w:val="20"/>
                <w:szCs w:val="20"/>
                <w:color w:val="auto"/>
              </w:rPr>
            </w:pPr>
            <w:r>
              <w:rPr>
                <w:rFonts w:ascii="Arial" w:cs="Arial" w:eastAsia="Arial" w:hAnsi="Arial"/>
                <w:sz w:val="17"/>
                <w:szCs w:val="17"/>
                <w:color w:val="auto"/>
              </w:rPr>
              <w:t>615</w:t>
            </w: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355</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483</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1600" w:type="dxa"/>
            <w:vAlign w:val="bottom"/>
          </w:tcPr>
          <w:p>
            <w:pPr>
              <w:spacing w:after="0"/>
              <w:rPr>
                <w:sz w:val="18"/>
                <w:szCs w:val="18"/>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3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7,937</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7,929</w:t>
            </w: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Related-Party Arrangements</w:t>
      </w:r>
    </w:p>
    <w:p>
      <w:pPr>
        <w:spacing w:after="0" w:line="125" w:lineRule="exact"/>
        <w:rPr>
          <w:sz w:val="20"/>
          <w:szCs w:val="20"/>
          <w:color w:val="auto"/>
        </w:rPr>
      </w:pPr>
    </w:p>
    <w:p>
      <w:pPr>
        <w:ind w:right="320" w:firstLine="457"/>
        <w:spacing w:after="0" w:line="265" w:lineRule="auto"/>
        <w:rPr>
          <w:sz w:val="20"/>
          <w:szCs w:val="20"/>
          <w:color w:val="auto"/>
        </w:rPr>
      </w:pPr>
      <w:r>
        <w:rPr>
          <w:rFonts w:ascii="Arial" w:cs="Arial" w:eastAsia="Arial" w:hAnsi="Arial"/>
          <w:sz w:val="17"/>
          <w:szCs w:val="17"/>
          <w:color w:val="auto"/>
        </w:rPr>
        <w:t>In October 2007, the Company entered into The Mann Group Loan Arrangement, which has been amended from time to time. On October 31, 2013, the promissory note underlying The Mann Group Loan Arrangement was amended to, among other things, extend the maturity date of the loan to January 5, 2020, extend the date through which the Company can borrow under The Mann Group Loan Arrangement to December 31, 2019, increase the aggregate borrowing amount under The Mann Group Loan Arrangement from $350.0 million to $370.0 million and provide that repayments or cancellations of principal under The Mann Group Loan Arrangement will not be available for reborrowing.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the total principal amount outstanding under The Mann Group Loan Arrangement was $49.5 million, and the amount available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future borrowings is $30.1 million. Interest, at a fixed rate of 5.84%, is due and payable quarterly in arrears on the first day of each calendar quarter for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preceding quarter, or at such other time as the Company and The Mann Group mutually agree. All or any portion of accrued and unpaid interest that becomes due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and payable may be paid-in-kind and capitalized as additional borrowings at any time upon mutual agreement of the parties, and has been classified as non-current.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The Mann Group can require the Company to prepay up to $200.0 million in advances that have been outstanding for at least 12 months, less approximately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$105.0 million aggregate principal amount that has been cancelled in connection with two common stock purchase agreements. If The Mann Group exercises this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right, the Company will have 90 days after The Mann Group provides written notice, or the number of days to maturity of the note if less than 90 days, to prepay</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such advances. However, pursuant to a letter agreement entered into in August 2010, The Mann Group has agreed to not require the Company to prepay amounts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outstanding under the amended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9"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Mann Group Loan Arrangement until the Company’s payment obligations to Deerfield under the Facility Agreement have been satisfied in full. Subject to the foregoing, in the event of a default under The Mann Group Loan Arrangement, all unpaid principal and interest either becomes immediately due and payable or may be accelerated at The Mann Group LLC’s option, and the interest rate will increase to the one-year LIBOR rate calculated on the date of the initial advance or in effect on the date of default, whichever is greater, plus 5% per annum. All borrowings under The Mann Group Loan Arrangement are unsecured. The Mann Group Loan Arrangement contains no financial covenants.</w:t>
      </w:r>
    </w:p>
    <w:p>
      <w:pPr>
        <w:spacing w:after="0" w:line="182"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As of December 31, 2016 and 2015, the Company had accrued and unpaid interest related to the above note of $9.3 million and $6.4 million, respectively, and had $30.1 million of available borrowings. Interest expense on the Company’s note payable to the Company’s principal stockholder for each of the years ended December 31, 2016, 2015 and 2014 was $2.9 million.</w:t>
      </w:r>
    </w:p>
    <w:p>
      <w:pPr>
        <w:spacing w:after="0" w:line="171" w:lineRule="exact"/>
        <w:rPr>
          <w:sz w:val="20"/>
          <w:szCs w:val="20"/>
          <w:color w:val="auto"/>
        </w:rPr>
      </w:pPr>
    </w:p>
    <w:p>
      <w:pPr>
        <w:ind w:right="240" w:firstLine="457"/>
        <w:spacing w:after="0" w:line="289" w:lineRule="auto"/>
        <w:rPr>
          <w:sz w:val="20"/>
          <w:szCs w:val="20"/>
          <w:color w:val="auto"/>
        </w:rPr>
      </w:pPr>
      <w:r>
        <w:rPr>
          <w:rFonts w:ascii="Arial" w:cs="Arial" w:eastAsia="Arial" w:hAnsi="Arial"/>
          <w:sz w:val="16"/>
          <w:szCs w:val="16"/>
          <w:color w:val="auto"/>
        </w:rPr>
        <w:t>In May 2015, the Company entered into a sublease agreement with the Alfred Mann Foundation for Scientific Research (the “Mann Foundation”), a California Not-For-Profit Corporation. The lease is for approximately 12,500 square feet of office space in Valencia, California and expires in April 2017. The office space contains the Company’s principal executive offices. Lease payments to the Mann Foundation for the year ended December 31, 2016 and 2015 were $268,000 and $175,000, respectively. There were no lease payments to the Mann Foundation for the year ended December 31, 2014.</w:t>
      </w:r>
    </w:p>
    <w:p>
      <w:pPr>
        <w:spacing w:after="0" w:line="161"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principal stockholder approximately $18,000 and $79,000 for the years ended December 31, 2015 and 2014, respectively, on the basis of the corresponding cost of commercial airfare. There were no payments to the principal stockholder related to the usage of the aircraft during the year ended December 31, 2016.</w:t>
      </w:r>
    </w:p>
    <w:p>
      <w:pPr>
        <w:spacing w:after="0" w:line="178" w:lineRule="exact"/>
        <w:rPr>
          <w:sz w:val="20"/>
          <w:szCs w:val="20"/>
          <w:color w:val="auto"/>
        </w:rPr>
      </w:pPr>
    </w:p>
    <w:p>
      <w:pPr>
        <w:ind w:right="140" w:firstLine="457"/>
        <w:spacing w:after="0" w:line="322" w:lineRule="auto"/>
        <w:rPr>
          <w:sz w:val="20"/>
          <w:szCs w:val="20"/>
          <w:color w:val="auto"/>
        </w:rPr>
      </w:pPr>
      <w:r>
        <w:rPr>
          <w:rFonts w:ascii="Arial" w:cs="Arial" w:eastAsia="Arial" w:hAnsi="Arial"/>
          <w:sz w:val="16"/>
          <w:szCs w:val="16"/>
          <w:color w:val="auto"/>
        </w:rPr>
        <w:t>The Company has entered into indemnification agreements with each of its directors and executive officers, in addition to the indemnification provided for in its amended and restated certificate of incorporation and amended and restated bylaws (see Note 13 — Commitments and Contingencies).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Borrowings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consist of the following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46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40" w:type="dxa"/>
            <w:vAlign w:val="bottom"/>
            <w:gridSpan w:val="4"/>
          </w:tcPr>
          <w:p>
            <w:pPr>
              <w:jc w:val="right"/>
              <w:ind w:right="5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37"/>
        </w:trPr>
        <w:tc>
          <w:tcPr>
            <w:tcW w:w="4640" w:type="dxa"/>
            <w:vAlign w:val="bottom"/>
            <w:tcBorders>
              <w:bottom w:val="single" w:sz="8" w:color="CCEEFF"/>
            </w:tcBorders>
          </w:tcPr>
          <w:p>
            <w:pPr>
              <w:spacing w:after="0"/>
              <w:rPr>
                <w:sz w:val="11"/>
                <w:szCs w:val="11"/>
                <w:color w:val="auto"/>
              </w:rPr>
            </w:pPr>
          </w:p>
        </w:tc>
        <w:tc>
          <w:tcPr>
            <w:tcW w:w="3200" w:type="dxa"/>
            <w:vAlign w:val="bottom"/>
            <w:tcBorders>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59"/>
              <w:spacing w:after="0" w:line="137" w:lineRule="exact"/>
              <w:rPr>
                <w:sz w:val="20"/>
                <w:szCs w:val="20"/>
                <w:color w:val="auto"/>
              </w:rPr>
            </w:pPr>
            <w:r>
              <w:rPr>
                <w:rFonts w:ascii="Arial" w:cs="Arial" w:eastAsia="Arial" w:hAnsi="Arial"/>
                <w:sz w:val="14"/>
                <w:szCs w:val="14"/>
                <w:color w:val="auto"/>
              </w:rPr>
              <w:t>2016</w:t>
            </w:r>
          </w:p>
        </w:tc>
        <w:tc>
          <w:tcPr>
            <w:tcW w:w="480" w:type="dxa"/>
            <w:vAlign w:val="bottom"/>
            <w:tcBorders>
              <w:top w:val="single" w:sz="8" w:color="auto"/>
              <w:bottom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55"/>
              <w:spacing w:after="0" w:line="137"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Facility Financing Obligation (2019 Notes)</w:t>
            </w:r>
          </w:p>
        </w:tc>
        <w:tc>
          <w:tcPr>
            <w:tcW w:w="3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360"/>
              <w:spacing w:after="0"/>
              <w:rPr>
                <w:sz w:val="20"/>
                <w:szCs w:val="20"/>
                <w:color w:val="auto"/>
              </w:rPr>
            </w:pPr>
            <w:r>
              <w:rPr>
                <w:rFonts w:ascii="Arial" w:cs="Arial" w:eastAsia="Arial" w:hAnsi="Arial"/>
                <w:sz w:val="17"/>
                <w:szCs w:val="17"/>
                <w:color w:val="auto"/>
              </w:rPr>
              <w:t>Principal amount</w:t>
            </w:r>
          </w:p>
        </w:tc>
        <w:tc>
          <w:tcPr>
            <w:tcW w:w="4260" w:type="dxa"/>
            <w:vAlign w:val="bottom"/>
            <w:gridSpan w:val="3"/>
          </w:tcPr>
          <w:p>
            <w:pPr>
              <w:jc w:val="right"/>
              <w:ind w:right="480"/>
              <w:spacing w:after="0"/>
              <w:rPr>
                <w:sz w:val="20"/>
                <w:szCs w:val="20"/>
                <w:color w:val="auto"/>
              </w:rPr>
            </w:pPr>
            <w:r>
              <w:rPr>
                <w:rFonts w:ascii="Arial" w:cs="Arial" w:eastAsia="Arial" w:hAnsi="Arial"/>
                <w:sz w:val="17"/>
                <w:szCs w:val="17"/>
                <w:color w:val="auto"/>
              </w:rPr>
              <w:t>$75,000</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$80,000</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Unamortized debt discount</w:t>
            </w:r>
          </w:p>
        </w:tc>
        <w:tc>
          <w:tcPr>
            <w:tcW w:w="3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(3,661)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(5,418)</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360"/>
              <w:spacing w:after="0"/>
              <w:rPr>
                <w:sz w:val="20"/>
                <w:szCs w:val="20"/>
                <w:color w:val="auto"/>
              </w:rPr>
            </w:pPr>
            <w:r>
              <w:rPr>
                <w:rFonts w:ascii="Arial" w:cs="Arial" w:eastAsia="Arial" w:hAnsi="Arial"/>
                <w:sz w:val="17"/>
                <w:szCs w:val="17"/>
                <w:color w:val="auto"/>
              </w:rPr>
              <w:t>Net carrying amount</w:t>
            </w:r>
          </w:p>
        </w:tc>
        <w:tc>
          <w:tcPr>
            <w:tcW w:w="3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71,339</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74,582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Senior Convertible Notes (2018 Notes)</w:t>
            </w:r>
          </w:p>
        </w:tc>
        <w:tc>
          <w:tcPr>
            <w:tcW w:w="3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40" w:type="dxa"/>
            <w:vAlign w:val="bottom"/>
          </w:tcPr>
          <w:p>
            <w:pPr>
              <w:ind w:left="360"/>
              <w:spacing w:after="0"/>
              <w:rPr>
                <w:sz w:val="20"/>
                <w:szCs w:val="20"/>
                <w:color w:val="auto"/>
              </w:rPr>
            </w:pPr>
            <w:r>
              <w:rPr>
                <w:rFonts w:ascii="Arial" w:cs="Arial" w:eastAsia="Arial" w:hAnsi="Arial"/>
                <w:sz w:val="17"/>
                <w:szCs w:val="17"/>
                <w:color w:val="auto"/>
              </w:rPr>
              <w:t>Principal amount</w:t>
            </w:r>
          </w:p>
        </w:tc>
        <w:tc>
          <w:tcPr>
            <w:tcW w:w="4260" w:type="dxa"/>
            <w:vAlign w:val="bottom"/>
            <w:gridSpan w:val="3"/>
          </w:tcPr>
          <w:p>
            <w:pPr>
              <w:jc w:val="right"/>
              <w:ind w:right="480"/>
              <w:spacing w:after="0"/>
              <w:rPr>
                <w:sz w:val="20"/>
                <w:szCs w:val="20"/>
                <w:color w:val="auto"/>
              </w:rPr>
            </w:pPr>
            <w:r>
              <w:rPr>
                <w:rFonts w:ascii="Arial" w:cs="Arial" w:eastAsia="Arial" w:hAnsi="Arial"/>
                <w:sz w:val="17"/>
                <w:szCs w:val="17"/>
                <w:color w:val="auto"/>
              </w:rPr>
              <w:t>$27,690</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$27,690</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Unamortized premium</w:t>
            </w:r>
          </w:p>
        </w:tc>
        <w:tc>
          <w:tcPr>
            <w:tcW w:w="426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426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10"/>
        </w:trPr>
        <w:tc>
          <w:tcPr>
            <w:tcW w:w="4640" w:type="dxa"/>
            <w:vAlign w:val="bottom"/>
          </w:tcPr>
          <w:p>
            <w:pPr>
              <w:ind w:left="360"/>
              <w:spacing w:after="0"/>
              <w:rPr>
                <w:sz w:val="20"/>
                <w:szCs w:val="20"/>
                <w:color w:val="auto"/>
              </w:rPr>
            </w:pPr>
            <w:r>
              <w:rPr>
                <w:rFonts w:ascii="Arial" w:cs="Arial" w:eastAsia="Arial" w:hAnsi="Arial"/>
                <w:sz w:val="17"/>
                <w:szCs w:val="17"/>
                <w:color w:val="auto"/>
              </w:rPr>
              <w:t>Unaccreted debt issuance costs</w:t>
            </w:r>
          </w:p>
        </w:tc>
        <w:tc>
          <w:tcPr>
            <w:tcW w:w="3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(481)</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6"/>
        </w:trPr>
        <w:tc>
          <w:tcPr>
            <w:tcW w:w="4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carrying amount</w:t>
            </w:r>
          </w:p>
        </w:tc>
        <w:tc>
          <w:tcPr>
            <w:tcW w:w="3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27,635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27,613</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7"/>
                <w:szCs w:val="17"/>
                <w:b w:val="1"/>
                <w:bCs w:val="1"/>
                <w:color w:val="auto"/>
                <w:w w:val="93"/>
              </w:rPr>
              <w:t>Note payable to principal stockholder — net carrying amount</w:t>
            </w:r>
          </w:p>
        </w:tc>
        <w:tc>
          <w:tcPr>
            <w:tcW w:w="3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40" w:type="dxa"/>
            <w:vAlign w:val="bottom"/>
            <w:vMerge w:val="continue"/>
          </w:tcPr>
          <w:p>
            <w:pPr>
              <w:spacing w:after="0"/>
              <w:rPr>
                <w:sz w:val="17"/>
                <w:szCs w:val="17"/>
                <w:color w:val="auto"/>
              </w:rPr>
            </w:pPr>
          </w:p>
        </w:tc>
        <w:tc>
          <w:tcPr>
            <w:tcW w:w="4260" w:type="dxa"/>
            <w:vAlign w:val="bottom"/>
            <w:gridSpan w:val="3"/>
          </w:tcPr>
          <w:p>
            <w:pPr>
              <w:jc w:val="right"/>
              <w:ind w:right="4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49,521</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49,521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200" w:type="dxa"/>
            <w:vAlign w:val="bottom"/>
            <w:vMerge w:val="restart"/>
          </w:tcPr>
          <w:p>
            <w:pPr>
              <w:jc w:val="right"/>
              <w:ind w:right="2833"/>
              <w:spacing w:after="0"/>
              <w:rPr>
                <w:sz w:val="20"/>
                <w:szCs w:val="20"/>
                <w:color w:val="auto"/>
              </w:rPr>
            </w:pPr>
            <w:r>
              <w:rPr>
                <w:rFonts w:ascii="Arial" w:cs="Arial" w:eastAsia="Arial" w:hAnsi="Arial"/>
                <w:sz w:val="17"/>
                <w:szCs w:val="17"/>
                <w:color w:val="auto"/>
                <w:w w:val="91"/>
              </w:rPr>
              <w:t>101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6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60" w:firstLine="457"/>
        <w:spacing w:after="0" w:line="263" w:lineRule="auto"/>
        <w:rPr>
          <w:sz w:val="20"/>
          <w:szCs w:val="20"/>
          <w:color w:val="auto"/>
        </w:rPr>
      </w:pPr>
      <w:r>
        <w:rPr>
          <w:rFonts w:ascii="Arial" w:cs="Arial" w:eastAsia="Arial" w:hAnsi="Arial"/>
          <w:sz w:val="17"/>
          <w:szCs w:val="17"/>
          <w:i w:val="1"/>
          <w:iCs w:val="1"/>
          <w:color w:val="auto"/>
        </w:rPr>
        <w:t xml:space="preserve">Facility Financing Obligation (2019 Notes) </w:t>
      </w:r>
      <w:r>
        <w:rPr>
          <w:rFonts w:ascii="Arial" w:cs="Arial" w:eastAsia="Arial" w:hAnsi="Arial"/>
          <w:sz w:val="17"/>
          <w:szCs w:val="17"/>
          <w:color w:val="auto"/>
        </w:rPr>
        <w:t>— As of December 31, 2016, there were $55.0 million principal amount of 2019 notes and $20.0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Tranche B notes outstanding. As of December 31, 2015, there were $60.0 million principal amount of 2019 notes and $20.0 million principal amount of Tranche B notes outstanding. The 2019 notes accrue interest at annual rate of 9.75% and the Tranche B notes accrue interest at an annual rate of 8.75%. Interest is paid quarterly in arrears on the last day of each March, June, September and December. The Facility Financing Obligation principal repayment schedule is comprised of annual payments beginning on July 1, 2016 and ending December 9, 2019. Future principal payments for the years ended December 31, 2017, 2018 and 2019 are $20.0 million, $20.0 million and $35.0 million, respectively.</w:t>
      </w:r>
    </w:p>
    <w:p>
      <w:pPr>
        <w:spacing w:after="0" w:line="181"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 conjunction with the Facility Agreement, the Company entered into a Milestone Rights Agreement with Deerfield which requires the Company to make contingent payments to Deerfield, totaling up to $90.0 million, upon the Company achieving specified commercialization milestones. The Milestone Rights were initially recorded as a short-term liability equal to $3.2 million included in accrued expenses and other current liabilities in the accompanying consolidated balance sheets and a long-term liability equal to $13.1 million included in other liabilities. During the first quarter of 2015, a milestone triggering event was achieved following the Company’s product launch on February 3, 2015, which resulted in a $5.8 million incremental charge to interest expense due to the increase in carrying value of the liability to the required $10.0 million payment made in February of 2015. During the year ended December 31, 2014, the first milestone triggering event was achieved following the Company’s entry into the Sanofi License Agreement, which resulted in a $1.9 million incremental charge to interest expense due to the increase in carrying value of the liability to the required $5.0 million payment, which was paid to Deerfield pursuant to the terms of the Milestone Agreement. As of December 31, 2016 and 2015, the remaining liability balance of $8.9 million is classified as a long-term liability.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2016, the unamortized debt discount and debt issuance costs were $3.7 million and $0.1 million, respectively.</w:t>
      </w:r>
    </w:p>
    <w:p>
      <w:pPr>
        <w:spacing w:after="0" w:line="224"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Accretion of debt issuance cost and debt discount in connection with the Deerfield financing during the years ended December 31, 2016, 2015 and 2014 are as follows (in thousands):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7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7"/>
        </w:trPr>
        <w:tc>
          <w:tcPr>
            <w:tcW w:w="70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9"/>
              <w:spacing w:after="0" w:line="137" w:lineRule="exact"/>
              <w:rPr>
                <w:sz w:val="20"/>
                <w:szCs w:val="20"/>
                <w:color w:val="auto"/>
              </w:rPr>
            </w:pPr>
            <w:r>
              <w:rPr>
                <w:rFonts w:ascii="Arial" w:cs="Arial" w:eastAsia="Arial" w:hAnsi="Arial"/>
                <w:sz w:val="14"/>
                <w:szCs w:val="14"/>
                <w:color w:val="auto"/>
                <w:w w:val="89"/>
              </w:rPr>
              <w:t>2016</w:t>
            </w:r>
          </w:p>
        </w:tc>
        <w:tc>
          <w:tcPr>
            <w:tcW w:w="18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9"/>
              <w:spacing w:after="0" w:line="137" w:lineRule="exact"/>
              <w:rPr>
                <w:sz w:val="20"/>
                <w:szCs w:val="20"/>
                <w:color w:val="auto"/>
              </w:rPr>
            </w:pPr>
            <w:r>
              <w:rPr>
                <w:rFonts w:ascii="Arial" w:cs="Arial" w:eastAsia="Arial" w:hAnsi="Arial"/>
                <w:sz w:val="14"/>
                <w:szCs w:val="14"/>
                <w:color w:val="auto"/>
                <w:w w:val="83"/>
              </w:rPr>
              <w:t>2015</w:t>
            </w:r>
          </w:p>
        </w:tc>
        <w:tc>
          <w:tcPr>
            <w:tcW w:w="5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9"/>
              <w:spacing w:after="0" w:line="137" w:lineRule="exact"/>
              <w:rPr>
                <w:sz w:val="20"/>
                <w:szCs w:val="20"/>
                <w:color w:val="auto"/>
              </w:rPr>
            </w:pPr>
            <w:r>
              <w:rPr>
                <w:rFonts w:ascii="Arial" w:cs="Arial" w:eastAsia="Arial" w:hAnsi="Arial"/>
                <w:sz w:val="14"/>
                <w:szCs w:val="14"/>
                <w:color w:val="auto"/>
                <w:w w:val="89"/>
              </w:rPr>
              <w:t>2014</w:t>
            </w:r>
          </w:p>
        </w:tc>
        <w:tc>
          <w:tcPr>
            <w:tcW w:w="40" w:type="dxa"/>
            <w:vAlign w:val="bottom"/>
            <w:tcBorders>
              <w:bottom w:val="single" w:sz="8" w:color="CCEEFF"/>
            </w:tcBorders>
          </w:tcPr>
          <w:p>
            <w:pPr>
              <w:spacing w:after="0"/>
              <w:rPr>
                <w:sz w:val="11"/>
                <w:szCs w:val="11"/>
                <w:color w:val="auto"/>
              </w:rPr>
            </w:pPr>
          </w:p>
        </w:tc>
      </w:tr>
      <w:tr>
        <w:trPr>
          <w:trHeight w:val="203"/>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Accretion expense — debt issuance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40" w:type="dxa"/>
            <w:vAlign w:val="bottom"/>
            <w:shd w:val="clear" w:color="auto" w:fill="CCEEFF"/>
          </w:tcPr>
          <w:p>
            <w:pPr>
              <w:spacing w:after="0"/>
              <w:rPr>
                <w:sz w:val="17"/>
                <w:szCs w:val="17"/>
                <w:color w:val="auto"/>
              </w:rPr>
            </w:pPr>
          </w:p>
        </w:tc>
      </w:tr>
      <w:tr>
        <w:trPr>
          <w:trHeight w:val="222"/>
        </w:trPr>
        <w:tc>
          <w:tcPr>
            <w:tcW w:w="7040" w:type="dxa"/>
            <w:vAlign w:val="bottom"/>
          </w:tcPr>
          <w:p>
            <w:pPr>
              <w:spacing w:after="0"/>
              <w:rPr>
                <w:sz w:val="20"/>
                <w:szCs w:val="20"/>
                <w:color w:val="auto"/>
              </w:rPr>
            </w:pPr>
            <w:r>
              <w:rPr>
                <w:rFonts w:ascii="Arial" w:cs="Arial" w:eastAsia="Arial" w:hAnsi="Arial"/>
                <w:sz w:val="17"/>
                <w:szCs w:val="17"/>
                <w:color w:val="auto"/>
              </w:rPr>
              <w:t>Accretion expense — debt discount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1,722</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20"/>
              <w:spacing w:after="0"/>
              <w:rPr>
                <w:sz w:val="20"/>
                <w:szCs w:val="20"/>
                <w:color w:val="auto"/>
              </w:rPr>
            </w:pPr>
            <w:r>
              <w:rPr>
                <w:rFonts w:ascii="Arial" w:cs="Arial" w:eastAsia="Arial" w:hAnsi="Arial"/>
                <w:sz w:val="17"/>
                <w:szCs w:val="17"/>
                <w:color w:val="auto"/>
                <w:w w:val="84"/>
              </w:rPr>
              <w:t>1,553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7,550</w:t>
            </w:r>
          </w:p>
        </w:tc>
      </w:tr>
    </w:tbl>
    <w:p>
      <w:pPr>
        <w:spacing w:after="0" w:line="185"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The Facility Agreement includes customary representations, warranties and covenants, including, a restriction on the incurrence of additional indebtedness, and a financial covenant which requires the Company’s cash and cash equivalents, which includes available borrowings on the note payable to principal stockholder, on the last day of each fiscal quarter to not be less than $25.0 million. As discussed in Note 1 — Description of Business, the Company will need to raise additional capital to support its current operating plans. Due to the uncertainties related to maintaining sufficient resources to comply with the aforementioned covenant, the 2019 notes and the Tranche B notes have been classified as current liabilities in the accompanying consolidated balance sheets as of December 31, 2016 and 2015. In the event of non-compliance, Deerfield may declare all or any portion of the 2019 notes and/or Tranche B notes to be immediately due and payable.</w:t>
      </w:r>
    </w:p>
    <w:p>
      <w:pPr>
        <w:spacing w:after="0" w:line="182"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The Milestone Agreement includes customary representations and warranties and covenants by the Company, including restrictions on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of intellectual property related to Afrezza. The Milestone Rights are subject to acceleration in the event the Company transfers its intellectual property related to Afrezza in violation of the terms of the Milestone Agreement. The Company has initially recorded the Milestone Rights at their estimated fair value — See Note 2 — Summary of Significant Accounting Policies under Milestone Rights Liability.</w:t>
      </w:r>
    </w:p>
    <w:p>
      <w:pPr>
        <w:spacing w:after="0" w:line="178" w:lineRule="exact"/>
        <w:rPr>
          <w:sz w:val="20"/>
          <w:szCs w:val="20"/>
          <w:color w:val="auto"/>
        </w:rPr>
      </w:pPr>
    </w:p>
    <w:p>
      <w:pPr>
        <w:ind w:right="520" w:firstLine="457"/>
        <w:spacing w:after="0" w:line="289" w:lineRule="auto"/>
        <w:rPr>
          <w:sz w:val="20"/>
          <w:szCs w:val="20"/>
          <w:color w:val="auto"/>
        </w:rPr>
      </w:pPr>
      <w:r>
        <w:rPr>
          <w:rFonts w:ascii="Arial" w:cs="Arial" w:eastAsia="Arial" w:hAnsi="Arial"/>
          <w:sz w:val="17"/>
          <w:szCs w:val="17"/>
          <w:color w:val="auto"/>
        </w:rPr>
        <w:t>In determining the fair value of the Milestone Rights, the 13 individual milestone payments were adjusted for both (i) the expected timing and (ii) the probability of achieving the milestones, and then discounted to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449"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present value using a discount rate of 14.5%. Once the initial valuation of each specified milestone payment was determined, the individual milestone payments were then aggregated to arrive at a total fair value of $18.4 million. The discount rate was based on the estimated cost of equity which was derived using the capital asset pricing model. In addition, a 5% risk premium was added to the computation of the cost of equity to adjust for non-systemic risk factors, such as the Company’s lack of product diversification and history of financial losses, which were not captured in other model inputs.</w:t>
      </w:r>
    </w:p>
    <w:p>
      <w:pPr>
        <w:spacing w:after="0" w:line="161" w:lineRule="exact"/>
        <w:rPr>
          <w:sz w:val="20"/>
          <w:szCs w:val="20"/>
          <w:color w:val="auto"/>
        </w:rPr>
      </w:pPr>
    </w:p>
    <w:p>
      <w:pPr>
        <w:ind w:right="180" w:firstLine="457"/>
        <w:spacing w:after="0" w:line="280" w:lineRule="auto"/>
        <w:rPr>
          <w:sz w:val="20"/>
          <w:szCs w:val="20"/>
          <w:color w:val="auto"/>
        </w:rPr>
      </w:pPr>
      <w:r>
        <w:rPr>
          <w:rFonts w:ascii="Arial" w:cs="Arial" w:eastAsia="Arial" w:hAnsi="Arial"/>
          <w:sz w:val="16"/>
          <w:szCs w:val="16"/>
          <w:i w:val="1"/>
          <w:iCs w:val="1"/>
          <w:color w:val="auto"/>
        </w:rPr>
        <w:t xml:space="preserve">Security Agreement </w:t>
      </w:r>
      <w:r>
        <w:rPr>
          <w:rFonts w:ascii="Arial" w:cs="Arial" w:eastAsia="Arial" w:hAnsi="Arial"/>
          <w:sz w:val="16"/>
          <w:szCs w:val="16"/>
          <w:color w:val="auto"/>
        </w:rPr>
        <w:t>— In connection with the Facility Agreement, the Company and its subsidiary, MannKind LLC, entered into a Guaranty and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“Security Agreement”) with Deerfield and Horizon Sante FLML SA’RL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the Company and MannKind LLC will terminate upon repayment of the 2019 notes and Tranche B notes, if applicable, in full. The Company’s obligations under the Facility Agreement and the Milestone Agreement are also secured by the mortgage on the Company’s facilities in Danbury, Connecticut, which has a carrying value of $28.7 million.</w:t>
      </w:r>
    </w:p>
    <w:p>
      <w:pPr>
        <w:spacing w:after="0" w:line="168" w:lineRule="exact"/>
        <w:rPr>
          <w:sz w:val="20"/>
          <w:szCs w:val="20"/>
          <w:color w:val="auto"/>
        </w:rPr>
      </w:pPr>
    </w:p>
    <w:p>
      <w:pPr>
        <w:ind w:right="120" w:firstLine="457"/>
        <w:spacing w:after="0" w:line="267"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In 2014, the Company analyzed the Tranche B notes and identified embedded derivatives which required separate accounting. However,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at December 31, 2016 and 2015.</w:t>
      </w:r>
    </w:p>
    <w:p>
      <w:pPr>
        <w:spacing w:after="0" w:line="178"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i w:val="1"/>
          <w:iCs w:val="1"/>
          <w:color w:val="auto"/>
        </w:rPr>
        <w:t xml:space="preserve">Conversion Option — </w:t>
      </w:r>
      <w:r>
        <w:rPr>
          <w:rFonts w:ascii="Arial" w:cs="Arial" w:eastAsia="Arial" w:hAnsi="Arial"/>
          <w:sz w:val="17"/>
          <w:szCs w:val="17"/>
          <w:color w:val="auto"/>
        </w:rPr>
        <w:t>During 2014, Deerfield elected to convert a total of $93.5 million of principal, which consisted of $20.0 million, $33.5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$40.0 million of Tranche 1 notes, Tranche 2 notes, and Tranche 3 notes, respectively, into an aggregate 3,464,616 shares of common stock. In conjunction with the conversion by Deerfield, we recorded an aggregate expense of $6.4 million for the difference between the principal amount of the notes converted and their carrying amount (which included unamortized discount and debt issuance costs) which consisted of $1.2 million, $3.0 million, and $2.2 million related to the Tranche 1 notes, Tranche 2 notes, and Tranche 3 notes, respectively. Further, upon Deerfield converting $40.0 million of Tranche 3 notes and $20.0 million of Tranche 1 notes, Deerfield has reached the conversion limits (i.e., “Applicable Limits”) with respect to the Facility Agreement and therefore, no additional amount of the 2019 notes is convertible.</w:t>
      </w:r>
    </w:p>
    <w:p>
      <w:pPr>
        <w:spacing w:after="0" w:line="182" w:lineRule="exact"/>
        <w:rPr>
          <w:sz w:val="20"/>
          <w:szCs w:val="20"/>
          <w:color w:val="auto"/>
        </w:rPr>
      </w:pPr>
    </w:p>
    <w:p>
      <w:pPr>
        <w:ind w:firstLine="457"/>
        <w:spacing w:after="0" w:line="305" w:lineRule="auto"/>
        <w:rPr>
          <w:sz w:val="20"/>
          <w:szCs w:val="20"/>
          <w:color w:val="auto"/>
        </w:rPr>
      </w:pPr>
      <w:r>
        <w:rPr>
          <w:rFonts w:ascii="Arial" w:cs="Arial" w:eastAsia="Arial" w:hAnsi="Arial"/>
          <w:sz w:val="15"/>
          <w:szCs w:val="15"/>
          <w:i w:val="1"/>
          <w:iCs w:val="1"/>
          <w:color w:val="auto"/>
        </w:rPr>
        <w:t xml:space="preserve">Issuance of new 5.75% Convertible Senior Subordinated Exchange Notes Due 2018 in Exchange for 2015 Notes </w:t>
      </w:r>
      <w:r>
        <w:rPr>
          <w:rFonts w:ascii="Arial" w:cs="Arial" w:eastAsia="Arial" w:hAnsi="Arial"/>
          <w:sz w:val="15"/>
          <w:szCs w:val="15"/>
          <w:color w:val="auto"/>
        </w:rPr>
        <w:t>— On July 28, 2015, the Company entered</w:t>
      </w:r>
      <w:r>
        <w:rPr>
          <w:rFonts w:ascii="Arial" w:cs="Arial" w:eastAsia="Arial" w:hAnsi="Arial"/>
          <w:sz w:val="15"/>
          <w:szCs w:val="15"/>
          <w:i w:val="1"/>
          <w:iCs w:val="1"/>
          <w:color w:val="auto"/>
        </w:rPr>
        <w:t xml:space="preserve"> </w:t>
      </w:r>
      <w:r>
        <w:rPr>
          <w:rFonts w:ascii="Arial" w:cs="Arial" w:eastAsia="Arial" w:hAnsi="Arial"/>
          <w:sz w:val="15"/>
          <w:szCs w:val="15"/>
          <w:color w:val="auto"/>
        </w:rPr>
        <w:t>into privately-negotiated exchange agreements (the “Note Exchange Agreements”) with a select holder of the Company’s 5.75% Senior Convertible Notes due 2015 (the “2015 notes”), pursuant to which the Company agreed to issue $27.7 million aggregate principal amount of new 5.75% Convertible Senior Subordinated Exchange Notes due 2018 (the “2018 notes”) to such holders in exchange for the delivery to the Company of the same principal amount of 2015 notes. The 2018 notes were issued at the closing of the exchange on August 10, 2015. The Company analyzed this exchange and concluded that the exchange represents an extinguishment of the 2015 notes and a new issuance of 2018 notes and recorded such notes at fair value, which resulted in a premium of $0.7 million.</w:t>
      </w:r>
    </w:p>
    <w:p>
      <w:pPr>
        <w:spacing w:after="0" w:line="151"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The 2018 notes are the Company’s general, unsecured, senior obligations, except that the 2018 notes were subordinated to the Sanofi Loan facility prior to the extinguishment of the facility on November 9, 2016. The 2018 notes rank equally in right of payment with the Company’s other unsecured senior debt. The 2018 notes bear interest at the rate of 5.75% per year on the principal amount, payable semiannually in arrears in cash on February 15 and August 15 of each year, beginning February 15, 2016, with interest accruing from August 15, 2015. The 2018 notes mature on August 15, 2018. Accrued interest related to these notes is recorded in accrued expenses and other current liabilities on the accompanying consolidated balance sheets.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80"/>
          </w:cols>
          <w:pgMar w:left="240" w:top="449" w:right="2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80" w:firstLine="457"/>
        <w:spacing w:after="0" w:line="265" w:lineRule="auto"/>
        <w:rPr>
          <w:sz w:val="20"/>
          <w:szCs w:val="20"/>
          <w:color w:val="auto"/>
        </w:rPr>
      </w:pPr>
      <w:r>
        <w:rPr>
          <w:rFonts w:ascii="Arial" w:cs="Arial" w:eastAsia="Arial" w:hAnsi="Arial"/>
          <w:sz w:val="17"/>
          <w:szCs w:val="17"/>
          <w:color w:val="auto"/>
        </w:rPr>
        <w:t>The 2018 notes are convertible, at the option of the holder, at any time on or prior to the close of business on the business day immediately preceding the stated maturity date, into shares of the Company’s common stock at an initial conversion rate of 29 shares per $1,000 principal amount of the 2018 notes, which is equal to a conversion price of approximately $34.00 per share, the same conversion price as that of the 2015 notes on the date of exchange. The conversion rate is subject to adjustment under certain circumstances described in an indenture governing the 2018 notes dated August 10, 2015 with Wells Fargo, National Association, including in connection with a make-whole fundamental change.</w:t>
      </w:r>
    </w:p>
    <w:p>
      <w:pPr>
        <w:spacing w:after="0" w:line="178" w:lineRule="exact"/>
        <w:rPr>
          <w:sz w:val="20"/>
          <w:szCs w:val="20"/>
          <w:color w:val="auto"/>
        </w:rPr>
      </w:pPr>
    </w:p>
    <w:p>
      <w:pPr>
        <w:ind w:right="220" w:firstLine="457"/>
        <w:spacing w:after="0" w:line="263" w:lineRule="auto"/>
        <w:rPr>
          <w:sz w:val="20"/>
          <w:szCs w:val="20"/>
          <w:color w:val="auto"/>
        </w:rPr>
      </w:pPr>
      <w:r>
        <w:rPr>
          <w:rFonts w:ascii="Arial" w:cs="Arial" w:eastAsia="Arial" w:hAnsi="Arial"/>
          <w:sz w:val="17"/>
          <w:szCs w:val="17"/>
          <w:color w:val="auto"/>
        </w:rPr>
        <w:t>If certain fundamental changes occur, the Company will be obligated to pay a fundamental change make-whole premium on any 2018 notes converted in connection with such fundamental change by increasing the conversion rate on such 2018 notes. In such instances, the amount of the fundamental change make-whole premium will be based on the Company’s common stock price and the effective date of the applicable fundamental change. If the Company undergoes certain fundamental changes, except in certain circumstances, each holder of 2018 notes will have the option to require the Company to repurchase all or any portion of that holder’s 2018 notes. The fundamental change repurchase price will be 100% of the principal amount of the 2018 notes to be repurchased plus accrued and unpaid interest, if any.</w:t>
      </w:r>
    </w:p>
    <w:p>
      <w:pPr>
        <w:spacing w:after="0" w:line="181"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On or after the date that is one year following the original issue date of the 2018 notes, the Company will have the right to redeem for cash all or part of the 2018 notes if the last reported sale price of its common stock exceeds 130% of the conversion price then in effect for 20 or more trading days during the 30 consecutive trading day period ending on the trading day immediately prior to the date of the redemption notice. The redemption price will equal the sum of 100% of the principal amount of the 2018 notes to be redeemed, plus accrued and unpaid interest. Under the terms of the 2018 Note Indenture, the conversion option can be net-share settled and the maximum number of shares that could be required to be delivered under the indenture, including the make-whole shares, is fixed and less than the number of authorized and unissued shares less the maximum number of shares that could be required to be delivered during the term of the 2018 notes under existing commitments. Applying the Company’s sequencing policy, the Company performed an analysis at the time of the offering of the 2018 notes and each reporting date since and has concluded that the number of available authorized shares at the time of the offering and each subsequent reporting date was sufficient to deliver the number of shares that could be required to be delivered during the term of the 2018 notes under existing commitments.</w:t>
      </w:r>
    </w:p>
    <w:p>
      <w:pPr>
        <w:spacing w:after="0" w:line="17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2018 notes provide that upon an acceleration of certain indebtedness, including the 9.75% Senior Convertible Notes due in 2019 (the “2019 notes”) and the 8.75% Senior Convertible Notes due in 2019 (the “Tranche B notes”) issued to Deerfield pursuant to the Facility Agreement,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78" w:lineRule="exact"/>
        <w:rPr>
          <w:sz w:val="20"/>
          <w:szCs w:val="20"/>
          <w:color w:val="auto"/>
        </w:rPr>
      </w:pPr>
    </w:p>
    <w:p>
      <w:pPr>
        <w:ind w:right="260" w:firstLine="457"/>
        <w:spacing w:after="0" w:line="322" w:lineRule="auto"/>
        <w:rPr>
          <w:sz w:val="20"/>
          <w:szCs w:val="20"/>
          <w:color w:val="auto"/>
        </w:rPr>
      </w:pPr>
      <w:r>
        <w:rPr>
          <w:rFonts w:ascii="Arial" w:cs="Arial" w:eastAsia="Arial" w:hAnsi="Arial"/>
          <w:sz w:val="16"/>
          <w:szCs w:val="16"/>
          <w:color w:val="auto"/>
        </w:rPr>
        <w:t>The Company incurred approximately $0.8 million in issuance costs, which are recorded as an offset to the 2018 notes in the accompanying consolidated balance sheets. These costs are being accreted to interest expense using the effective interest method over the term of the 2018 notes.</w:t>
      </w:r>
    </w:p>
    <w:p>
      <w:pPr>
        <w:spacing w:after="0" w:line="135" w:lineRule="exact"/>
        <w:rPr>
          <w:sz w:val="20"/>
          <w:szCs w:val="20"/>
          <w:color w:val="auto"/>
        </w:rPr>
      </w:pPr>
    </w:p>
    <w:p>
      <w:pPr>
        <w:ind w:right="400" w:firstLine="457"/>
        <w:spacing w:after="0" w:line="359" w:lineRule="auto"/>
        <w:rPr>
          <w:sz w:val="20"/>
          <w:szCs w:val="20"/>
          <w:color w:val="auto"/>
        </w:rPr>
      </w:pPr>
      <w:r>
        <w:rPr>
          <w:rFonts w:ascii="Arial" w:cs="Arial" w:eastAsia="Arial" w:hAnsi="Arial"/>
          <w:sz w:val="15"/>
          <w:szCs w:val="15"/>
          <w:color w:val="auto"/>
        </w:rPr>
        <w:t>Accretion of debt issuance expense in connection with the 2018 notes during the years ended December 31, 2016 and 2015 was $257,000 and $93,000, respectively. Amortization of the 2018 notes premium during the years ended December 31, 2016 and 2015 was $234,000 and $86,000, respectively.</w:t>
      </w:r>
    </w:p>
    <w:p>
      <w:pPr>
        <w:spacing w:after="0" w:line="113" w:lineRule="exact"/>
        <w:rPr>
          <w:sz w:val="20"/>
          <w:szCs w:val="20"/>
          <w:color w:val="auto"/>
        </w:rPr>
      </w:pPr>
    </w:p>
    <w:p>
      <w:pPr>
        <w:ind w:right="460" w:firstLine="457"/>
        <w:spacing w:after="0" w:line="325" w:lineRule="auto"/>
        <w:rPr>
          <w:sz w:val="20"/>
          <w:szCs w:val="20"/>
          <w:color w:val="auto"/>
        </w:rPr>
      </w:pPr>
      <w:r>
        <w:rPr>
          <w:rFonts w:ascii="Arial" w:cs="Arial" w:eastAsia="Arial" w:hAnsi="Arial"/>
          <w:sz w:val="15"/>
          <w:szCs w:val="15"/>
          <w:i w:val="1"/>
          <w:iCs w:val="1"/>
          <w:color w:val="auto"/>
        </w:rPr>
        <w:t xml:space="preserve">Issuance of Common Stock in Exchange for the 2015 Notes </w:t>
      </w:r>
      <w:r>
        <w:rPr>
          <w:rFonts w:ascii="Arial" w:cs="Arial" w:eastAsia="Arial" w:hAnsi="Arial"/>
          <w:sz w:val="15"/>
          <w:szCs w:val="15"/>
          <w:color w:val="auto"/>
        </w:rPr>
        <w:t>— On July 28, 2015, the Company entered into separate, privately-negotiated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agreements (the “Stock-for-Note Exchange Agreements”) with certain holders of the 2015 notes pursuant to which the Company agreed to issue shares of its common stock to such holders in exchange for the delivery to the Company of up to $56.9 million aggregate principal amount of the 2015 notes.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49"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Pursuant to the Stock-for-Note Exchange Agreements, the parties agreed to price the exchange transactions over a 10 trading day period spanning from July 29, 2015 to and including August 11, 2015. Between July 28, 2015 and August 10, 2015, the Company issued an aggregate of 380,000 shares of common stock to such holders in exchange for such holders’ delivery to the Company of $8.0 million aggregate principal amount of the 2015 notes, resulting in a weighted-average exchange price of $110.00 per share.</w:t>
      </w:r>
    </w:p>
    <w:p>
      <w:pPr>
        <w:spacing w:after="0" w:line="178"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i w:val="1"/>
          <w:iCs w:val="1"/>
          <w:color w:val="auto"/>
        </w:rPr>
        <w:t xml:space="preserve">Issuance of New 5.75% Convertible Senior Subordinated Exchange Notes Due 2015 in Exchange for the 2015 Notes </w:t>
      </w:r>
      <w:r>
        <w:rPr>
          <w:rFonts w:ascii="Arial" w:cs="Arial" w:eastAsia="Arial" w:hAnsi="Arial"/>
          <w:sz w:val="16"/>
          <w:szCs w:val="16"/>
          <w:color w:val="auto"/>
        </w:rPr>
        <w:t>— On August 14, 2015,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exchanged $32.1 million aggregate principal amount of newly issued, 5.75% Convertible Senior Subordinated Exchange Notes due 2015 (the “Exchange Notes”) for the same principal amount of the Company’s previously outstanding 2015 notes. The Exchange Notes, payable at maturity on September 30, 2015, were convertible, at the option of each holder thereof, at any time on or prior to the close of business on the business day immediately preceding the stated maturity date. The holders of the Exchange Notes did not elect to convert any of the outstanding principal amount of the Exchange Notes into shares of the Company’s common stock. As a result, on September 30, 2015, the Company paid $32.1 million to settle the Exchange Notes.</w:t>
      </w:r>
    </w:p>
    <w:p>
      <w:pPr>
        <w:spacing w:after="0" w:line="165"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auto"/>
        </w:rPr>
        <w:t xml:space="preserve">Settlement of 2015 Notes and Exchange Notes </w:t>
      </w:r>
      <w:r>
        <w:rPr>
          <w:rFonts w:ascii="Arial" w:cs="Arial" w:eastAsia="Arial" w:hAnsi="Arial"/>
          <w:sz w:val="16"/>
          <w:szCs w:val="16"/>
          <w:color w:val="auto"/>
        </w:rPr>
        <w:t>— On August 17, 2015, the Company paid $32.2 million to settle the remaining 2015 notes.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2015, all 2015 notes, including the Exchange Notes, have been settled resulting in a total loss on extinguishment of debt equal to $1.0 million. The loss on extinguishment of debt resulted from the write-off of debt discount and debt issuance costs associated with the 2015 notes and Exchange Notes and the difference between the principal amounts being exchanged for shares of the Company’s common stock, pursuant to the various Stock-for-Note Exchange Agreements, and the fair market value of the Company’s common stock issued in exchange for such reduction in principal.</w:t>
      </w:r>
    </w:p>
    <w:p>
      <w:pPr>
        <w:spacing w:after="0" w:line="165"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Accretion of debt issuance costs in connection with the 2015 notes during the years ended December 31, 2015 and 2014 was $0.6 million and $0.9 million, respectively.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 to Note 6 — Related-Party Arrangements for information regarding the Note payable to principal stockholder.</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Collaboration Arrangements</w:t>
      </w:r>
    </w:p>
    <w:p>
      <w:pPr>
        <w:spacing w:after="0" w:line="125" w:lineRule="exact"/>
        <w:rPr>
          <w:sz w:val="20"/>
          <w:szCs w:val="20"/>
          <w:color w:val="auto"/>
        </w:rPr>
      </w:pPr>
    </w:p>
    <w:p>
      <w:pPr>
        <w:ind w:right="220" w:firstLine="457"/>
        <w:spacing w:after="0" w:line="267" w:lineRule="auto"/>
        <w:rPr>
          <w:sz w:val="20"/>
          <w:szCs w:val="20"/>
          <w:color w:val="auto"/>
        </w:rPr>
      </w:pPr>
      <w:r>
        <w:rPr>
          <w:rFonts w:ascii="Arial" w:cs="Arial" w:eastAsia="Arial" w:hAnsi="Arial"/>
          <w:sz w:val="17"/>
          <w:szCs w:val="17"/>
          <w:i w:val="1"/>
          <w:iCs w:val="1"/>
          <w:color w:val="auto"/>
        </w:rPr>
        <w:t xml:space="preserve">Receptor Collaboration and License Agreement </w:t>
      </w:r>
      <w:r>
        <w:rPr>
          <w:rFonts w:ascii="Arial" w:cs="Arial" w:eastAsia="Arial" w:hAnsi="Arial"/>
          <w:sz w:val="17"/>
          <w:szCs w:val="17"/>
          <w:color w:val="auto"/>
        </w:rPr>
        <w:t>— On January 20, 2016, the Company entered into a Collaboration and License Agreement (the “CLA”)</w:t>
      </w:r>
      <w:r>
        <w:rPr>
          <w:rFonts w:ascii="Arial" w:cs="Arial" w:eastAsia="Arial" w:hAnsi="Arial"/>
          <w:sz w:val="17"/>
          <w:szCs w:val="17"/>
          <w:i w:val="1"/>
          <w:iCs w:val="1"/>
          <w:color w:val="auto"/>
        </w:rPr>
        <w:t xml:space="preserve"> </w:t>
      </w:r>
      <w:r>
        <w:rPr>
          <w:rFonts w:ascii="Arial" w:cs="Arial" w:eastAsia="Arial" w:hAnsi="Arial"/>
          <w:sz w:val="17"/>
          <w:szCs w:val="17"/>
          <w:color w:val="auto"/>
        </w:rPr>
        <w:t>with Receptor Life Sciences, Inc. (“Receptor”) pursuant to which the Company performed initial formulation studies on compounds identified by Receptor. Following successful completion of the studies, Receptor obtained the option to acquire an exclusive license to develop, manufacture and commercialize certain products that use MannKind’s technology to deliver the compounds via oral inhalation.</w:t>
      </w:r>
    </w:p>
    <w:p>
      <w:pPr>
        <w:spacing w:after="0" w:line="178" w:lineRule="exact"/>
        <w:rPr>
          <w:sz w:val="20"/>
          <w:szCs w:val="20"/>
          <w:color w:val="auto"/>
        </w:rPr>
      </w:pPr>
    </w:p>
    <w:p>
      <w:pPr>
        <w:jc w:val="both"/>
        <w:ind w:right="40" w:firstLine="457"/>
        <w:spacing w:after="0" w:line="273" w:lineRule="auto"/>
        <w:rPr>
          <w:sz w:val="20"/>
          <w:szCs w:val="20"/>
          <w:color w:val="auto"/>
        </w:rPr>
      </w:pPr>
      <w:r>
        <w:rPr>
          <w:rFonts w:ascii="Arial" w:cs="Arial" w:eastAsia="Arial" w:hAnsi="Arial"/>
          <w:sz w:val="17"/>
          <w:szCs w:val="17"/>
          <w:color w:val="auto"/>
        </w:rPr>
        <w:t>The Company received $0.4 million in nonrefundable payments in 2016 prior to Receptor exercising the option. On December 30, 2016, Receptor exercised the option and paid the Company a $1.0 million nonrefundable option exercise and license fee. Under the CLA, the Company may receive the following additional payments:</w:t>
      </w:r>
    </w:p>
    <w:p>
      <w:pPr>
        <w:spacing w:after="0" w:line="79" w:lineRule="exact"/>
        <w:rPr>
          <w:sz w:val="20"/>
          <w:szCs w:val="20"/>
          <w:color w:val="auto"/>
        </w:rPr>
      </w:pPr>
    </w:p>
    <w:p>
      <w:pPr>
        <w:ind w:left="900" w:hanging="450"/>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Nonrefundable milestone payments upon the completion of certain technology transfer activities and the achievement of specified sales targets.</w:t>
      </w:r>
    </w:p>
    <w:p>
      <w:pPr>
        <w:spacing w:after="0" w:line="143" w:lineRule="exact"/>
        <w:rPr>
          <w:rFonts w:ascii="Arial" w:cs="Arial" w:eastAsia="Arial" w:hAnsi="Arial"/>
          <w:sz w:val="16"/>
          <w:szCs w:val="16"/>
          <w:color w:val="auto"/>
        </w:rPr>
      </w:pPr>
    </w:p>
    <w:p>
      <w:pPr>
        <w:ind w:left="900" w:hanging="450"/>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Royalties upon Receptor’s and its sublicensee’s sale of the product.</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Milestones upon total worldwide sales reaching certain agreed upon levels.</w:t>
      </w:r>
    </w:p>
    <w:p>
      <w:pPr>
        <w:spacing w:after="0" w:line="224" w:lineRule="exact"/>
        <w:rPr>
          <w:sz w:val="20"/>
          <w:szCs w:val="20"/>
          <w:color w:val="auto"/>
        </w:rPr>
      </w:pPr>
    </w:p>
    <w:p>
      <w:pPr>
        <w:ind w:right="680" w:firstLine="457"/>
        <w:spacing w:after="0" w:line="289" w:lineRule="auto"/>
        <w:rPr>
          <w:sz w:val="20"/>
          <w:szCs w:val="20"/>
          <w:color w:val="auto"/>
        </w:rPr>
      </w:pPr>
      <w:r>
        <w:rPr>
          <w:rFonts w:ascii="Arial" w:cs="Arial" w:eastAsia="Arial" w:hAnsi="Arial"/>
          <w:sz w:val="17"/>
          <w:szCs w:val="17"/>
          <w:color w:val="auto"/>
        </w:rPr>
        <w:t>The Company evaluated the accounting for the payments received in 2016 under the multiple element accounting guidance and determined that the $0.4 million in payments received prior to Receptor exercising its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49"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option are separable from the other elements of the agreement and represented payments to offset costs incurred. Therefore, those payments reduced the Company’s research and development expense in 2016. The $1.0 million license fee received in 2016 does not have standalone value from the follow-on transfer of technology. Therefore, the license fee was recorded in deferred payments from collaboration at December 31, 2016 and will be recognized in net revenue — collaboration over four years. See Note 2 — Summary of Significant Accounting Policies for additional information on the Company’s accounting for multiple element arrangements.</w:t>
      </w:r>
    </w:p>
    <w:p>
      <w:pPr>
        <w:spacing w:after="0" w:line="17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i w:val="1"/>
          <w:iCs w:val="1"/>
          <w:color w:val="auto"/>
        </w:rPr>
        <w:t xml:space="preserve">Sanofi License Agreement and Sanofi Supply Agreement and Loan Facility </w:t>
      </w:r>
      <w:r>
        <w:rPr>
          <w:rFonts w:ascii="Arial" w:cs="Arial" w:eastAsia="Arial" w:hAnsi="Arial"/>
          <w:sz w:val="17"/>
          <w:szCs w:val="17"/>
          <w:color w:val="auto"/>
        </w:rPr>
        <w:t>— On August 11, 2014, the Company executed a license and collaboration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“Sanofi License Agreement”) with Sanofi-Aventis Deutschland GmbH (which subsequently assigned its rights and obligations under the agreement to Sanofi-Aventis U.S. LLC (Sanofi)), pursuant to which Sanofi was responsible for global commercial, regulatory and development activities for Afrezza. The Company manufactured Afrezza at its manufacturing facility in Danbury, Connecticut to supply Sanofi’s demand for the product pursuant to a supply agreement dated August 11, 2014 (the “Sanofi Supply Agreement”).</w:t>
      </w:r>
    </w:p>
    <w:p>
      <w:pPr>
        <w:spacing w:after="0" w:line="178" w:lineRule="exact"/>
        <w:rPr>
          <w:sz w:val="20"/>
          <w:szCs w:val="20"/>
          <w:color w:val="auto"/>
        </w:rPr>
      </w:pPr>
    </w:p>
    <w:p>
      <w:pPr>
        <w:ind w:right="20" w:firstLine="457"/>
        <w:spacing w:after="0" w:line="297" w:lineRule="auto"/>
        <w:rPr>
          <w:sz w:val="20"/>
          <w:szCs w:val="20"/>
          <w:color w:val="auto"/>
        </w:rPr>
      </w:pPr>
      <w:r>
        <w:rPr>
          <w:rFonts w:ascii="Arial" w:cs="Arial" w:eastAsia="Arial" w:hAnsi="Arial"/>
          <w:sz w:val="15"/>
          <w:szCs w:val="15"/>
          <w:color w:val="auto"/>
        </w:rPr>
        <w:t>During the term of the Sanofi License Agreement, worldwide profits and losses were determined based on the difference between the net sales of Afrezza and the costs and expenses incurred by the Company and Sanofi that were specifically attributable or related to the development, regulatory filings, manufacturing, or commercialization of Afrezza. These profits and losses were shared 65% by Sanofi and 35% by the Company. On January 4, 2016 the Company received a</w:t>
      </w:r>
    </w:p>
    <w:p>
      <w:pPr>
        <w:ind w:right="20"/>
        <w:spacing w:after="0" w:line="262" w:lineRule="auto"/>
        <w:rPr>
          <w:sz w:val="20"/>
          <w:szCs w:val="20"/>
          <w:color w:val="auto"/>
        </w:rPr>
      </w:pPr>
      <w:r>
        <w:rPr>
          <w:rFonts w:ascii="Arial" w:cs="Arial" w:eastAsia="Arial" w:hAnsi="Arial"/>
          <w:sz w:val="17"/>
          <w:szCs w:val="17"/>
          <w:color w:val="auto"/>
        </w:rPr>
        <w:t>90-day notification from Sanofi of its election to terminate in its entirety the Sanofi License Agreement. The effective date of termination (the “Termination Date”) was April 4, 2016. On April 5, 2016 the Company assumed responsibility for the worldwide development and commercialization of Afrezza from Sanofi. Under the terms of the transition agreement, Sanofi continued to fulfill orders for Afrezza in the United States until the Company began distributing MannKind-branded Afrezza product to major wholesalers during the week of July 25, 2016.</w:t>
      </w:r>
    </w:p>
    <w:p>
      <w:pPr>
        <w:spacing w:after="0" w:line="182"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The Company analyzed the agreements entered into with Sanofi at their inception to determine whether the consideration, paid or payable to the Company, or a portion thereof, could be recognized as revenue. Under the terms of the Sanofi License Agreement, the Sanofi Supply Agreement and the Sanofi Loan Facility, the Company determined that the arrangement contained significant deliverables including (i) licenses to develop and commercialize Afrezza and to use the Company’s trademarks, (ii) development activities, and (iii) manufacture and supply services for Afrezza. Due to the proprietary nature of the manufacturing services to be provided by the Company, the Company determined that all of the significant deliverables should be combined into a single unit of accounting. The Company believed that the manufacturing services are proprietary due to the fact that since the late 1990’s,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to the Company’s knowledge, any third-party contract manufacturing organization currently possesses the capability of manufacturing Afrezza.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for revenue to be recognized, the seller’s price to the buyer must be fixed or determinable. Prior to December 31, 2015, because the Company did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 have the ability to estimate the amount of costs that would potentially be incurred under the loss share provision related to the Sanofi License Agreement and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Sanofi Supply Agreement, the Company believed this requirement for revenue recognition had not been met. Therefore, the Company had recorded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$150.0 million up-front payment and the two milestone payments of $25.0 million each as deferred payments from collaboration. In addition, as of December 31,</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2015 the Company had recorded $17.5 million in Afrezza product shipments to Sanofi as deferred sales from collaboration and recorded $13.5 million as deferred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costs from collaboration. Deferred costs from collaboration represented the costs of product manufactured and shipped to Sanofi, as well as certain direct costs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a firm purchase commitment entered into in connection with the collaboration with Sanofi.</w:t>
      </w:r>
    </w:p>
    <w:p>
      <w:pPr>
        <w:spacing w:after="0" w:line="212" w:lineRule="exact"/>
        <w:rPr>
          <w:sz w:val="20"/>
          <w:szCs w:val="20"/>
          <w:color w:val="auto"/>
        </w:rPr>
      </w:pPr>
    </w:p>
    <w:p>
      <w:pPr>
        <w:ind w:right="620" w:firstLine="457"/>
        <w:spacing w:after="0" w:line="289" w:lineRule="auto"/>
        <w:rPr>
          <w:sz w:val="20"/>
          <w:szCs w:val="20"/>
          <w:color w:val="auto"/>
        </w:rPr>
      </w:pPr>
      <w:r>
        <w:rPr>
          <w:rFonts w:ascii="Arial" w:cs="Arial" w:eastAsia="Arial" w:hAnsi="Arial"/>
          <w:sz w:val="17"/>
          <w:szCs w:val="17"/>
          <w:color w:val="auto"/>
        </w:rPr>
        <w:t>In the first and second quarters of 2016, after the Company received notice of termination from Sanofi, the Company evaluated whether the revenue recognition criteria had been met. The Company determined that the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49"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requirement had not been met because Sanofi had not finalized necessary adjustments to the profit and loss share provision statements and Sanofi had not yet transferred all of the information to enable the Company to commercialize Afrezza on its own. Therefore, the Company was still unable to estimate the costs to be incurred under the agreement with Sanofi. During the three months ended September 30, 2016, Sanofi provided enough information to the Company to enable it to reasonably estimate the remaining costs under the Sanofi License Agreement and the Sanofi Supply Agreement. Accordingly, the fixed or determinable fee requirement for revenue recognition was met and there were no future obligations to Sanofi. Therefore, the Company recognized $172.0 million of net revenue — collaboration for the year ended December 31, 2016. The revenue recognized includes the upfront payment of $150.0 million and the two milestone payments of $25.0 million each, net of $64.9 million of net loss share with Sanofi, as well as $17.5 million in sales of Afrezza and $19.4 million from sales of bulk insulin, both to Sanofi. These payments and sales were made pursuant to the contractual terms of the agreements with Sanofi.</w:t>
      </w:r>
    </w:p>
    <w:p>
      <w:pPr>
        <w:spacing w:after="0" w:line="168"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i w:val="1"/>
          <w:iCs w:val="1"/>
          <w:color w:val="auto"/>
        </w:rPr>
        <w:t xml:space="preserve">Sanofi Loan Facility </w:t>
      </w:r>
      <w:r>
        <w:rPr>
          <w:rFonts w:ascii="Arial" w:cs="Arial" w:eastAsia="Arial" w:hAnsi="Arial"/>
          <w:sz w:val="17"/>
          <w:szCs w:val="17"/>
          <w:color w:val="auto"/>
        </w:rPr>
        <w:t>— On September 23, 2014, the Company entered into the Sanofi Loan Facility, consisting of a senior secured revolving promissory</w:t>
      </w:r>
      <w:r>
        <w:rPr>
          <w:rFonts w:ascii="Arial" w:cs="Arial" w:eastAsia="Arial" w:hAnsi="Arial"/>
          <w:sz w:val="17"/>
          <w:szCs w:val="17"/>
          <w:i w:val="1"/>
          <w:iCs w:val="1"/>
          <w:color w:val="auto"/>
        </w:rPr>
        <w:t xml:space="preserve"> </w:t>
      </w:r>
      <w:r>
        <w:rPr>
          <w:rFonts w:ascii="Arial" w:cs="Arial" w:eastAsia="Arial" w:hAnsi="Arial"/>
          <w:sz w:val="17"/>
          <w:szCs w:val="17"/>
          <w:color w:val="auto"/>
        </w:rPr>
        <w:t>note and a guaranty and security agreement (the “Security Agreement”) with an affiliate of Sanofi, which provided the Company with a secured loan facility of up to $175.0 million to fund the Company’s share of net losses under the Sanofi License Agreement.</w:t>
      </w:r>
    </w:p>
    <w:p>
      <w:pPr>
        <w:spacing w:after="0" w:line="171"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The obligations of the Company under the Sanofi Loan Facility were guaranteed by the Company’s wholly-owned subsidiary, MannKind LLC, and were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granted to Sanofi, as additional security for the obligations under the Sanofi Loan Facility, a first priority mortgage on the Company’s facility in Valencia, California, which had a carrying value of $17.9 million as of December 31, 2015.</w:t>
      </w:r>
    </w:p>
    <w:p>
      <w:pPr>
        <w:spacing w:after="0" w:line="165"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Advances under the Sanofi Loan Facility bore interest at a rate of 8.5% per annum and were payable in-kind and compounded quarterly and added to the outstanding principal balance under the Sanofi Loan Facility. The Company was required to make mandatory prepayments on the outstanding loans under the Sanofi Loan Facility from its share of any profits (as defined in the Sanofi License Agreement) under the Sanofi License Agreement within 30 days of receipt of its share of any such profits.</w:t>
      </w:r>
    </w:p>
    <w:p>
      <w:pPr>
        <w:spacing w:after="0" w:line="178" w:lineRule="exact"/>
        <w:rPr>
          <w:sz w:val="20"/>
          <w:szCs w:val="20"/>
          <w:color w:val="auto"/>
        </w:rPr>
      </w:pPr>
    </w:p>
    <w:p>
      <w:pPr>
        <w:ind w:right="60" w:firstLine="457"/>
        <w:spacing w:after="0" w:line="267" w:lineRule="auto"/>
        <w:rPr>
          <w:sz w:val="20"/>
          <w:szCs w:val="20"/>
          <w:color w:val="auto"/>
        </w:rPr>
      </w:pPr>
      <w:r>
        <w:rPr>
          <w:rFonts w:ascii="Arial" w:cs="Arial" w:eastAsia="Arial" w:hAnsi="Arial"/>
          <w:sz w:val="17"/>
          <w:szCs w:val="17"/>
          <w:color w:val="auto"/>
        </w:rPr>
        <w:t>The Company’s total portion of the loss sharing was $57.7 million for the year ended December 31, 2015, of which $44.5 million was borrowed under the Sanofi Loan Facility as of December 31, 2015. Subsequent to December 31, 2015, the Company borrowed $17.9 million under the Sanofi Loan Facility to finance the portion of the Company’s loss for the quarter ended December 31, 2015. The total amount owed to Sanofi at December 31, 2015 was $62.4 million, which includes $1.7 million of paid-in-kind interest.</w:t>
      </w:r>
    </w:p>
    <w:p>
      <w:pPr>
        <w:spacing w:after="0" w:line="178"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On November 9, 2016, the Company entered into a settlement agreement with Sanofi (the “Settlement Agreement”). Under the terms of the Settlement Agreement, the promissory note between the Company and Aventisub LLC (“Aventisub”), a Sanofi affiliate, was terminated, with Aventisub agreeing to forgive the full outstanding loan balance of $72.0 million. Sanofi also agreed to purchase $10.2 million of insulin from the Company in December 2016 under an existing insulin put option as well as make a cash payment of $30.6 million to the Company in early January 2017 as acceleration and in replacement of all other payments that Sanofi would otherwise have been required to make in the future pursuant to the insulin put option, without the Company being required to deliver any insulin for such payment. The Company was also relieved of its obligation to pay Sanofi $0.5 million in previously uncharged costs pursuant to the Sanofi License Agreement. The Company and Sanofi also agreed to a general release of potential claims against each other.</w:t>
      </w:r>
    </w:p>
    <w:p>
      <w:pPr>
        <w:spacing w:after="0" w:line="168"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The forgiveness of the full outstanding loan balance on the Sanofi Loan Facility and the previously uncharged costs related to the collaboration were accounted for in (gain) loss on extinguishment of debt in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49"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accompanying consolidated statements of operations. The $10.2 million sale of insulin was accounted for as net revenue — collaboration, consistent with the Company’ sales of insulin to Sanofi in the third quarter of 2016 (see Note 2 — Summary of Significant Accounting Policies — </w:t>
      </w:r>
      <w:r>
        <w:rPr>
          <w:rFonts w:ascii="Arial" w:cs="Arial" w:eastAsia="Arial" w:hAnsi="Arial"/>
          <w:sz w:val="16"/>
          <w:szCs w:val="16"/>
          <w:i w:val="1"/>
          <w:iCs w:val="1"/>
          <w:color w:val="auto"/>
        </w:rPr>
        <w:t>Revenue Recognition — Net</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 Collaboration</w:t>
      </w:r>
      <w:r>
        <w:rPr>
          <w:rFonts w:ascii="Arial" w:cs="Arial" w:eastAsia="Arial" w:hAnsi="Arial"/>
          <w:sz w:val="16"/>
          <w:szCs w:val="16"/>
          <w:color w:val="auto"/>
        </w:rPr>
        <w:t>). The $30.6 million accelerated put option payment was recognized as a receivable from Sanofi at December 31, 2016 and an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recognized loss on purchase commitments as the purchase commitment obligation had previously been reduced to reflect the Company’s expectation that amounts associated with purchases of insulin were recoverable (see Note 2 — Summary of Significant Accounting Policies — </w:t>
      </w:r>
      <w:r>
        <w:rPr>
          <w:rFonts w:ascii="Arial" w:cs="Arial" w:eastAsia="Arial" w:hAnsi="Arial"/>
          <w:sz w:val="16"/>
          <w:szCs w:val="16"/>
          <w:i w:val="1"/>
          <w:iCs w:val="1"/>
          <w:color w:val="auto"/>
        </w:rPr>
        <w:t>Inventories</w:t>
      </w:r>
      <w:r>
        <w:rPr>
          <w:rFonts w:ascii="Arial" w:cs="Arial" w:eastAsia="Arial" w:hAnsi="Arial"/>
          <w:sz w:val="16"/>
          <w:szCs w:val="16"/>
          <w:color w:val="auto"/>
        </w:rPr>
        <w:t>).</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of Financial Instruments</w:t>
      </w:r>
    </w:p>
    <w:p>
      <w:pPr>
        <w:spacing w:after="0" w:line="125"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The carrying amounts reported in the accompanying consolidated financial statements for cash, accounts receivable, accounts payable and accrued expenses and other current liabilities approximate their fair value due to their relatively short maturities. The fair value of the cash equivalents, note payable to principal stockholder, senior convertible notes, the Facility Financing Obligation (as defined below), the Milestone Rights (as defined below) and warrant liability are discussed below.</w:t>
      </w:r>
    </w:p>
    <w:p>
      <w:pPr>
        <w:spacing w:after="0" w:line="178" w:lineRule="exact"/>
        <w:rPr>
          <w:sz w:val="20"/>
          <w:szCs w:val="20"/>
          <w:color w:val="auto"/>
        </w:rPr>
      </w:pPr>
    </w:p>
    <w:p>
      <w:pPr>
        <w:ind w:right="20" w:firstLine="457"/>
        <w:spacing w:after="0" w:line="273" w:lineRule="auto"/>
        <w:rPr>
          <w:sz w:val="20"/>
          <w:szCs w:val="20"/>
          <w:color w:val="auto"/>
        </w:rPr>
      </w:pPr>
      <w:r>
        <w:rPr>
          <w:rFonts w:ascii="Arial" w:cs="Arial" w:eastAsia="Arial" w:hAnsi="Arial"/>
          <w:sz w:val="17"/>
          <w:szCs w:val="17"/>
          <w:i w:val="1"/>
          <w:iCs w:val="1"/>
          <w:color w:val="auto"/>
        </w:rPr>
        <w:t xml:space="preserve">Cash Equivalents </w:t>
      </w:r>
      <w:r>
        <w:rPr>
          <w:rFonts w:ascii="Arial" w:cs="Arial" w:eastAsia="Arial" w:hAnsi="Arial"/>
          <w:sz w:val="17"/>
          <w:szCs w:val="17"/>
          <w:color w:val="auto"/>
        </w:rPr>
        <w:t>— As of December 31, 2016 and 2015, the Company held $20.5 million and $55.8 million, respectively, of cash equivalents, consisting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money market funds. The fair value of these money market funds was determined by using quoted prices for identical investments in an active market (Level 1 in the fair value hierarchy).</w:t>
      </w:r>
    </w:p>
    <w:p>
      <w:pPr>
        <w:spacing w:after="0" w:line="171" w:lineRule="exact"/>
        <w:rPr>
          <w:sz w:val="20"/>
          <w:szCs w:val="20"/>
          <w:color w:val="auto"/>
        </w:rPr>
      </w:pPr>
    </w:p>
    <w:p>
      <w:pPr>
        <w:ind w:right="160" w:firstLine="457"/>
        <w:spacing w:after="0" w:line="359" w:lineRule="auto"/>
        <w:rPr>
          <w:sz w:val="20"/>
          <w:szCs w:val="20"/>
          <w:color w:val="auto"/>
        </w:rPr>
      </w:pPr>
      <w:r>
        <w:rPr>
          <w:rFonts w:ascii="Arial" w:cs="Arial" w:eastAsia="Arial" w:hAnsi="Arial"/>
          <w:sz w:val="15"/>
          <w:szCs w:val="15"/>
          <w:i w:val="1"/>
          <w:iCs w:val="1"/>
          <w:color w:val="auto"/>
        </w:rPr>
        <w:t xml:space="preserve">Note Payable to Principal Stockholder </w:t>
      </w:r>
      <w:r>
        <w:rPr>
          <w:rFonts w:ascii="Arial" w:cs="Arial" w:eastAsia="Arial" w:hAnsi="Arial"/>
          <w:sz w:val="15"/>
          <w:szCs w:val="15"/>
          <w:color w:val="auto"/>
        </w:rPr>
        <w:t>— The fair value of the note payable to the Company’s principal stockholder cannot be reasonably estimated as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would not be able to obtain a similar credit arrangement in the current economic environment. Therefore, the fair value is based upon carrying value.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Financial Liabilities </w:t>
      </w:r>
      <w:r>
        <w:rPr>
          <w:rFonts w:ascii="Arial" w:cs="Arial" w:eastAsia="Arial" w:hAnsi="Arial"/>
          <w:sz w:val="17"/>
          <w:szCs w:val="17"/>
          <w:color w:val="auto"/>
        </w:rPr>
        <w:t>— The following tables set forth the fair value of the Company’s financial instruments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w w:val="93"/>
              </w:rPr>
              <w:t>As of December 31, 2016</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300" w:type="dxa"/>
            <w:vAlign w:val="bottom"/>
            <w:gridSpan w:val="3"/>
          </w:tcPr>
          <w:p>
            <w:pPr>
              <w:spacing w:after="0" w:line="137" w:lineRule="exact"/>
              <w:rPr>
                <w:sz w:val="20"/>
                <w:szCs w:val="20"/>
                <w:color w:val="auto"/>
              </w:rPr>
            </w:pPr>
            <w:r>
              <w:rPr>
                <w:rFonts w:ascii="Arial" w:cs="Arial" w:eastAsia="Arial" w:hAnsi="Arial"/>
                <w:sz w:val="14"/>
                <w:szCs w:val="14"/>
                <w:color w:val="auto"/>
              </w:rPr>
              <w:t>Carrying Value</w:t>
            </w:r>
          </w:p>
        </w:tc>
        <w:tc>
          <w:tcPr>
            <w:tcW w:w="440" w:type="dxa"/>
            <w:vAlign w:val="bottom"/>
          </w:tcPr>
          <w:p>
            <w:pPr>
              <w:jc w:val="right"/>
              <w:spacing w:after="0" w:line="137" w:lineRule="exact"/>
              <w:rPr>
                <w:sz w:val="20"/>
                <w:szCs w:val="20"/>
                <w:color w:val="auto"/>
              </w:rPr>
            </w:pPr>
            <w:r>
              <w:rPr>
                <w:rFonts w:ascii="Arial" w:cs="Arial" w:eastAsia="Arial" w:hAnsi="Arial"/>
                <w:sz w:val="14"/>
                <w:szCs w:val="14"/>
                <w:color w:val="auto"/>
                <w:w w:val="92"/>
              </w:rPr>
              <w:t>Level 1</w:t>
            </w:r>
          </w:p>
        </w:tc>
        <w:tc>
          <w:tcPr>
            <w:tcW w:w="460" w:type="dxa"/>
            <w:vAlign w:val="bottom"/>
          </w:tcPr>
          <w:p>
            <w:pPr>
              <w:spacing w:after="0"/>
              <w:rPr>
                <w:sz w:val="11"/>
                <w:szCs w:val="11"/>
                <w:color w:val="auto"/>
              </w:rPr>
            </w:pPr>
          </w:p>
        </w:tc>
        <w:tc>
          <w:tcPr>
            <w:tcW w:w="840" w:type="dxa"/>
            <w:vAlign w:val="bottom"/>
            <w:gridSpan w:val="2"/>
          </w:tcPr>
          <w:p>
            <w:pPr>
              <w:spacing w:after="0" w:line="137" w:lineRule="exact"/>
              <w:rPr>
                <w:sz w:val="20"/>
                <w:szCs w:val="20"/>
                <w:color w:val="auto"/>
              </w:rPr>
            </w:pPr>
            <w:r>
              <w:rPr>
                <w:rFonts w:ascii="Arial" w:cs="Arial" w:eastAsia="Arial" w:hAnsi="Arial"/>
                <w:sz w:val="14"/>
                <w:szCs w:val="14"/>
                <w:color w:val="auto"/>
              </w:rPr>
              <w:t>Level 2</w:t>
            </w:r>
          </w:p>
        </w:tc>
        <w:tc>
          <w:tcPr>
            <w:tcW w:w="60" w:type="dxa"/>
            <w:vAlign w:val="bottom"/>
          </w:tcPr>
          <w:p>
            <w:pPr>
              <w:spacing w:after="0"/>
              <w:rPr>
                <w:sz w:val="11"/>
                <w:szCs w:val="11"/>
                <w:color w:val="auto"/>
              </w:rPr>
            </w:pPr>
          </w:p>
        </w:tc>
        <w:tc>
          <w:tcPr>
            <w:tcW w:w="94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1"/>
                <w:szCs w:val="11"/>
                <w:color w:val="auto"/>
              </w:rPr>
            </w:pPr>
          </w:p>
        </w:tc>
        <w:tc>
          <w:tcPr>
            <w:tcW w:w="400" w:type="dxa"/>
            <w:vAlign w:val="bottom"/>
          </w:tcPr>
          <w:p>
            <w:pPr>
              <w:jc w:val="right"/>
              <w:ind w:right="16"/>
              <w:spacing w:after="0" w:line="137" w:lineRule="exact"/>
              <w:rPr>
                <w:sz w:val="20"/>
                <w:szCs w:val="20"/>
                <w:color w:val="auto"/>
              </w:rPr>
            </w:pPr>
            <w:r>
              <w:rPr>
                <w:rFonts w:ascii="Arial" w:cs="Arial" w:eastAsia="Arial" w:hAnsi="Arial"/>
                <w:sz w:val="14"/>
                <w:szCs w:val="14"/>
                <w:color w:val="auto"/>
                <w:w w:val="89"/>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Financial liabilities:</w:t>
            </w:r>
          </w:p>
        </w:tc>
        <w:tc>
          <w:tcPr>
            <w:tcW w:w="2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360"/>
              <w:spacing w:after="0"/>
              <w:rPr>
                <w:sz w:val="20"/>
                <w:szCs w:val="20"/>
                <w:color w:val="auto"/>
              </w:rPr>
            </w:pPr>
            <w:r>
              <w:rPr>
                <w:rFonts w:ascii="Arial" w:cs="Arial" w:eastAsia="Arial" w:hAnsi="Arial"/>
                <w:sz w:val="17"/>
                <w:szCs w:val="17"/>
                <w:color w:val="auto"/>
              </w:rPr>
              <w:t>Senior convertible notes</w:t>
            </w:r>
          </w:p>
        </w:tc>
        <w:tc>
          <w:tcPr>
            <w:tcW w:w="2700" w:type="dxa"/>
            <w:vAlign w:val="bottom"/>
            <w:gridSpan w:val="2"/>
          </w:tcPr>
          <w:p>
            <w:pPr>
              <w:ind w:left="2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27.6</w:t>
            </w:r>
          </w:p>
        </w:tc>
        <w:tc>
          <w:tcPr>
            <w:tcW w:w="440" w:type="dxa"/>
            <w:vAlign w:val="bottom"/>
          </w:tcPr>
          <w:p>
            <w:pPr>
              <w:jc w:val="right"/>
              <w:spacing w:after="0"/>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500"/>
              <w:spacing w:after="0"/>
              <w:rPr>
                <w:sz w:val="20"/>
                <w:szCs w:val="20"/>
                <w:color w:val="auto"/>
              </w:rPr>
            </w:pPr>
            <w:r>
              <w:rPr>
                <w:rFonts w:ascii="Arial" w:cs="Arial" w:eastAsia="Arial" w:hAnsi="Arial"/>
                <w:sz w:val="17"/>
                <w:szCs w:val="17"/>
                <w:color w:val="auto"/>
              </w:rPr>
              <w:t>$ —</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22.9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Facility Financing Obligation</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71.3</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74.5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10"/>
        </w:trPr>
        <w:tc>
          <w:tcPr>
            <w:tcW w:w="4420" w:type="dxa"/>
            <w:vAlign w:val="bottom"/>
          </w:tcPr>
          <w:p>
            <w:pPr>
              <w:ind w:left="360"/>
              <w:spacing w:after="0"/>
              <w:rPr>
                <w:sz w:val="20"/>
                <w:szCs w:val="20"/>
                <w:color w:val="auto"/>
              </w:rPr>
            </w:pPr>
            <w:r>
              <w:rPr>
                <w:rFonts w:ascii="Arial" w:cs="Arial" w:eastAsia="Arial" w:hAnsi="Arial"/>
                <w:sz w:val="17"/>
                <w:szCs w:val="17"/>
                <w:color w:val="auto"/>
              </w:rPr>
              <w:t>Milestone Rights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8.9</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Warrant liability (at recurring fair values)</w:t>
            </w:r>
          </w:p>
        </w:tc>
        <w:tc>
          <w:tcPr>
            <w:tcW w:w="2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7"/>
                <w:szCs w:val="17"/>
                <w:color w:val="auto"/>
              </w:rPr>
              <w:t>Total financial liabilities</w:t>
            </w:r>
          </w:p>
        </w:tc>
        <w:tc>
          <w:tcPr>
            <w:tcW w:w="24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115.2</w:t>
            </w:r>
          </w:p>
        </w:tc>
        <w:tc>
          <w:tcPr>
            <w:tcW w:w="4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 —</w:t>
            </w:r>
          </w:p>
        </w:tc>
        <w:tc>
          <w:tcPr>
            <w:tcW w:w="46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7"/>
                <w:szCs w:val="17"/>
                <w:color w:val="auto"/>
              </w:rPr>
              <w:t>$ —</w:t>
            </w:r>
          </w:p>
        </w:tc>
        <w:tc>
          <w:tcPr>
            <w:tcW w:w="400" w:type="dxa"/>
            <w:vAlign w:val="bottom"/>
          </w:tcPr>
          <w:p>
            <w:pPr>
              <w:spacing w:after="0"/>
              <w:rPr>
                <w:sz w:val="18"/>
                <w:szCs w:val="18"/>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123.2</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123.2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color w:val="auto"/>
                <w:w w:val="93"/>
              </w:rPr>
              <w:t>As of December 31, 2015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4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300" w:type="dxa"/>
            <w:vAlign w:val="bottom"/>
            <w:gridSpan w:val="3"/>
          </w:tcPr>
          <w:p>
            <w:pPr>
              <w:spacing w:after="0" w:line="137" w:lineRule="exact"/>
              <w:rPr>
                <w:sz w:val="20"/>
                <w:szCs w:val="20"/>
                <w:color w:val="auto"/>
              </w:rPr>
            </w:pPr>
            <w:r>
              <w:rPr>
                <w:rFonts w:ascii="Arial" w:cs="Arial" w:eastAsia="Arial" w:hAnsi="Arial"/>
                <w:sz w:val="14"/>
                <w:szCs w:val="14"/>
                <w:color w:val="auto"/>
              </w:rPr>
              <w:t>Carrying Value</w:t>
            </w:r>
          </w:p>
        </w:tc>
        <w:tc>
          <w:tcPr>
            <w:tcW w:w="440" w:type="dxa"/>
            <w:vAlign w:val="bottom"/>
          </w:tcPr>
          <w:p>
            <w:pPr>
              <w:jc w:val="right"/>
              <w:spacing w:after="0" w:line="137" w:lineRule="exact"/>
              <w:rPr>
                <w:sz w:val="20"/>
                <w:szCs w:val="20"/>
                <w:color w:val="auto"/>
              </w:rPr>
            </w:pPr>
            <w:r>
              <w:rPr>
                <w:rFonts w:ascii="Arial" w:cs="Arial" w:eastAsia="Arial" w:hAnsi="Arial"/>
                <w:sz w:val="14"/>
                <w:szCs w:val="14"/>
                <w:color w:val="auto"/>
                <w:w w:val="92"/>
              </w:rPr>
              <w:t>Level 1</w:t>
            </w:r>
          </w:p>
        </w:tc>
        <w:tc>
          <w:tcPr>
            <w:tcW w:w="460" w:type="dxa"/>
            <w:vAlign w:val="bottom"/>
          </w:tcPr>
          <w:p>
            <w:pPr>
              <w:spacing w:after="0"/>
              <w:rPr>
                <w:sz w:val="11"/>
                <w:szCs w:val="11"/>
                <w:color w:val="auto"/>
              </w:rPr>
            </w:pPr>
          </w:p>
        </w:tc>
        <w:tc>
          <w:tcPr>
            <w:tcW w:w="840" w:type="dxa"/>
            <w:vAlign w:val="bottom"/>
            <w:gridSpan w:val="2"/>
          </w:tcPr>
          <w:p>
            <w:pPr>
              <w:spacing w:after="0" w:line="137" w:lineRule="exact"/>
              <w:rPr>
                <w:sz w:val="20"/>
                <w:szCs w:val="20"/>
                <w:color w:val="auto"/>
              </w:rPr>
            </w:pPr>
            <w:r>
              <w:rPr>
                <w:rFonts w:ascii="Arial" w:cs="Arial" w:eastAsia="Arial" w:hAnsi="Arial"/>
                <w:sz w:val="14"/>
                <w:szCs w:val="14"/>
                <w:color w:val="auto"/>
              </w:rPr>
              <w:t>Level 2</w:t>
            </w:r>
          </w:p>
        </w:tc>
        <w:tc>
          <w:tcPr>
            <w:tcW w:w="60" w:type="dxa"/>
            <w:vAlign w:val="bottom"/>
          </w:tcPr>
          <w:p>
            <w:pPr>
              <w:spacing w:after="0"/>
              <w:rPr>
                <w:sz w:val="11"/>
                <w:szCs w:val="11"/>
                <w:color w:val="auto"/>
              </w:rPr>
            </w:pPr>
          </w:p>
        </w:tc>
        <w:tc>
          <w:tcPr>
            <w:tcW w:w="94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1"/>
                <w:szCs w:val="11"/>
                <w:color w:val="auto"/>
              </w:rPr>
            </w:pPr>
          </w:p>
        </w:tc>
        <w:tc>
          <w:tcPr>
            <w:tcW w:w="400" w:type="dxa"/>
            <w:vAlign w:val="bottom"/>
          </w:tcPr>
          <w:p>
            <w:pPr>
              <w:jc w:val="right"/>
              <w:ind w:right="16"/>
              <w:spacing w:after="0" w:line="137" w:lineRule="exact"/>
              <w:rPr>
                <w:sz w:val="20"/>
                <w:szCs w:val="20"/>
                <w:color w:val="auto"/>
              </w:rPr>
            </w:pPr>
            <w:r>
              <w:rPr>
                <w:rFonts w:ascii="Arial" w:cs="Arial" w:eastAsia="Arial" w:hAnsi="Arial"/>
                <w:sz w:val="14"/>
                <w:szCs w:val="14"/>
                <w:color w:val="auto"/>
                <w:w w:val="89"/>
              </w:rPr>
              <w:t>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Financial liabilities:</w:t>
            </w:r>
          </w:p>
        </w:tc>
        <w:tc>
          <w:tcPr>
            <w:tcW w:w="2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360"/>
              <w:spacing w:after="0"/>
              <w:rPr>
                <w:sz w:val="20"/>
                <w:szCs w:val="20"/>
                <w:color w:val="auto"/>
              </w:rPr>
            </w:pPr>
            <w:r>
              <w:rPr>
                <w:rFonts w:ascii="Arial" w:cs="Arial" w:eastAsia="Arial" w:hAnsi="Arial"/>
                <w:sz w:val="17"/>
                <w:szCs w:val="17"/>
                <w:color w:val="auto"/>
              </w:rPr>
              <w:t>Senior convertible notes</w:t>
            </w:r>
          </w:p>
        </w:tc>
        <w:tc>
          <w:tcPr>
            <w:tcW w:w="2700" w:type="dxa"/>
            <w:vAlign w:val="bottom"/>
            <w:gridSpan w:val="2"/>
          </w:tcPr>
          <w:p>
            <w:pPr>
              <w:ind w:left="2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27.6</w:t>
            </w:r>
          </w:p>
        </w:tc>
        <w:tc>
          <w:tcPr>
            <w:tcW w:w="440" w:type="dxa"/>
            <w:vAlign w:val="bottom"/>
          </w:tcPr>
          <w:p>
            <w:pPr>
              <w:jc w:val="right"/>
              <w:spacing w:after="0"/>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500"/>
              <w:spacing w:after="0"/>
              <w:rPr>
                <w:sz w:val="20"/>
                <w:szCs w:val="20"/>
                <w:color w:val="auto"/>
              </w:rPr>
            </w:pPr>
            <w:r>
              <w:rPr>
                <w:rFonts w:ascii="Arial" w:cs="Arial" w:eastAsia="Arial" w:hAnsi="Arial"/>
                <w:sz w:val="17"/>
                <w:szCs w:val="17"/>
                <w:color w:val="auto"/>
              </w:rPr>
              <w:t>$ —</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21.3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Facility Financing Obligation</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74.6</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78.4</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78.4</w:t>
            </w:r>
          </w:p>
        </w:tc>
        <w:tc>
          <w:tcPr>
            <w:tcW w:w="0" w:type="dxa"/>
            <w:vAlign w:val="bottom"/>
          </w:tcPr>
          <w:p>
            <w:pPr>
              <w:spacing w:after="0"/>
              <w:rPr>
                <w:sz w:val="1"/>
                <w:szCs w:val="1"/>
                <w:color w:val="auto"/>
              </w:rPr>
            </w:pPr>
          </w:p>
        </w:tc>
      </w:tr>
      <w:tr>
        <w:trPr>
          <w:trHeight w:val="210"/>
        </w:trPr>
        <w:tc>
          <w:tcPr>
            <w:tcW w:w="4420" w:type="dxa"/>
            <w:vAlign w:val="bottom"/>
          </w:tcPr>
          <w:p>
            <w:pPr>
              <w:ind w:left="360"/>
              <w:spacing w:after="0"/>
              <w:rPr>
                <w:sz w:val="20"/>
                <w:szCs w:val="20"/>
                <w:color w:val="auto"/>
              </w:rPr>
            </w:pPr>
            <w:r>
              <w:rPr>
                <w:rFonts w:ascii="Arial" w:cs="Arial" w:eastAsia="Arial" w:hAnsi="Arial"/>
                <w:sz w:val="17"/>
                <w:szCs w:val="17"/>
                <w:color w:val="auto"/>
              </w:rPr>
              <w:t>Milestone Rights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8.9</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Sanofi Loan Facility</w:t>
            </w:r>
          </w:p>
        </w:tc>
        <w:tc>
          <w:tcPr>
            <w:tcW w:w="2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4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7"/>
                <w:szCs w:val="17"/>
                <w:color w:val="auto"/>
              </w:rPr>
              <w:t>Total financial liabilities</w:t>
            </w:r>
          </w:p>
        </w:tc>
        <w:tc>
          <w:tcPr>
            <w:tcW w:w="2700" w:type="dxa"/>
            <w:vAlign w:val="bottom"/>
            <w:gridSpan w:val="2"/>
          </w:tcPr>
          <w:p>
            <w:pPr>
              <w:ind w:left="2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155.6</w:t>
            </w:r>
          </w:p>
        </w:tc>
        <w:tc>
          <w:tcPr>
            <w:tcW w:w="440" w:type="dxa"/>
            <w:vAlign w:val="bottom"/>
          </w:tcPr>
          <w:p>
            <w:pPr>
              <w:jc w:val="right"/>
              <w:spacing w:after="0"/>
              <w:rPr>
                <w:sz w:val="20"/>
                <w:szCs w:val="20"/>
                <w:color w:val="auto"/>
              </w:rPr>
            </w:pPr>
            <w:r>
              <w:rPr>
                <w:rFonts w:ascii="Arial" w:cs="Arial" w:eastAsia="Arial" w:hAnsi="Arial"/>
                <w:sz w:val="17"/>
                <w:szCs w:val="17"/>
                <w:color w:val="auto"/>
              </w:rPr>
              <w:t>$ —</w:t>
            </w:r>
          </w:p>
        </w:tc>
        <w:tc>
          <w:tcPr>
            <w:tcW w:w="1300" w:type="dxa"/>
            <w:vAlign w:val="bottom"/>
            <w:gridSpan w:val="3"/>
          </w:tcPr>
          <w:p>
            <w:pPr>
              <w:jc w:val="right"/>
              <w:ind w:right="500"/>
              <w:spacing w:after="0"/>
              <w:rPr>
                <w:sz w:val="20"/>
                <w:szCs w:val="20"/>
                <w:color w:val="auto"/>
              </w:rPr>
            </w:pPr>
            <w:r>
              <w:rPr>
                <w:rFonts w:ascii="Arial" w:cs="Arial" w:eastAsia="Arial" w:hAnsi="Arial"/>
                <w:sz w:val="17"/>
                <w:szCs w:val="17"/>
                <w:color w:val="auto"/>
              </w:rPr>
              <w:t>$ —</w:t>
            </w:r>
          </w:p>
        </w:tc>
        <w:tc>
          <w:tcPr>
            <w:tcW w:w="1000" w:type="dxa"/>
            <w:vAlign w:val="bottom"/>
            <w:gridSpan w:val="4"/>
          </w:tcPr>
          <w:p>
            <w:pPr>
              <w:jc w:val="right"/>
              <w:ind w:right="46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150.6</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150.6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20" w:type="dxa"/>
            <w:vAlign w:val="bottom"/>
            <w:vMerge w:val="restart"/>
          </w:tcPr>
          <w:p>
            <w:pPr>
              <w:jc w:val="right"/>
              <w:ind w:right="913"/>
              <w:spacing w:after="0"/>
              <w:rPr>
                <w:sz w:val="20"/>
                <w:szCs w:val="20"/>
                <w:color w:val="auto"/>
              </w:rPr>
            </w:pPr>
            <w:r>
              <w:rPr>
                <w:rFonts w:ascii="Arial" w:cs="Arial" w:eastAsia="Arial" w:hAnsi="Arial"/>
                <w:sz w:val="17"/>
                <w:szCs w:val="17"/>
                <w:color w:val="auto"/>
              </w:rPr>
              <w:t>108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4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a roll forward of the fair values of financial assets and liabilities that are carried at fair value (in millions):</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w w:val="98"/>
              </w:rPr>
              <w:t>Assets Held for</w:t>
            </w:r>
          </w:p>
        </w:tc>
      </w:tr>
      <w:tr>
        <w:trPr>
          <w:trHeight w:val="163"/>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color w:val="auto"/>
              </w:rPr>
              <w:t>Warrants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color w:val="auto"/>
              </w:rPr>
              <w:t>Sale</w:t>
            </w: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January 1, 2015</w:t>
            </w:r>
          </w:p>
        </w:tc>
        <w:tc>
          <w:tcPr>
            <w:tcW w:w="20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7"/>
                <w:szCs w:val="17"/>
                <w:color w:val="auto"/>
              </w:rPr>
              <w:t>—</w:t>
            </w: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fair value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Payments</w:t>
            </w:r>
          </w:p>
        </w:tc>
        <w:tc>
          <w:tcPr>
            <w:tcW w:w="2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Fair value, December 31, 2015</w:t>
            </w:r>
          </w:p>
        </w:tc>
        <w:tc>
          <w:tcPr>
            <w:tcW w:w="20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7"/>
                <w:szCs w:val="17"/>
                <w:color w:val="auto"/>
              </w:rPr>
              <w:t>12.8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fair value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r>
      <w:tr>
        <w:trPr>
          <w:trHeight w:val="216"/>
        </w:trPr>
        <w:tc>
          <w:tcPr>
            <w:tcW w:w="20" w:type="dxa"/>
            <w:vAlign w:val="bottom"/>
          </w:tcPr>
          <w:p>
            <w:pPr>
              <w:spacing w:after="0"/>
              <w:rPr>
                <w:sz w:val="18"/>
                <w:szCs w:val="18"/>
                <w:color w:val="auto"/>
              </w:rPr>
            </w:pPr>
          </w:p>
        </w:tc>
        <w:tc>
          <w:tcPr>
            <w:tcW w:w="4180" w:type="dxa"/>
            <w:vAlign w:val="bottom"/>
          </w:tcPr>
          <w:p>
            <w:pPr>
              <w:ind w:left="320"/>
              <w:spacing w:after="0"/>
              <w:rPr>
                <w:sz w:val="20"/>
                <w:szCs w:val="20"/>
                <w:color w:val="auto"/>
              </w:rPr>
            </w:pPr>
            <w:r>
              <w:rPr>
                <w:rFonts w:ascii="Arial" w:cs="Arial" w:eastAsia="Arial" w:hAnsi="Arial"/>
                <w:sz w:val="17"/>
                <w:szCs w:val="17"/>
                <w:color w:val="auto"/>
              </w:rPr>
              <w:t>Payments</w:t>
            </w:r>
          </w:p>
        </w:tc>
        <w:tc>
          <w:tcPr>
            <w:tcW w:w="2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Fair value, December 31, 2016</w:t>
            </w:r>
          </w:p>
        </w:tc>
        <w:tc>
          <w:tcPr>
            <w:tcW w:w="2200" w:type="dxa"/>
            <w:vAlign w:val="bottom"/>
            <w:gridSpan w:val="2"/>
            <w:shd w:val="clear" w:color="auto" w:fill="CCEEFF"/>
          </w:tcPr>
          <w:p>
            <w:pPr>
              <w:ind w:left="20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7.4</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i w:val="1"/>
          <w:iCs w:val="1"/>
          <w:color w:val="auto"/>
        </w:rPr>
        <w:t xml:space="preserve">Senior Convertible Notes </w:t>
      </w:r>
      <w:r>
        <w:rPr>
          <w:rFonts w:ascii="Arial" w:cs="Arial" w:eastAsia="Arial" w:hAnsi="Arial"/>
          <w:sz w:val="17"/>
          <w:szCs w:val="17"/>
          <w:color w:val="auto"/>
        </w:rPr>
        <w:t>— The estimated fair value of the 2018 notes was calculated based on model-derived valuations where inputs were observable,</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the Company’s stock price and yields on U.S. Treasury notes and actively traded bonds, and non-observable, such as the Company’s longer-term historical volatility, and estimated yields implied from any available market trades of the Company’s issued debt instruments. As there is no current active and observable market for the 2018 notes, the Company determined the estimated fair value using a convertible bond valuation model within a lattice framework. The convertible bond valuation model combined expected cash flows based on terms of the notes with market-based assumptions regarding risk-free rate, risk-adjusted yields (20%), stock price volatility (111%) and recent price quotes and trading information regarding Company issued debt instruments and shares of common stock into which the notes are convertible.</w:t>
      </w:r>
    </w:p>
    <w:p>
      <w:pPr>
        <w:spacing w:after="0" w:line="182" w:lineRule="exact"/>
        <w:rPr>
          <w:sz w:val="20"/>
          <w:szCs w:val="20"/>
          <w:color w:val="auto"/>
        </w:rPr>
      </w:pPr>
    </w:p>
    <w:p>
      <w:pPr>
        <w:ind w:right="20" w:firstLine="457"/>
        <w:spacing w:after="0" w:line="283" w:lineRule="auto"/>
        <w:rPr>
          <w:sz w:val="20"/>
          <w:szCs w:val="20"/>
          <w:color w:val="auto"/>
        </w:rPr>
      </w:pPr>
      <w:r>
        <w:rPr>
          <w:rFonts w:ascii="Arial" w:cs="Arial" w:eastAsia="Arial" w:hAnsi="Arial"/>
          <w:sz w:val="16"/>
          <w:szCs w:val="16"/>
          <w:i w:val="1"/>
          <w:iCs w:val="1"/>
          <w:color w:val="auto"/>
        </w:rPr>
        <w:t xml:space="preserve">Facility Financing Obligation </w:t>
      </w:r>
      <w:r>
        <w:rPr>
          <w:rFonts w:ascii="Arial" w:cs="Arial" w:eastAsia="Arial" w:hAnsi="Arial"/>
          <w:sz w:val="16"/>
          <w:szCs w:val="16"/>
          <w:color w:val="auto"/>
        </w:rPr>
        <w:t>— As discussed in Note 7 — Borrowings, in connection with the Facility Agreement, the Company issued 2019 notes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issued Tranche B notes (the “Facility Financing Obligation”). As there is no current observable market for the Facility Financing Obligation,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On December 31, 2016 the market discount rate was recalculated at 12.0% for the Facility Financing Obligation. Under the terms of the Facility Agreement, the Company is restricted from distributing any of its assets or declaring and distributing a dividend to its stockholders.</w:t>
      </w:r>
    </w:p>
    <w:p>
      <w:pPr>
        <w:spacing w:after="0" w:line="165" w:lineRule="exact"/>
        <w:rPr>
          <w:sz w:val="20"/>
          <w:szCs w:val="20"/>
          <w:color w:val="auto"/>
        </w:rPr>
      </w:pPr>
    </w:p>
    <w:p>
      <w:pPr>
        <w:ind w:right="180" w:firstLine="457"/>
        <w:spacing w:after="0" w:line="279"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In addition to the Facility Financing Obligation, the Company also issued certain rights to receive payments of up to</w:t>
      </w:r>
      <w:r>
        <w:rPr>
          <w:rFonts w:ascii="Arial" w:cs="Arial" w:eastAsia="Arial" w:hAnsi="Arial"/>
          <w:sz w:val="16"/>
          <w:szCs w:val="16"/>
          <w:i w:val="1"/>
          <w:iCs w:val="1"/>
          <w:color w:val="auto"/>
        </w:rPr>
        <w:t xml:space="preserve"> </w:t>
      </w:r>
      <w:r>
        <w:rPr>
          <w:rFonts w:ascii="Arial" w:cs="Arial" w:eastAsia="Arial" w:hAnsi="Arial"/>
          <w:sz w:val="16"/>
          <w:szCs w:val="16"/>
          <w:color w:val="auto"/>
        </w:rPr>
        <w:t>$90.0 million upon occurrence of specified strategic and sales milestones (the “Milestone Rights”). These rights are not reflected in the Facility Financing Obligation.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the Company’s forecast, progress made to date towards meeting the milestones, and assessment of criteria required for achievement, and external data, such as market research studies. The discount rate (14.5%) was selected based on an estimation of required rate of returns for similar investment opportunities using available market data. As of December 31, 2016, the carrying value of the Milestone Rights is $8.9 million, classified as a long-term liability and the fair value is estimated at $18.4 million.</w:t>
      </w:r>
    </w:p>
    <w:p>
      <w:pPr>
        <w:spacing w:after="0" w:line="170"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i w:val="1"/>
          <w:iCs w:val="1"/>
          <w:color w:val="auto"/>
        </w:rPr>
        <w:t xml:space="preserve">Warrant Liability </w:t>
      </w:r>
      <w:r>
        <w:rPr>
          <w:rFonts w:ascii="Arial" w:cs="Arial" w:eastAsia="Arial" w:hAnsi="Arial"/>
          <w:sz w:val="17"/>
          <w:szCs w:val="17"/>
          <w:color w:val="auto"/>
        </w:rPr>
        <w:t>— Warrant liabilities are measured at fair value using a Monte Carlo pricing valuation model and various assumptions. The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unobservable input used in measuring the fair value of the common stock warrant liabilities is the expected volatility. Significant increases in volatility would result in a higher fair value measurement (Level 3 in the fair value hierarchy). See Note 16 — Warrants for further discussion of the valuation technique and inputs used in the fair value measurement.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380"/>
          </w:cols>
          <w:pgMar w:left="240" w:top="449" w:right="27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firstLine="457"/>
        <w:spacing w:after="0" w:line="283" w:lineRule="auto"/>
        <w:rPr>
          <w:sz w:val="20"/>
          <w:szCs w:val="20"/>
          <w:color w:val="auto"/>
        </w:rPr>
      </w:pPr>
      <w:r>
        <w:rPr>
          <w:rFonts w:ascii="Arial" w:cs="Arial" w:eastAsia="Arial" w:hAnsi="Arial"/>
          <w:sz w:val="16"/>
          <w:szCs w:val="16"/>
          <w:i w:val="1"/>
          <w:iCs w:val="1"/>
          <w:color w:val="auto"/>
        </w:rPr>
        <w:t xml:space="preserve">Sanofi Loan Facility </w:t>
      </w:r>
      <w:r>
        <w:rPr>
          <w:rFonts w:ascii="Arial" w:cs="Arial" w:eastAsia="Arial" w:hAnsi="Arial"/>
          <w:sz w:val="16"/>
          <w:szCs w:val="16"/>
          <w:color w:val="auto"/>
        </w:rPr>
        <w:t>— As discussed in Note 8 — Collaboration Arrangements, the Sanofi Loan Facility consisted of a senior secured revolving promissory</w:t>
      </w:r>
      <w:r>
        <w:rPr>
          <w:rFonts w:ascii="Arial" w:cs="Arial" w:eastAsia="Arial" w:hAnsi="Arial"/>
          <w:sz w:val="16"/>
          <w:szCs w:val="16"/>
          <w:i w:val="1"/>
          <w:iCs w:val="1"/>
          <w:color w:val="auto"/>
        </w:rPr>
        <w:t xml:space="preserve"> </w:t>
      </w:r>
      <w:r>
        <w:rPr>
          <w:rFonts w:ascii="Arial" w:cs="Arial" w:eastAsia="Arial" w:hAnsi="Arial"/>
          <w:sz w:val="16"/>
          <w:szCs w:val="16"/>
          <w:color w:val="auto"/>
        </w:rPr>
        <w:t>note and a guaranty and security agreement with an affiliate of Sanofi which provided the Company with a secured loan facility of up to $175.0 million to fund the Company’s share of net losses under the Sanofi License Agreement. The estimated fair value was determined using a discounted cash flow model where time outstanding and discount rate were primary variables. This method considered the key elements of the contractual terms of the Sanofi Loan Facility, market-based estimated cost of capital, and time value of money, namely the amount of time to settlement and the estimated discount rate (11%) appropriate for the liability (Level 3 in the fair value hierarchy). The Sanofi Loan Facility was forgiven on November 9, 2016.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transfers of assets or liabilities between the fair value measurement levels during the twelve months ended December 31, 2016, 2015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212"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i w:val="1"/>
          <w:iCs w:val="1"/>
          <w:color w:val="auto"/>
        </w:rPr>
        <w:t xml:space="preserve">Assets and Liabilities Measured at Fair Value on a Non-recurring Basis </w:t>
      </w:r>
      <w:r>
        <w:rPr>
          <w:rFonts w:ascii="Arial" w:cs="Arial" w:eastAsia="Arial" w:hAnsi="Arial"/>
          <w:sz w:val="17"/>
          <w:szCs w:val="17"/>
          <w:color w:val="auto"/>
        </w:rPr>
        <w:t>— Land, buildings, and machinery and equipment, with a carrying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$189.2 million, were written down to a fair value of $48.8 million, resulting in an impairment charge of $140.4 million, which is included in our consolidated statements of operations for the year ended December 31, 2015. See Note 4- Property and Equipment for further discussion of the valuation technique and inputs used in the fair value measurement.</w:t>
      </w:r>
    </w:p>
    <w:p>
      <w:pPr>
        <w:spacing w:after="0" w:line="178" w:lineRule="exact"/>
        <w:rPr>
          <w:sz w:val="20"/>
          <w:szCs w:val="20"/>
          <w:color w:val="auto"/>
        </w:rPr>
      </w:pPr>
    </w:p>
    <w:p>
      <w:pPr>
        <w:ind w:right="80" w:firstLine="457"/>
        <w:spacing w:after="0" w:line="273" w:lineRule="auto"/>
        <w:rPr>
          <w:sz w:val="20"/>
          <w:szCs w:val="20"/>
          <w:color w:val="auto"/>
        </w:rPr>
      </w:pPr>
      <w:r>
        <w:rPr>
          <w:rFonts w:ascii="Arial" w:cs="Arial" w:eastAsia="Arial" w:hAnsi="Arial"/>
          <w:sz w:val="17"/>
          <w:szCs w:val="17"/>
          <w:color w:val="auto"/>
        </w:rPr>
        <w:t>An additional impairment of $0.7 million was charged for the year ended December 31, 2016. At that time, an analysis of the lower of carrying value to fair value, which was deemed to be the sales price of the property, less selling costs determined a loss of $0.6 million, which is included in property and equipment impairment on the consolidated statement of operations for 2016.</w:t>
      </w:r>
    </w:p>
    <w:p>
      <w:pPr>
        <w:spacing w:after="0" w:line="171"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Our assessment of the real property includes Level 3 inputs, and was based on a combination of the income, market and cost approaches and the market approach was used for machinery and equipment which required Level 3 inputs.</w:t>
      </w:r>
    </w:p>
    <w:p>
      <w:pPr>
        <w:spacing w:after="0" w:line="15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 The Company identified and evaluated a number of embedded features in the notes issued under the Facility Agreement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determine if they represented embedded derivatives that are required to be separated from the notes and accounted for as freestanding instruments. The Company analyzed the Tranche B notes and identified embedded derivatives, which required separate accounting. However, all of the embedded derivatives were determined to have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value at December 31, 2016 and 2015.</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Common and Preferred Stock</w:t>
      </w:r>
    </w:p>
    <w:p>
      <w:pPr>
        <w:spacing w:after="0" w:line="125"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6"/>
          <w:szCs w:val="16"/>
          <w:color w:val="auto"/>
        </w:rPr>
        <w:t>On March 1, 2017, the Company effected a 1-for-5 reverse stock split of the Company’s outstanding common stock. As a result, all common stock share amounts included in these consolidated financial statements have been retroactively reduced by a factor of five, and all common stock per share amounts have been increased by a factor of five, with the exception of the Company’s common stock par value. See Note 1 — Description of Business.</w:t>
      </w:r>
    </w:p>
    <w:p>
      <w:pPr>
        <w:spacing w:after="0" w:line="155"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The Company is authorized to issue 140,000,000 shares of common stock, par value $0.05 per share, and 10,000,000 shares of undesignated preferred stock, par value $0.01 per share, issuable in one or more series as designated by the Company’s board of directors. No other class of capital stock is authorized. As of December 31, 2016 and 2015, 95,680,831 and 85,734,188 shares of common stock, respectively, were issued and outstanding and no shares of preferred stock were outstanding.</w:t>
      </w:r>
    </w:p>
    <w:p>
      <w:pPr>
        <w:spacing w:after="0" w:line="178" w:lineRule="exact"/>
        <w:rPr>
          <w:sz w:val="20"/>
          <w:szCs w:val="20"/>
          <w:color w:val="auto"/>
        </w:rPr>
      </w:pPr>
    </w:p>
    <w:p>
      <w:pPr>
        <w:jc w:val="both"/>
        <w:ind w:right="20" w:firstLine="457"/>
        <w:spacing w:after="0" w:line="273" w:lineRule="auto"/>
        <w:rPr>
          <w:sz w:val="20"/>
          <w:szCs w:val="20"/>
          <w:color w:val="auto"/>
        </w:rPr>
      </w:pPr>
      <w:r>
        <w:rPr>
          <w:rFonts w:ascii="Arial" w:cs="Arial" w:eastAsia="Arial" w:hAnsi="Arial"/>
          <w:sz w:val="17"/>
          <w:szCs w:val="17"/>
          <w:color w:val="auto"/>
        </w:rPr>
        <w:t>As more fully described in Note 16 — Warrants, in May 2016, the Company sold in a registered offering an aggregate of 9,708,737 shares of common stock together with certain warrants exercisable for up to an aggregate of 7,281,553 shares of common stock (“A Warrants”) and certain warrants exercisable for up to an aggregate of 2,427,184 shares of common stock (“B Warrants”) in a direct offering for proceeds of $50.0 million.</w:t>
      </w:r>
    </w:p>
    <w:p>
      <w:pPr>
        <w:spacing w:after="0" w:line="171" w:lineRule="exact"/>
        <w:rPr>
          <w:sz w:val="20"/>
          <w:szCs w:val="20"/>
          <w:color w:val="auto"/>
        </w:rPr>
      </w:pPr>
    </w:p>
    <w:p>
      <w:pPr>
        <w:jc w:val="both"/>
        <w:ind w:right="80" w:firstLine="457"/>
        <w:spacing w:after="0" w:line="273" w:lineRule="auto"/>
        <w:rPr>
          <w:sz w:val="20"/>
          <w:szCs w:val="20"/>
          <w:color w:val="auto"/>
        </w:rPr>
      </w:pPr>
      <w:r>
        <w:rPr>
          <w:rFonts w:ascii="Arial" w:cs="Arial" w:eastAsia="Arial" w:hAnsi="Arial"/>
          <w:sz w:val="17"/>
          <w:szCs w:val="17"/>
          <w:color w:val="auto"/>
        </w:rPr>
        <w:t>On November 9, 2015, the Company entered into a series of stock purchase agreements to sell up to an aggregate of 10,000,000 shares of its common stock in a registered direct offering to selected investment funds in Israel that hold securities included within certain stock indexes of the Tel Aviv Stock Exchange (the “TASE”). Pursuant to the agreements, the shares of common stock were sold at a price per share equal to 97%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9"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closing price of the Company’s common stock on the TASE on November 12, 2015. During November 2015, the Company sold 2,770,487 shares of common stock for an aggregate price of approximately $34,710,000, or $13.05 per share, which is net of $1,432,000 of issuance costs.</w:t>
      </w:r>
    </w:p>
    <w:p>
      <w:pPr>
        <w:spacing w:after="0" w:line="158" w:lineRule="exact"/>
        <w:rPr>
          <w:sz w:val="20"/>
          <w:szCs w:val="20"/>
          <w:color w:val="auto"/>
        </w:rPr>
      </w:pPr>
    </w:p>
    <w:p>
      <w:pPr>
        <w:ind w:right="20" w:firstLine="457"/>
        <w:spacing w:after="0" w:line="262" w:lineRule="auto"/>
        <w:rPr>
          <w:sz w:val="20"/>
          <w:szCs w:val="20"/>
          <w:color w:val="auto"/>
        </w:rPr>
      </w:pPr>
      <w:r>
        <w:rPr>
          <w:rFonts w:ascii="Arial" w:cs="Arial" w:eastAsia="Arial" w:hAnsi="Arial"/>
          <w:sz w:val="17"/>
          <w:szCs w:val="17"/>
          <w:color w:val="auto"/>
        </w:rPr>
        <w:t>The Company engaged Sunrise Securities Corporation as its exclusive placement agent in connection with the offering of the 10,000,000 shares. In connection with the services provided, the Company issued to Sunrise Securities Corporation, or its designee, restricted warrants to purchase a number of shares of the Company’s common stock in an aggregate equal to 1.15% of the aggregate shares sold in the offering, which totaled 31,860 shares on November 16, 2015. The warrants are exercisable for a five year period at an exercise price of $13.05, the price paid per share in connection with the offering. The Company had an obligation to register the common stock that may be issued pursuant to the exercise of the warrants, which resulted in their initial classification as liability and were deemed immaterial. On December 15, 2015 the warrants were reclassified to equity as the Company registered the common stock pursuant to a registration statement and continue to be classified in equity as of December 31, 2016.</w:t>
      </w:r>
    </w:p>
    <w:p>
      <w:pPr>
        <w:spacing w:after="0" w:line="182"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Included in the common stock outstanding as of December 31, 2014 is 1,800,000 shares of common stock loaned to Bank of America under a share lending agreement in connection with the offering of the $100.0 million aggregate principal amount of the 2015 notes. Bank of America was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On October 23, 2015, the 1,800,000 shares of common stock loaned to Bank of America were returned, as the Company settled all payments and deliveries in respect of such convertible notes on August 17, 2015. The Company did not receive any proceeds from the sale of the borrowed shares by Bank of America, but the Company did receive a nominal lending fee of $0.05 per share from Bank of America for the use of borrowed shares.</w:t>
      </w:r>
    </w:p>
    <w:p>
      <w:pPr>
        <w:spacing w:after="0" w:line="16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On February 8, 2012, the Company sold 7,187,500 units in an underwritten public offering, including 937,500 units sold pursuant to the full exercise of an over-allotment option granted to the underwriters, with each unit consisting of one share of common stock and a warrant to purchase 0.1 of a share of common stock. All of the securities were offered by the Company at a combined price to the public of $12.00 per unit and the underwriters purchased the units at a price of $11.28 per unit. Net proceeds from this offering were approximately $80.6 million, excluding any warrant exercises. The 4,312,500 shares of common stock underlying the warrants are exercisable at $12.00 per share and expire four years from the date of the issuance.</w:t>
      </w:r>
    </w:p>
    <w:p>
      <w:pPr>
        <w:spacing w:after="0" w:line="165" w:lineRule="exact"/>
        <w:rPr>
          <w:sz w:val="20"/>
          <w:szCs w:val="20"/>
          <w:color w:val="auto"/>
        </w:rPr>
      </w:pPr>
    </w:p>
    <w:p>
      <w:pPr>
        <w:ind w:right="60" w:firstLine="457"/>
        <w:spacing w:after="0" w:line="273" w:lineRule="auto"/>
        <w:rPr>
          <w:sz w:val="20"/>
          <w:szCs w:val="20"/>
          <w:color w:val="auto"/>
        </w:rPr>
      </w:pPr>
      <w:r>
        <w:rPr>
          <w:rFonts w:ascii="Arial" w:cs="Arial" w:eastAsia="Arial" w:hAnsi="Arial"/>
          <w:sz w:val="17"/>
          <w:szCs w:val="17"/>
          <w:color w:val="auto"/>
        </w:rPr>
        <w:t>For the years ended December 31, 2015 and 2014, the Company received $10.1 million and $27.8 million in proceeds, respectively, from the exercise of the February 2012 public offering warrants. There were no warrant exercises during the year ended December 31, 2016 and any unexercised February 2012 public offering warrants expired on February 8, 2016.</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Net Income (Loss) per Common Share</w:t>
      </w:r>
    </w:p>
    <w:p>
      <w:pPr>
        <w:spacing w:after="0" w:line="125"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6"/>
          <w:szCs w:val="16"/>
          <w:color w:val="auto"/>
        </w:rPr>
        <w:t>On March 1, 2017, the Company effected a 1-for-5 reverse stock split of the Company’s outstanding common stock. As a result, all common stock share amounts included in these consolidated financial statements have been retroactively reduced by a factor of five, and all common stock per share amounts have been increased by a factor of five, with the exception of the Company’s common stock par value. See Note 1 — Description of Business.</w:t>
      </w:r>
    </w:p>
    <w:p>
      <w:pPr>
        <w:spacing w:after="0" w:line="155" w:lineRule="exact"/>
        <w:rPr>
          <w:sz w:val="20"/>
          <w:szCs w:val="20"/>
          <w:color w:val="auto"/>
        </w:rPr>
      </w:pPr>
    </w:p>
    <w:p>
      <w:pPr>
        <w:ind w:right="60" w:firstLine="457"/>
        <w:spacing w:after="0" w:line="265" w:lineRule="auto"/>
        <w:rPr>
          <w:sz w:val="20"/>
          <w:szCs w:val="20"/>
          <w:color w:val="auto"/>
        </w:rPr>
      </w:pPr>
      <w:r>
        <w:rPr>
          <w:rFonts w:ascii="Arial" w:cs="Arial" w:eastAsia="Arial" w:hAnsi="Arial"/>
          <w:sz w:val="17"/>
          <w:szCs w:val="17"/>
          <w:color w:val="auto"/>
        </w:rPr>
        <w:t>Basic net income (loss) per share excludes dilution for potentially dilutive securities and is computed by dividing net income (loss) by the weighted average number of common shares outstanding during the period. Diluted net income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 During 2015, 1,800,000 shares of the Company’s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49"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common stock, which were loaned to Bank of America pursuant to the terms of a share lending agreement, were issued and outstanding, with the holder of the borrowed shares having all the rights of a holder of the Company’s common stock. As the share borrower was required to return all borrowed shares to the Company, the borrowed shares were not considered outstanding for the purpose of computing and reporting basic or diluted loss per share during the period presented for 2015. These shares were returned to the Company in the third quarter of 2015.</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components of the basic and diluted net income (loss) per common share computations: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6"/>
              <w:spacing w:after="0" w:line="137" w:lineRule="exact"/>
              <w:rPr>
                <w:sz w:val="20"/>
                <w:szCs w:val="20"/>
                <w:color w:val="auto"/>
              </w:rPr>
            </w:pPr>
            <w:r>
              <w:rPr>
                <w:rFonts w:ascii="Arial" w:cs="Arial" w:eastAsia="Arial" w:hAnsi="Arial"/>
                <w:sz w:val="14"/>
                <w:szCs w:val="14"/>
                <w:color w:val="auto"/>
              </w:rPr>
              <w:t>2016</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37" w:lineRule="exact"/>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5"/>
              <w:spacing w:after="0" w:line="137"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8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gridSpan w:val="8"/>
          </w:tcPr>
          <w:p>
            <w:pPr>
              <w:jc w:val="right"/>
              <w:ind w:right="375"/>
              <w:spacing w:after="0" w:line="137" w:lineRule="exact"/>
              <w:rPr>
                <w:sz w:val="20"/>
                <w:szCs w:val="20"/>
                <w:color w:val="auto"/>
              </w:rPr>
            </w:pPr>
            <w:r>
              <w:rPr>
                <w:rFonts w:ascii="Arial" w:cs="Arial" w:eastAsia="Arial" w:hAnsi="Arial"/>
                <w:sz w:val="14"/>
                <w:szCs w:val="14"/>
                <w:color w:val="auto"/>
              </w:rPr>
              <w:t>(In thousands, except per share data)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EPS: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Net income (loss) (numerator)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125,664</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(368,445)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(198,382)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Weighted average common shares (denominator)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81,233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77,045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0"/>
              <w:spacing w:after="0"/>
              <w:rPr>
                <w:sz w:val="20"/>
                <w:szCs w:val="20"/>
                <w:color w:val="auto"/>
              </w:rPr>
            </w:pPr>
            <w:r>
              <w:rPr>
                <w:rFonts w:ascii="Arial" w:cs="Arial" w:eastAsia="Arial" w:hAnsi="Arial"/>
                <w:sz w:val="17"/>
                <w:szCs w:val="17"/>
                <w:color w:val="auto"/>
              </w:rPr>
              <w:t>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1.37</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(4.54)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EPS: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40" w:type="dxa"/>
            <w:vAlign w:val="bottom"/>
          </w:tcPr>
          <w:p>
            <w:pPr>
              <w:ind w:left="360"/>
              <w:spacing w:after="0"/>
              <w:rPr>
                <w:sz w:val="20"/>
                <w:szCs w:val="20"/>
                <w:color w:val="auto"/>
              </w:rPr>
            </w:pPr>
            <w:r>
              <w:rPr>
                <w:rFonts w:ascii="Arial" w:cs="Arial" w:eastAsia="Arial" w:hAnsi="Arial"/>
                <w:sz w:val="17"/>
                <w:szCs w:val="17"/>
                <w:color w:val="auto"/>
              </w:rPr>
              <w:t>Net income (loss) (numerator)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125,664</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(368,445)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(198,382)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Weighted average common shares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92,053</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81,233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77,045</w:t>
            </w:r>
          </w:p>
        </w:tc>
        <w:tc>
          <w:tcPr>
            <w:tcW w:w="0" w:type="dxa"/>
            <w:vAlign w:val="bottom"/>
          </w:tcPr>
          <w:p>
            <w:pPr>
              <w:spacing w:after="0"/>
              <w:rPr>
                <w:sz w:val="1"/>
                <w:szCs w:val="1"/>
                <w:color w:val="auto"/>
              </w:rPr>
            </w:pPr>
          </w:p>
        </w:tc>
      </w:tr>
      <w:tr>
        <w:trPr>
          <w:trHeight w:val="216"/>
        </w:trPr>
        <w:tc>
          <w:tcPr>
            <w:tcW w:w="8340" w:type="dxa"/>
            <w:vAlign w:val="bottom"/>
          </w:tcPr>
          <w:p>
            <w:pPr>
              <w:ind w:left="360"/>
              <w:spacing w:after="0"/>
              <w:rPr>
                <w:sz w:val="20"/>
                <w:szCs w:val="20"/>
                <w:color w:val="auto"/>
              </w:rPr>
            </w:pPr>
            <w:r>
              <w:rPr>
                <w:rFonts w:ascii="Arial" w:cs="Arial" w:eastAsia="Arial" w:hAnsi="Arial"/>
                <w:sz w:val="17"/>
                <w:szCs w:val="17"/>
                <w:color w:val="auto"/>
              </w:rPr>
              <w:t>Effect of dilutive securities — common shares issuable</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 weighted average common shares (denominator)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92,085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81,233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77,045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60"/>
              <w:spacing w:after="0"/>
              <w:rPr>
                <w:sz w:val="20"/>
                <w:szCs w:val="20"/>
                <w:color w:val="auto"/>
              </w:rPr>
            </w:pPr>
            <w:r>
              <w:rPr>
                <w:rFonts w:ascii="Arial" w:cs="Arial" w:eastAsia="Arial" w:hAnsi="Arial"/>
                <w:sz w:val="17"/>
                <w:szCs w:val="17"/>
                <w:color w:val="auto"/>
              </w:rPr>
              <w:t>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1.36</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(4.54)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Common shares issuable represents incremental shares of common stock which consist of stock options, restricted stock units, warrants, and shares that could be issued upon conversion of the senior convertible notes.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Potentially dilutive securities outstanding that are considered antidilutive are summarized as follows (in shares):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3"/>
        </w:trPr>
        <w:tc>
          <w:tcPr>
            <w:tcW w:w="68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December 31,</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6820" w:type="dxa"/>
            <w:vAlign w:val="bottom"/>
          </w:tcPr>
          <w:p>
            <w:pPr>
              <w:spacing w:after="0"/>
              <w:rPr>
                <w:sz w:val="11"/>
                <w:szCs w:val="11"/>
                <w:color w:val="auto"/>
              </w:rPr>
            </w:pPr>
          </w:p>
        </w:tc>
        <w:tc>
          <w:tcPr>
            <w:tcW w:w="980" w:type="dxa"/>
            <w:vAlign w:val="bottom"/>
          </w:tcPr>
          <w:p>
            <w:pPr>
              <w:jc w:val="right"/>
              <w:ind w:right="276"/>
              <w:spacing w:after="0" w:line="137" w:lineRule="exact"/>
              <w:rPr>
                <w:sz w:val="20"/>
                <w:szCs w:val="20"/>
                <w:color w:val="auto"/>
              </w:rPr>
            </w:pPr>
            <w:r>
              <w:rPr>
                <w:rFonts w:ascii="Arial" w:cs="Arial" w:eastAsia="Arial" w:hAnsi="Arial"/>
                <w:sz w:val="14"/>
                <w:szCs w:val="14"/>
                <w:color w:val="auto"/>
              </w:rPr>
              <w:t>2016</w:t>
            </w:r>
          </w:p>
        </w:tc>
        <w:tc>
          <w:tcPr>
            <w:tcW w:w="360" w:type="dxa"/>
            <w:vAlign w:val="bottom"/>
          </w:tcPr>
          <w:p>
            <w:pPr>
              <w:spacing w:after="0"/>
              <w:rPr>
                <w:sz w:val="11"/>
                <w:szCs w:val="11"/>
                <w:color w:val="auto"/>
              </w:rPr>
            </w:pPr>
          </w:p>
        </w:tc>
        <w:tc>
          <w:tcPr>
            <w:tcW w:w="900" w:type="dxa"/>
            <w:vAlign w:val="bottom"/>
          </w:tcPr>
          <w:p>
            <w:pPr>
              <w:jc w:val="right"/>
              <w:ind w:right="238"/>
              <w:spacing w:after="0" w:line="137" w:lineRule="exact"/>
              <w:rPr>
                <w:sz w:val="20"/>
                <w:szCs w:val="20"/>
                <w:color w:val="auto"/>
              </w:rPr>
            </w:pPr>
            <w:r>
              <w:rPr>
                <w:rFonts w:ascii="Arial" w:cs="Arial" w:eastAsia="Arial" w:hAnsi="Arial"/>
                <w:sz w:val="14"/>
                <w:szCs w:val="14"/>
                <w:color w:val="auto"/>
              </w:rPr>
              <w:t>2015</w:t>
            </w:r>
          </w:p>
        </w:tc>
        <w:tc>
          <w:tcPr>
            <w:tcW w:w="1380" w:type="dxa"/>
            <w:vAlign w:val="bottom"/>
            <w:gridSpan w:val="2"/>
          </w:tcPr>
          <w:p>
            <w:pPr>
              <w:jc w:val="right"/>
              <w:ind w:right="293"/>
              <w:spacing w:after="0" w:line="137" w:lineRule="exact"/>
              <w:rPr>
                <w:sz w:val="20"/>
                <w:szCs w:val="20"/>
                <w:color w:val="auto"/>
              </w:rPr>
            </w:pPr>
            <w:r>
              <w:rPr>
                <w:rFonts w:ascii="Arial" w:cs="Arial" w:eastAsia="Arial" w:hAnsi="Arial"/>
                <w:sz w:val="14"/>
                <w:szCs w:val="14"/>
                <w:color w:val="auto"/>
              </w:rPr>
              <w:t>2014</w:t>
            </w:r>
          </w:p>
        </w:tc>
        <w:tc>
          <w:tcPr>
            <w:tcW w:w="60" w:type="dxa"/>
            <w:vAlign w:val="bottom"/>
          </w:tcPr>
          <w:p>
            <w:pPr>
              <w:spacing w:after="0"/>
              <w:rPr>
                <w:sz w:val="11"/>
                <w:szCs w:val="11"/>
                <w:color w:val="auto"/>
              </w:rPr>
            </w:pPr>
          </w:p>
        </w:tc>
      </w:tr>
      <w:tr>
        <w:trPr>
          <w:trHeight w:val="203"/>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Exercise of common stock options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5,530,256</w:t>
            </w:r>
          </w:p>
        </w:tc>
        <w:tc>
          <w:tcPr>
            <w:tcW w:w="3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3,955,845</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4,308,332</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7"/>
                <w:szCs w:val="17"/>
                <w:color w:val="auto"/>
              </w:rPr>
              <w:t>Conversion of senior convertible notes into common stock</w:t>
            </w:r>
          </w:p>
        </w:tc>
        <w:tc>
          <w:tcPr>
            <w:tcW w:w="1340" w:type="dxa"/>
            <w:vAlign w:val="bottom"/>
            <w:gridSpan w:val="2"/>
          </w:tcPr>
          <w:p>
            <w:pPr>
              <w:jc w:val="right"/>
              <w:ind w:right="360"/>
              <w:spacing w:after="0"/>
              <w:rPr>
                <w:sz w:val="20"/>
                <w:szCs w:val="20"/>
                <w:color w:val="auto"/>
              </w:rPr>
            </w:pPr>
            <w:r>
              <w:rPr>
                <w:rFonts w:ascii="Arial" w:cs="Arial" w:eastAsia="Arial" w:hAnsi="Arial"/>
                <w:sz w:val="17"/>
                <w:szCs w:val="17"/>
                <w:color w:val="auto"/>
              </w:rPr>
              <w:t>814,561</w:t>
            </w:r>
          </w:p>
        </w:tc>
        <w:tc>
          <w:tcPr>
            <w:tcW w:w="900" w:type="dxa"/>
            <w:vAlign w:val="bottom"/>
          </w:tcPr>
          <w:p>
            <w:pPr>
              <w:jc w:val="right"/>
              <w:spacing w:after="0"/>
              <w:rPr>
                <w:sz w:val="20"/>
                <w:szCs w:val="20"/>
                <w:color w:val="auto"/>
              </w:rPr>
            </w:pPr>
            <w:r>
              <w:rPr>
                <w:rFonts w:ascii="Arial" w:cs="Arial" w:eastAsia="Arial" w:hAnsi="Arial"/>
                <w:sz w:val="17"/>
                <w:szCs w:val="17"/>
                <w:color w:val="auto"/>
              </w:rPr>
              <w:t>814,561</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3,464,616</w:t>
            </w:r>
          </w:p>
        </w:tc>
        <w:tc>
          <w:tcPr>
            <w:tcW w:w="60" w:type="dxa"/>
            <w:vAlign w:val="bottom"/>
          </w:tcPr>
          <w:p>
            <w:pPr>
              <w:spacing w:after="0"/>
              <w:rPr>
                <w:sz w:val="18"/>
                <w:szCs w:val="18"/>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Exercise of common stock warrants</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9,740,597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814,919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1,997,575</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Vesting of restricted stock units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702,867</w:t>
            </w:r>
          </w:p>
        </w:tc>
        <w:tc>
          <w:tcPr>
            <w:tcW w:w="3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360,924</w:t>
            </w:r>
          </w:p>
        </w:tc>
        <w:tc>
          <w:tcPr>
            <w:tcW w:w="3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522,144</w:t>
            </w:r>
          </w:p>
        </w:tc>
        <w:tc>
          <w:tcPr>
            <w:tcW w:w="60" w:type="dxa"/>
            <w:vAlign w:val="bottom"/>
          </w:tcPr>
          <w:p>
            <w:pPr>
              <w:spacing w:after="0"/>
              <w:rPr>
                <w:sz w:val="18"/>
                <w:szCs w:val="18"/>
                <w:color w:val="auto"/>
              </w:rPr>
            </w:pPr>
          </w:p>
        </w:tc>
      </w:tr>
      <w:tr>
        <w:trPr>
          <w:trHeight w:val="210"/>
        </w:trPr>
        <w:tc>
          <w:tcPr>
            <w:tcW w:w="6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16,788,281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5,946,249</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10,292,667</w:t>
            </w:r>
          </w:p>
        </w:tc>
      </w:tr>
      <w:tr>
        <w:trPr>
          <w:trHeight w:val="20"/>
        </w:trPr>
        <w:tc>
          <w:tcPr>
            <w:tcW w:w="6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 Award Plans</w:t>
      </w:r>
    </w:p>
    <w:p>
      <w:pPr>
        <w:spacing w:after="0" w:line="125" w:lineRule="exact"/>
        <w:rPr>
          <w:sz w:val="20"/>
          <w:szCs w:val="20"/>
          <w:color w:val="auto"/>
        </w:rPr>
      </w:pPr>
    </w:p>
    <w:p>
      <w:pPr>
        <w:jc w:val="both"/>
        <w:ind w:right="320" w:firstLine="457"/>
        <w:spacing w:after="0" w:line="297" w:lineRule="auto"/>
        <w:rPr>
          <w:sz w:val="20"/>
          <w:szCs w:val="20"/>
          <w:color w:val="auto"/>
        </w:rPr>
      </w:pPr>
      <w:r>
        <w:rPr>
          <w:rFonts w:ascii="Arial" w:cs="Arial" w:eastAsia="Arial" w:hAnsi="Arial"/>
          <w:sz w:val="16"/>
          <w:szCs w:val="16"/>
          <w:color w:val="auto"/>
        </w:rPr>
        <w:t>On March 1, 2017, the Company effected a 1-for-5 reverse stock split of the Company’s outstanding common stock. As a result, all common stock share amounts included in these consolidated financial statements have been retroactively reduced by a factor of five, and all common stock per share amounts have been increased by a factor of five, with the exception of the Company’s common stock par value. See Note 1 — Description of Business.</w:t>
      </w:r>
    </w:p>
    <w:p>
      <w:pPr>
        <w:spacing w:after="0" w:line="155" w:lineRule="exact"/>
        <w:rPr>
          <w:sz w:val="20"/>
          <w:szCs w:val="20"/>
          <w:color w:val="auto"/>
        </w:rPr>
      </w:pPr>
    </w:p>
    <w:p>
      <w:pPr>
        <w:jc w:val="both"/>
        <w:ind w:right="40" w:firstLine="457"/>
        <w:spacing w:after="0" w:line="273" w:lineRule="auto"/>
        <w:rPr>
          <w:sz w:val="20"/>
          <w:szCs w:val="20"/>
          <w:color w:val="auto"/>
        </w:rPr>
      </w:pPr>
      <w:r>
        <w:rPr>
          <w:rFonts w:ascii="Arial" w:cs="Arial" w:eastAsia="Arial" w:hAnsi="Arial"/>
          <w:sz w:val="17"/>
          <w:szCs w:val="17"/>
          <w:color w:val="auto"/>
        </w:rPr>
        <w:t>On May 23, 2013, the Company adopted the 2013 Equity Incentive Plan (the “2013 Plan”) as the successor to and continuation of the 2004 Equity Incentive Plan (the “2004 Plan”). The 2013 Plan consists of 4.3 million additional shares and the number of unallocated shares remaining available for grant for new awards under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20"/>
          </w:cols>
          <w:pgMar w:left="240" w:top="449"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325" w:lineRule="auto"/>
        <w:rPr>
          <w:sz w:val="20"/>
          <w:szCs w:val="20"/>
          <w:color w:val="auto"/>
        </w:rPr>
      </w:pPr>
      <w:r>
        <w:rPr>
          <w:rFonts w:ascii="Arial" w:cs="Arial" w:eastAsia="Arial" w:hAnsi="Arial"/>
          <w:sz w:val="15"/>
          <w:szCs w:val="15"/>
          <w:color w:val="auto"/>
        </w:rPr>
        <w:t>2004 Plan. The 2013 Plan provides for the granting of stock awards including stock options and restricted stock units, to employees, directors and consultants. The 2013 Plan also provides for the automatic, non-discretionary grant of options to the Company’s non-employee directors. No additional awards will be granted under the 2004 Plan or under the 2004 Non-Employee Directors’ Stock Option Plan (the “NED Plan”) as all future awards will be made out of the 2013 Plan.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information about the Company’s stock-based award plans as of December 31, 2016:</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Outstanding</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 Available</w:t>
            </w:r>
          </w:p>
        </w:tc>
      </w:tr>
      <w:tr>
        <w:trPr>
          <w:trHeight w:val="144"/>
        </w:trPr>
        <w:tc>
          <w:tcPr>
            <w:tcW w:w="3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360" w:type="dxa"/>
            <w:vAlign w:val="bottom"/>
            <w:gridSpan w:val="3"/>
          </w:tcPr>
          <w:p>
            <w:pPr>
              <w:jc w:val="center"/>
              <w:ind w:right="560"/>
              <w:spacing w:after="0" w:line="144" w:lineRule="exact"/>
              <w:rPr>
                <w:sz w:val="20"/>
                <w:szCs w:val="20"/>
                <w:color w:val="auto"/>
              </w:rPr>
            </w:pPr>
            <w:r>
              <w:rPr>
                <w:rFonts w:ascii="Arial" w:cs="Arial" w:eastAsia="Arial" w:hAnsi="Arial"/>
                <w:sz w:val="14"/>
                <w:szCs w:val="14"/>
                <w:color w:val="auto"/>
                <w:w w:val="90"/>
              </w:rPr>
              <w:t>Outstanding</w:t>
            </w:r>
          </w:p>
        </w:tc>
        <w:tc>
          <w:tcPr>
            <w:tcW w:w="1280" w:type="dxa"/>
            <w:vAlign w:val="bottom"/>
            <w:gridSpan w:val="2"/>
          </w:tcPr>
          <w:p>
            <w:pPr>
              <w:jc w:val="center"/>
              <w:ind w:right="580"/>
              <w:spacing w:after="0" w:line="144" w:lineRule="exact"/>
              <w:rPr>
                <w:sz w:val="20"/>
                <w:szCs w:val="20"/>
                <w:color w:val="auto"/>
              </w:rPr>
            </w:pPr>
            <w:r>
              <w:rPr>
                <w:rFonts w:ascii="Arial" w:cs="Arial" w:eastAsia="Arial" w:hAnsi="Arial"/>
                <w:sz w:val="14"/>
                <w:szCs w:val="14"/>
                <w:color w:val="auto"/>
                <w:w w:val="91"/>
              </w:rPr>
              <w:t>Restricted</w:t>
            </w:r>
          </w:p>
        </w:tc>
        <w:tc>
          <w:tcPr>
            <w:tcW w:w="1040" w:type="dxa"/>
            <w:vAlign w:val="bottom"/>
            <w:gridSpan w:val="2"/>
          </w:tcPr>
          <w:p>
            <w:pPr>
              <w:jc w:val="center"/>
              <w:ind w:right="80"/>
              <w:spacing w:after="0" w:line="144" w:lineRule="exact"/>
              <w:rPr>
                <w:sz w:val="20"/>
                <w:szCs w:val="20"/>
                <w:color w:val="auto"/>
              </w:rPr>
            </w:pPr>
            <w:r>
              <w:rPr>
                <w:rFonts w:ascii="Arial" w:cs="Arial" w:eastAsia="Arial" w:hAnsi="Arial"/>
                <w:sz w:val="14"/>
                <w:szCs w:val="14"/>
                <w:color w:val="auto"/>
                <w:w w:val="92"/>
              </w:rPr>
              <w:t>for Future</w:t>
            </w:r>
          </w:p>
        </w:tc>
      </w:tr>
      <w:tr>
        <w:trPr>
          <w:trHeight w:val="163"/>
        </w:trPr>
        <w:tc>
          <w:tcPr>
            <w:tcW w:w="3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36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Options</w:t>
            </w: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Stock Units</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Issuance</w:t>
            </w:r>
          </w:p>
        </w:tc>
      </w:tr>
      <w:tr>
        <w:trPr>
          <w:trHeight w:val="203"/>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2004</w:t>
            </w:r>
          </w:p>
        </w:tc>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 Incentive Plan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2,052,345</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14,203</w:t>
            </w:r>
          </w:p>
        </w:tc>
        <w:tc>
          <w:tcPr>
            <w:tcW w:w="5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97,574</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380" w:type="dxa"/>
            <w:vAlign w:val="bottom"/>
          </w:tcPr>
          <w:p>
            <w:pPr>
              <w:spacing w:after="0"/>
              <w:rPr>
                <w:sz w:val="20"/>
                <w:szCs w:val="20"/>
                <w:color w:val="auto"/>
              </w:rPr>
            </w:pPr>
            <w:r>
              <w:rPr>
                <w:rFonts w:ascii="Arial" w:cs="Arial" w:eastAsia="Arial" w:hAnsi="Arial"/>
                <w:sz w:val="17"/>
                <w:szCs w:val="17"/>
                <w:color w:val="auto"/>
                <w:w w:val="95"/>
              </w:rPr>
              <w:t>2013</w:t>
            </w:r>
          </w:p>
        </w:tc>
        <w:tc>
          <w:tcPr>
            <w:tcW w:w="6440" w:type="dxa"/>
            <w:vAlign w:val="bottom"/>
          </w:tcPr>
          <w:p>
            <w:pPr>
              <w:ind w:left="20"/>
              <w:spacing w:after="0"/>
              <w:rPr>
                <w:sz w:val="20"/>
                <w:szCs w:val="20"/>
                <w:color w:val="auto"/>
              </w:rPr>
            </w:pPr>
            <w:r>
              <w:rPr>
                <w:rFonts w:ascii="Arial" w:cs="Arial" w:eastAsia="Arial" w:hAnsi="Arial"/>
                <w:sz w:val="17"/>
                <w:szCs w:val="17"/>
                <w:color w:val="auto"/>
              </w:rPr>
              <w:t>Equity Incentive Plan</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3,399,245</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723,763</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3,743,013</w:t>
            </w:r>
          </w:p>
        </w:tc>
        <w:tc>
          <w:tcPr>
            <w:tcW w:w="60" w:type="dxa"/>
            <w:vAlign w:val="bottom"/>
          </w:tcPr>
          <w:p>
            <w:pPr>
              <w:spacing w:after="0"/>
              <w:rPr>
                <w:sz w:val="18"/>
                <w:szCs w:val="18"/>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2004</w:t>
            </w:r>
          </w:p>
        </w:tc>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Non-Employee Directors’ Stock Option Plan</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78,666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7"/>
                <w:szCs w:val="17"/>
                <w:color w:val="auto"/>
                <w:w w:val="95"/>
              </w:rPr>
              <w:t>Total</w:t>
            </w:r>
          </w:p>
        </w:tc>
        <w:tc>
          <w:tcPr>
            <w:tcW w:w="644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5,530,256</w:t>
            </w:r>
          </w:p>
        </w:tc>
        <w:tc>
          <w:tcPr>
            <w:tcW w:w="5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737,966</w:t>
            </w:r>
          </w:p>
        </w:tc>
        <w:tc>
          <w:tcPr>
            <w:tcW w:w="5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3,840,587</w:t>
            </w:r>
          </w:p>
        </w:tc>
        <w:tc>
          <w:tcPr>
            <w:tcW w:w="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March 2004, as part of the 2004 Plan, the Company’s board of directors approved the Employee Stock Purchase Plan (“ESPP”), which became effective upon the closing of the Company’s initial public offering. Initially, the aggregate number of shares that could be sold under the 2004 Plan was 400,000 shares of common stock. On January 1 of each year, for a period of ten years beginning January 1, 2005, the share reserve automatically increased by the lesser of: 140,000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2013 and 2014 the ESPP share reserve was increased each year by 140,000 shares. There was no ESPP share reserve increases during 2015 or 2016. As of December 31, 2016, 445,782 shares were available for issuance under the ESPP. For the years ended December 31, 2016, 2015 and 2014, the Company sold 104,758, 64,245 and 61,015 shares, respectively, of its common stock to employees participating in the ESPP. The ESPP purchase of 43,672 shares for the period ending December 31, 2016 was initiated prior to year-end but did not settle until January 5, 2017. As a result, the shares sold are reflected in the ESPP share reserves but are excluded from common stock outstanding as of December 31, 2016.</w:t>
      </w:r>
    </w:p>
    <w:p>
      <w:pPr>
        <w:spacing w:after="0" w:line="156" w:lineRule="exact"/>
        <w:rPr>
          <w:sz w:val="20"/>
          <w:szCs w:val="20"/>
          <w:color w:val="auto"/>
        </w:rPr>
      </w:pPr>
    </w:p>
    <w:p>
      <w:pPr>
        <w:ind w:right="120" w:firstLine="457"/>
        <w:spacing w:after="0" w:line="283" w:lineRule="auto"/>
        <w:rPr>
          <w:sz w:val="20"/>
          <w:szCs w:val="20"/>
          <w:color w:val="auto"/>
        </w:rPr>
      </w:pPr>
      <w:r>
        <w:rPr>
          <w:rFonts w:ascii="Arial" w:cs="Arial" w:eastAsia="Arial" w:hAnsi="Arial"/>
          <w:sz w:val="16"/>
          <w:szCs w:val="16"/>
          <w:color w:val="auto"/>
        </w:rPr>
        <w:t>The Company’s board of directors determines eligibility, vesting schedules and criteria and exercise prices for stock awards granted under the 2013 Plan. Options and restricted stock unit awards under the 2013 Plan expire not more than ten years from the date of the grant and are exercisable upon vesting. Stock options that vest over time generally vest over four years. Current time-based vesting stock option grants vest and become exercisable at the rate of 25% after one year and ratably on a monthly basis over a period of 36 months thereafter. Restricted stock units with time-based vesting generally vest at a rate of 25% per year over four years with consideration satisfied by service to the Company. The Company also issues stock awards with performance conditions. The 2013 Plan provides for full acceleration of vesting if an employee is terminated within three months of a change in control, as defined in the 2013 Plan.</w:t>
      </w:r>
    </w:p>
    <w:p>
      <w:pPr>
        <w:spacing w:after="0" w:line="165"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Share-based payment transactions are recognized as compensation cost based on the fair value of the instrument on the date of grant. The Company accounts for non-employee stock-based compensation expense based on the estimated fair value of the options, which is determined using the Black-Scholes option valuation model and amortizes such expense on a straight-line basis over the service period for time-based awards and over the expected dates of achievement for performance-based awards. These awards are subject to re-measurement until service is complete. As of December 31, 2016, there were options to purchase 100,697 shares of common stock outstanding to consultants.</w:t>
      </w:r>
    </w:p>
    <w:p>
      <w:pPr>
        <w:spacing w:after="0" w:line="178" w:lineRule="exact"/>
        <w:rPr>
          <w:sz w:val="20"/>
          <w:szCs w:val="20"/>
          <w:color w:val="auto"/>
        </w:rPr>
      </w:pPr>
    </w:p>
    <w:p>
      <w:pPr>
        <w:ind w:right="360" w:firstLine="457"/>
        <w:spacing w:after="0" w:line="289" w:lineRule="auto"/>
        <w:rPr>
          <w:sz w:val="20"/>
          <w:szCs w:val="20"/>
          <w:color w:val="auto"/>
        </w:rPr>
      </w:pPr>
      <w:r>
        <w:rPr>
          <w:rFonts w:ascii="Arial" w:cs="Arial" w:eastAsia="Arial" w:hAnsi="Arial"/>
          <w:sz w:val="17"/>
          <w:szCs w:val="17"/>
          <w:color w:val="auto"/>
        </w:rPr>
        <w:t>During the years ended December 31, 2016, 2015 and 2014 the Company recorded stock-based compensation expense of $5.1 million, $8.7 million and $48.6 million, respectively.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49" w:right="23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stock-based compensation expense recognized in the accompanying consolidated statements of operations is as follows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6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60" w:type="dxa"/>
            <w:vAlign w:val="bottom"/>
            <w:gridSpan w:val="6"/>
          </w:tcPr>
          <w:p>
            <w:pPr>
              <w:ind w:left="80"/>
              <w:spacing w:after="0"/>
              <w:rPr>
                <w:sz w:val="20"/>
                <w:szCs w:val="20"/>
                <w:color w:val="auto"/>
              </w:rPr>
            </w:pPr>
            <w:r>
              <w:rPr>
                <w:rFonts w:ascii="Arial" w:cs="Arial" w:eastAsia="Arial" w:hAnsi="Arial"/>
                <w:sz w:val="14"/>
                <w:szCs w:val="14"/>
                <w:color w:val="auto"/>
              </w:rPr>
              <w:t>Year Ended December 31,</w:t>
            </w:r>
          </w:p>
        </w:tc>
      </w:tr>
      <w:tr>
        <w:trPr>
          <w:trHeight w:val="137"/>
        </w:trPr>
        <w:tc>
          <w:tcPr>
            <w:tcW w:w="6940" w:type="dxa"/>
            <w:vAlign w:val="bottom"/>
          </w:tcPr>
          <w:p>
            <w:pPr>
              <w:spacing w:after="0"/>
              <w:rPr>
                <w:sz w:val="11"/>
                <w:szCs w:val="11"/>
                <w:color w:val="auto"/>
              </w:rPr>
            </w:pPr>
          </w:p>
        </w:tc>
        <w:tc>
          <w:tcPr>
            <w:tcW w:w="48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2016</w:t>
            </w:r>
          </w:p>
        </w:tc>
        <w:tc>
          <w:tcPr>
            <w:tcW w:w="1020" w:type="dxa"/>
            <w:vAlign w:val="bottom"/>
            <w:tcBorders>
              <w:top w:val="single" w:sz="8" w:color="auto"/>
            </w:tcBorders>
            <w:gridSpan w:val="2"/>
          </w:tcPr>
          <w:p>
            <w:pPr>
              <w:jc w:val="right"/>
              <w:ind w:right="13"/>
              <w:spacing w:after="0" w:line="137" w:lineRule="exact"/>
              <w:rPr>
                <w:sz w:val="20"/>
                <w:szCs w:val="20"/>
                <w:color w:val="auto"/>
              </w:rPr>
            </w:pPr>
            <w:r>
              <w:rPr>
                <w:rFonts w:ascii="Arial" w:cs="Arial" w:eastAsia="Arial" w:hAnsi="Arial"/>
                <w:sz w:val="14"/>
                <w:szCs w:val="14"/>
                <w:color w:val="auto"/>
              </w:rPr>
              <w:t>2015</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center"/>
              <w:ind w:left="161"/>
              <w:spacing w:after="0" w:line="137" w:lineRule="exact"/>
              <w:rPr>
                <w:sz w:val="20"/>
                <w:szCs w:val="20"/>
                <w:color w:val="auto"/>
              </w:rPr>
            </w:pPr>
            <w:r>
              <w:rPr>
                <w:rFonts w:ascii="Arial" w:cs="Arial" w:eastAsia="Arial" w:hAnsi="Arial"/>
                <w:sz w:val="14"/>
                <w:szCs w:val="14"/>
                <w:color w:val="auto"/>
                <w:w w:val="89"/>
              </w:rPr>
              <w:t>2014</w:t>
            </w:r>
          </w:p>
        </w:tc>
        <w:tc>
          <w:tcPr>
            <w:tcW w:w="40" w:type="dxa"/>
            <w:vAlign w:val="bottom"/>
          </w:tcPr>
          <w:p>
            <w:pPr>
              <w:spacing w:after="0"/>
              <w:rPr>
                <w:sz w:val="11"/>
                <w:szCs w:val="11"/>
                <w:color w:val="auto"/>
              </w:rPr>
            </w:pPr>
          </w:p>
        </w:tc>
      </w:tr>
      <w:tr>
        <w:trPr>
          <w:trHeight w:val="203"/>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Employee-related</w:t>
            </w: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$5,135</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$8,407</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$48,622</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7"/>
                <w:szCs w:val="17"/>
                <w:color w:val="auto"/>
              </w:rPr>
              <w:t>Consultant-related</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jc w:val="center"/>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5,135</w:t>
            </w:r>
          </w:p>
        </w:tc>
        <w:tc>
          <w:tcPr>
            <w:tcW w:w="12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8,725</w:t>
            </w:r>
          </w:p>
        </w:tc>
        <w:tc>
          <w:tcPr>
            <w:tcW w:w="880" w:type="dxa"/>
            <w:vAlign w:val="bottom"/>
            <w:gridSpan w:val="3"/>
            <w:shd w:val="clear" w:color="auto" w:fill="CCEEFF"/>
          </w:tcPr>
          <w:p>
            <w:pPr>
              <w:jc w:val="center"/>
              <w:ind w:left="141"/>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48,622</w:t>
            </w:r>
          </w:p>
        </w:tc>
      </w:tr>
      <w:tr>
        <w:trPr>
          <w:trHeight w:val="20"/>
        </w:trPr>
        <w:tc>
          <w:tcPr>
            <w:tcW w:w="69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Total stock-based compensation expense recognized in the accompanying consolidated statements of operations is included in the following categories (in thousands):</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6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w w:val="92"/>
              </w:rPr>
              <w:t>Year Ended 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7"/>
        </w:trPr>
        <w:tc>
          <w:tcPr>
            <w:tcW w:w="69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16"/>
              <w:spacing w:after="0" w:line="137" w:lineRule="exact"/>
              <w:rPr>
                <w:sz w:val="20"/>
                <w:szCs w:val="20"/>
                <w:color w:val="auto"/>
              </w:rPr>
            </w:pPr>
            <w:r>
              <w:rPr>
                <w:rFonts w:ascii="Arial" w:cs="Arial" w:eastAsia="Arial" w:hAnsi="Arial"/>
                <w:sz w:val="14"/>
                <w:szCs w:val="14"/>
                <w:color w:val="auto"/>
                <w:w w:val="83"/>
              </w:rPr>
              <w:t>2016</w:t>
            </w:r>
          </w:p>
        </w:tc>
        <w:tc>
          <w:tcPr>
            <w:tcW w:w="5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ind w:left="20"/>
              <w:spacing w:after="0" w:line="137" w:lineRule="exact"/>
              <w:rPr>
                <w:sz w:val="20"/>
                <w:szCs w:val="20"/>
                <w:color w:val="auto"/>
              </w:rPr>
            </w:pPr>
            <w:r>
              <w:rPr>
                <w:rFonts w:ascii="Arial" w:cs="Arial" w:eastAsia="Arial" w:hAnsi="Arial"/>
                <w:sz w:val="14"/>
                <w:szCs w:val="14"/>
                <w:color w:val="auto"/>
              </w:rPr>
              <w:t>2015</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6"/>
              <w:spacing w:after="0" w:line="137" w:lineRule="exact"/>
              <w:rPr>
                <w:sz w:val="20"/>
                <w:szCs w:val="20"/>
                <w:color w:val="auto"/>
              </w:rPr>
            </w:pPr>
            <w:r>
              <w:rPr>
                <w:rFonts w:ascii="Arial" w:cs="Arial" w:eastAsia="Arial" w:hAnsi="Arial"/>
                <w:sz w:val="14"/>
                <w:szCs w:val="14"/>
                <w:color w:val="auto"/>
              </w:rPr>
              <w:t>2014</w:t>
            </w:r>
          </w:p>
        </w:tc>
        <w:tc>
          <w:tcPr>
            <w:tcW w:w="40" w:type="dxa"/>
            <w:vAlign w:val="bottom"/>
            <w:tcBorders>
              <w:bottom w:val="single" w:sz="8" w:color="CCEEFF"/>
            </w:tcBorders>
          </w:tcPr>
          <w:p>
            <w:pPr>
              <w:spacing w:after="0"/>
              <w:rPr>
                <w:sz w:val="11"/>
                <w:szCs w:val="11"/>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210"/>
        </w:trPr>
        <w:tc>
          <w:tcPr>
            <w:tcW w:w="69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1,309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Arial" w:cs="Arial" w:eastAsia="Arial" w:hAnsi="Arial"/>
                <w:sz w:val="17"/>
                <w:szCs w:val="17"/>
                <w:color w:val="auto"/>
              </w:rPr>
              <w:t>3,029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22,357</w:t>
            </w: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3,131</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9"/>
              </w:rPr>
              <w:t>5,696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26,265</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5,135</w:t>
            </w:r>
          </w:p>
        </w:tc>
        <w:tc>
          <w:tcPr>
            <w:tcW w:w="6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60" w:type="dxa"/>
            <w:vAlign w:val="bottom"/>
            <w:gridSpan w:val="2"/>
          </w:tcPr>
          <w:p>
            <w:pPr>
              <w:spacing w:after="0"/>
              <w:rPr>
                <w:sz w:val="20"/>
                <w:szCs w:val="20"/>
                <w:color w:val="auto"/>
              </w:rPr>
            </w:pPr>
            <w:r>
              <w:rPr>
                <w:rFonts w:ascii="Arial" w:cs="Arial" w:eastAsia="Arial" w:hAnsi="Arial"/>
                <w:sz w:val="17"/>
                <w:szCs w:val="17"/>
                <w:color w:val="auto"/>
              </w:rPr>
              <w:t>8,725</w:t>
            </w:r>
          </w:p>
        </w:tc>
        <w:tc>
          <w:tcPr>
            <w:tcW w:w="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48,622</w:t>
            </w:r>
          </w:p>
        </w:tc>
      </w:tr>
      <w:tr>
        <w:trPr>
          <w:trHeight w:val="20"/>
        </w:trPr>
        <w:tc>
          <w:tcPr>
            <w:tcW w:w="6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420" w:firstLine="457"/>
        <w:spacing w:after="0" w:line="325" w:lineRule="auto"/>
        <w:rPr>
          <w:sz w:val="20"/>
          <w:szCs w:val="20"/>
          <w:color w:val="auto"/>
        </w:rPr>
      </w:pPr>
      <w:r>
        <w:rPr>
          <w:rFonts w:ascii="Arial" w:cs="Arial" w:eastAsia="Arial" w:hAnsi="Arial"/>
          <w:sz w:val="15"/>
          <w:szCs w:val="15"/>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137"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The expected volatility assumption is based on an assessment of the historical volatility, with consideration of implied volatility, derived from an analysis of historical trade activity.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2016, 2015 and 2014 using the following assumptions: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3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88"/>
              </w:rPr>
              <w:t>Year Ended December 31,</w:t>
            </w:r>
          </w:p>
        </w:tc>
        <w:tc>
          <w:tcPr>
            <w:tcW w:w="1940" w:type="dxa"/>
            <w:vAlign w:val="bottom"/>
            <w:tcBorders>
              <w:bottom w:val="single" w:sz="8" w:color="auto"/>
            </w:tcBorders>
          </w:tcPr>
          <w:p>
            <w:pPr>
              <w:spacing w:after="0"/>
              <w:rPr>
                <w:sz w:val="14"/>
                <w:szCs w:val="14"/>
                <w:color w:val="auto"/>
              </w:rPr>
            </w:pPr>
          </w:p>
        </w:tc>
      </w:tr>
      <w:tr>
        <w:trPr>
          <w:trHeight w:val="137"/>
        </w:trPr>
        <w:tc>
          <w:tcPr>
            <w:tcW w:w="3240" w:type="dxa"/>
            <w:vAlign w:val="bottom"/>
            <w:tcBorders>
              <w:bottom w:val="single" w:sz="8" w:color="CCEEFF"/>
            </w:tcBorders>
          </w:tcPr>
          <w:p>
            <w:pPr>
              <w:spacing w:after="0"/>
              <w:rPr>
                <w:sz w:val="11"/>
                <w:szCs w:val="11"/>
                <w:color w:val="auto"/>
              </w:rPr>
            </w:pPr>
          </w:p>
        </w:tc>
        <w:tc>
          <w:tcPr>
            <w:tcW w:w="1920" w:type="dxa"/>
            <w:vAlign w:val="bottom"/>
            <w:tcBorders>
              <w:bottom w:val="single" w:sz="8" w:color="auto"/>
            </w:tcBorders>
            <w:gridSpan w:val="2"/>
          </w:tcPr>
          <w:p>
            <w:pPr>
              <w:ind w:left="820"/>
              <w:spacing w:after="0" w:line="137" w:lineRule="exact"/>
              <w:rPr>
                <w:sz w:val="20"/>
                <w:szCs w:val="20"/>
                <w:color w:val="auto"/>
              </w:rPr>
            </w:pPr>
            <w:r>
              <w:rPr>
                <w:rFonts w:ascii="Arial" w:cs="Arial" w:eastAsia="Arial" w:hAnsi="Arial"/>
                <w:sz w:val="14"/>
                <w:szCs w:val="14"/>
                <w:color w:val="auto"/>
              </w:rPr>
              <w:t>2016</w:t>
            </w:r>
          </w:p>
        </w:tc>
        <w:tc>
          <w:tcPr>
            <w:tcW w:w="280" w:type="dxa"/>
            <w:vAlign w:val="bottom"/>
            <w:tcBorders>
              <w:bottom w:val="single" w:sz="8" w:color="CCEEFF"/>
            </w:tcBorders>
          </w:tcPr>
          <w:p>
            <w:pPr>
              <w:spacing w:after="0"/>
              <w:rPr>
                <w:sz w:val="11"/>
                <w:szCs w:val="11"/>
                <w:color w:val="auto"/>
              </w:rPr>
            </w:pPr>
          </w:p>
        </w:tc>
        <w:tc>
          <w:tcPr>
            <w:tcW w:w="19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2015</w:t>
            </w:r>
          </w:p>
        </w:tc>
        <w:tc>
          <w:tcPr>
            <w:tcW w:w="260" w:type="dxa"/>
            <w:vAlign w:val="bottom"/>
            <w:tcBorders>
              <w:bottom w:val="single" w:sz="8" w:color="CCEEFF"/>
            </w:tcBorders>
          </w:tcPr>
          <w:p>
            <w:pPr>
              <w:spacing w:after="0"/>
              <w:rPr>
                <w:sz w:val="11"/>
                <w:szCs w:val="11"/>
                <w:color w:val="auto"/>
              </w:rPr>
            </w:pPr>
          </w:p>
        </w:tc>
        <w:tc>
          <w:tcPr>
            <w:tcW w:w="19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4"/>
                <w:szCs w:val="14"/>
                <w:color w:val="auto"/>
                <w:w w:val="89"/>
              </w:rPr>
              <w:t>2014</w:t>
            </w:r>
          </w:p>
        </w:tc>
      </w:tr>
      <w:tr>
        <w:trPr>
          <w:trHeight w:val="203"/>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100" w:type="dxa"/>
            <w:vAlign w:val="bottom"/>
            <w:shd w:val="clear" w:color="auto" w:fill="CCEEFF"/>
          </w:tcPr>
          <w:p>
            <w:pPr>
              <w:ind w:left="60"/>
              <w:spacing w:after="0"/>
              <w:rPr>
                <w:sz w:val="20"/>
                <w:szCs w:val="20"/>
                <w:color w:val="auto"/>
              </w:rPr>
            </w:pPr>
            <w:r>
              <w:rPr>
                <w:rFonts w:ascii="Arial" w:cs="Arial" w:eastAsia="Arial" w:hAnsi="Arial"/>
                <w:sz w:val="17"/>
                <w:szCs w:val="17"/>
                <w:color w:val="auto"/>
              </w:rPr>
              <w:t>— 1.80%</w:t>
            </w: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1.61% —1.86%</w:t>
            </w:r>
          </w:p>
        </w:tc>
        <w:tc>
          <w:tcPr>
            <w:tcW w:w="260" w:type="dxa"/>
            <w:vAlign w:val="bottom"/>
            <w:shd w:val="clear" w:color="auto" w:fill="CCEEFF"/>
          </w:tcPr>
          <w:p>
            <w:pPr>
              <w:spacing w:after="0"/>
              <w:rPr>
                <w:sz w:val="17"/>
                <w:szCs w:val="17"/>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1.64% — 2.11%</w:t>
            </w:r>
          </w:p>
        </w:tc>
      </w:tr>
      <w:tr>
        <w:trPr>
          <w:trHeight w:val="210"/>
        </w:trPr>
        <w:tc>
          <w:tcPr>
            <w:tcW w:w="3240" w:type="dxa"/>
            <w:vAlign w:val="bottom"/>
          </w:tcPr>
          <w:p>
            <w:pPr>
              <w:spacing w:after="0"/>
              <w:rPr>
                <w:sz w:val="20"/>
                <w:szCs w:val="20"/>
                <w:color w:val="auto"/>
              </w:rPr>
            </w:pPr>
            <w:r>
              <w:rPr>
                <w:rFonts w:ascii="Arial" w:cs="Arial" w:eastAsia="Arial" w:hAnsi="Arial"/>
                <w:sz w:val="17"/>
                <w:szCs w:val="17"/>
                <w:color w:val="auto"/>
              </w:rPr>
              <w:t>Expected lives</w:t>
            </w:r>
          </w:p>
        </w:tc>
        <w:tc>
          <w:tcPr>
            <w:tcW w:w="2200" w:type="dxa"/>
            <w:vAlign w:val="bottom"/>
            <w:gridSpan w:val="3"/>
          </w:tcPr>
          <w:p>
            <w:pPr>
              <w:ind w:left="320"/>
              <w:spacing w:after="0"/>
              <w:rPr>
                <w:sz w:val="20"/>
                <w:szCs w:val="20"/>
                <w:color w:val="auto"/>
              </w:rPr>
            </w:pPr>
            <w:r>
              <w:rPr>
                <w:rFonts w:ascii="Arial" w:cs="Arial" w:eastAsia="Arial" w:hAnsi="Arial"/>
                <w:sz w:val="17"/>
                <w:szCs w:val="17"/>
                <w:color w:val="auto"/>
              </w:rPr>
              <w:t>5.13 — 5.82 years</w:t>
            </w:r>
          </w:p>
        </w:tc>
        <w:tc>
          <w:tcPr>
            <w:tcW w:w="220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5.79 — 5.86 years</w:t>
            </w:r>
          </w:p>
        </w:tc>
        <w:tc>
          <w:tcPr>
            <w:tcW w:w="1940" w:type="dxa"/>
            <w:vAlign w:val="bottom"/>
          </w:tcPr>
          <w:p>
            <w:pPr>
              <w:ind w:left="340"/>
              <w:spacing w:after="0"/>
              <w:rPr>
                <w:sz w:val="20"/>
                <w:szCs w:val="20"/>
                <w:color w:val="auto"/>
              </w:rPr>
            </w:pPr>
            <w:r>
              <w:rPr>
                <w:rFonts w:ascii="Arial" w:cs="Arial" w:eastAsia="Arial" w:hAnsi="Arial"/>
                <w:sz w:val="17"/>
                <w:szCs w:val="17"/>
                <w:color w:val="auto"/>
              </w:rPr>
              <w:t>5.77 — 6.09 years</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77.57%</w:t>
            </w: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82.75%</w:t>
            </w:r>
          </w:p>
        </w:tc>
        <w:tc>
          <w:tcPr>
            <w:tcW w:w="22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4"/>
              </w:rPr>
              <w:t>69.76% — 71.84%</w:t>
            </w:r>
          </w:p>
        </w:tc>
        <w:tc>
          <w:tcPr>
            <w:tcW w:w="19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73.98% — 84.85%</w:t>
            </w:r>
          </w:p>
        </w:tc>
      </w:tr>
      <w:tr>
        <w:trPr>
          <w:trHeight w:val="222"/>
        </w:trPr>
        <w:tc>
          <w:tcPr>
            <w:tcW w:w="3240" w:type="dxa"/>
            <w:vAlign w:val="bottom"/>
          </w:tcPr>
          <w:p>
            <w:pPr>
              <w:spacing w:after="0"/>
              <w:rPr>
                <w:sz w:val="20"/>
                <w:szCs w:val="20"/>
                <w:color w:val="auto"/>
              </w:rPr>
            </w:pPr>
            <w:r>
              <w:rPr>
                <w:rFonts w:ascii="Arial" w:cs="Arial" w:eastAsia="Arial" w:hAnsi="Arial"/>
                <w:sz w:val="17"/>
                <w:szCs w:val="17"/>
                <w:color w:val="auto"/>
              </w:rPr>
              <w:t>Dividends</w:t>
            </w:r>
          </w:p>
        </w:tc>
        <w:tc>
          <w:tcPr>
            <w:tcW w:w="8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w:t>
            </w:r>
          </w:p>
        </w:tc>
        <w:tc>
          <w:tcPr>
            <w:tcW w:w="220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940" w:type="dxa"/>
            <w:vAlign w:val="bottom"/>
          </w:tcPr>
          <w:p>
            <w:pPr>
              <w:ind w:left="84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information about stock options outstanding:</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color w:val="auto"/>
                <w:w w:val="97"/>
              </w:rPr>
              <w:t>Weighted</w:t>
            </w:r>
          </w:p>
        </w:tc>
        <w:tc>
          <w:tcPr>
            <w:tcW w:w="40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color w:val="auto"/>
                <w:w w:val="89"/>
              </w:rPr>
              <w:t>Aggregate</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right"/>
              <w:ind w:right="480"/>
              <w:spacing w:after="0" w:line="144" w:lineRule="exact"/>
              <w:rPr>
                <w:sz w:val="20"/>
                <w:szCs w:val="20"/>
                <w:color w:val="auto"/>
              </w:rPr>
            </w:pPr>
            <w:r>
              <w:rPr>
                <w:rFonts w:ascii="Arial" w:cs="Arial" w:eastAsia="Arial" w:hAnsi="Arial"/>
                <w:sz w:val="14"/>
                <w:szCs w:val="14"/>
                <w:color w:val="auto"/>
              </w:rPr>
              <w:t>Number of</w:t>
            </w:r>
          </w:p>
        </w:tc>
        <w:tc>
          <w:tcPr>
            <w:tcW w:w="340" w:type="dxa"/>
            <w:vAlign w:val="bottom"/>
          </w:tcPr>
          <w:p>
            <w:pPr>
              <w:spacing w:after="0"/>
              <w:rPr>
                <w:sz w:val="12"/>
                <w:szCs w:val="12"/>
                <w:color w:val="auto"/>
              </w:rPr>
            </w:pPr>
          </w:p>
        </w:tc>
        <w:tc>
          <w:tcPr>
            <w:tcW w:w="1400" w:type="dxa"/>
            <w:vAlign w:val="bottom"/>
            <w:gridSpan w:val="3"/>
          </w:tcPr>
          <w:p>
            <w:pPr>
              <w:spacing w:after="0" w:line="144" w:lineRule="exact"/>
              <w:rPr>
                <w:sz w:val="20"/>
                <w:szCs w:val="20"/>
                <w:color w:val="auto"/>
              </w:rPr>
            </w:pPr>
            <w:r>
              <w:rPr>
                <w:rFonts w:ascii="Arial" w:cs="Arial" w:eastAsia="Arial" w:hAnsi="Arial"/>
                <w:sz w:val="14"/>
                <w:szCs w:val="14"/>
                <w:color w:val="auto"/>
              </w:rPr>
              <w:t>Average 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4"/>
                <w:szCs w:val="14"/>
                <w:color w:val="auto"/>
                <w:w w:val="95"/>
              </w:rPr>
              <w:t>Intrinsic</w:t>
            </w:r>
          </w:p>
        </w:tc>
        <w:tc>
          <w:tcPr>
            <w:tcW w:w="0" w:type="dxa"/>
            <w:vAlign w:val="bottom"/>
          </w:tcPr>
          <w:p>
            <w:pPr>
              <w:spacing w:after="0"/>
              <w:rPr>
                <w:sz w:val="1"/>
                <w:szCs w:val="1"/>
                <w:color w:val="auto"/>
              </w:rPr>
            </w:pPr>
          </w:p>
        </w:tc>
      </w:tr>
      <w:tr>
        <w:trPr>
          <w:trHeight w:val="163"/>
        </w:trPr>
        <w:tc>
          <w:tcPr>
            <w:tcW w:w="4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4"/>
                <w:szCs w:val="14"/>
                <w:color w:val="auto"/>
                <w:w w:val="92"/>
              </w:rPr>
              <w:t>Price per Share</w:t>
            </w:r>
          </w:p>
        </w:tc>
        <w:tc>
          <w:tcPr>
            <w:tcW w:w="4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w w:val="94"/>
              </w:rPr>
              <w:t xml:space="preserve">Value </w:t>
            </w:r>
            <w:r>
              <w:rPr>
                <w:rFonts w:ascii="Arial" w:cs="Arial" w:eastAsia="Arial" w:hAnsi="Arial"/>
                <w:sz w:val="14"/>
                <w:szCs w:val="14"/>
                <w:u w:val="single" w:color="auto"/>
                <w:color w:val="auto"/>
                <w:w w:val="94"/>
              </w:rPr>
              <w:t>($</w:t>
            </w:r>
            <w:r>
              <w:rPr>
                <w:rFonts w:ascii="Arial" w:cs="Arial" w:eastAsia="Arial" w:hAnsi="Arial"/>
                <w:sz w:val="14"/>
                <w:szCs w:val="14"/>
                <w:color w:val="auto"/>
                <w:w w:val="94"/>
              </w:rPr>
              <w:t>000)</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2016</w:t>
            </w:r>
          </w:p>
        </w:tc>
        <w:tc>
          <w:tcPr>
            <w:tcW w:w="20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3,955,845</w:t>
            </w: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2,236,693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4.50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326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(55,231)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Forfeited</w:t>
            </w:r>
          </w:p>
        </w:tc>
        <w:tc>
          <w:tcPr>
            <w:tcW w:w="3260" w:type="dxa"/>
            <w:vAlign w:val="bottom"/>
            <w:gridSpan w:val="3"/>
          </w:tcPr>
          <w:p>
            <w:pPr>
              <w:jc w:val="right"/>
              <w:ind w:right="360"/>
              <w:spacing w:after="0"/>
              <w:rPr>
                <w:sz w:val="20"/>
                <w:szCs w:val="20"/>
                <w:color w:val="auto"/>
              </w:rPr>
            </w:pPr>
            <w:r>
              <w:rPr>
                <w:rFonts w:ascii="Arial" w:cs="Arial" w:eastAsia="Arial" w:hAnsi="Arial"/>
                <w:sz w:val="17"/>
                <w:szCs w:val="17"/>
                <w:color w:val="auto"/>
              </w:rPr>
              <w:t>(407,161)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13.60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Expired</w:t>
            </w:r>
          </w:p>
        </w:tc>
        <w:tc>
          <w:tcPr>
            <w:tcW w:w="2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(199,890)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Outstanding at December 31, 2016</w:t>
            </w:r>
          </w:p>
        </w:tc>
        <w:tc>
          <w:tcPr>
            <w:tcW w:w="20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vMerge w:val="restart"/>
          </w:tcPr>
          <w:p>
            <w:pPr>
              <w:ind w:left="400"/>
              <w:spacing w:after="0"/>
              <w:rPr>
                <w:sz w:val="20"/>
                <w:szCs w:val="20"/>
                <w:color w:val="auto"/>
              </w:rPr>
            </w:pPr>
            <w:r>
              <w:rPr>
                <w:rFonts w:ascii="Arial" w:cs="Arial" w:eastAsia="Arial" w:hAnsi="Arial"/>
                <w:sz w:val="17"/>
                <w:szCs w:val="17"/>
                <w:color w:val="auto"/>
              </w:rPr>
              <w:t>$</w:t>
            </w:r>
          </w:p>
        </w:tc>
        <w:tc>
          <w:tcPr>
            <w:tcW w:w="66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line="20" w:lineRule="exact"/>
              <w:rPr>
                <w:sz w:val="1"/>
                <w:szCs w:val="1"/>
                <w:color w:val="auto"/>
              </w:rPr>
            </w:pPr>
          </w:p>
        </w:tc>
      </w:tr>
      <w:tr>
        <w:trPr>
          <w:trHeight w:val="215"/>
        </w:trPr>
        <w:tc>
          <w:tcPr>
            <w:tcW w:w="43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5,530,256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16.10</w:t>
            </w:r>
          </w:p>
        </w:tc>
        <w:tc>
          <w:tcPr>
            <w:tcW w:w="52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at December 31, 2016</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5,399,777</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16.35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Exercisable at December 31, 2016</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3,414,586</w:t>
            </w:r>
          </w:p>
        </w:tc>
        <w:tc>
          <w:tcPr>
            <w:tcW w:w="42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22.50</w:t>
            </w:r>
          </w:p>
        </w:tc>
        <w:tc>
          <w:tcPr>
            <w:tcW w:w="52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1"/>
        </w:trPr>
        <w:tc>
          <w:tcPr>
            <w:tcW w:w="4320" w:type="dxa"/>
            <w:vAlign w:val="bottom"/>
          </w:tcPr>
          <w:p>
            <w:pPr>
              <w:spacing w:after="0"/>
              <w:rPr>
                <w:sz w:val="24"/>
                <w:szCs w:val="24"/>
                <w:color w:val="auto"/>
              </w:rPr>
            </w:pPr>
          </w:p>
        </w:tc>
        <w:tc>
          <w:tcPr>
            <w:tcW w:w="2080" w:type="dxa"/>
            <w:vAlign w:val="bottom"/>
          </w:tcPr>
          <w:p>
            <w:pPr>
              <w:jc w:val="right"/>
              <w:ind w:right="933"/>
              <w:spacing w:after="0"/>
              <w:rPr>
                <w:sz w:val="20"/>
                <w:szCs w:val="20"/>
                <w:color w:val="auto"/>
              </w:rPr>
            </w:pPr>
            <w:r>
              <w:rPr>
                <w:rFonts w:ascii="Arial" w:cs="Arial" w:eastAsia="Arial" w:hAnsi="Arial"/>
                <w:sz w:val="17"/>
                <w:szCs w:val="17"/>
                <w:color w:val="auto"/>
              </w:rPr>
              <w:t>114</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49" w:right="2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The weighted average grant date fair value of the stock options granted during the years ended December 31, 2016, 2015 and 2014 was $3.05, $12.80 and $23.80 per option, respectively. The total intrinsic value of options exercised during the years ended December 31, 2016, 2015 and 2014 was $0.1 million,</w:t>
      </w:r>
    </w:p>
    <w:p>
      <w:pPr>
        <w:ind w:right="40"/>
        <w:spacing w:after="0" w:line="274" w:lineRule="auto"/>
        <w:rPr>
          <w:sz w:val="20"/>
          <w:szCs w:val="20"/>
          <w:color w:val="auto"/>
        </w:rPr>
      </w:pPr>
      <w:r>
        <w:rPr>
          <w:rFonts w:ascii="Arial" w:cs="Arial" w:eastAsia="Arial" w:hAnsi="Arial"/>
          <w:sz w:val="17"/>
          <w:szCs w:val="17"/>
          <w:color w:val="auto"/>
        </w:rPr>
        <w:t>$6.2 million and $14.9 million, respectively. Intrinsic value is measured using the fair market value at the date of exercise for options exercised or at December 31 for outstanding options, less the applicable exercise price.</w:t>
      </w:r>
    </w:p>
    <w:p>
      <w:pPr>
        <w:spacing w:after="0" w:line="170" w:lineRule="exact"/>
        <w:rPr>
          <w:sz w:val="20"/>
          <w:szCs w:val="20"/>
          <w:color w:val="auto"/>
        </w:rPr>
      </w:pPr>
    </w:p>
    <w:p>
      <w:pPr>
        <w:ind w:right="260" w:firstLine="457"/>
        <w:spacing w:after="0" w:line="273" w:lineRule="auto"/>
        <w:rPr>
          <w:sz w:val="20"/>
          <w:szCs w:val="20"/>
          <w:color w:val="auto"/>
        </w:rPr>
      </w:pPr>
      <w:r>
        <w:rPr>
          <w:rFonts w:ascii="Arial" w:cs="Arial" w:eastAsia="Arial" w:hAnsi="Arial"/>
          <w:sz w:val="17"/>
          <w:szCs w:val="17"/>
          <w:color w:val="auto"/>
        </w:rPr>
        <w:t>Cash received from the exercise of options during the years ended December 31, 2016, 2015 and 2014 was approximately $0.5 million, $3.3 million and $11.0 million, respectively. The weighted-average remaining contractual terms for options outstanding, vested and expected to vest and exercisable at December 31, 2016 was 5.31 years, 5.22 years and 2.93 years,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restricted stock unit activity for the year ended December 31, 2016 is presented below:</w:t>
      </w:r>
    </w:p>
    <w:p>
      <w:pPr>
        <w:spacing w:after="0" w:line="22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Weighted</w:t>
            </w:r>
          </w:p>
        </w:tc>
      </w:tr>
      <w:tr>
        <w:trPr>
          <w:trHeight w:val="144"/>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jc w:val="center"/>
              <w:ind w:right="20"/>
              <w:spacing w:after="0" w:line="144" w:lineRule="exact"/>
              <w:rPr>
                <w:sz w:val="20"/>
                <w:szCs w:val="20"/>
                <w:color w:val="auto"/>
              </w:rPr>
            </w:pPr>
            <w:r>
              <w:rPr>
                <w:rFonts w:ascii="Arial" w:cs="Arial" w:eastAsia="Arial" w:hAnsi="Arial"/>
                <w:sz w:val="14"/>
                <w:szCs w:val="14"/>
                <w:color w:val="auto"/>
                <w:w w:val="88"/>
              </w:rPr>
              <w:t>Average</w:t>
            </w:r>
          </w:p>
        </w:tc>
      </w:tr>
      <w:tr>
        <w:trPr>
          <w:trHeight w:val="144"/>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gridSpan w:val="3"/>
          </w:tcPr>
          <w:p>
            <w:pPr>
              <w:jc w:val="center"/>
              <w:ind w:right="40"/>
              <w:spacing w:after="0" w:line="144" w:lineRule="exact"/>
              <w:rPr>
                <w:sz w:val="20"/>
                <w:szCs w:val="20"/>
                <w:color w:val="auto"/>
              </w:rPr>
            </w:pPr>
            <w:r>
              <w:rPr>
                <w:rFonts w:ascii="Arial" w:cs="Arial" w:eastAsia="Arial" w:hAnsi="Arial"/>
                <w:sz w:val="14"/>
                <w:szCs w:val="14"/>
                <w:color w:val="auto"/>
                <w:w w:val="87"/>
              </w:rPr>
              <w:t>Grant Date</w:t>
            </w:r>
          </w:p>
        </w:tc>
      </w:tr>
      <w:tr>
        <w:trPr>
          <w:trHeight w:val="144"/>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80" w:type="dxa"/>
            <w:vAlign w:val="bottom"/>
            <w:gridSpan w:val="2"/>
          </w:tcPr>
          <w:p>
            <w:pPr>
              <w:jc w:val="right"/>
              <w:ind w:right="640"/>
              <w:spacing w:after="0" w:line="144" w:lineRule="exact"/>
              <w:rPr>
                <w:sz w:val="20"/>
                <w:szCs w:val="20"/>
                <w:color w:val="auto"/>
              </w:rPr>
            </w:pPr>
            <w:r>
              <w:rPr>
                <w:rFonts w:ascii="Arial" w:cs="Arial" w:eastAsia="Arial" w:hAnsi="Arial"/>
                <w:sz w:val="14"/>
                <w:szCs w:val="14"/>
                <w:color w:val="auto"/>
                <w:w w:val="94"/>
              </w:rPr>
              <w:t>Number of</w:t>
            </w:r>
          </w:p>
        </w:tc>
        <w:tc>
          <w:tcPr>
            <w:tcW w:w="680" w:type="dxa"/>
            <w:vAlign w:val="bottom"/>
            <w:gridSpan w:val="3"/>
          </w:tcPr>
          <w:p>
            <w:pPr>
              <w:jc w:val="center"/>
              <w:ind w:right="20"/>
              <w:spacing w:after="0" w:line="144" w:lineRule="exact"/>
              <w:rPr>
                <w:sz w:val="20"/>
                <w:szCs w:val="20"/>
                <w:color w:val="auto"/>
              </w:rPr>
            </w:pPr>
            <w:r>
              <w:rPr>
                <w:rFonts w:ascii="Arial" w:cs="Arial" w:eastAsia="Arial" w:hAnsi="Arial"/>
                <w:sz w:val="14"/>
                <w:szCs w:val="14"/>
                <w:color w:val="auto"/>
                <w:w w:val="90"/>
              </w:rPr>
              <w:t>Fair Value</w:t>
            </w:r>
          </w:p>
        </w:tc>
      </w:tr>
      <w:tr>
        <w:trPr>
          <w:trHeight w:val="163"/>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color w:val="auto"/>
              </w:rPr>
              <w:t>Shares</w:t>
            </w:r>
          </w:p>
        </w:tc>
        <w:tc>
          <w:tcPr>
            <w:tcW w:w="680" w:type="dxa"/>
            <w:vAlign w:val="bottom"/>
            <w:gridSpan w:val="3"/>
          </w:tcPr>
          <w:p>
            <w:pPr>
              <w:jc w:val="center"/>
              <w:ind w:right="40"/>
              <w:spacing w:after="0"/>
              <w:rPr>
                <w:sz w:val="20"/>
                <w:szCs w:val="20"/>
                <w:color w:val="auto"/>
              </w:rPr>
            </w:pPr>
            <w:r>
              <w:rPr>
                <w:rFonts w:ascii="Arial" w:cs="Arial" w:eastAsia="Arial" w:hAnsi="Arial"/>
                <w:sz w:val="14"/>
                <w:szCs w:val="14"/>
                <w:color w:val="auto"/>
                <w:w w:val="84"/>
              </w:rPr>
              <w:t>per Share</w:t>
            </w:r>
          </w:p>
        </w:tc>
      </w:tr>
      <w:tr>
        <w:trPr>
          <w:trHeight w:val="203"/>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January 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360,924</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600"/>
              <w:spacing w:after="0"/>
              <w:rPr>
                <w:sz w:val="20"/>
                <w:szCs w:val="20"/>
                <w:color w:val="auto"/>
              </w:rPr>
            </w:pPr>
            <w:r>
              <w:rPr>
                <w:rFonts w:ascii="Arial" w:cs="Arial" w:eastAsia="Arial" w:hAnsi="Arial"/>
                <w:sz w:val="17"/>
                <w:szCs w:val="17"/>
                <w:color w:val="auto"/>
              </w:rPr>
              <w:t>800,530</w:t>
            </w: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8"/>
              </w:rPr>
              <w:t>(131,000)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21.70</w:t>
            </w:r>
          </w:p>
        </w:tc>
      </w:tr>
      <w:tr>
        <w:trPr>
          <w:trHeight w:val="216"/>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Forfeited</w:t>
            </w:r>
          </w:p>
        </w:tc>
        <w:tc>
          <w:tcPr>
            <w:tcW w:w="1280" w:type="dxa"/>
            <w:vAlign w:val="bottom"/>
            <w:gridSpan w:val="2"/>
          </w:tcPr>
          <w:p>
            <w:pPr>
              <w:jc w:val="right"/>
              <w:ind w:right="540"/>
              <w:spacing w:after="0"/>
              <w:rPr>
                <w:sz w:val="20"/>
                <w:szCs w:val="20"/>
                <w:color w:val="auto"/>
              </w:rPr>
            </w:pPr>
            <w:r>
              <w:rPr>
                <w:rFonts w:ascii="Arial" w:cs="Arial" w:eastAsia="Arial" w:hAnsi="Arial"/>
                <w:sz w:val="17"/>
                <w:szCs w:val="17"/>
                <w:color w:val="auto"/>
                <w:w w:val="98"/>
              </w:rPr>
              <w:t>(292,488)</w:t>
            </w: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11.60</w:t>
            </w: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737,966</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60" w:firstLine="457"/>
        <w:spacing w:after="0" w:line="273" w:lineRule="auto"/>
        <w:rPr>
          <w:sz w:val="20"/>
          <w:szCs w:val="20"/>
          <w:color w:val="auto"/>
        </w:rPr>
      </w:pPr>
      <w:r>
        <w:rPr>
          <w:rFonts w:ascii="Arial" w:cs="Arial" w:eastAsia="Arial" w:hAnsi="Arial"/>
          <w:sz w:val="17"/>
          <w:szCs w:val="17"/>
          <w:color w:val="auto"/>
        </w:rPr>
        <w:t>The total restricted stock units expected to vest as of December 31, 2016 was 629,424 with a weighted average grant date fair value of $8.60 per share. The total intrinsic value of restricted stock units expected to vest as of December 31, 2016 was $2.0 million. Intrinsic value of restricted stock units expected to vest is measured using the closing share price at December 31, 2016.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intrinsic value of restricted stock units vested during the years ended December 31, 2016, 2015 and 2014 was $0.6 million, $5.2 million and</w:t>
      </w:r>
    </w:p>
    <w:p>
      <w:pPr>
        <w:spacing w:after="0" w:line="2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$62.7 million, respectively. Intrinsic value of restricted stock units vested is measured using the closing share price on the day prior to the vest date. The total grant date fair value of restricted stock units vested during the years ended December 31, 2016, 2015 and 2014 was $2.6 million, $5.5 million and $36.4 million, respectively.</w:t>
      </w:r>
    </w:p>
    <w:p>
      <w:pPr>
        <w:spacing w:after="0" w:line="179" w:lineRule="exact"/>
        <w:rPr>
          <w:sz w:val="20"/>
          <w:szCs w:val="20"/>
          <w:color w:val="auto"/>
        </w:rPr>
      </w:pPr>
    </w:p>
    <w:p>
      <w:pPr>
        <w:ind w:right="40" w:firstLine="457"/>
        <w:spacing w:after="0" w:line="289" w:lineRule="auto"/>
        <w:rPr>
          <w:sz w:val="20"/>
          <w:szCs w:val="20"/>
          <w:color w:val="auto"/>
        </w:rPr>
      </w:pPr>
      <w:r>
        <w:rPr>
          <w:rFonts w:ascii="Arial" w:cs="Arial" w:eastAsia="Arial" w:hAnsi="Arial"/>
          <w:sz w:val="16"/>
          <w:szCs w:val="16"/>
          <w:color w:val="auto"/>
        </w:rPr>
        <w:t>As of December 31, 2016, there was $4.0 million and $4.8 million of unrecognized compensation expense related to options and restricted stock units with performance conditions, respectively, which is expected to be recognized over the weighted average vesting period of 2.9 years. The Company evaluates stock awards with performance conditions as to the probability that the performance conditions will be met and uses that information to estimate the date at which those performance conditions will be met in order to properly recognize stock-based compensation expense over the requisite service period.</w:t>
      </w:r>
    </w:p>
    <w:p>
      <w:pPr>
        <w:spacing w:after="0" w:line="161"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color w:val="auto"/>
        </w:rPr>
        <w:t>As of December 31, 2016, the Company reviewed the probability of achieving the performance conditions for each of the four vesting tranches of the performance-based stock options and determined that it was probable that the Company would achieve the first vesting tranche in December 2017. Therefore, the Company recorded a non-material cumulative catchup of the expense from the grant date through December 31, 2016 and will record the unrecognized compensation cost related to the first tranche in the amount of $0.3 million through December 31, 2017. The Company further determined that no compensation costs would be recognized for the second, third and fourth vesting tranches as it had not been determined that it was probable that the performance conditions related to these tranches would be achieved.</w:t>
      </w:r>
    </w:p>
    <w:p>
      <w:pPr>
        <w:spacing w:after="0" w:line="181" w:lineRule="exact"/>
        <w:rPr>
          <w:sz w:val="20"/>
          <w:szCs w:val="20"/>
          <w:color w:val="auto"/>
        </w:rPr>
      </w:pPr>
    </w:p>
    <w:p>
      <w:pPr>
        <w:ind w:right="140" w:firstLine="457"/>
        <w:spacing w:after="0" w:line="289" w:lineRule="auto"/>
        <w:rPr>
          <w:sz w:val="20"/>
          <w:szCs w:val="20"/>
          <w:color w:val="auto"/>
        </w:rPr>
      </w:pPr>
      <w:r>
        <w:rPr>
          <w:rFonts w:ascii="Arial" w:cs="Arial" w:eastAsia="Arial" w:hAnsi="Arial"/>
          <w:sz w:val="17"/>
          <w:szCs w:val="17"/>
          <w:color w:val="auto"/>
        </w:rPr>
        <w:t>During the year ended December 31, 2015, there was $1.6 million of stock compensation expense related to certain executives who entered into severance agreements which resulted in a modification to the terms of their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380"/>
          </w:cols>
          <w:pgMar w:left="240" w:top="449" w:right="27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awards. The severance agreements generally allowed for the separated executives to continue to vest under their original award terms for a stated period of time without providing substantive services. There were no modifications in 2016.</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w:t>
      </w:r>
    </w:p>
    <w:p>
      <w:pPr>
        <w:spacing w:after="0" w:line="125"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 The Company leases its executive offices in Valencia, California and certain equipment under various operating leases, which expire at</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dates through 2017 and beyond. Future payments are insignificant.</w:t>
      </w:r>
    </w:p>
    <w:p>
      <w:pPr>
        <w:spacing w:after="0" w:line="158" w:lineRule="exact"/>
        <w:rPr>
          <w:sz w:val="20"/>
          <w:szCs w:val="20"/>
          <w:color w:val="auto"/>
        </w:rPr>
      </w:pPr>
    </w:p>
    <w:p>
      <w:pPr>
        <w:ind w:right="160" w:firstLine="457"/>
        <w:spacing w:after="0" w:line="289" w:lineRule="auto"/>
        <w:rPr>
          <w:sz w:val="20"/>
          <w:szCs w:val="20"/>
          <w:color w:val="auto"/>
        </w:rPr>
      </w:pPr>
      <w:r>
        <w:rPr>
          <w:rFonts w:ascii="Arial" w:cs="Arial" w:eastAsia="Arial" w:hAnsi="Arial"/>
          <w:sz w:val="17"/>
          <w:szCs w:val="17"/>
          <w:color w:val="auto"/>
        </w:rPr>
        <w:t>Rent expense under all operating leases, including office space and equipment, for the years ended December 31, 2016, 2015 and 2014 was approximately $373,000, $426,000 and $737,000, respectively.</w:t>
      </w:r>
    </w:p>
    <w:p>
      <w:pPr>
        <w:spacing w:after="0" w:line="158" w:lineRule="exact"/>
        <w:rPr>
          <w:sz w:val="20"/>
          <w:szCs w:val="20"/>
          <w:color w:val="auto"/>
        </w:rPr>
      </w:pPr>
    </w:p>
    <w:p>
      <w:pPr>
        <w:ind w:right="20" w:firstLine="457"/>
        <w:spacing w:after="0" w:line="280"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68" w:lineRule="exact"/>
        <w:rPr>
          <w:sz w:val="20"/>
          <w:szCs w:val="20"/>
          <w:color w:val="auto"/>
        </w:rPr>
      </w:pPr>
    </w:p>
    <w:p>
      <w:pPr>
        <w:ind w:right="200" w:firstLine="457"/>
        <w:spacing w:after="0" w:line="26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December 31, 2016,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believes that the final disposition of such matters will not have a material adverse effect on the consolidated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 and claims as they are incurred.</w:t>
      </w:r>
    </w:p>
    <w:p>
      <w:pPr>
        <w:spacing w:after="0" w:line="181"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Following the public announcement of Sanofi’s election to terminate the Sanofi License Agreement and the subsequent decline of the price of its common stock, several complaints were filed in the U.S. District Court for the Central District of California against the Company and certain of its officers and directors on behalf of certain purchasers of its common stock, which were consolidated into a single action. The amended complaint alleged that the Company and certain of its officers and directors violated federal securities laws by making materially false and misleading statements regarding the prospects for Afrezza, thereby artificially inflating the price of its common stock. The Company and the named defendants brought a motion to dismiss the class action that was pending against them, which the District Court granted in August 2016 without leave to amend the complaint. The lead plaintiff appealed that decision to the Ninth Circuit Court of Appeals. On March 2, 2017, the lead plaintiff filed a voluntary motion to dismiss his appeal, which the Court of Appeals granted on March 9, 2017.</w:t>
      </w:r>
    </w:p>
    <w:p>
      <w:pPr>
        <w:spacing w:after="0" w:line="168" w:lineRule="exact"/>
        <w:rPr>
          <w:sz w:val="20"/>
          <w:szCs w:val="20"/>
          <w:color w:val="auto"/>
        </w:rPr>
      </w:pPr>
    </w:p>
    <w:p>
      <w:pPr>
        <w:jc w:val="both"/>
        <w:ind w:right="120" w:firstLine="457"/>
        <w:spacing w:after="0" w:line="265"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of the price of its common stock,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00"/>
          </w:cols>
          <w:pgMar w:left="240" w:top="449" w:right="2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280"/>
        <w:spacing w:after="0" w:line="359" w:lineRule="auto"/>
        <w:rPr>
          <w:sz w:val="20"/>
          <w:szCs w:val="20"/>
          <w:color w:val="auto"/>
        </w:rPr>
      </w:pPr>
      <w:r>
        <w:rPr>
          <w:rFonts w:ascii="Arial" w:cs="Arial" w:eastAsia="Arial" w:hAnsi="Arial"/>
          <w:sz w:val="15"/>
          <w:szCs w:val="15"/>
          <w:color w:val="auto"/>
        </w:rPr>
        <w:t>damages. In November 2016, the district court dismissed one of the actions without prejudice. In the remaining action, a hearing is scheduled for May 2017 to determine whether Israeli or U.S. law is applicable before the case can be certified as a class action. The Company will vigorously defend against these claims.</w:t>
      </w:r>
    </w:p>
    <w:p>
      <w:pPr>
        <w:spacing w:after="0" w:line="113" w:lineRule="exact"/>
        <w:rPr>
          <w:sz w:val="20"/>
          <w:szCs w:val="20"/>
          <w:color w:val="auto"/>
        </w:rPr>
      </w:pPr>
    </w:p>
    <w:p>
      <w:pPr>
        <w:ind w:right="140" w:firstLine="457"/>
        <w:spacing w:after="0" w:line="308" w:lineRule="auto"/>
        <w:rPr>
          <w:sz w:val="20"/>
          <w:szCs w:val="20"/>
          <w:color w:val="auto"/>
        </w:rPr>
      </w:pPr>
      <w:r>
        <w:rPr>
          <w:rFonts w:ascii="Arial" w:cs="Arial" w:eastAsia="Arial" w:hAnsi="Arial"/>
          <w:sz w:val="15"/>
          <w:szCs w:val="15"/>
          <w:color w:val="auto"/>
        </w:rPr>
        <w:t>Subsequent to the filing of the federal securities class action against the Company, two shareholder derivative complaints were filed in the Superior Court for the State of California, County of Los Angeles against certain of the Company’s directors and officers. The complaints allege breaches of fiduciary duties by the defendants and other violations of law. Among other allegations, the complaints allege that the defendants caused the Company to make false and misleading statements or omissions of material fact regarding the Company’s business and the prospects for sales of Afrezza, thereby artificially inflating the price of the Company’s common stock. Following the dismissal of the federal securities class action, each derivative complaint was voluntarily dismissed by its plaintiff.</w:t>
      </w:r>
    </w:p>
    <w:p>
      <w:pPr>
        <w:spacing w:after="0" w:line="150" w:lineRule="exact"/>
        <w:rPr>
          <w:sz w:val="20"/>
          <w:szCs w:val="20"/>
          <w:color w:val="auto"/>
        </w:rPr>
      </w:pPr>
    </w:p>
    <w:p>
      <w:pPr>
        <w:ind w:right="200" w:firstLine="457"/>
        <w:spacing w:after="0" w:line="265" w:lineRule="auto"/>
        <w:rPr>
          <w:sz w:val="20"/>
          <w:szCs w:val="20"/>
          <w:color w:val="auto"/>
        </w:rPr>
      </w:pPr>
      <w:r>
        <w:rPr>
          <w:rFonts w:ascii="Arial" w:cs="Arial" w:eastAsia="Arial" w:hAnsi="Arial"/>
          <w:sz w:val="17"/>
          <w:szCs w:val="17"/>
          <w:i w:val="1"/>
          <w:iCs w:val="1"/>
          <w:color w:val="auto"/>
        </w:rPr>
        <w:t xml:space="preserve">Contingencies — </w:t>
      </w:r>
      <w:r>
        <w:rPr>
          <w:rFonts w:ascii="Arial" w:cs="Arial" w:eastAsia="Arial" w:hAnsi="Arial"/>
          <w:sz w:val="17"/>
          <w:szCs w:val="17"/>
          <w:color w:val="auto"/>
        </w:rPr>
        <w:t>In connection with the Facility Agreement, on July 1, 2013 the Company also entered into a Milestone Rights Purchase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Agreement”) with Deerfield Private Design Fund and Horizon Santé FLML SÁRL (collectively, the “Milestone Purchasers”), pursuant to which the Company sold the Milestone Purchasers the Milestone Rights to receive payments up to $90.0 million upon the occurrence of specified strategic and sales milestones, including the first commercial sale of an Afrezza product in the United States and the achievement of specified net sales figures (see Note 7 — Borrowings).</w:t>
      </w:r>
    </w:p>
    <w:p>
      <w:pPr>
        <w:spacing w:after="0" w:line="178" w:lineRule="exact"/>
        <w:rPr>
          <w:sz w:val="20"/>
          <w:szCs w:val="20"/>
          <w:color w:val="auto"/>
        </w:rPr>
      </w:pPr>
    </w:p>
    <w:p>
      <w:pPr>
        <w:ind w:firstLine="457"/>
        <w:spacing w:after="0" w:line="283" w:lineRule="auto"/>
        <w:rPr>
          <w:sz w:val="20"/>
          <w:szCs w:val="20"/>
          <w:color w:val="auto"/>
        </w:rPr>
      </w:pPr>
      <w:r>
        <w:rPr>
          <w:rFonts w:ascii="Arial" w:cs="Arial" w:eastAsia="Arial" w:hAnsi="Arial"/>
          <w:sz w:val="16"/>
          <w:szCs w:val="16"/>
          <w:i w:val="1"/>
          <w:iCs w:val="1"/>
          <w:color w:val="auto"/>
        </w:rPr>
        <w:t xml:space="preserve">Commitment — </w:t>
      </w:r>
      <w:r>
        <w:rPr>
          <w:rFonts w:ascii="Arial" w:cs="Arial" w:eastAsia="Arial" w:hAnsi="Arial"/>
          <w:sz w:val="16"/>
          <w:szCs w:val="16"/>
          <w:color w:val="auto"/>
        </w:rPr>
        <w:t>On July 31, 2014, the Company entered into a supply agreement (the “Insulin Supply Agreement”) with Amphastar France Pharmaceuticals</w:t>
      </w:r>
      <w:r>
        <w:rPr>
          <w:rFonts w:ascii="Arial" w:cs="Arial" w:eastAsia="Arial" w:hAnsi="Arial"/>
          <w:sz w:val="16"/>
          <w:szCs w:val="16"/>
          <w:i w:val="1"/>
          <w:iCs w:val="1"/>
          <w:color w:val="auto"/>
        </w:rPr>
        <w:t xml:space="preserve"> </w:t>
      </w:r>
      <w:r>
        <w:rPr>
          <w:rFonts w:ascii="Arial" w:cs="Arial" w:eastAsia="Arial" w:hAnsi="Arial"/>
          <w:sz w:val="16"/>
          <w:szCs w:val="16"/>
          <w:color w:val="auto"/>
        </w:rPr>
        <w:t>S.A.S., a French corporation (Amphastar), pursuant to which Amphastar will manufacture for and supply to the Company certain quantities of recombinant human insulin for use in Afrezza. Under the terms of the Insulin Supply Agreement, Amphastar will be responsible for manufacturing the insulin in accordance with the Company’s specifications and agreed-upon quality standards. The Company had agreed to purchase annual minimum quantities of insulin for calendar years 2015 through 2019 under the Insulin Supply Agreement of an aggregate total of approximately €120.1 million. The Company could have requested to purchase additional quantities of insulin over such annual minimum quantities with a cancellation fee.</w:t>
      </w:r>
    </w:p>
    <w:p>
      <w:pPr>
        <w:spacing w:after="0" w:line="165" w:lineRule="exact"/>
        <w:rPr>
          <w:sz w:val="20"/>
          <w:szCs w:val="20"/>
          <w:color w:val="auto"/>
        </w:rPr>
      </w:pPr>
    </w:p>
    <w:p>
      <w:pPr>
        <w:ind w:firstLine="457"/>
        <w:spacing w:after="0" w:line="262" w:lineRule="auto"/>
        <w:rPr>
          <w:sz w:val="20"/>
          <w:szCs w:val="20"/>
          <w:color w:val="auto"/>
        </w:rPr>
      </w:pPr>
      <w:r>
        <w:rPr>
          <w:rFonts w:ascii="Arial" w:cs="Arial" w:eastAsia="Arial" w:hAnsi="Arial"/>
          <w:sz w:val="17"/>
          <w:szCs w:val="17"/>
          <w:color w:val="auto"/>
        </w:rPr>
        <w:t>On November 9, 2016, the supply agreement with Amphastar was amended to extend the term over which the Company is required to purchase insulin, without reducing the total amount of insulin to be purchased. Under the amendment, annual minimum quantities of insulin to be purchased for calendar years 2017 through 2023 total an aggregate purchase price of €93.0 million at December 31, 2016. The Insulin Supply Agreement specifies that Amphastar will be deemed to have satisfied its obligations with respect to quantity, if the actual quantity supplied is within plus or minus ten percent (+/- 10%) of the quantity set forth in the applicable purchase order. In addition, the aggregate cancellation fees that the Company would incur in the event that the above insulin quantities are not purchased was lowered from $5.3 million for the period October 1, 2016 through 2018 to $3.4 million over the same period. The annual purchase requirements under the contract are as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210"/>
        </w:trPr>
        <w:tc>
          <w:tcPr>
            <w:tcW w:w="3640" w:type="dxa"/>
            <w:vAlign w:val="bottom"/>
            <w:shd w:val="clear" w:color="auto" w:fill="CCEEFF"/>
          </w:tcPr>
          <w:p>
            <w:pPr>
              <w:jc w:val="right"/>
              <w:ind w:right="2853"/>
              <w:spacing w:after="0"/>
              <w:rPr>
                <w:sz w:val="20"/>
                <w:szCs w:val="20"/>
                <w:color w:val="auto"/>
              </w:rPr>
            </w:pPr>
            <w:r>
              <w:rPr>
                <w:rFonts w:ascii="Arial" w:cs="Arial" w:eastAsia="Arial" w:hAnsi="Arial"/>
                <w:sz w:val="17"/>
                <w:szCs w:val="17"/>
                <w:color w:val="auto"/>
              </w:rPr>
              <w:t>2017</w:t>
            </w:r>
          </w:p>
        </w:tc>
        <w:tc>
          <w:tcPr>
            <w:tcW w:w="3100" w:type="dxa"/>
            <w:vAlign w:val="bottom"/>
            <w:shd w:val="clear" w:color="auto" w:fill="CCEEFF"/>
          </w:tcPr>
          <w:p>
            <w:pPr>
              <w:ind w:left="29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million</w:t>
            </w:r>
          </w:p>
        </w:tc>
      </w:tr>
      <w:tr>
        <w:trPr>
          <w:trHeight w:val="210"/>
        </w:trPr>
        <w:tc>
          <w:tcPr>
            <w:tcW w:w="3640" w:type="dxa"/>
            <w:vAlign w:val="bottom"/>
          </w:tcPr>
          <w:p>
            <w:pPr>
              <w:jc w:val="right"/>
              <w:ind w:right="2853"/>
              <w:spacing w:after="0"/>
              <w:rPr>
                <w:sz w:val="20"/>
                <w:szCs w:val="20"/>
                <w:color w:val="auto"/>
              </w:rPr>
            </w:pPr>
            <w:r>
              <w:rPr>
                <w:rFonts w:ascii="Arial" w:cs="Arial" w:eastAsia="Arial" w:hAnsi="Arial"/>
                <w:sz w:val="17"/>
                <w:szCs w:val="17"/>
                <w:color w:val="auto"/>
              </w:rPr>
              <w:t>2018</w:t>
            </w:r>
          </w:p>
        </w:tc>
        <w:tc>
          <w:tcPr>
            <w:tcW w:w="3100" w:type="dxa"/>
            <w:vAlign w:val="bottom"/>
          </w:tcPr>
          <w:p>
            <w:pPr>
              <w:ind w:left="29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8.9 million</w:t>
            </w:r>
          </w:p>
        </w:tc>
      </w:tr>
      <w:tr>
        <w:trPr>
          <w:trHeight w:val="210"/>
        </w:trPr>
        <w:tc>
          <w:tcPr>
            <w:tcW w:w="3640" w:type="dxa"/>
            <w:vAlign w:val="bottom"/>
            <w:shd w:val="clear" w:color="auto" w:fill="CCEEFF"/>
          </w:tcPr>
          <w:p>
            <w:pPr>
              <w:jc w:val="right"/>
              <w:ind w:right="2853"/>
              <w:spacing w:after="0"/>
              <w:rPr>
                <w:sz w:val="20"/>
                <w:szCs w:val="20"/>
                <w:color w:val="auto"/>
              </w:rPr>
            </w:pPr>
            <w:r>
              <w:rPr>
                <w:rFonts w:ascii="Arial" w:cs="Arial" w:eastAsia="Arial" w:hAnsi="Arial"/>
                <w:sz w:val="17"/>
                <w:szCs w:val="17"/>
                <w:color w:val="auto"/>
              </w:rPr>
              <w:t>2019</w:t>
            </w:r>
          </w:p>
        </w:tc>
        <w:tc>
          <w:tcPr>
            <w:tcW w:w="3100" w:type="dxa"/>
            <w:vAlign w:val="bottom"/>
            <w:shd w:val="clear" w:color="auto" w:fill="CCEEFF"/>
          </w:tcPr>
          <w:p>
            <w:pPr>
              <w:ind w:left="29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 million</w:t>
            </w:r>
          </w:p>
        </w:tc>
      </w:tr>
      <w:tr>
        <w:trPr>
          <w:trHeight w:val="210"/>
        </w:trPr>
        <w:tc>
          <w:tcPr>
            <w:tcW w:w="3640" w:type="dxa"/>
            <w:vAlign w:val="bottom"/>
          </w:tcPr>
          <w:p>
            <w:pPr>
              <w:jc w:val="right"/>
              <w:ind w:right="2853"/>
              <w:spacing w:after="0"/>
              <w:rPr>
                <w:sz w:val="20"/>
                <w:szCs w:val="20"/>
                <w:color w:val="auto"/>
              </w:rPr>
            </w:pPr>
            <w:r>
              <w:rPr>
                <w:rFonts w:ascii="Arial" w:cs="Arial" w:eastAsia="Arial" w:hAnsi="Arial"/>
                <w:sz w:val="17"/>
                <w:szCs w:val="17"/>
                <w:color w:val="auto"/>
              </w:rPr>
              <w:t>2020</w:t>
            </w:r>
          </w:p>
        </w:tc>
        <w:tc>
          <w:tcPr>
            <w:tcW w:w="3100" w:type="dxa"/>
            <w:vAlign w:val="bottom"/>
          </w:tcPr>
          <w:p>
            <w:pPr>
              <w:ind w:left="29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15.5 million</w:t>
            </w:r>
          </w:p>
        </w:tc>
      </w:tr>
      <w:tr>
        <w:trPr>
          <w:trHeight w:val="223"/>
        </w:trPr>
        <w:tc>
          <w:tcPr>
            <w:tcW w:w="3640" w:type="dxa"/>
            <w:vAlign w:val="bottom"/>
            <w:shd w:val="clear" w:color="auto" w:fill="CCEEFF"/>
          </w:tcPr>
          <w:p>
            <w:pPr>
              <w:jc w:val="right"/>
              <w:ind w:right="2853"/>
              <w:spacing w:after="0"/>
              <w:rPr>
                <w:sz w:val="20"/>
                <w:szCs w:val="20"/>
                <w:color w:val="auto"/>
              </w:rPr>
            </w:pPr>
            <w:r>
              <w:rPr>
                <w:rFonts w:ascii="Arial" w:cs="Arial" w:eastAsia="Arial" w:hAnsi="Arial"/>
                <w:sz w:val="17"/>
                <w:szCs w:val="17"/>
                <w:color w:val="auto"/>
              </w:rPr>
              <w:t>2021</w:t>
            </w:r>
          </w:p>
        </w:tc>
        <w:tc>
          <w:tcPr>
            <w:tcW w:w="3100" w:type="dxa"/>
            <w:vAlign w:val="bottom"/>
            <w:shd w:val="clear" w:color="auto" w:fill="CCEEFF"/>
          </w:tcPr>
          <w:p>
            <w:pPr>
              <w:ind w:left="29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million</w:t>
            </w:r>
          </w:p>
        </w:tc>
      </w:tr>
      <w:tr>
        <w:trPr>
          <w:trHeight w:val="222"/>
        </w:trPr>
        <w:tc>
          <w:tcPr>
            <w:tcW w:w="3640" w:type="dxa"/>
            <w:vAlign w:val="bottom"/>
          </w:tcPr>
          <w:p>
            <w:pPr>
              <w:jc w:val="right"/>
              <w:ind w:right="2853"/>
              <w:spacing w:after="0"/>
              <w:rPr>
                <w:sz w:val="20"/>
                <w:szCs w:val="20"/>
                <w:color w:val="auto"/>
              </w:rPr>
            </w:pPr>
            <w:r>
              <w:rPr>
                <w:rFonts w:ascii="Arial" w:cs="Arial" w:eastAsia="Arial" w:hAnsi="Arial"/>
                <w:sz w:val="17"/>
                <w:szCs w:val="17"/>
                <w:color w:val="auto"/>
              </w:rPr>
              <w:t>2022</w:t>
            </w:r>
          </w:p>
        </w:tc>
        <w:tc>
          <w:tcPr>
            <w:tcW w:w="3100" w:type="dxa"/>
            <w:vAlign w:val="bottom"/>
          </w:tcPr>
          <w:p>
            <w:pPr>
              <w:ind w:left="29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19.4 million</w:t>
            </w:r>
          </w:p>
        </w:tc>
      </w:tr>
      <w:tr>
        <w:trPr>
          <w:trHeight w:val="223"/>
        </w:trPr>
        <w:tc>
          <w:tcPr>
            <w:tcW w:w="3640" w:type="dxa"/>
            <w:vAlign w:val="bottom"/>
            <w:shd w:val="clear" w:color="auto" w:fill="CCEEFF"/>
          </w:tcPr>
          <w:p>
            <w:pPr>
              <w:jc w:val="right"/>
              <w:ind w:right="2853"/>
              <w:spacing w:after="0"/>
              <w:rPr>
                <w:sz w:val="20"/>
                <w:szCs w:val="20"/>
                <w:color w:val="auto"/>
              </w:rPr>
            </w:pPr>
            <w:r>
              <w:rPr>
                <w:rFonts w:ascii="Arial" w:cs="Arial" w:eastAsia="Arial" w:hAnsi="Arial"/>
                <w:sz w:val="17"/>
                <w:szCs w:val="17"/>
                <w:color w:val="auto"/>
              </w:rPr>
              <w:t>2023</w:t>
            </w:r>
          </w:p>
        </w:tc>
        <w:tc>
          <w:tcPr>
            <w:tcW w:w="3100" w:type="dxa"/>
            <w:vAlign w:val="bottom"/>
            <w:shd w:val="clear" w:color="auto" w:fill="CCEEFF"/>
          </w:tcPr>
          <w:p>
            <w:pPr>
              <w:ind w:left="29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 million</w:t>
            </w:r>
          </w:p>
        </w:tc>
      </w:tr>
    </w:tbl>
    <w:p>
      <w:pPr>
        <w:spacing w:after="0" w:line="197"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Unless earlier terminated, the term of the Insulin Supply Agreement expires on December 31, 2023 and can be renewed for additional, successive two year terms upon 12 months’ written notice given prior to the end of the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380"/>
          </w:cols>
          <w:pgMar w:left="240" w:top="449" w:right="27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initial term or any additional two year term. The Company and Amphastar each have normal and customary termination rights, including termination for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also has another firm commitment with another supplier for an aggregate of $0.9 million.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Employee Benefit Plans</w:t>
      </w:r>
    </w:p>
    <w:p>
      <w:pPr>
        <w:spacing w:after="0" w:line="125" w:lineRule="exact"/>
        <w:rPr>
          <w:sz w:val="20"/>
          <w:szCs w:val="20"/>
          <w:color w:val="auto"/>
        </w:rPr>
      </w:pPr>
    </w:p>
    <w:p>
      <w:pPr>
        <w:ind w:right="120" w:firstLine="457"/>
        <w:spacing w:after="0" w:line="289" w:lineRule="auto"/>
        <w:rPr>
          <w:sz w:val="20"/>
          <w:szCs w:val="20"/>
          <w:color w:val="auto"/>
        </w:rPr>
      </w:pPr>
      <w:r>
        <w:rPr>
          <w:rFonts w:ascii="Arial" w:cs="Arial" w:eastAsia="Arial" w:hAnsi="Arial"/>
          <w:sz w:val="17"/>
          <w:szCs w:val="17"/>
          <w:color w:val="auto"/>
        </w:rPr>
        <w:t>The Company administers a 401(k) savings retirement plan (the “MannKind Retirement Plan”) for its employees. For the years ended December 31, 2016, 2015 and 2014, the Company contributed $418,000, $593,000 and $623,000, respectively, to the MannKind Retirement Plan.</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Income Taxes</w:t>
      </w:r>
    </w:p>
    <w:p>
      <w:pPr>
        <w:spacing w:after="0" w:line="125" w:lineRule="exact"/>
        <w:rPr>
          <w:sz w:val="20"/>
          <w:szCs w:val="20"/>
          <w:color w:val="auto"/>
        </w:rPr>
      </w:pPr>
    </w:p>
    <w:p>
      <w:pPr>
        <w:ind w:firstLine="457"/>
        <w:spacing w:after="0" w:line="273" w:lineRule="auto"/>
        <w:rPr>
          <w:sz w:val="20"/>
          <w:szCs w:val="20"/>
          <w:color w:val="auto"/>
        </w:rPr>
      </w:pPr>
      <w:r>
        <w:rPr>
          <w:rFonts w:ascii="Arial" w:cs="Arial" w:eastAsia="Arial" w:hAnsi="Arial"/>
          <w:sz w:val="17"/>
          <w:szCs w:val="17"/>
          <w:color w:val="auto"/>
        </w:rPr>
        <w:t>At December 31, 2016, the Company has concluded that it is more likely than not that the Company may not realize the benefit of its deferred tax assets due to its history of losses. There is no provision for income taxes in 2015 or 2014 because the Company had incurred operating losses since inception. Accordingly, the net deferred tax assets have been fully reserved. The provision for income taxes consists of the following (in thousands):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3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w w:val="97"/>
              </w:rPr>
              <w:t>Year Ended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220" w:type="dxa"/>
            <w:vAlign w:val="bottom"/>
            <w:tcBorders>
              <w:bottom w:val="single" w:sz="8" w:color="CCEEFF"/>
            </w:tcBorders>
          </w:tcPr>
          <w:p>
            <w:pPr>
              <w:spacing w:after="0"/>
              <w:rPr>
                <w:sz w:val="11"/>
                <w:szCs w:val="11"/>
                <w:color w:val="auto"/>
              </w:rPr>
            </w:pPr>
          </w:p>
        </w:tc>
        <w:tc>
          <w:tcPr>
            <w:tcW w:w="26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7"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4"/>
              <w:spacing w:after="0" w:line="137" w:lineRule="exact"/>
              <w:rPr>
                <w:sz w:val="20"/>
                <w:szCs w:val="20"/>
                <w:color w:val="auto"/>
              </w:rPr>
            </w:pPr>
            <w:r>
              <w:rPr>
                <w:rFonts w:ascii="Arial" w:cs="Arial" w:eastAsia="Arial" w:hAnsi="Arial"/>
                <w:sz w:val="14"/>
                <w:szCs w:val="14"/>
                <w:color w:val="auto"/>
              </w:rPr>
              <w:t>2015</w:t>
            </w:r>
          </w:p>
        </w:tc>
        <w:tc>
          <w:tcPr>
            <w:tcW w:w="6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7"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w:t>
            </w:r>
          </w:p>
        </w:tc>
        <w:tc>
          <w:tcPr>
            <w:tcW w:w="2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360"/>
              <w:spacing w:after="0"/>
              <w:rPr>
                <w:sz w:val="20"/>
                <w:szCs w:val="20"/>
                <w:color w:val="auto"/>
              </w:rPr>
            </w:pPr>
            <w:r>
              <w:rPr>
                <w:rFonts w:ascii="Arial" w:cs="Arial" w:eastAsia="Arial" w:hAnsi="Arial"/>
                <w:sz w:val="17"/>
                <w:szCs w:val="17"/>
                <w:color w:val="auto"/>
              </w:rPr>
              <w:t>U.S. federal</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state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7"/>
                <w:szCs w:val="17"/>
                <w:color w:val="auto"/>
              </w:rPr>
              <w:t>Non-U.S.</w:t>
            </w:r>
          </w:p>
        </w:tc>
        <w:tc>
          <w:tcPr>
            <w:tcW w:w="2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7"/>
                <w:szCs w:val="17"/>
                <w:color w:val="auto"/>
              </w:rPr>
              <w:t>Deferred</w:t>
            </w:r>
          </w:p>
        </w:tc>
        <w:tc>
          <w:tcPr>
            <w:tcW w:w="2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U.S. federal</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(43,814)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87"/>
              </w:rPr>
              <w:t>109,512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57,873</w:t>
            </w:r>
          </w:p>
        </w:tc>
        <w:tc>
          <w:tcPr>
            <w:tcW w:w="0" w:type="dxa"/>
            <w:vAlign w:val="bottom"/>
          </w:tcPr>
          <w:p>
            <w:pPr>
              <w:spacing w:after="0"/>
              <w:rPr>
                <w:sz w:val="1"/>
                <w:szCs w:val="1"/>
                <w:color w:val="auto"/>
              </w:rPr>
            </w:pPr>
          </w:p>
        </w:tc>
      </w:tr>
      <w:tr>
        <w:trPr>
          <w:trHeight w:val="210"/>
        </w:trPr>
        <w:tc>
          <w:tcPr>
            <w:tcW w:w="3220" w:type="dxa"/>
            <w:vAlign w:val="bottom"/>
          </w:tcPr>
          <w:p>
            <w:pPr>
              <w:ind w:left="360"/>
              <w:spacing w:after="0"/>
              <w:rPr>
                <w:sz w:val="20"/>
                <w:szCs w:val="20"/>
                <w:color w:val="auto"/>
              </w:rPr>
            </w:pPr>
            <w:r>
              <w:rPr>
                <w:rFonts w:ascii="Arial" w:cs="Arial" w:eastAsia="Arial" w:hAnsi="Arial"/>
                <w:sz w:val="17"/>
                <w:szCs w:val="17"/>
                <w:color w:val="auto"/>
              </w:rPr>
              <w:t>U.S. state</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(4,311)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7"/>
                <w:szCs w:val="17"/>
                <w:color w:val="auto"/>
                <w:w w:val="94"/>
              </w:rPr>
              <w:t>(29,394)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7,631</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Non-U.S.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7"/>
                <w:szCs w:val="17"/>
                <w:color w:val="auto"/>
              </w:rPr>
              <w:t>Total deferred</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(48,125)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7"/>
                <w:szCs w:val="17"/>
                <w:color w:val="auto"/>
              </w:rPr>
              <w:t>80,118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65,504</w:t>
            </w:r>
          </w:p>
        </w:tc>
        <w:tc>
          <w:tcPr>
            <w:tcW w:w="0" w:type="dxa"/>
            <w:vAlign w:val="bottom"/>
          </w:tcPr>
          <w:p>
            <w:pPr>
              <w:spacing w:after="0"/>
              <w:rPr>
                <w:sz w:val="1"/>
                <w:szCs w:val="1"/>
                <w:color w:val="auto"/>
              </w:rPr>
            </w:pPr>
          </w:p>
        </w:tc>
      </w:tr>
      <w:tr>
        <w:trPr>
          <w:trHeight w:val="26"/>
        </w:trPr>
        <w:tc>
          <w:tcPr>
            <w:tcW w:w="32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Valuation allowance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9"/>
              </w:rPr>
              <w:t>48,125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w w:val="94"/>
              </w:rPr>
              <w:t>(80,118)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(65,504)</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7"/>
                <w:szCs w:val="17"/>
                <w:color w:val="auto"/>
              </w:rPr>
              <w:t>Total</w:t>
            </w:r>
          </w:p>
        </w:tc>
        <w:tc>
          <w:tcPr>
            <w:tcW w:w="2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80" w:type="dxa"/>
            <w:vAlign w:val="bottom"/>
            <w:vMerge w:val="restart"/>
          </w:tcPr>
          <w:p>
            <w:pPr>
              <w:jc w:val="right"/>
              <w:ind w:right="893"/>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2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49" w:right="27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jc w:val="both"/>
        <w:ind w:right="400" w:firstLine="457"/>
        <w:spacing w:after="0" w:line="273" w:lineRule="auto"/>
        <w:rPr>
          <w:sz w:val="20"/>
          <w:szCs w:val="20"/>
          <w:color w:val="auto"/>
        </w:rPr>
      </w:pPr>
      <w:r>
        <w:rPr>
          <w:rFonts w:ascii="Arial" w:cs="Arial" w:eastAsia="Arial" w:hAnsi="Arial"/>
          <w:sz w:val="17"/>
          <w:szCs w:val="17"/>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assets as of December 31, 2016 and 2015, are as follows (in thousands):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5"/>
              <w:spacing w:after="0" w:line="137" w:lineRule="exact"/>
              <w:rPr>
                <w:sz w:val="20"/>
                <w:szCs w:val="20"/>
                <w:color w:val="auto"/>
              </w:rPr>
            </w:pPr>
            <w:r>
              <w:rPr>
                <w:rFonts w:ascii="Arial" w:cs="Arial" w:eastAsia="Arial" w:hAnsi="Arial"/>
                <w:sz w:val="14"/>
                <w:szCs w:val="14"/>
                <w:color w:val="auto"/>
              </w:rPr>
              <w:t>2016</w:t>
            </w: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4"/>
              <w:spacing w:after="0" w:line="137"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w w:val="97"/>
              </w:rPr>
              <w:t>712,124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721,588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 credits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77,998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73,646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7"/>
                <w:szCs w:val="17"/>
                <w:color w:val="auto"/>
              </w:rPr>
              <w:t>Capitalized research</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5,117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5,872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Payments from collaboration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7"/>
                <w:szCs w:val="17"/>
                <w:color w:val="auto"/>
              </w:rPr>
              <w:t>Milestone Rights</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3,242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7"/>
                <w:szCs w:val="17"/>
                <w:color w:val="auto"/>
              </w:rPr>
              <w:t>Loss on purchase commitment</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36,775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24,084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Non-qualified stock option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17,331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7"/>
                <w:szCs w:val="17"/>
                <w:color w:val="auto"/>
              </w:rPr>
              <w:t>Capitalized patent costs</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8,781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7,380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10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7"/>
                <w:szCs w:val="17"/>
                <w:color w:val="auto"/>
              </w:rPr>
              <w:t>45,310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48,755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Total net deferred tax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w w:val="97"/>
              </w:rPr>
              <w:t>914,498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962,623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7"/>
                <w:szCs w:val="17"/>
                <w:color w:val="auto"/>
                <w:w w:val="90"/>
              </w:rPr>
              <w:t>(914,498)</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(962,623)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firstLine="457"/>
        <w:spacing w:after="0" w:line="325" w:lineRule="auto"/>
        <w:rPr>
          <w:sz w:val="20"/>
          <w:szCs w:val="20"/>
          <w:color w:val="auto"/>
        </w:rPr>
      </w:pPr>
      <w:r>
        <w:rPr>
          <w:rFonts w:ascii="Arial" w:cs="Arial" w:eastAsia="Arial" w:hAnsi="Arial"/>
          <w:sz w:val="15"/>
          <w:szCs w:val="15"/>
          <w:color w:val="auto"/>
        </w:rPr>
        <w:t>The table of deferred tax assets and liabilities does not include certain deferred tax assets as of December 31, 2016, that arose directly from tax deductions related to equity compensation which are greater than the compensation recognized for financial reporting. Equity would be increased by $11.6 million if and when such deferred tax assets are ultimately realized. The Company considers certain realization requirements when excess tax benefits have been realized.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December 31, 2016, 2015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2014:</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7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color w:val="auto"/>
                <w:w w:val="88"/>
              </w:rPr>
              <w:t>December 31,</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7"/>
        </w:trPr>
        <w:tc>
          <w:tcPr>
            <w:tcW w:w="70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2016</w:t>
            </w:r>
          </w:p>
        </w:tc>
        <w:tc>
          <w:tcPr>
            <w:tcW w:w="2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2015</w:t>
            </w:r>
          </w:p>
        </w:tc>
        <w:tc>
          <w:tcPr>
            <w:tcW w:w="5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spacing w:after="0" w:line="137" w:lineRule="exact"/>
              <w:rPr>
                <w:sz w:val="20"/>
                <w:szCs w:val="20"/>
                <w:color w:val="auto"/>
              </w:rPr>
            </w:pPr>
            <w:r>
              <w:rPr>
                <w:rFonts w:ascii="Arial" w:cs="Arial" w:eastAsia="Arial" w:hAnsi="Arial"/>
                <w:sz w:val="14"/>
                <w:szCs w:val="14"/>
                <w:color w:val="auto"/>
              </w:rPr>
              <w:t>2014</w:t>
            </w:r>
          </w:p>
        </w:tc>
        <w:tc>
          <w:tcPr>
            <w:tcW w:w="180" w:type="dxa"/>
            <w:vAlign w:val="bottom"/>
            <w:tcBorders>
              <w:bottom w:val="single" w:sz="8" w:color="CCEEFF"/>
            </w:tcBorders>
          </w:tcPr>
          <w:p>
            <w:pPr>
              <w:spacing w:after="0"/>
              <w:rPr>
                <w:sz w:val="11"/>
                <w:szCs w:val="11"/>
                <w:color w:val="auto"/>
              </w:rPr>
            </w:pPr>
          </w:p>
        </w:tc>
      </w:tr>
      <w:tr>
        <w:trPr>
          <w:trHeight w:val="203"/>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Federal tax benefit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35.0%</w:t>
            </w:r>
          </w:p>
        </w:tc>
        <w:tc>
          <w:tcPr>
            <w:tcW w:w="3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35.0%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35.0%</w:t>
            </w:r>
          </w:p>
        </w:tc>
      </w:tr>
      <w:tr>
        <w:trPr>
          <w:trHeight w:val="210"/>
        </w:trPr>
        <w:tc>
          <w:tcPr>
            <w:tcW w:w="7040" w:type="dxa"/>
            <w:vAlign w:val="bottom"/>
          </w:tcPr>
          <w:p>
            <w:pPr>
              <w:spacing w:after="0"/>
              <w:rPr>
                <w:sz w:val="20"/>
                <w:szCs w:val="20"/>
                <w:color w:val="auto"/>
              </w:rPr>
            </w:pPr>
            <w:r>
              <w:rPr>
                <w:rFonts w:ascii="Arial" w:cs="Arial" w:eastAsia="Arial" w:hAnsi="Arial"/>
                <w:sz w:val="17"/>
                <w:szCs w:val="17"/>
                <w:color w:val="auto"/>
              </w:rPr>
              <w:t>Permanent items</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(1.9)</w:t>
            </w:r>
          </w:p>
        </w:tc>
        <w:tc>
          <w:tcPr>
            <w:tcW w:w="30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0.9</w:t>
            </w:r>
          </w:p>
        </w:tc>
        <w:tc>
          <w:tcPr>
            <w:tcW w:w="180" w:type="dxa"/>
            <w:vAlign w:val="bottom"/>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Intercompany transfer of intellectual property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(1.0)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r>
      <w:tr>
        <w:trPr>
          <w:trHeight w:val="210"/>
        </w:trPr>
        <w:tc>
          <w:tcPr>
            <w:tcW w:w="7040" w:type="dxa"/>
            <w:vAlign w:val="bottom"/>
          </w:tcPr>
          <w:p>
            <w:pPr>
              <w:spacing w:after="0"/>
              <w:rPr>
                <w:sz w:val="20"/>
                <w:szCs w:val="20"/>
                <w:color w:val="auto"/>
              </w:rPr>
            </w:pPr>
            <w:r>
              <w:rPr>
                <w:rFonts w:ascii="Arial" w:cs="Arial" w:eastAsia="Arial" w:hAnsi="Arial"/>
                <w:sz w:val="17"/>
                <w:szCs w:val="17"/>
                <w:color w:val="auto"/>
              </w:rPr>
              <w:t>Valuation allowance</w:t>
            </w:r>
          </w:p>
        </w:tc>
        <w:tc>
          <w:tcPr>
            <w:tcW w:w="660" w:type="dxa"/>
            <w:vAlign w:val="bottom"/>
            <w:gridSpan w:val="2"/>
          </w:tcPr>
          <w:p>
            <w:pPr>
              <w:jc w:val="right"/>
              <w:ind w:right="180"/>
              <w:spacing w:after="0"/>
              <w:rPr>
                <w:sz w:val="20"/>
                <w:szCs w:val="20"/>
                <w:color w:val="auto"/>
              </w:rPr>
            </w:pPr>
            <w:r>
              <w:rPr>
                <w:rFonts w:ascii="Arial" w:cs="Arial" w:eastAsia="Arial" w:hAnsi="Arial"/>
                <w:sz w:val="17"/>
                <w:szCs w:val="17"/>
                <w:color w:val="auto"/>
              </w:rPr>
              <w:t>(34.0)</w:t>
            </w:r>
          </w:p>
        </w:tc>
        <w:tc>
          <w:tcPr>
            <w:tcW w:w="1280" w:type="dxa"/>
            <w:vAlign w:val="bottom"/>
            <w:gridSpan w:val="3"/>
          </w:tcPr>
          <w:p>
            <w:pPr>
              <w:jc w:val="right"/>
              <w:ind w:right="500"/>
              <w:spacing w:after="0"/>
              <w:rPr>
                <w:sz w:val="20"/>
                <w:szCs w:val="20"/>
                <w:color w:val="auto"/>
              </w:rPr>
            </w:pPr>
            <w:r>
              <w:rPr>
                <w:rFonts w:ascii="Arial" w:cs="Arial" w:eastAsia="Arial" w:hAnsi="Arial"/>
                <w:sz w:val="17"/>
                <w:szCs w:val="17"/>
                <w:color w:val="auto"/>
              </w:rPr>
              <w:t>(34.0)</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(31.8)</w:t>
            </w:r>
          </w:p>
        </w:tc>
      </w:tr>
      <w:tr>
        <w:trPr>
          <w:trHeight w:val="26"/>
        </w:trPr>
        <w:tc>
          <w:tcPr>
            <w:tcW w:w="70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Effective income tax rate</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 %</w:t>
            </w:r>
          </w:p>
        </w:tc>
      </w:tr>
      <w:tr>
        <w:trPr>
          <w:trHeight w:val="20"/>
        </w:trPr>
        <w:tc>
          <w:tcPr>
            <w:tcW w:w="7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40" w:firstLine="457"/>
        <w:spacing w:after="0" w:line="265"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2016, 2015 and 2014, the change in the valuation allowance was $(48.1) million, $80.1 million and $65.5 million, respectively, for income taxes.</w:t>
      </w:r>
    </w:p>
    <w:p>
      <w:pPr>
        <w:spacing w:after="0" w:line="178" w:lineRule="exact"/>
        <w:rPr>
          <w:sz w:val="20"/>
          <w:szCs w:val="20"/>
          <w:color w:val="auto"/>
        </w:rPr>
      </w:pPr>
    </w:p>
    <w:p>
      <w:pPr>
        <w:ind w:right="620" w:firstLine="457"/>
        <w:spacing w:after="0" w:line="289" w:lineRule="auto"/>
        <w:rPr>
          <w:sz w:val="20"/>
          <w:szCs w:val="20"/>
          <w:color w:val="auto"/>
        </w:rPr>
      </w:pPr>
      <w:r>
        <w:rPr>
          <w:rFonts w:ascii="Arial" w:cs="Arial" w:eastAsia="Arial" w:hAnsi="Arial"/>
          <w:sz w:val="17"/>
          <w:szCs w:val="17"/>
          <w:color w:val="auto"/>
        </w:rPr>
        <w:t>At December 31, 2016, the Company had federal and state net operating loss carryforwards of approximately $1.9 billion and $1.3 billion available, respectively, to reduce future taxable income. The federal</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49"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net operating loss carryforwards will expire at various dates beginning in 2018 and the state net operating loss carryforwards have started expiring, starting in the current year through various future dates. As a result of the Company’s initial public offering, an ownership change within the meaning of Internal Revenue Code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2016, the Company had research and development credits of $53.0 million and $38.5 million for federal and state purposes, respectively. The federal credits begin to expire in 2024, and the state credits may be carried forward indefinitely.</w:t>
      </w:r>
    </w:p>
    <w:p>
      <w:pPr>
        <w:spacing w:after="0" w:line="168" w:lineRule="exact"/>
        <w:rPr>
          <w:sz w:val="20"/>
          <w:szCs w:val="20"/>
          <w:color w:val="auto"/>
        </w:rPr>
      </w:pPr>
    </w:p>
    <w:p>
      <w:pPr>
        <w:ind w:firstLine="457"/>
        <w:spacing w:after="0" w:line="277" w:lineRule="auto"/>
        <w:rPr>
          <w:sz w:val="20"/>
          <w:szCs w:val="20"/>
          <w:color w:val="auto"/>
        </w:rPr>
      </w:pPr>
      <w:r>
        <w:rPr>
          <w:rFonts w:ascii="Arial" w:cs="Arial" w:eastAsia="Arial" w:hAnsi="Arial"/>
          <w:sz w:val="16"/>
          <w:szCs w:val="16"/>
          <w:color w:val="auto"/>
        </w:rPr>
        <w:t>The Company has evaluated the impact of uncertainty related to income taxes on its consolidated financial statements. The evaluation of an uncertain tax position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consolidated financial position. Therefore, no liabilities for uncertain income tax positions have been recorded. Tax years since 2012 remain subject to examination by the major tax jurisdictions in which the Company is subject to tax.</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Warrants</w:t>
      </w:r>
    </w:p>
    <w:p>
      <w:pPr>
        <w:spacing w:after="0" w:line="125"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In May 2016, the Company sold in a registered offering an aggregate of 9,708,737 shares of common stock together with A Warrants exercisable for up to an aggregate of 7,281,553 shares of common stock and B Warrants exercisable for up to an aggregate of 2,427,184 shares of common stock with a total fair value of $44.7 million. Each of the warrants has an exercise price of $7.50 per share. The A Warrants became exercisable upon issuance and will expire two years thereafter. The B Warrants will become exercisable beginning in May 2017 and will expire 30 months after the date of issuance. The shares of common stock and the warrants are immediately separable and issued separately. There have been no warrants exercised as of December 31, 2016.</w:t>
      </w:r>
    </w:p>
    <w:p>
      <w:pPr>
        <w:spacing w:after="0" w:line="165" w:lineRule="exact"/>
        <w:rPr>
          <w:sz w:val="20"/>
          <w:szCs w:val="20"/>
          <w:color w:val="auto"/>
        </w:rPr>
      </w:pPr>
    </w:p>
    <w:p>
      <w:pPr>
        <w:ind w:right="160" w:firstLine="457"/>
        <w:spacing w:after="0" w:line="267" w:lineRule="auto"/>
        <w:rPr>
          <w:sz w:val="20"/>
          <w:szCs w:val="20"/>
          <w:color w:val="auto"/>
        </w:rPr>
      </w:pPr>
      <w:r>
        <w:rPr>
          <w:rFonts w:ascii="Arial" w:cs="Arial" w:eastAsia="Arial" w:hAnsi="Arial"/>
          <w:sz w:val="17"/>
          <w:szCs w:val="17"/>
          <w:color w:val="auto"/>
        </w:rPr>
        <w:t>The Company determined that the A Warrants require liability classification primarily due to a price-protection clause that applies in the event of certain dilutive financings. The fair value of the A Warrants was recorded as warrant liability in the consolidated balance sheet at issuance and is adjusted to fair value at each reporting period until exercise or expiration. The Company determined that the B Warrants met the criteria for equity classification and has accounted for such warrants in additional paid in capital.</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7"/>
          <w:szCs w:val="17"/>
          <w:color w:val="auto"/>
        </w:rPr>
        <w:t>As of December 31, 2016 and May 12, 2016, the fair value of the A Warrants liability was $7.4 million and $12.8 million, respectively. As of May 12, 2016, the fair value of the B Warrants at issuance was $5.0 million. The fair value of the A Warrants liability as of December 31, 2016 was estimated using a Monte Carlo valuation pricing model with the following underlying assumptions: (a) a risk-free interest rate of 1.1%; (b) an assumed dividend yield of zero percent; (c) an expected term of 1.4 years; and (d) an expected volatility of 118%. The fair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20"/>
          </w:cols>
          <w:pgMar w:left="240" w:top="449" w:right="23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value of the A Warrants liability as of May 12, 2016, was estimated using a Monte Carlo valuation pricing model with the following underlying assumptions: (a) a risk-free interest rate of 0.76%; (b) an assumed dividend yield of zero percent; (c) an expected term of 2.0 years; and (d) an expected volatility of 95%. The Company assumed a probability of a dilutive financing event or an equity event, as defined in the agreement, of 10% for the each of the measurement periods.</w:t>
      </w:r>
    </w:p>
    <w:p>
      <w:pPr>
        <w:spacing w:after="0" w:line="155" w:lineRule="exact"/>
        <w:rPr>
          <w:sz w:val="20"/>
          <w:szCs w:val="20"/>
          <w:color w:val="auto"/>
        </w:rPr>
      </w:pPr>
    </w:p>
    <w:p>
      <w:pPr>
        <w:ind w:right="80" w:firstLine="457"/>
        <w:spacing w:after="0" w:line="289" w:lineRule="auto"/>
        <w:rPr>
          <w:sz w:val="20"/>
          <w:szCs w:val="20"/>
          <w:color w:val="auto"/>
        </w:rPr>
      </w:pPr>
      <w:r>
        <w:rPr>
          <w:rFonts w:ascii="Arial" w:cs="Arial" w:eastAsia="Arial" w:hAnsi="Arial"/>
          <w:sz w:val="17"/>
          <w:szCs w:val="17"/>
          <w:color w:val="auto"/>
        </w:rPr>
        <w:t>For the year ended December 31, 2016, the Company recognized a change in fair value of warrant liability of $5.4 million in the consolidated statements of operations to reflect the fair value adjustments of the A Warrant liability from the date of issuance.</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Selling, General and Administrative Expenses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Selling, general and administrative expenses consist of the following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63"/>
        </w:trPr>
        <w:tc>
          <w:tcPr>
            <w:tcW w:w="67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w w:val="89"/>
              </w:rPr>
              <w:t>Year Ended 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7"/>
        </w:trPr>
        <w:tc>
          <w:tcPr>
            <w:tcW w:w="67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77"/>
              <w:spacing w:after="0" w:line="137" w:lineRule="exact"/>
              <w:rPr>
                <w:sz w:val="20"/>
                <w:szCs w:val="20"/>
                <w:color w:val="auto"/>
              </w:rPr>
            </w:pPr>
            <w:r>
              <w:rPr>
                <w:rFonts w:ascii="Arial" w:cs="Arial" w:eastAsia="Arial" w:hAnsi="Arial"/>
                <w:sz w:val="14"/>
                <w:szCs w:val="14"/>
                <w:color w:val="auto"/>
              </w:rPr>
              <w:t>2016</w:t>
            </w: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7"/>
              <w:spacing w:after="0" w:line="137" w:lineRule="exact"/>
              <w:rPr>
                <w:sz w:val="20"/>
                <w:szCs w:val="20"/>
                <w:color w:val="auto"/>
              </w:rPr>
            </w:pPr>
            <w:r>
              <w:rPr>
                <w:rFonts w:ascii="Arial" w:cs="Arial" w:eastAsia="Arial" w:hAnsi="Arial"/>
                <w:sz w:val="14"/>
                <w:szCs w:val="14"/>
                <w:color w:val="auto"/>
              </w:rPr>
              <w:t>2015</w:t>
            </w:r>
          </w:p>
        </w:tc>
        <w:tc>
          <w:tcPr>
            <w:tcW w:w="4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7"/>
              <w:spacing w:after="0" w:line="137" w:lineRule="exact"/>
              <w:rPr>
                <w:sz w:val="20"/>
                <w:szCs w:val="20"/>
                <w:color w:val="auto"/>
              </w:rPr>
            </w:pPr>
            <w:r>
              <w:rPr>
                <w:rFonts w:ascii="Arial" w:cs="Arial" w:eastAsia="Arial" w:hAnsi="Arial"/>
                <w:sz w:val="14"/>
                <w:szCs w:val="14"/>
                <w:color w:val="auto"/>
              </w:rPr>
              <w:t>2014</w:t>
            </w:r>
          </w:p>
        </w:tc>
        <w:tc>
          <w:tcPr>
            <w:tcW w:w="40" w:type="dxa"/>
            <w:vAlign w:val="bottom"/>
            <w:tcBorders>
              <w:bottom w:val="single" w:sz="8" w:color="CCEEFF"/>
            </w:tcBorders>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$19,854</w:t>
            </w: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4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27,074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39,373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75,827</w:t>
            </w:r>
          </w:p>
        </w:tc>
        <w:tc>
          <w:tcPr>
            <w:tcW w:w="40" w:type="dxa"/>
            <w:vAlign w:val="bottom"/>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Total selling, general and administrative</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46,928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2"/>
              </w:rPr>
              <w:t>40,960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79,383</w:t>
            </w:r>
          </w:p>
        </w:tc>
      </w:tr>
      <w:tr>
        <w:trPr>
          <w:trHeight w:val="20"/>
        </w:trPr>
        <w:tc>
          <w:tcPr>
            <w:tcW w:w="6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Restructuring Charges</w:t>
      </w:r>
    </w:p>
    <w:p>
      <w:pPr>
        <w:spacing w:after="0" w:line="1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September 2016, the Company initiated a restructuring of its organization in order to conserve resources for commercial sales and marketing of Afrezza and to align cost of goods sold in support of these commercial efforts (2016 Restructuring). In connection with the 2016 Restructuring, the Company reduced its total workforce by approximately 18% to 155 employees. The Company recorded charges of approximately $1.5 million, primarily for employee severance as well as other related termination benefits. The $1.5 million of costs associated with the 2016 Restructuring are included in cost of goods sold, research and development and selling, general and administrative in the consolidated statements of operations as $0.4 million, $0.7 million and $0.4 million, respectively, for the year ended December 31, 2016. The Company substantially paid out the obligation for the 2016 Restructuring in the fourth quarter of 2016, resulting in a remaining accrual balance for the 2016 Restructuring of $0.2 million at December 31, 2016. The Company expects to substantially pay out the remainder of this obligation by the first quarter of 2017.</w:t>
      </w:r>
    </w:p>
    <w:p>
      <w:pPr>
        <w:spacing w:after="0" w:line="185"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In 2015, the Company initiated a restructuring of the organization as a result of its shift to commercial production of Afrezza (“2015 Restructuring”). In connection with the 2015 Restructuring, the Company reduced its total workforce by approximately 26% to 198 employees. The Company recorded charges of approximately $6.0 million, primarily for employee severance as well as other related termination benefits. The $6.0 million of costs associated with the 2015 Restructuring are included in operating expenses for cost of goods sold, research and development and selling, general and administrative in the consolidated statements of operations as $1.4 million, $1.3 million and $3.3 million, respectively, for the year ended December 31, 2015. As of December 31, 2016 and 2015, the Company had a remaining accrual balance for the 2015 Restructuring of $1.2 million and $3.0 million, respectively. Certain of the severance arrangements for executives in the 2015 Restructuring were long-term, which the Company expects to substantially pay out the remainder of this obligation by the third quarter of 2017.</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449" w:right="2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color w:val="auto"/>
        </w:rPr>
        <w:t>A reconciliation of beginning and ending liability balances for the 2016 and 2015 Restructuring charges, which is included in accrued expenses and other current liabilities, is as follows (in thousands):</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vMerge w:val="restart"/>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4"/>
                <w:szCs w:val="14"/>
                <w:color w:val="auto"/>
              </w:rPr>
              <w:t>2016</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color w:val="auto"/>
              </w:rPr>
              <w:t>2015</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60" w:type="dxa"/>
            <w:vAlign w:val="bottom"/>
            <w:tcBorders>
              <w:bottom w:val="single" w:sz="8" w:color="auto"/>
            </w:tcBorders>
            <w:vMerge w:val="continue"/>
          </w:tcPr>
          <w:p>
            <w:pPr>
              <w:spacing w:after="0"/>
              <w:rPr>
                <w:sz w:val="14"/>
                <w:szCs w:val="14"/>
                <w:color w:val="auto"/>
              </w:rPr>
            </w:pPr>
          </w:p>
        </w:tc>
        <w:tc>
          <w:tcPr>
            <w:tcW w:w="354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8"/>
              </w:rPr>
              <w:t>Restructuring</w:t>
            </w: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Restructuring</w:t>
            </w:r>
          </w:p>
        </w:tc>
        <w:tc>
          <w:tcPr>
            <w:tcW w:w="4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Accrual — January 1, 2015</w:t>
            </w: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7"/>
                <w:szCs w:val="17"/>
                <w:color w:val="auto"/>
              </w:rPr>
              <w:t>Costs incurred and charged to expense</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6,040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6,040</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 paid or settled</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(3,012)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(3,012)</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7"/>
                <w:szCs w:val="17"/>
                <w:color w:val="auto"/>
              </w:rPr>
              <w:t>Accrual — December 31, 2015</w:t>
            </w:r>
          </w:p>
        </w:tc>
        <w:tc>
          <w:tcPr>
            <w:tcW w:w="1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3,028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3,028</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 incurred and charged to expense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560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2,035</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Arial" w:cs="Arial" w:eastAsia="Arial" w:hAnsi="Arial"/>
                <w:sz w:val="17"/>
                <w:szCs w:val="17"/>
                <w:color w:val="auto"/>
              </w:rPr>
              <w:t>Costs paid or settled</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7"/>
                <w:szCs w:val="17"/>
                <w:color w:val="auto"/>
              </w:rPr>
              <w:t>(1,266)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(2,421)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(3,687)</w:t>
            </w: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Accrual — December 31, 2016</w:t>
            </w:r>
          </w:p>
        </w:tc>
        <w:tc>
          <w:tcPr>
            <w:tcW w:w="16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209</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Selected quarterly financial data (unaudited)</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Summarized quarterly financial data for the years ended December 31, 2016 and 2015, are set forth in the following tables: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w w:val="99"/>
              </w:rPr>
              <w:t>March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w w:val="88"/>
              </w:rPr>
              <w:t>June 30</w:t>
            </w:r>
          </w:p>
        </w:tc>
        <w:tc>
          <w:tcPr>
            <w:tcW w:w="2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September 30</w:t>
            </w:r>
          </w:p>
        </w:tc>
        <w:tc>
          <w:tcPr>
            <w:tcW w:w="860" w:type="dxa"/>
            <w:vAlign w:val="bottom"/>
            <w:gridSpan w:val="3"/>
          </w:tcPr>
          <w:p>
            <w:pPr>
              <w:spacing w:after="0"/>
              <w:rPr>
                <w:sz w:val="20"/>
                <w:szCs w:val="20"/>
                <w:color w:val="auto"/>
              </w:rPr>
            </w:pPr>
            <w:r>
              <w:rPr>
                <w:rFonts w:ascii="Arial" w:cs="Arial" w:eastAsia="Arial" w:hAnsi="Arial"/>
                <w:sz w:val="14"/>
                <w:szCs w:val="14"/>
                <w:color w:val="auto"/>
                <w:w w:val="99"/>
              </w:rPr>
              <w:t>December 31</w:t>
            </w:r>
          </w:p>
        </w:tc>
        <w:tc>
          <w:tcPr>
            <w:tcW w:w="0" w:type="dxa"/>
            <w:vAlign w:val="bottom"/>
          </w:tcPr>
          <w:p>
            <w:pPr>
              <w:spacing w:after="0"/>
              <w:rPr>
                <w:sz w:val="1"/>
                <w:szCs w:val="1"/>
                <w:color w:val="auto"/>
              </w:rPr>
            </w:pPr>
          </w:p>
        </w:tc>
      </w:tr>
      <w:tr>
        <w:trPr>
          <w:trHeight w:val="137"/>
        </w:trPr>
        <w:tc>
          <w:tcPr>
            <w:tcW w:w="6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560" w:type="dxa"/>
            <w:vAlign w:val="bottom"/>
            <w:tcBorders>
              <w:top w:val="single" w:sz="8" w:color="auto"/>
            </w:tcBorders>
            <w:gridSpan w:val="8"/>
          </w:tcPr>
          <w:p>
            <w:pPr>
              <w:jc w:val="right"/>
              <w:ind w:right="220"/>
              <w:spacing w:after="0" w:line="137" w:lineRule="exact"/>
              <w:rPr>
                <w:sz w:val="20"/>
                <w:szCs w:val="20"/>
                <w:color w:val="auto"/>
              </w:rPr>
            </w:pPr>
            <w:r>
              <w:rPr>
                <w:rFonts w:ascii="Arial" w:cs="Arial" w:eastAsia="Arial" w:hAnsi="Arial"/>
                <w:sz w:val="14"/>
                <w:szCs w:val="14"/>
                <w:b w:val="1"/>
                <w:bCs w:val="1"/>
                <w:color w:val="auto"/>
                <w:w w:val="93"/>
              </w:rPr>
              <w:t>(In thousands, except per share data)</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20"/>
                <w:szCs w:val="20"/>
                <w:color w:val="auto"/>
              </w:rPr>
            </w:pPr>
            <w:r>
              <w:rPr>
                <w:rFonts w:ascii="Arial" w:cs="Arial" w:eastAsia="Arial" w:hAnsi="Arial"/>
                <w:sz w:val="17"/>
                <w:szCs w:val="17"/>
                <w:color w:val="auto"/>
              </w:rPr>
              <w:t>Net revenues</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162,354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12,404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(24,873)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(29,959)</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126,520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53,976</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7"/>
                <w:szCs w:val="17"/>
                <w:color w:val="auto"/>
              </w:rPr>
              <w:t>Net income (loss) per share — basic</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vMerge w:val="continue"/>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(0.29)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(0.33)</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 diluted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7"/>
                <w:szCs w:val="17"/>
                <w:color w:val="auto"/>
              </w:rPr>
              <w:t>Weighted average common shares used to compute basic net income (loss) per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w w:val="99"/>
              </w:rPr>
              <w:t>85,771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7"/>
                <w:szCs w:val="17"/>
                <w:color w:val="auto"/>
              </w:rPr>
              <w:t>91,061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95,627</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95,676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used to compute diluted net income (loss) per share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85,771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91,061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96,548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96,510</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7"/>
                <w:szCs w:val="17"/>
                <w:b w:val="1"/>
                <w:bCs w:val="1"/>
                <w:color w:val="auto"/>
              </w:rPr>
              <w:t>2015</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(30,658)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(28,910)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(31,857)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(277,020)</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7"/>
                <w:szCs w:val="17"/>
                <w:color w:val="auto"/>
              </w:rPr>
              <w:t>Net loss per share — basic and diluted</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vMerge w:val="continue"/>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(0.38)</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(0.36)</w:t>
            </w: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(0.39)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w w:val="99"/>
              </w:rPr>
              <w:t>Weighted average common shares used to compute basic and diluted net loss per share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9"/>
              </w:rPr>
              <w:t>79,783</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80,203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81,039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83,862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Impairment charges of $242.7 million were recorded in the fourth quarter of 2015 related to long-lived assets, inventory and loss on purchase commitments.</w:t>
      </w:r>
    </w:p>
    <w:p>
      <w:pPr>
        <w:spacing w:after="0" w:line="247" w:lineRule="exact"/>
        <w:rPr>
          <w:sz w:val="20"/>
          <w:szCs w:val="20"/>
          <w:color w:val="auto"/>
        </w:rPr>
      </w:pPr>
    </w:p>
    <w:p>
      <w:pPr>
        <w:ind w:right="220" w:firstLine="457"/>
        <w:spacing w:after="0" w:line="289" w:lineRule="auto"/>
        <w:rPr>
          <w:sz w:val="20"/>
          <w:szCs w:val="20"/>
          <w:color w:val="auto"/>
        </w:rPr>
      </w:pPr>
      <w:r>
        <w:rPr>
          <w:rFonts w:ascii="Arial" w:cs="Arial" w:eastAsia="Arial" w:hAnsi="Arial"/>
          <w:sz w:val="17"/>
          <w:szCs w:val="17"/>
          <w:color w:val="auto"/>
        </w:rPr>
        <w:t>In the third quarter of 2016, the Company recognized net revenue-collaboration of $161.8 million attributable to collaboration with Sanofi (See Note 8 — Collaboration Arrangements).</w:t>
      </w:r>
    </w:p>
    <w:p>
      <w:pPr>
        <w:spacing w:after="0" w:line="158" w:lineRule="exact"/>
        <w:rPr>
          <w:sz w:val="20"/>
          <w:szCs w:val="20"/>
          <w:color w:val="auto"/>
        </w:rPr>
      </w:pPr>
    </w:p>
    <w:p>
      <w:pPr>
        <w:ind w:right="20" w:firstLine="457"/>
        <w:spacing w:after="0" w:line="289" w:lineRule="auto"/>
        <w:rPr>
          <w:sz w:val="20"/>
          <w:szCs w:val="20"/>
          <w:color w:val="auto"/>
        </w:rPr>
      </w:pPr>
      <w:r>
        <w:rPr>
          <w:rFonts w:ascii="Arial" w:cs="Arial" w:eastAsia="Arial" w:hAnsi="Arial"/>
          <w:sz w:val="17"/>
          <w:szCs w:val="17"/>
          <w:color w:val="auto"/>
        </w:rPr>
        <w:t>In the fourth quarter of 2016, the Company recognized net revenue-collaboration of $10.2 million attributable to collaboration with Sanofi and $72.0 million gain on extinguishment of debt (See Note 8 — Collaboration Arrangements)</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125" w:lineRule="exact"/>
        <w:rPr>
          <w:sz w:val="20"/>
          <w:szCs w:val="20"/>
          <w:color w:val="auto"/>
        </w:rPr>
      </w:pPr>
    </w:p>
    <w:p>
      <w:pPr>
        <w:ind w:right="240" w:firstLine="457"/>
        <w:spacing w:after="0" w:line="289" w:lineRule="auto"/>
        <w:rPr>
          <w:sz w:val="20"/>
          <w:szCs w:val="20"/>
          <w:color w:val="auto"/>
        </w:rPr>
      </w:pPr>
      <w:r>
        <w:rPr>
          <w:rFonts w:ascii="Arial" w:cs="Arial" w:eastAsia="Arial" w:hAnsi="Arial"/>
          <w:sz w:val="17"/>
          <w:szCs w:val="17"/>
          <w:i w:val="1"/>
          <w:iCs w:val="1"/>
          <w:color w:val="auto"/>
        </w:rPr>
        <w:t xml:space="preserve">Reverse Stock Split </w:t>
      </w:r>
      <w:r>
        <w:rPr>
          <w:rFonts w:ascii="Arial" w:cs="Arial" w:eastAsia="Arial" w:hAnsi="Arial"/>
          <w:sz w:val="17"/>
          <w:szCs w:val="17"/>
          <w:color w:val="auto"/>
        </w:rPr>
        <w:t>— On September 14, 2016, NASDAQ notified the Company that the bid price of the Company’s common stock had closed below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$1.00 per share for 30 consecutive trading days, and,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9" w:right="2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8"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accordingly, the Company did not comply with the applicable NASDAQ minimum bid price requirement. The Company was provided 180 calendar days by NASDAQ, or until March 13, 2017, to regain compliance with this requirement.</w:t>
      </w:r>
    </w:p>
    <w:p>
      <w:pPr>
        <w:spacing w:after="0" w:line="158" w:lineRule="exact"/>
        <w:rPr>
          <w:sz w:val="20"/>
          <w:szCs w:val="20"/>
          <w:color w:val="auto"/>
        </w:rPr>
      </w:pPr>
    </w:p>
    <w:p>
      <w:pPr>
        <w:ind w:firstLine="457"/>
        <w:spacing w:after="0" w:line="265" w:lineRule="auto"/>
        <w:rPr>
          <w:sz w:val="20"/>
          <w:szCs w:val="20"/>
          <w:color w:val="auto"/>
        </w:rPr>
      </w:pPr>
      <w:r>
        <w:rPr>
          <w:rFonts w:ascii="Arial" w:cs="Arial" w:eastAsia="Arial" w:hAnsi="Arial"/>
          <w:sz w:val="17"/>
          <w:szCs w:val="17"/>
          <w:color w:val="auto"/>
        </w:rPr>
        <w:t>On March 1, 2017, the Company held a Special Meeting of Stockholders at which the Company’s stockholders approved a proposal to amend the Company’s Amended and Restated Certificate of Incorporation to effect a reverse stock split of the Company’s outstanding common stock at a ratio to be determined in the discretion of the Company’s board of directors and with such reverse stock split to be effected at such time and date as determined by the Company’s board of directors in its sole discretion, and to reduce the number of authorized shares of the Company’s common stock in a corresponding proportion to the reverse stock split, rounded to the nearest whole share.</w:t>
      </w:r>
    </w:p>
    <w:p>
      <w:pPr>
        <w:spacing w:after="0" w:line="178" w:lineRule="exact"/>
        <w:rPr>
          <w:sz w:val="20"/>
          <w:szCs w:val="20"/>
          <w:color w:val="auto"/>
        </w:rPr>
      </w:pPr>
    </w:p>
    <w:p>
      <w:pPr>
        <w:ind w:right="20" w:firstLine="457"/>
        <w:spacing w:after="0" w:line="265" w:lineRule="auto"/>
        <w:rPr>
          <w:sz w:val="20"/>
          <w:szCs w:val="20"/>
          <w:color w:val="auto"/>
        </w:rPr>
      </w:pPr>
      <w:r>
        <w:rPr>
          <w:rFonts w:ascii="Arial" w:cs="Arial" w:eastAsia="Arial" w:hAnsi="Arial"/>
          <w:sz w:val="17"/>
          <w:szCs w:val="17"/>
          <w:color w:val="auto"/>
        </w:rPr>
        <w:t>On March 1, 2017, following stockholder approval of the reverse split proposal, the Company’s board of directors approved a reverse stock split ratio of 1-for-5. On March 1, 2017, the Company filed with the Secretary of State of the State of Delaware a Certificate of Amendment of the Company’s Amended and Restated Certificate of Incorporation to effect the 1-for-5 reverse stock split of the Company’s outstanding common stock and to reduce the authorized number of shares of the Company’s common stock from 700,000,000 to 140,000,000 shares. The Company’s common stock began trading on The NASDAQ Global Market on a split-adjusted basis when the market opened on March 3, 2017.</w:t>
      </w:r>
    </w:p>
    <w:p>
      <w:pPr>
        <w:spacing w:after="0" w:line="178" w:lineRule="exact"/>
        <w:rPr>
          <w:sz w:val="20"/>
          <w:szCs w:val="20"/>
          <w:color w:val="auto"/>
        </w:rPr>
      </w:pPr>
    </w:p>
    <w:p>
      <w:pPr>
        <w:jc w:val="both"/>
        <w:ind w:right="300" w:firstLine="457"/>
        <w:spacing w:after="0" w:line="273" w:lineRule="auto"/>
        <w:rPr>
          <w:sz w:val="20"/>
          <w:szCs w:val="20"/>
          <w:color w:val="auto"/>
        </w:rPr>
      </w:pPr>
      <w:r>
        <w:rPr>
          <w:rFonts w:ascii="Arial" w:cs="Arial" w:eastAsia="Arial" w:hAnsi="Arial"/>
          <w:sz w:val="17"/>
          <w:szCs w:val="17"/>
          <w:color w:val="auto"/>
        </w:rPr>
        <w:t>As of the date of this filing, the shares of the Company’s common stock have maintained a minimum bid closing price of at least $1.00 per share for 10 consecutive business days. Accordingly, the Company expects to receive a notice from the Listing Qualifications Department of the NASDAQ Stock Market indicating that the Company has regained compliance with the minimum closing bid price requirement.</w:t>
      </w:r>
    </w:p>
    <w:p>
      <w:pPr>
        <w:spacing w:after="0" w:line="171"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i w:val="1"/>
          <w:iCs w:val="1"/>
          <w:color w:val="auto"/>
        </w:rPr>
        <w:t xml:space="preserve">Sale of Valencia Facility </w:t>
      </w:r>
      <w:r>
        <w:rPr>
          <w:rFonts w:ascii="Arial" w:cs="Arial" w:eastAsia="Arial" w:hAnsi="Arial"/>
          <w:sz w:val="16"/>
          <w:szCs w:val="16"/>
          <w:color w:val="auto"/>
        </w:rPr>
        <w:t>— On January 6, 2017, the Company and Rexford Industrial Realty, L.P. (“Rexford”) entered into an Agreement of Purchase and</w:t>
      </w:r>
      <w:r>
        <w:rPr>
          <w:rFonts w:ascii="Arial" w:cs="Arial" w:eastAsia="Arial" w:hAnsi="Arial"/>
          <w:sz w:val="16"/>
          <w:szCs w:val="16"/>
          <w:i w:val="1"/>
          <w:iCs w:val="1"/>
          <w:color w:val="auto"/>
        </w:rPr>
        <w:t xml:space="preserve"> </w:t>
      </w:r>
      <w:r>
        <w:rPr>
          <w:rFonts w:ascii="Arial" w:cs="Arial" w:eastAsia="Arial" w:hAnsi="Arial"/>
          <w:sz w:val="16"/>
          <w:szCs w:val="16"/>
          <w:color w:val="auto"/>
        </w:rPr>
        <w:t>Sale and Joint Escrow Instructions (the “Purchase Agreement”), pursuant to which the Company agreed to sell and Rexford agreed to purchase certain parcels of real estate owned by the Company in Valencia, California and certain related improvements, personal property, equipment, supplies and fixtures (collectively, the “Property”) for $17.3 million. The sale and purchase of the aforementioned Property for $17.3 million pursuant to the terms of the Purchase Agreement, as amended, was completed on February 17, 2017. Net proceeds were approximately $16.7 million after deducting broker’s commission and other fees of approximately $624,000 paid by the Company. In the fourth quarter of 2016 the property met the requirements for reclassification from property and equipment, net to asset held for sale when it became probable that the property would be sold within one year. At that time, an analysis of the lower of carrying value which was deemed to be the sales price of the property, to fair value less selling costs determined a loss of $564,000, which was recorded as a property and equipment impairment on the consolidated statement of operations for 2016. At December, 31 2016, this property had a carrying value of $16.7 million and was classified as held for sale. The sale of this property will be reflected in the consolidated financial statements for the quarter ended March 31, 2017.</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320"/>
          </w:cols>
          <w:pgMar w:left="240" w:top="449" w:right="339" w:bottom="1440" w:gutter="0" w:footer="0" w:header="0"/>
        </w:sectPr>
      </w:pPr>
    </w:p>
    <w:bookmarkStart w:id="125" w:name="page126"/>
    <w:bookmarkEnd w:id="125"/>
    <w:p>
      <w:pPr>
        <w:ind w:left="9400"/>
        <w:spacing w:after="0"/>
        <w:rPr>
          <w:sz w:val="20"/>
          <w:szCs w:val="20"/>
          <w:color w:val="auto"/>
        </w:rPr>
      </w:pPr>
      <w:r>
        <w:rPr>
          <w:rFonts w:ascii="Arial" w:cs="Arial" w:eastAsia="Arial" w:hAnsi="Arial"/>
          <w:sz w:val="16"/>
          <w:szCs w:val="16"/>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177800</wp:posOffset>
            </wp:positionV>
            <wp:extent cx="4091305" cy="67354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091305" cy="67354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5319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4725"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10.31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ONFIDENTIAL</w:t>
      </w:r>
      <w:r>
        <w:rPr>
          <w:rFonts w:ascii="Arial" w:cs="Arial" w:eastAsia="Arial" w:hAnsi="Arial"/>
          <w:sz w:val="17"/>
          <w:szCs w:val="17"/>
          <w:color w:val="auto"/>
        </w:rPr>
        <w:t xml:space="preserve"> S</w:t>
      </w:r>
      <w:r>
        <w:rPr>
          <w:rFonts w:ascii="Arial" w:cs="Arial" w:eastAsia="Arial" w:hAnsi="Arial"/>
          <w:sz w:val="14"/>
          <w:szCs w:val="14"/>
          <w:color w:val="auto"/>
        </w:rPr>
        <w:t>ETTLEMENT</w:t>
      </w:r>
      <w:r>
        <w:rPr>
          <w:rFonts w:ascii="Arial" w:cs="Arial" w:eastAsia="Arial" w:hAnsi="Arial"/>
          <w:sz w:val="17"/>
          <w:szCs w:val="17"/>
          <w:color w:val="auto"/>
        </w:rPr>
        <w:t xml:space="preserve"> C</w:t>
      </w:r>
      <w:r>
        <w:rPr>
          <w:rFonts w:ascii="Arial" w:cs="Arial" w:eastAsia="Arial" w:hAnsi="Arial"/>
          <w:sz w:val="14"/>
          <w:szCs w:val="14"/>
          <w:color w:val="auto"/>
        </w:rPr>
        <w:t>OMMUNICATION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UBJECT</w:t>
      </w:r>
      <w:r>
        <w:rPr>
          <w:rFonts w:ascii="Arial" w:cs="Arial" w:eastAsia="Arial" w:hAnsi="Arial"/>
          <w:sz w:val="17"/>
          <w:szCs w:val="17"/>
          <w:color w:val="auto"/>
        </w:rPr>
        <w:t xml:space="preserve"> T</w:t>
      </w:r>
      <w:r>
        <w:rPr>
          <w:rFonts w:ascii="Arial" w:cs="Arial" w:eastAsia="Arial" w:hAnsi="Arial"/>
          <w:sz w:val="14"/>
          <w:szCs w:val="14"/>
          <w:color w:val="auto"/>
        </w:rPr>
        <w:t>O</w:t>
      </w:r>
      <w:r>
        <w:rPr>
          <w:rFonts w:ascii="Arial" w:cs="Arial" w:eastAsia="Arial" w:hAnsi="Arial"/>
          <w:sz w:val="17"/>
          <w:szCs w:val="17"/>
          <w:color w:val="auto"/>
        </w:rPr>
        <w:t xml:space="preserve"> LCA S</w:t>
      </w:r>
      <w:r>
        <w:rPr>
          <w:rFonts w:ascii="Arial" w:cs="Arial" w:eastAsia="Arial" w:hAnsi="Arial"/>
          <w:sz w:val="14"/>
          <w:szCs w:val="14"/>
          <w:color w:val="auto"/>
        </w:rPr>
        <w:t>ECTION</w:t>
      </w:r>
      <w:r>
        <w:rPr>
          <w:rFonts w:ascii="Arial" w:cs="Arial" w:eastAsia="Arial" w:hAnsi="Arial"/>
          <w:sz w:val="17"/>
          <w:szCs w:val="17"/>
          <w:color w:val="auto"/>
        </w:rPr>
        <w:t xml:space="preserve"> 14.2, FRE 408, CPLR 4547 </w:t>
      </w:r>
      <w:r>
        <w:rPr>
          <w:rFonts w:ascii="Arial" w:cs="Arial" w:eastAsia="Arial" w:hAnsi="Arial"/>
          <w:sz w:val="14"/>
          <w:szCs w:val="14"/>
          <w:color w:val="auto"/>
        </w:rPr>
        <w:t>AND</w:t>
      </w:r>
      <w:r>
        <w:rPr>
          <w:rFonts w:ascii="Arial" w:cs="Arial" w:eastAsia="Arial" w:hAnsi="Arial"/>
          <w:sz w:val="17"/>
          <w:szCs w:val="17"/>
          <w:color w:val="auto"/>
        </w:rPr>
        <w:t xml:space="preserve"> E</w:t>
      </w:r>
      <w:r>
        <w:rPr>
          <w:rFonts w:ascii="Arial" w:cs="Arial" w:eastAsia="Arial" w:hAnsi="Arial"/>
          <w:sz w:val="14"/>
          <w:szCs w:val="14"/>
          <w:color w:val="auto"/>
        </w:rPr>
        <w:t>QUIVALENT</w:t>
      </w:r>
      <w:r>
        <w:rPr>
          <w:rFonts w:ascii="Arial" w:cs="Arial" w:eastAsia="Arial" w:hAnsi="Arial"/>
          <w:sz w:val="17"/>
          <w:szCs w:val="17"/>
          <w:color w:val="auto"/>
        </w:rPr>
        <w:t xml:space="preserve"> L</w:t>
      </w:r>
      <w:r>
        <w:rPr>
          <w:rFonts w:ascii="Arial" w:cs="Arial" w:eastAsia="Arial" w:hAnsi="Arial"/>
          <w:sz w:val="14"/>
          <w:szCs w:val="14"/>
          <w:color w:val="auto"/>
        </w:rPr>
        <w:t>AWS</w:t>
      </w:r>
    </w:p>
    <w:p>
      <w:pPr>
        <w:spacing w:after="0" w:line="206"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EXECUTION VERSION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SETTLEMENT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THIS SETTLEMENT AGREEMENT </w:t>
      </w:r>
      <w:r>
        <w:rPr>
          <w:rFonts w:ascii="Arial" w:cs="Arial" w:eastAsia="Arial" w:hAnsi="Arial"/>
          <w:sz w:val="17"/>
          <w:szCs w:val="17"/>
          <w:color w:val="auto"/>
        </w:rPr>
        <w:t>(this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November 9, 2016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among:</w:t>
      </w:r>
    </w:p>
    <w:p>
      <w:pPr>
        <w:spacing w:after="0" w:line="119" w:lineRule="exact"/>
        <w:rPr>
          <w:sz w:val="20"/>
          <w:szCs w:val="20"/>
          <w:color w:val="auto"/>
        </w:rPr>
      </w:pPr>
    </w:p>
    <w:p>
      <w:pPr>
        <w:jc w:val="both"/>
        <w:ind w:left="460" w:right="120"/>
        <w:spacing w:after="0" w:line="276" w:lineRule="auto"/>
        <w:rPr>
          <w:sz w:val="20"/>
          <w:szCs w:val="20"/>
          <w:color w:val="auto"/>
        </w:rPr>
      </w:pPr>
      <w:r>
        <w:rPr>
          <w:rFonts w:ascii="Arial" w:cs="Arial" w:eastAsia="Arial" w:hAnsi="Arial"/>
          <w:sz w:val="17"/>
          <w:szCs w:val="17"/>
          <w:b w:val="1"/>
          <w:bCs w:val="1"/>
          <w:color w:val="auto"/>
        </w:rPr>
        <w:t>MannKind Corporation</w:t>
      </w:r>
      <w:r>
        <w:rPr>
          <w:rFonts w:ascii="Arial" w:cs="Arial" w:eastAsia="Arial" w:hAnsi="Arial"/>
          <w:sz w:val="17"/>
          <w:szCs w:val="17"/>
          <w:color w:val="auto"/>
        </w:rPr>
        <w:t>, a Delaware corporation (“</w:t>
      </w:r>
      <w:r>
        <w:rPr>
          <w:rFonts w:ascii="Arial" w:cs="Arial" w:eastAsia="Arial" w:hAnsi="Arial"/>
          <w:sz w:val="17"/>
          <w:szCs w:val="17"/>
          <w:u w:val="single" w:color="auto"/>
          <w:color w:val="auto"/>
        </w:rPr>
        <w:t>MannKind</w:t>
      </w:r>
      <w:r>
        <w:rPr>
          <w:rFonts w:ascii="Arial" w:cs="Arial" w:eastAsia="Arial" w:hAnsi="Arial"/>
          <w:sz w:val="17"/>
          <w:szCs w:val="17"/>
          <w:color w:val="auto"/>
        </w:rPr>
        <w:t>”), together with</w:t>
      </w:r>
      <w:r>
        <w:rPr>
          <w:rFonts w:ascii="Arial" w:cs="Arial" w:eastAsia="Arial" w:hAnsi="Arial"/>
          <w:sz w:val="17"/>
          <w:szCs w:val="17"/>
          <w:b w:val="1"/>
          <w:bCs w:val="1"/>
          <w:color w:val="auto"/>
        </w:rPr>
        <w:t xml:space="preserve"> Technosphere International C.V.</w:t>
      </w:r>
      <w:r>
        <w:rPr>
          <w:rFonts w:ascii="Arial" w:cs="Arial" w:eastAsia="Arial" w:hAnsi="Arial"/>
          <w:sz w:val="17"/>
          <w:szCs w:val="17"/>
          <w:color w:val="auto"/>
        </w:rPr>
        <w:t>, a Dutch limited partnership (“</w:t>
      </w:r>
      <w:r>
        <w:rPr>
          <w:rFonts w:ascii="Arial" w:cs="Arial" w:eastAsia="Arial" w:hAnsi="Arial"/>
          <w:sz w:val="17"/>
          <w:szCs w:val="17"/>
          <w:u w:val="single" w:color="auto"/>
          <w:color w:val="auto"/>
        </w:rPr>
        <w:t>TICV</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b w:val="1"/>
          <w:bCs w:val="1"/>
          <w:color w:val="auto"/>
        </w:rPr>
        <w:t>MannKind Netherlands B.V.</w:t>
      </w:r>
      <w:r>
        <w:rPr>
          <w:rFonts w:ascii="Arial" w:cs="Arial" w:eastAsia="Arial" w:hAnsi="Arial"/>
          <w:sz w:val="17"/>
          <w:szCs w:val="17"/>
          <w:color w:val="auto"/>
        </w:rPr>
        <w:t>, a Dutch limited liability company (“</w:t>
      </w:r>
      <w:r>
        <w:rPr>
          <w:rFonts w:ascii="Arial" w:cs="Arial" w:eastAsia="Arial" w:hAnsi="Arial"/>
          <w:sz w:val="17"/>
          <w:szCs w:val="17"/>
          <w:u w:val="single" w:color="auto"/>
          <w:color w:val="auto"/>
        </w:rPr>
        <w:t>BV</w:t>
      </w:r>
      <w:r>
        <w:rPr>
          <w:rFonts w:ascii="Arial" w:cs="Arial" w:eastAsia="Arial" w:hAnsi="Arial"/>
          <w:sz w:val="17"/>
          <w:szCs w:val="17"/>
          <w:color w:val="auto"/>
        </w:rPr>
        <w:t>,” and together with MannKind, TICV, and their respective Affiliates, the “</w:t>
      </w:r>
      <w:r>
        <w:rPr>
          <w:rFonts w:ascii="Arial" w:cs="Arial" w:eastAsia="Arial" w:hAnsi="Arial"/>
          <w:sz w:val="17"/>
          <w:szCs w:val="17"/>
          <w:u w:val="single" w:color="auto"/>
          <w:color w:val="auto"/>
        </w:rPr>
        <w:t>MK</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Entities</w:t>
      </w:r>
      <w:r>
        <w:rPr>
          <w:rFonts w:ascii="Arial" w:cs="Arial" w:eastAsia="Arial" w:hAnsi="Arial"/>
          <w:sz w:val="17"/>
          <w:szCs w:val="17"/>
          <w:color w:val="auto"/>
        </w:rPr>
        <w:t>”);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sanofi-aventis U.S. LLC</w:t>
      </w:r>
      <w:r>
        <w:rPr>
          <w:rFonts w:ascii="Arial" w:cs="Arial" w:eastAsia="Arial" w:hAnsi="Arial"/>
          <w:sz w:val="17"/>
          <w:szCs w:val="17"/>
          <w:color w:val="auto"/>
        </w:rPr>
        <w:t>, a Delaware limited liability company (“</w:t>
      </w:r>
      <w:r>
        <w:rPr>
          <w:rFonts w:ascii="Arial" w:cs="Arial" w:eastAsia="Arial" w:hAnsi="Arial"/>
          <w:sz w:val="17"/>
          <w:szCs w:val="17"/>
          <w:u w:val="single" w:color="auto"/>
          <w:color w:val="auto"/>
        </w:rPr>
        <w:t>Sanofi</w:t>
      </w:r>
      <w:r>
        <w:rPr>
          <w:rFonts w:ascii="Arial" w:cs="Arial" w:eastAsia="Arial" w:hAnsi="Arial"/>
          <w:sz w:val="17"/>
          <w:szCs w:val="17"/>
          <w:color w:val="auto"/>
        </w:rPr>
        <w:t>” and together with its Affiliates, the “</w:t>
      </w:r>
      <w:r>
        <w:rPr>
          <w:rFonts w:ascii="Arial" w:cs="Arial" w:eastAsia="Arial" w:hAnsi="Arial"/>
          <w:sz w:val="17"/>
          <w:szCs w:val="17"/>
          <w:u w:val="single" w:color="auto"/>
          <w:color w:val="auto"/>
        </w:rPr>
        <w:t>Sanofi Entities</w:t>
      </w:r>
      <w:r>
        <w:rPr>
          <w:rFonts w:ascii="Arial" w:cs="Arial" w:eastAsia="Arial" w:hAnsi="Arial"/>
          <w:sz w:val="17"/>
          <w:szCs w:val="17"/>
          <w:color w:val="auto"/>
        </w:rPr>
        <w:t>”).</w:t>
      </w:r>
    </w:p>
    <w:p>
      <w:pPr>
        <w:spacing w:after="0" w:line="230"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For the purposes of this Agreement, each of the MK Entities, on the one hand, and the Sanofi Entities, on the other hand, are referred to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Sanofi-Aventis Deutschland GmbH (“</w:t>
      </w:r>
      <w:r>
        <w:rPr>
          <w:rFonts w:ascii="Arial" w:cs="Arial" w:eastAsia="Arial" w:hAnsi="Arial"/>
          <w:sz w:val="17"/>
          <w:szCs w:val="17"/>
          <w:u w:val="single" w:color="auto"/>
          <w:color w:val="auto"/>
        </w:rPr>
        <w:t>Sanofi GmbH</w:t>
      </w:r>
      <w:r>
        <w:rPr>
          <w:rFonts w:ascii="Arial" w:cs="Arial" w:eastAsia="Arial" w:hAnsi="Arial"/>
          <w:sz w:val="17"/>
          <w:szCs w:val="17"/>
          <w:color w:val="auto"/>
        </w:rPr>
        <w:t>”), MannKind, BV and TICV entered into that certain License and Collaboration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dated August 11, 2014 (the “</w:t>
      </w:r>
      <w:r>
        <w:rPr>
          <w:rFonts w:ascii="Arial" w:cs="Arial" w:eastAsia="Arial" w:hAnsi="Arial"/>
          <w:sz w:val="17"/>
          <w:szCs w:val="17"/>
          <w:u w:val="single" w:color="auto"/>
          <w:color w:val="auto"/>
        </w:rPr>
        <w:t>LCA</w:t>
      </w:r>
      <w:r>
        <w:rPr>
          <w:rFonts w:ascii="Arial" w:cs="Arial" w:eastAsia="Arial" w:hAnsi="Arial"/>
          <w:sz w:val="17"/>
          <w:szCs w:val="17"/>
          <w:color w:val="auto"/>
        </w:rPr>
        <w:t>”, and together with the Letter Agreement and Supply Agreement (each as defined below), the “</w:t>
      </w:r>
      <w:r>
        <w:rPr>
          <w:rFonts w:ascii="Arial" w:cs="Arial" w:eastAsia="Arial" w:hAnsi="Arial"/>
          <w:sz w:val="17"/>
          <w:szCs w:val="17"/>
          <w:u w:val="single" w:color="auto"/>
          <w:color w:val="auto"/>
        </w:rPr>
        <w:t>License and Supply</w:t>
      </w:r>
      <w:r>
        <w:rPr>
          <w:rFonts w:ascii="Arial" w:cs="Arial" w:eastAsia="Arial" w:hAnsi="Arial"/>
          <w:sz w:val="17"/>
          <w:szCs w:val="17"/>
          <w:color w:val="auto"/>
        </w:rPr>
        <w:t xml:space="preserve"> </w:t>
      </w:r>
      <w:r>
        <w:rPr>
          <w:rFonts w:ascii="Arial" w:cs="Arial" w:eastAsia="Arial" w:hAnsi="Arial"/>
          <w:sz w:val="17"/>
          <w:szCs w:val="17"/>
          <w:u w:val="single" w:color="auto"/>
          <w:color w:val="auto"/>
        </w:rPr>
        <w:t>Arrangement</w:t>
      </w:r>
      <w:r>
        <w:rPr>
          <w:rFonts w:ascii="Arial" w:cs="Arial" w:eastAsia="Arial" w:hAnsi="Arial"/>
          <w:sz w:val="17"/>
          <w:szCs w:val="17"/>
          <w:color w:val="auto"/>
        </w:rPr>
        <w:t>”), pursuant to which MannKind, TICV and BV granted Sanofi certain exclusive rights and licenses to Develop and Commercialize Product (each as defined in the LCA);</w:t>
      </w:r>
    </w:p>
    <w:p>
      <w:pPr>
        <w:spacing w:after="0" w:line="168" w:lineRule="exact"/>
        <w:rPr>
          <w:sz w:val="20"/>
          <w:szCs w:val="20"/>
          <w:color w:val="auto"/>
        </w:rPr>
      </w:pPr>
    </w:p>
    <w:p>
      <w:pPr>
        <w:ind w:right="4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that certain Assignment, dated September 19, 2014, by and between Sanofi GmbH and Sanofi, Sanofi GmbH assigned the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and Supply Arrangement to Sanofi;</w:t>
      </w:r>
    </w:p>
    <w:p>
      <w:pPr>
        <w:spacing w:after="0" w:line="146" w:lineRule="exact"/>
        <w:rPr>
          <w:sz w:val="20"/>
          <w:szCs w:val="20"/>
          <w:color w:val="auto"/>
        </w:rPr>
      </w:pPr>
    </w:p>
    <w:p>
      <w:pPr>
        <w:ind w:right="700" w:firstLine="457"/>
        <w:spacing w:after="0" w:line="29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pursuant to that certain letter, dated January 1, 2016 (and received by MannKind on January 4, 2016), from Sanofi to MannKind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Termination Letter</w:t>
      </w:r>
      <w:r>
        <w:rPr>
          <w:rFonts w:ascii="Arial" w:cs="Arial" w:eastAsia="Arial" w:hAnsi="Arial"/>
          <w:sz w:val="17"/>
          <w:szCs w:val="17"/>
          <w:color w:val="auto"/>
        </w:rPr>
        <w:t>”), Sanofi notified MannKind of its decision to terminate the License and Supply Arrangement;</w:t>
      </w:r>
    </w:p>
    <w:p>
      <w:pPr>
        <w:spacing w:after="0" w:line="146" w:lineRule="exact"/>
        <w:rPr>
          <w:sz w:val="20"/>
          <w:szCs w:val="20"/>
          <w:color w:val="auto"/>
        </w:rPr>
      </w:pPr>
    </w:p>
    <w:p>
      <w:pPr>
        <w:ind w:right="18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that certain Transition Agreement, dated April 4, 2016, by and between Sanofi and MannKind (the “</w:t>
      </w:r>
      <w:r>
        <w:rPr>
          <w:rFonts w:ascii="Arial" w:cs="Arial" w:eastAsia="Arial" w:hAnsi="Arial"/>
          <w:sz w:val="17"/>
          <w:szCs w:val="17"/>
          <w:u w:val="single" w:color="auto"/>
          <w:color w:val="auto"/>
        </w:rPr>
        <w:t>Transition Agreement</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transferred certain responsibilities for the Product to MannKind in accordance with Section 13.3(c) of the LCA;</w:t>
      </w:r>
    </w:p>
    <w:p>
      <w:pPr>
        <w:spacing w:after="0" w:line="146" w:lineRule="exact"/>
        <w:rPr>
          <w:sz w:val="20"/>
          <w:szCs w:val="20"/>
          <w:color w:val="auto"/>
        </w:rPr>
      </w:pPr>
    </w:p>
    <w:p>
      <w:pPr>
        <w:ind w:right="20" w:firstLine="457"/>
        <w:spacing w:after="0" w:line="29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MannKind has made certain assertions and allegations about Sanofi relating to the License and Supply Arrangement and Sanofi’s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in letters dated February 4, 2016, August 5, 2016, and October 23, 2016;</w:t>
      </w:r>
    </w:p>
    <w:p>
      <w:pPr>
        <w:spacing w:after="0" w:line="146" w:lineRule="exact"/>
        <w:rPr>
          <w:sz w:val="20"/>
          <w:szCs w:val="20"/>
          <w:color w:val="auto"/>
        </w:rPr>
      </w:pPr>
    </w:p>
    <w:p>
      <w:pPr>
        <w:ind w:right="80" w:firstLine="457"/>
        <w:spacing w:after="0" w:line="29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Sanofi has responded to and denied such assertions and allegations in letters dated February 12, 2016, September 20, 2016, October 13, 2016,</w:t>
      </w:r>
      <w:r>
        <w:rPr>
          <w:rFonts w:ascii="Arial" w:cs="Arial" w:eastAsia="Arial" w:hAnsi="Arial"/>
          <w:sz w:val="17"/>
          <w:szCs w:val="17"/>
          <w:b w:val="1"/>
          <w:bCs w:val="1"/>
          <w:color w:val="auto"/>
        </w:rPr>
        <w:t xml:space="preserve"> </w:t>
      </w:r>
      <w:r>
        <w:rPr>
          <w:rFonts w:ascii="Arial" w:cs="Arial" w:eastAsia="Arial" w:hAnsi="Arial"/>
          <w:sz w:val="17"/>
          <w:szCs w:val="17"/>
          <w:color w:val="auto"/>
        </w:rPr>
        <w:t>and October 30, 2016;</w:t>
      </w:r>
    </w:p>
    <w:p>
      <w:pPr>
        <w:spacing w:after="0" w:line="146" w:lineRule="exact"/>
        <w:rPr>
          <w:sz w:val="20"/>
          <w:szCs w:val="20"/>
          <w:color w:val="auto"/>
        </w:rPr>
      </w:pPr>
    </w:p>
    <w:p>
      <w:pPr>
        <w:ind w:right="120" w:firstLine="457"/>
        <w:spacing w:after="0" w:line="29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MannKind’s letter dated August 5, 2016 provided Sanofi “Notice of Dispute” and formally invoked the dispute resolution procedure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Section 14.1 of the LCA;</w:t>
      </w:r>
    </w:p>
    <w:p>
      <w:pPr>
        <w:sectPr>
          <w:pgSz w:w="11900" w:h="16838" w:orient="portrait"/>
          <w:cols w:equalWidth="0" w:num="1">
            <w:col w:w="11420"/>
          </w:cols>
          <w:pgMar w:left="240" w:top="121" w:right="239" w:bottom="1440" w:gutter="0" w:footer="0" w:header="0"/>
        </w:sectPr>
      </w:pPr>
    </w:p>
    <w:bookmarkStart w:id="128" w:name="page129"/>
    <w:bookmarkEnd w:id="128"/>
    <w:p>
      <w:pPr>
        <w:ind w:left="100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58" w:lineRule="exact"/>
        <w:rPr>
          <w:sz w:val="20"/>
          <w:szCs w:val="20"/>
          <w:color w:val="auto"/>
        </w:rPr>
      </w:pPr>
    </w:p>
    <w:p>
      <w:pPr>
        <w:ind w:right="40" w:firstLine="457"/>
        <w:spacing w:after="0" w:line="296"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executives from Sanofi and MannKind met on September 29, 2016 to “meet and attempt to resolve the dispute in face-to-face negotiations” as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by Section 14.1 of the LCA;</w:t>
      </w:r>
    </w:p>
    <w:p>
      <w:pPr>
        <w:spacing w:after="0" w:line="146" w:lineRule="exact"/>
        <w:rPr>
          <w:sz w:val="20"/>
          <w:szCs w:val="20"/>
          <w:color w:val="auto"/>
        </w:rPr>
      </w:pPr>
    </w:p>
    <w:p>
      <w:pPr>
        <w:ind w:right="8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MK Entities and the Sanofi Entities have determined that it is in their mutual benefit to resolve the matters discussed in the letters 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above (the </w:t>
      </w:r>
      <w:r>
        <w:rPr>
          <w:rFonts w:ascii="Arial" w:cs="Arial" w:eastAsia="Arial" w:hAnsi="Arial"/>
          <w:sz w:val="17"/>
          <w:szCs w:val="17"/>
          <w:u w:val="single" w:color="auto"/>
          <w:color w:val="auto"/>
        </w:rPr>
        <w:t>Dispute</w:t>
      </w:r>
      <w:r>
        <w:rPr>
          <w:rFonts w:ascii="Arial" w:cs="Arial" w:eastAsia="Arial" w:hAnsi="Arial"/>
          <w:sz w:val="17"/>
          <w:szCs w:val="17"/>
          <w:color w:val="auto"/>
        </w:rPr>
        <w:t>”);</w:t>
      </w:r>
    </w:p>
    <w:p>
      <w:pPr>
        <w:spacing w:after="0" w:line="146" w:lineRule="exact"/>
        <w:rPr>
          <w:sz w:val="20"/>
          <w:szCs w:val="20"/>
          <w:color w:val="auto"/>
        </w:rPr>
      </w:pPr>
    </w:p>
    <w:p>
      <w:pPr>
        <w:ind w:right="280" w:firstLine="457"/>
        <w:spacing w:after="0" w:line="27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settlement of the Dispute, Sanofi’s Affiliate, Aventisub LLC (“</w:t>
      </w:r>
      <w:r>
        <w:rPr>
          <w:rFonts w:ascii="Arial" w:cs="Arial" w:eastAsia="Arial" w:hAnsi="Arial"/>
          <w:sz w:val="17"/>
          <w:szCs w:val="17"/>
          <w:u w:val="single" w:color="auto"/>
          <w:color w:val="auto"/>
        </w:rPr>
        <w:t>Aventisub</w:t>
      </w:r>
      <w:r>
        <w:rPr>
          <w:rFonts w:ascii="Arial" w:cs="Arial" w:eastAsia="Arial" w:hAnsi="Arial"/>
          <w:sz w:val="17"/>
          <w:szCs w:val="17"/>
          <w:color w:val="auto"/>
        </w:rPr>
        <w:t>”) has agreed to release MannKind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to pay Aventisub $71,562,138.31 under the Promissory Note and release certain security interests encumbering MannKind’s assets; and Sanofi has agreed to accelerate certain payments owed by Sanofi to MannKind under the Supply Agreement;</w:t>
      </w:r>
    </w:p>
    <w:p>
      <w:pPr>
        <w:spacing w:after="0" w:line="164" w:lineRule="exact"/>
        <w:rPr>
          <w:sz w:val="20"/>
          <w:szCs w:val="20"/>
          <w:color w:val="auto"/>
        </w:rPr>
      </w:pPr>
    </w:p>
    <w:p>
      <w:pPr>
        <w:ind w:right="14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payments by Sanofi and release of financial obligations and encumbrances by MannKind are anticipated by MannKind to make available</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 current liquidity and facilitate MannKind’s future financing activities; and</w:t>
      </w:r>
    </w:p>
    <w:p>
      <w:pPr>
        <w:spacing w:after="0" w:line="146" w:lineRule="exact"/>
        <w:rPr>
          <w:sz w:val="20"/>
          <w:szCs w:val="20"/>
          <w:color w:val="auto"/>
        </w:rPr>
      </w:pPr>
    </w:p>
    <w:p>
      <w:pPr>
        <w:ind w:right="620" w:firstLine="457"/>
        <w:spacing w:after="0" w:line="29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MK Entities agree that the benefits provided by the Sanofi Entities hereunder and in the Pay-Off Letter provide at least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 value for the release of claims by the MK Entities hereunder.</w:t>
      </w:r>
    </w:p>
    <w:p>
      <w:pPr>
        <w:spacing w:after="0" w:line="146" w:lineRule="exact"/>
        <w:rPr>
          <w:sz w:val="20"/>
          <w:szCs w:val="20"/>
          <w:color w:val="auto"/>
        </w:rPr>
      </w:pPr>
    </w:p>
    <w:p>
      <w:pPr>
        <w:ind w:right="40" w:firstLine="457"/>
        <w:spacing w:after="0" w:line="296"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accordance with the foregoing Recitals, and in consideration of the mutual covenants contained herein, the Parties hereto agree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55" w:lineRule="exact"/>
        <w:rPr>
          <w:sz w:val="20"/>
          <w:szCs w:val="20"/>
          <w:color w:val="auto"/>
        </w:rPr>
      </w:pPr>
    </w:p>
    <w:p>
      <w:pPr>
        <w:jc w:val="both"/>
        <w:ind w:left="460" w:right="140" w:hanging="455"/>
        <w:spacing w:after="0" w:line="276"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Defined Terms</w:t>
      </w:r>
      <w:r>
        <w:rPr>
          <w:rFonts w:ascii="Arial" w:cs="Arial" w:eastAsia="Arial" w:hAnsi="Arial"/>
          <w:sz w:val="17"/>
          <w:szCs w:val="17"/>
          <w:color w:val="auto"/>
        </w:rPr>
        <w:t>. For purposes of this Agreement, the following capitalized terms are defined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have the meaning specified herein.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Capitalized terms which are used in this Agreement but not defined in this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or elsewhere in this Agreement shall have the meanings given to them in the License and Supply Arrangement.</w:t>
      </w:r>
    </w:p>
    <w:p>
      <w:pPr>
        <w:spacing w:after="0" w:line="78" w:lineRule="exact"/>
        <w:rPr>
          <w:rFonts w:ascii="Arial" w:cs="Arial" w:eastAsia="Arial" w:hAnsi="Arial"/>
          <w:sz w:val="17"/>
          <w:szCs w:val="17"/>
          <w:color w:val="auto"/>
        </w:rPr>
      </w:pPr>
    </w:p>
    <w:p>
      <w:pPr>
        <w:ind w:left="1480" w:hanging="572"/>
        <w:spacing w:after="0" w:line="289"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 Party means any Person that, directly or indirectly, through one or more intermediaries, now or hereafter controls, is controlled by, or is under common control with such Person as of such date. As used herein,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means the possession, directly or indirectly, of the power to direct or cause the direction of the management and policies of a Person, whether through ownership of voting securities or other interests, by contract or otherwise</w:t>
      </w:r>
    </w:p>
    <w:p>
      <w:pPr>
        <w:spacing w:after="0" w:line="69" w:lineRule="exact"/>
        <w:rPr>
          <w:rFonts w:ascii="Arial" w:cs="Arial" w:eastAsia="Arial" w:hAnsi="Arial"/>
          <w:sz w:val="16"/>
          <w:szCs w:val="16"/>
          <w:color w:val="auto"/>
        </w:rPr>
      </w:pPr>
    </w:p>
    <w:p>
      <w:pPr>
        <w:ind w:left="1480" w:right="140" w:hanging="572"/>
        <w:spacing w:after="0" w:line="289" w:lineRule="auto"/>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Claims</w:t>
      </w:r>
      <w:r>
        <w:rPr>
          <w:rFonts w:ascii="Arial" w:cs="Arial" w:eastAsia="Arial" w:hAnsi="Arial"/>
          <w:sz w:val="16"/>
          <w:szCs w:val="16"/>
          <w:color w:val="auto"/>
        </w:rPr>
        <w:t>” means any and all of the following arising under the laws of the United States or any foreign jurisdiction: claims, counterclaims, cross-claims, demands, causes of action, Liabilities, lawsuits, arbitrations, proceedings, third-party interventions, or any other form of claim, whether or not fixed, contingent or absolute, matured or unmatured, direct or indirect, liquidated or unliquidated, accrued or unaccrued, known or unknown, whether or not required to be reflected in financial statements or disclosed in the notes thereto.</w:t>
      </w:r>
    </w:p>
    <w:p>
      <w:pPr>
        <w:spacing w:after="0" w:line="69" w:lineRule="exact"/>
        <w:rPr>
          <w:rFonts w:ascii="Arial" w:cs="Arial" w:eastAsia="Arial" w:hAnsi="Arial"/>
          <w:sz w:val="16"/>
          <w:szCs w:val="16"/>
          <w:color w:val="auto"/>
        </w:rPr>
      </w:pPr>
    </w:p>
    <w:p>
      <w:pPr>
        <w:ind w:left="1480" w:hanging="572"/>
        <w:spacing w:after="0"/>
        <w:tabs>
          <w:tab w:leader="none" w:pos="14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Agreement</w:t>
      </w:r>
      <w:r>
        <w:rPr>
          <w:rFonts w:ascii="Arial" w:cs="Arial" w:eastAsia="Arial" w:hAnsi="Arial"/>
          <w:sz w:val="16"/>
          <w:szCs w:val="16"/>
          <w:color w:val="auto"/>
        </w:rPr>
        <w:t>” means that certain Letter Agreement, dated August 11, 2014, by and among MannKind, TICV, BV and Sanofi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63"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2</w:t>
      </w:r>
    </w:p>
    <w:p>
      <w:pPr>
        <w:sectPr>
          <w:pgSz w:w="11900" w:h="16838" w:orient="portrait"/>
          <w:cols w:equalWidth="0" w:num="1">
            <w:col w:w="11420"/>
          </w:cols>
          <w:pgMar w:left="240" w:top="265"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64" w:lineRule="exact"/>
        <w:rPr>
          <w:sz w:val="20"/>
          <w:szCs w:val="20"/>
          <w:color w:val="auto"/>
        </w:rPr>
      </w:pPr>
    </w:p>
    <w:p>
      <w:pPr>
        <w:ind w:left="1480" w:right="240" w:hanging="572"/>
        <w:spacing w:after="0" w:line="297"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debts, liabilities, losses, damages, attorneys’ fees, court costs, obligations, expenses, or any other form of cost or compensation, whether or not fixed, contingent or absolute, matured or unmatured, direct or indirect, liquidated or unliquidated, accrued or unaccrued, known or unknown, whether or not required to be reflected in financial statements or disclosed in the notes thereto.</w:t>
      </w:r>
    </w:p>
    <w:p>
      <w:pPr>
        <w:spacing w:after="0" w:line="63" w:lineRule="exact"/>
        <w:rPr>
          <w:rFonts w:ascii="Arial" w:cs="Arial" w:eastAsia="Arial" w:hAnsi="Arial"/>
          <w:sz w:val="16"/>
          <w:szCs w:val="16"/>
          <w:color w:val="auto"/>
        </w:rPr>
      </w:pPr>
    </w:p>
    <w:p>
      <w:pPr>
        <w:ind w:left="1480" w:hanging="572"/>
        <w:spacing w:after="0"/>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Pay-Off Letter</w:t>
      </w:r>
      <w:r>
        <w:rPr>
          <w:rFonts w:ascii="Arial" w:cs="Arial" w:eastAsia="Arial" w:hAnsi="Arial"/>
          <w:sz w:val="17"/>
          <w:szCs w:val="17"/>
          <w:color w:val="auto"/>
        </w:rPr>
        <w:t>” means that certain Pay-Off Letter, dated as of even date herewith, by and between Aventisub and MannKind.</w:t>
      </w:r>
    </w:p>
    <w:p>
      <w:pPr>
        <w:spacing w:after="0" w:line="131" w:lineRule="exact"/>
        <w:rPr>
          <w:rFonts w:ascii="Arial" w:cs="Arial" w:eastAsia="Arial" w:hAnsi="Arial"/>
          <w:sz w:val="17"/>
          <w:szCs w:val="17"/>
          <w:color w:val="auto"/>
        </w:rPr>
      </w:pPr>
    </w:p>
    <w:p>
      <w:pPr>
        <w:ind w:left="1480" w:right="240" w:hanging="572"/>
        <w:spacing w:after="0" w:line="273"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Potential Claims</w:t>
      </w:r>
      <w:r>
        <w:rPr>
          <w:rFonts w:ascii="Arial" w:cs="Arial" w:eastAsia="Arial" w:hAnsi="Arial"/>
          <w:sz w:val="17"/>
          <w:szCs w:val="17"/>
          <w:color w:val="auto"/>
        </w:rPr>
        <w:t>” means any and all Claims arising or accruing prior to or as of the Effective Date against any Sanofi Entity or any MK Entity (or any Related Party thereof) of any nature, including those arising from, relating to, based upon, or in connection with the Dispute, the License and Supply Arrangement, or the Transition Agreement.</w:t>
      </w:r>
    </w:p>
    <w:p>
      <w:pPr>
        <w:spacing w:after="0" w:line="79" w:lineRule="exact"/>
        <w:rPr>
          <w:rFonts w:ascii="Arial" w:cs="Arial" w:eastAsia="Arial" w:hAnsi="Arial"/>
          <w:sz w:val="17"/>
          <w:szCs w:val="17"/>
          <w:color w:val="auto"/>
        </w:rPr>
      </w:pPr>
    </w:p>
    <w:p>
      <w:pPr>
        <w:ind w:left="1480" w:right="160" w:hanging="572"/>
        <w:spacing w:after="0" w:line="289"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Promissory Note</w:t>
      </w:r>
      <w:r>
        <w:rPr>
          <w:rFonts w:ascii="Arial" w:cs="Arial" w:eastAsia="Arial" w:hAnsi="Arial"/>
          <w:sz w:val="17"/>
          <w:szCs w:val="17"/>
          <w:color w:val="auto"/>
        </w:rPr>
        <w:t>” means that certain Senior Secured Revolving Promissory Note, dated as of September 23, 2014, between MannKind and Aventisub.</w:t>
      </w:r>
    </w:p>
    <w:p>
      <w:pPr>
        <w:spacing w:after="0" w:line="66" w:lineRule="exact"/>
        <w:rPr>
          <w:rFonts w:ascii="Arial" w:cs="Arial" w:eastAsia="Arial" w:hAnsi="Arial"/>
          <w:sz w:val="17"/>
          <w:szCs w:val="17"/>
          <w:color w:val="auto"/>
        </w:rPr>
      </w:pPr>
    </w:p>
    <w:p>
      <w:pPr>
        <w:ind w:left="1480" w:right="20" w:hanging="572"/>
        <w:spacing w:after="0" w:line="359" w:lineRule="auto"/>
        <w:tabs>
          <w:tab w:leader="none" w:pos="14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Parties</w:t>
      </w:r>
      <w:r>
        <w:rPr>
          <w:rFonts w:ascii="Arial" w:cs="Arial" w:eastAsia="Arial" w:hAnsi="Arial"/>
          <w:sz w:val="15"/>
          <w:szCs w:val="15"/>
          <w:color w:val="auto"/>
        </w:rPr>
        <w:t>” means, with respect to each of the MK Entities or the Sanofi Entities, such entity’s predecessors, successors, assigns, agents, representatives, directors, officers and employees, solely, in each case, with respect to such Person’s representative capacity as such.</w:t>
      </w:r>
    </w:p>
    <w:p>
      <w:pPr>
        <w:spacing w:after="0" w:line="20" w:lineRule="exact"/>
        <w:rPr>
          <w:rFonts w:ascii="Arial" w:cs="Arial" w:eastAsia="Arial" w:hAnsi="Arial"/>
          <w:sz w:val="15"/>
          <w:szCs w:val="15"/>
          <w:color w:val="auto"/>
        </w:rPr>
      </w:pPr>
    </w:p>
    <w:p>
      <w:pPr>
        <w:ind w:left="1480" w:right="440" w:hanging="572"/>
        <w:spacing w:after="0" w:line="289"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Security Agreement</w:t>
      </w:r>
      <w:r>
        <w:rPr>
          <w:rFonts w:ascii="Arial" w:cs="Arial" w:eastAsia="Arial" w:hAnsi="Arial"/>
          <w:sz w:val="17"/>
          <w:szCs w:val="17"/>
          <w:color w:val="auto"/>
        </w:rPr>
        <w:t>” means that certain Guaranty and Security Agreement, dated as of September 23, 2014, by and among MannKind, MannKind LLC, and Aventisub.</w:t>
      </w:r>
    </w:p>
    <w:p>
      <w:pPr>
        <w:spacing w:after="0" w:line="66" w:lineRule="exact"/>
        <w:rPr>
          <w:rFonts w:ascii="Arial" w:cs="Arial" w:eastAsia="Arial" w:hAnsi="Arial"/>
          <w:sz w:val="17"/>
          <w:szCs w:val="17"/>
          <w:color w:val="auto"/>
        </w:rPr>
      </w:pPr>
    </w:p>
    <w:p>
      <w:pPr>
        <w:ind w:left="1480" w:right="320" w:hanging="572"/>
        <w:spacing w:after="0" w:line="289" w:lineRule="auto"/>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Supply Agreement</w:t>
      </w:r>
      <w:r>
        <w:rPr>
          <w:rFonts w:ascii="Arial" w:cs="Arial" w:eastAsia="Arial" w:hAnsi="Arial"/>
          <w:sz w:val="17"/>
          <w:szCs w:val="17"/>
          <w:color w:val="auto"/>
        </w:rPr>
        <w:t>” means that certain Supply Agreement, dated August 11, 2014, by and between MannKind and Sanofi, as assignee of Sanofi GmbH.</w:t>
      </w:r>
    </w:p>
    <w:p>
      <w:pPr>
        <w:spacing w:after="0" w:line="60" w:lineRule="exact"/>
        <w:rPr>
          <w:rFonts w:ascii="Arial" w:cs="Arial" w:eastAsia="Arial" w:hAnsi="Arial"/>
          <w:sz w:val="17"/>
          <w:szCs w:val="17"/>
          <w:color w:val="auto"/>
        </w:rPr>
      </w:pPr>
    </w:p>
    <w:p>
      <w:pPr>
        <w:jc w:val="both"/>
        <w:ind w:left="460" w:right="320" w:hanging="455"/>
        <w:spacing w:after="0" w:line="368"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b w:val="1"/>
          <w:bCs w:val="1"/>
          <w:u w:val="single" w:color="auto"/>
          <w:color w:val="auto"/>
        </w:rPr>
        <w:t>Promissory Note and Security Agreement</w:t>
      </w:r>
      <w:r>
        <w:rPr>
          <w:rFonts w:ascii="Arial" w:cs="Arial" w:eastAsia="Arial" w:hAnsi="Arial"/>
          <w:sz w:val="15"/>
          <w:szCs w:val="15"/>
          <w:color w:val="auto"/>
        </w:rPr>
        <w:t>. In consideration of the execution of this Agreement and the mutual release of obligations contained herein,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Aventisub and MannKind are terminating the Promissory Note and the Security Agreement pursuant to the Pay-Off Letter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7" w:lineRule="exact"/>
        <w:rPr>
          <w:rFonts w:ascii="Arial" w:cs="Arial" w:eastAsia="Arial" w:hAnsi="Arial"/>
          <w:sz w:val="15"/>
          <w:szCs w:val="15"/>
          <w:color w:val="auto"/>
        </w:rPr>
      </w:pPr>
    </w:p>
    <w:p>
      <w:pPr>
        <w:ind w:left="460" w:hanging="455"/>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Insulin Payments and Put Options</w:t>
      </w:r>
      <w:r>
        <w:rPr>
          <w:rFonts w:ascii="Arial" w:cs="Arial" w:eastAsia="Arial" w:hAnsi="Arial"/>
          <w:sz w:val="17"/>
          <w:szCs w:val="17"/>
          <w:color w:val="auto"/>
        </w:rPr>
        <w:t>.</w:t>
      </w:r>
    </w:p>
    <w:p>
      <w:pPr>
        <w:spacing w:after="0" w:line="137" w:lineRule="exact"/>
        <w:rPr>
          <w:rFonts w:ascii="Arial" w:cs="Arial" w:eastAsia="Arial" w:hAnsi="Arial"/>
          <w:sz w:val="17"/>
          <w:szCs w:val="17"/>
          <w:color w:val="auto"/>
        </w:rPr>
      </w:pPr>
    </w:p>
    <w:p>
      <w:pPr>
        <w:ind w:left="1480" w:right="20" w:hanging="572"/>
        <w:spacing w:after="0" w:line="297"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Purchase of Insulin</w:t>
      </w:r>
      <w:r>
        <w:rPr>
          <w:rFonts w:ascii="Arial" w:cs="Arial" w:eastAsia="Arial" w:hAnsi="Arial"/>
          <w:sz w:val="16"/>
          <w:szCs w:val="16"/>
          <w:color w:val="auto"/>
        </w:rPr>
        <w:t>. By no later than December 3, 2016, Sanofi shall purchase $10,184,504.07 worth of Amphastar Insulin from MannKind, and MannKind shall sell and provide Sanofi with such amount of Insulin, in accordance with the terms of the Supply Agreement and on terms consistent with Sanofi’s purchases prior to the Effective Date of Amphastar Insulin pursuant to the Insulin Put Option.</w:t>
      </w:r>
    </w:p>
    <w:p>
      <w:pPr>
        <w:spacing w:after="0" w:line="63" w:lineRule="exact"/>
        <w:rPr>
          <w:rFonts w:ascii="Arial" w:cs="Arial" w:eastAsia="Arial" w:hAnsi="Arial"/>
          <w:sz w:val="16"/>
          <w:szCs w:val="16"/>
          <w:color w:val="auto"/>
        </w:rPr>
      </w:pPr>
    </w:p>
    <w:p>
      <w:pPr>
        <w:ind w:left="1480" w:hanging="572"/>
        <w:spacing w:after="0" w:line="285"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Satisfaction and Termination of Insulin Put Option</w:t>
      </w:r>
      <w:r>
        <w:rPr>
          <w:rFonts w:ascii="Arial" w:cs="Arial" w:eastAsia="Arial" w:hAnsi="Arial"/>
          <w:sz w:val="16"/>
          <w:szCs w:val="16"/>
          <w:color w:val="auto"/>
        </w:rPr>
        <w:t>. Sanofi and the MK Entities hereby confirm and agree to terminate the Insulin Put Option as of the Effective Date, and do hereby terminate the Insulin Put Option subject to Sanofi’s final purchase and MannKind’s final sale referred to in Section 3(a) above. Within sixty (60) days after the Effective Date, Sanofi shall pay MannKind $30,553,512.21 as acceleration, and in replacement, of all other payments Sanofi would otherwise have been required to make in the future pursuant to the Insulin Put Option. Sanofi releases MannKind from its obligation to sell, and MannKind releases Sanofi from any obligation to purchase, any additional Insulin.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92"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3</w:t>
      </w:r>
    </w:p>
    <w:p>
      <w:pPr>
        <w:sectPr>
          <w:pgSz w:w="11900" w:h="16838" w:orient="portrait"/>
          <w:cols w:equalWidth="0" w:num="1">
            <w:col w:w="11420"/>
          </w:cols>
          <w:pgMar w:left="240" w:top="26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58" w:lineRule="exact"/>
        <w:rPr>
          <w:sz w:val="20"/>
          <w:szCs w:val="20"/>
          <w:color w:val="auto"/>
        </w:rPr>
      </w:pPr>
    </w:p>
    <w:p>
      <w:pPr>
        <w:ind w:left="460" w:right="80" w:hanging="455"/>
        <w:spacing w:after="0" w:line="330"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Forgiveness of RSM Audit Money</w:t>
      </w:r>
      <w:r>
        <w:rPr>
          <w:rFonts w:ascii="Arial" w:cs="Arial" w:eastAsia="Arial" w:hAnsi="Arial"/>
          <w:sz w:val="16"/>
          <w:szCs w:val="16"/>
          <w:color w:val="auto"/>
        </w:rPr>
        <w:t>. Sanofi (on behalf of itself and its Affiliates) hereby releases the MK Entities from any obligation to pay Sanofi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Affiliates) the $461,649.00 in uncharged costs identified in that certain September 28, 2016 audit performed by RSM US LLP.</w:t>
      </w:r>
    </w:p>
    <w:p>
      <w:pPr>
        <w:spacing w:after="0" w:line="30" w:lineRule="exact"/>
        <w:rPr>
          <w:rFonts w:ascii="Arial" w:cs="Arial" w:eastAsia="Arial" w:hAnsi="Arial"/>
          <w:sz w:val="16"/>
          <w:szCs w:val="16"/>
          <w:color w:val="auto"/>
        </w:rPr>
      </w:pPr>
    </w:p>
    <w:p>
      <w:pPr>
        <w:ind w:left="460" w:hanging="45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b w:val="1"/>
          <w:bCs w:val="1"/>
          <w:u w:val="single" w:color="auto"/>
          <w:color w:val="auto"/>
        </w:rPr>
        <w:t>Mutual Releases and Covenants Not to Sue or Assist</w:t>
      </w:r>
      <w:r>
        <w:rPr>
          <w:rFonts w:ascii="Arial" w:cs="Arial" w:eastAsia="Arial" w:hAnsi="Arial"/>
          <w:sz w:val="17"/>
          <w:szCs w:val="17"/>
          <w:color w:val="auto"/>
        </w:rPr>
        <w:t>.</w:t>
      </w:r>
    </w:p>
    <w:p>
      <w:pPr>
        <w:spacing w:after="0" w:line="137" w:lineRule="exact"/>
        <w:rPr>
          <w:rFonts w:ascii="Arial" w:cs="Arial" w:eastAsia="Arial" w:hAnsi="Arial"/>
          <w:sz w:val="17"/>
          <w:szCs w:val="17"/>
          <w:color w:val="auto"/>
        </w:rPr>
      </w:pPr>
    </w:p>
    <w:p>
      <w:pPr>
        <w:ind w:left="1480" w:right="20" w:hanging="572"/>
        <w:spacing w:after="0" w:line="297"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MannKind Release and Covenant Not to Sue</w:t>
      </w:r>
      <w:r>
        <w:rPr>
          <w:rFonts w:ascii="Arial" w:cs="Arial" w:eastAsia="Arial" w:hAnsi="Arial"/>
          <w:sz w:val="16"/>
          <w:szCs w:val="16"/>
          <w:color w:val="auto"/>
        </w:rPr>
        <w:t>. The MK Entities, on behalf of themselves, and all of their Related Parties, hereby fully and forever, irrevocably and unconditionally: (i) release, acquit and forever discharge all their Potential Claims against any Sanofi Entity or any of its Related Parties; and (ii) covenant and agree never to bring, assert, pursue, maintain, or join in any such Potential Claim.</w:t>
      </w:r>
    </w:p>
    <w:p>
      <w:pPr>
        <w:spacing w:after="0" w:line="63" w:lineRule="exact"/>
        <w:rPr>
          <w:rFonts w:ascii="Arial" w:cs="Arial" w:eastAsia="Arial" w:hAnsi="Arial"/>
          <w:sz w:val="16"/>
          <w:szCs w:val="16"/>
          <w:color w:val="auto"/>
        </w:rPr>
      </w:pPr>
    </w:p>
    <w:p>
      <w:pPr>
        <w:ind w:left="1480" w:right="40" w:hanging="572"/>
        <w:spacing w:after="0" w:line="267" w:lineRule="auto"/>
        <w:tabs>
          <w:tab w:leader="none" w:pos="148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MannKind Covenant Not to Assist</w:t>
      </w:r>
      <w:r>
        <w:rPr>
          <w:rFonts w:ascii="Arial" w:cs="Arial" w:eastAsia="Arial" w:hAnsi="Arial"/>
          <w:sz w:val="17"/>
          <w:szCs w:val="17"/>
          <w:color w:val="auto"/>
        </w:rPr>
        <w:t>. The MK Entities, on behalf of themselves and all of their Related Parties, hereby fully and forever, irrevocably and unconditionally covenant and agree never to directly or indirectly finance, fund, encourage, solicit, assist, or otherwise support any Potential Claim brought against any Sanofi Entity and any of its Related Parties by any other Person (including any Related Party of the MK Entities, or any third Person).</w:t>
      </w:r>
    </w:p>
    <w:p>
      <w:pPr>
        <w:spacing w:after="0" w:line="86" w:lineRule="exact"/>
        <w:rPr>
          <w:rFonts w:ascii="Arial" w:cs="Arial" w:eastAsia="Arial" w:hAnsi="Arial"/>
          <w:sz w:val="17"/>
          <w:szCs w:val="17"/>
          <w:color w:val="auto"/>
        </w:rPr>
      </w:pPr>
    </w:p>
    <w:p>
      <w:pPr>
        <w:ind w:left="1480" w:right="320" w:hanging="572"/>
        <w:spacing w:after="0" w:line="297"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Sanofi Release and Covenant Not to Sue</w:t>
      </w:r>
      <w:r>
        <w:rPr>
          <w:rFonts w:ascii="Arial" w:cs="Arial" w:eastAsia="Arial" w:hAnsi="Arial"/>
          <w:sz w:val="16"/>
          <w:szCs w:val="16"/>
          <w:color w:val="auto"/>
        </w:rPr>
        <w:t>. The Sanofi Entities, on behalf of themselves and all of their Related Parties, hereby fully and forever, irrevocably and unconditionally: (i) release, acquit and forever discharge all of their Potential Claims against each MK Entity and each of its Related Parties; and (ii) covenant and agree never to bring, assert, pursue, maintain, or join in any such Potential Claim.</w:t>
      </w:r>
    </w:p>
    <w:p>
      <w:pPr>
        <w:spacing w:after="0" w:line="63" w:lineRule="exact"/>
        <w:rPr>
          <w:rFonts w:ascii="Arial" w:cs="Arial" w:eastAsia="Arial" w:hAnsi="Arial"/>
          <w:sz w:val="16"/>
          <w:szCs w:val="16"/>
          <w:color w:val="auto"/>
        </w:rPr>
      </w:pPr>
    </w:p>
    <w:p>
      <w:pPr>
        <w:ind w:left="1480" w:right="20" w:hanging="572"/>
        <w:spacing w:after="0" w:line="267" w:lineRule="auto"/>
        <w:tabs>
          <w:tab w:leader="none" w:pos="148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Sanofi Covenant Not to Assist</w:t>
      </w:r>
      <w:r>
        <w:rPr>
          <w:rFonts w:ascii="Arial" w:cs="Arial" w:eastAsia="Arial" w:hAnsi="Arial"/>
          <w:sz w:val="17"/>
          <w:szCs w:val="17"/>
          <w:color w:val="auto"/>
        </w:rPr>
        <w:t>. The Sanofi Entities, on behalf of themselves and all of their Related Parties, hereby fully and forever, irrevocably and unconditionally covenant and agree never to directly or indirectly finance, fund, encourage, solicit, assist, or otherwise support any Potential Claim brought against any MK Entity and any of its Related Parties by any other Person (including any Related Party of the Sanofi Entities, or any third Person).</w:t>
      </w:r>
    </w:p>
    <w:p>
      <w:pPr>
        <w:spacing w:after="0" w:line="86" w:lineRule="exact"/>
        <w:rPr>
          <w:rFonts w:ascii="Arial" w:cs="Arial" w:eastAsia="Arial" w:hAnsi="Arial"/>
          <w:sz w:val="17"/>
          <w:szCs w:val="17"/>
          <w:color w:val="auto"/>
        </w:rPr>
      </w:pPr>
    </w:p>
    <w:p>
      <w:pPr>
        <w:ind w:left="1480" w:right="180" w:hanging="572"/>
        <w:spacing w:after="0" w:line="273" w:lineRule="auto"/>
        <w:tabs>
          <w:tab w:leader="none" w:pos="148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Waiver of Statutory Provisions</w:t>
      </w:r>
      <w:r>
        <w:rPr>
          <w:rFonts w:ascii="Arial" w:cs="Arial" w:eastAsia="Arial" w:hAnsi="Arial"/>
          <w:sz w:val="17"/>
          <w:szCs w:val="17"/>
          <w:color w:val="auto"/>
        </w:rPr>
        <w:t>. The Parties (on behalf of themselves, their Affiliates, and their Related Parties) expressly waive any right or benefit that may be available under Section 1542 of the California Civil Code or any similar laws of any other jurisdiction. Section 1542 of the California Civil Code provides:</w:t>
      </w:r>
    </w:p>
    <w:p>
      <w:pPr>
        <w:spacing w:after="0" w:line="79" w:lineRule="exact"/>
        <w:rPr>
          <w:rFonts w:ascii="Arial" w:cs="Arial" w:eastAsia="Arial" w:hAnsi="Arial"/>
          <w:sz w:val="17"/>
          <w:szCs w:val="17"/>
          <w:color w:val="auto"/>
        </w:rPr>
      </w:pPr>
    </w:p>
    <w:p>
      <w:pPr>
        <w:ind w:left="1480" w:right="380"/>
        <w:spacing w:after="0" w:line="289" w:lineRule="auto"/>
        <w:rPr>
          <w:rFonts w:ascii="Arial" w:cs="Arial" w:eastAsia="Arial" w:hAnsi="Arial"/>
          <w:sz w:val="17"/>
          <w:szCs w:val="17"/>
          <w:color w:val="auto"/>
        </w:rPr>
      </w:pPr>
      <w:r>
        <w:rPr>
          <w:rFonts w:ascii="Arial" w:cs="Arial" w:eastAsia="Arial" w:hAnsi="Arial"/>
          <w:sz w:val="17"/>
          <w:szCs w:val="17"/>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66" w:lineRule="exact"/>
        <w:rPr>
          <w:rFonts w:ascii="Arial" w:cs="Arial" w:eastAsia="Arial" w:hAnsi="Arial"/>
          <w:sz w:val="17"/>
          <w:szCs w:val="17"/>
          <w:color w:val="auto"/>
        </w:rPr>
      </w:pPr>
    </w:p>
    <w:p>
      <w:pPr>
        <w:ind w:left="1480" w:right="80" w:hanging="572"/>
        <w:spacing w:after="0" w:line="273" w:lineRule="auto"/>
        <w:tabs>
          <w:tab w:leader="none" w:pos="148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 Release of Certain Transition Agreement Obligations</w:t>
      </w:r>
      <w:r>
        <w:rPr>
          <w:rFonts w:ascii="Arial" w:cs="Arial" w:eastAsia="Arial" w:hAnsi="Arial"/>
          <w:sz w:val="17"/>
          <w:szCs w:val="17"/>
          <w:color w:val="auto"/>
        </w:rPr>
        <w:t xml:space="preserve">. The releases and covenants granted by the MK Entities in this Section 5 will not release Sanofi’s remaining obligations under the Transition Agreement specifically listed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of this Agreement, to be completed by the dates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0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99"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4</w:t>
      </w:r>
    </w:p>
    <w:p>
      <w:pPr>
        <w:sectPr>
          <w:pgSz w:w="11900" w:h="16838" w:orient="portrait"/>
          <w:cols w:equalWidth="0" w:num="1">
            <w:col w:w="11420"/>
          </w:cols>
          <w:pgMar w:left="240" w:top="26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58" w:lineRule="exact"/>
        <w:rPr>
          <w:sz w:val="20"/>
          <w:szCs w:val="20"/>
          <w:color w:val="auto"/>
        </w:rPr>
      </w:pPr>
    </w:p>
    <w:p>
      <w:pPr>
        <w:ind w:left="460" w:hanging="455"/>
        <w:spacing w:after="0" w:line="302"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b w:val="1"/>
          <w:bCs w:val="1"/>
          <w:u w:val="single" w:color="auto"/>
          <w:color w:val="auto"/>
        </w:rPr>
        <w:t>No Admission of Liability</w:t>
      </w:r>
      <w:r>
        <w:rPr>
          <w:rFonts w:ascii="Arial" w:cs="Arial" w:eastAsia="Arial" w:hAnsi="Arial"/>
          <w:sz w:val="15"/>
          <w:szCs w:val="15"/>
          <w:color w:val="auto"/>
        </w:rPr>
        <w:t>. It is understood and agreed by the Parties that the execution of this Agreement, the mutual releases contained herein,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by the Parties of their obligations contained in this Agreement (including the payments made, and releases of indebtedness granted, by the Sanofi Entities) do not constitute an admission of any wrongdoing or liability whatsoever. This Agreement is a compromise in settlement of disputed claims, and is not to be construed as an admission for any purpose other than as necessary to enforce the terms of this Agreement. Neither this Agreement, nor the statements contained herein, nor any act foregone or performed pursuant to or in furtherance of this Agreement, is or may be deemed to be or may be used as an admission of, or evidence of, the validity of any right, claim or defense, or in any way referred to for any reason as against any of the Parties hereto in any proceeding in any court or tribunal; provided, however, that once signed, the Parties may refer to this Agreement as evidence of, and to effectuate, the terms and conditions of this Agreement and the protections granted hereunder, and to enforce or otherwise effectuate the terms of this Agreement.</w:t>
      </w:r>
    </w:p>
    <w:p>
      <w:pPr>
        <w:spacing w:after="0" w:line="57" w:lineRule="exact"/>
        <w:rPr>
          <w:rFonts w:ascii="Arial" w:cs="Arial" w:eastAsia="Arial" w:hAnsi="Arial"/>
          <w:sz w:val="15"/>
          <w:szCs w:val="15"/>
          <w:color w:val="auto"/>
        </w:rPr>
      </w:pPr>
    </w:p>
    <w:p>
      <w:pPr>
        <w:ind w:left="460" w:right="120" w:hanging="455"/>
        <w:spacing w:after="0" w:line="296"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The Parties hereby acknowledge and agree that the provisions of the LCA and Transition Agreement with respect to obligations regarding</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confidentiality and Confidential Information shall remain in effect.</w:t>
      </w:r>
    </w:p>
    <w:p>
      <w:pPr>
        <w:spacing w:after="0" w:line="54" w:lineRule="exact"/>
        <w:rPr>
          <w:rFonts w:ascii="Arial" w:cs="Arial" w:eastAsia="Arial" w:hAnsi="Arial"/>
          <w:sz w:val="17"/>
          <w:szCs w:val="17"/>
          <w:color w:val="auto"/>
        </w:rPr>
      </w:pPr>
    </w:p>
    <w:p>
      <w:pPr>
        <w:ind w:left="460" w:right="20" w:hanging="455"/>
        <w:spacing w:after="0" w:line="278"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Press Releases</w:t>
      </w:r>
      <w:r>
        <w:rPr>
          <w:rFonts w:ascii="Arial" w:cs="Arial" w:eastAsia="Arial" w:hAnsi="Arial"/>
          <w:sz w:val="16"/>
          <w:szCs w:val="16"/>
          <w:color w:val="auto"/>
        </w:rPr>
        <w:t>. As soon as practicable following the execution of this Agreement, MannKind may issue a press release announcing the existence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and the transactions contemplated herein, but such press release must be in the form attached to this Agreement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Except as required by Applicable Laws, including disclosure requirements of the SEC, the NASDAQ stock exchange or any other stock exchange on which securities issued by a Party or its Affiliates are traded, neither Party shall make any published announcement concerning this Agreement or the transactions contemplated herein without the prior written consent of the other, which shall not be unreasonably withheld or delayed; provided, that it shall not be unreasonable for a Party to withhold consent with respect to any published announcement containing any of such Party’s Confidential Information. In the event of a required published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 In the event MannKind receives any third party inquiries regarding the License and Supply Arrangement, the Transition Agreement, the Promissory Note, the Security Agreement, this Agreement, or its relationship with the Sanofi Entities, MannKind shall only reply to such inquiries using a form materially similar as attached to this Agreement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in a form approved by written consent of Sanofi (such consent not to be unreasonably withheld or delayed).</w:t>
      </w:r>
    </w:p>
    <w:p>
      <w:pPr>
        <w:spacing w:after="0" w:line="74" w:lineRule="exact"/>
        <w:rPr>
          <w:rFonts w:ascii="Arial" w:cs="Arial" w:eastAsia="Arial" w:hAnsi="Arial"/>
          <w:sz w:val="16"/>
          <w:szCs w:val="16"/>
          <w:color w:val="auto"/>
        </w:rPr>
      </w:pPr>
    </w:p>
    <w:p>
      <w:pPr>
        <w:ind w:left="460" w:right="180" w:hanging="455"/>
        <w:spacing w:after="0" w:line="30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Bankruptcy Event</w:t>
      </w:r>
      <w:r>
        <w:rPr>
          <w:rFonts w:ascii="Arial" w:cs="Arial" w:eastAsia="Arial" w:hAnsi="Arial"/>
          <w:sz w:val="16"/>
          <w:szCs w:val="16"/>
          <w:color w:val="auto"/>
        </w:rPr>
        <w:t>. The Parties hereby agree that in the event MannKind becomes a debtor under the Bankruptcy Laws, and this Agreement is rejected or</w:t>
      </w:r>
      <w:r>
        <w:rPr>
          <w:rFonts w:ascii="Arial" w:cs="Arial" w:eastAsia="Arial" w:hAnsi="Arial"/>
          <w:sz w:val="16"/>
          <w:szCs w:val="16"/>
          <w:b w:val="1"/>
          <w:bCs w:val="1"/>
          <w:color w:val="auto"/>
        </w:rPr>
        <w:t xml:space="preserve"> </w:t>
      </w:r>
      <w:r>
        <w:rPr>
          <w:rFonts w:ascii="Arial" w:cs="Arial" w:eastAsia="Arial" w:hAnsi="Arial"/>
          <w:sz w:val="16"/>
          <w:szCs w:val="16"/>
          <w:color w:val="auto"/>
        </w:rPr>
        <w:t>avoided in accordance with Bankruptcy Laws with the result that Sanofi loses the benefits of sections 5(a) and 5(b) hereunder, then the parties shall be returned to their pre-settlement positions and Sanofi shall be entitled to damages resulting from MannKind’s breach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79"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5</w:t>
      </w:r>
    </w:p>
    <w:p>
      <w:pPr>
        <w:sectPr>
          <w:pgSz w:w="11900" w:h="16838" w:orient="portrait"/>
          <w:cols w:equalWidth="0" w:num="1">
            <w:col w:w="11420"/>
          </w:cols>
          <w:pgMar w:left="240" w:top="26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58" w:lineRule="exact"/>
        <w:rPr>
          <w:sz w:val="20"/>
          <w:szCs w:val="20"/>
          <w:color w:val="auto"/>
        </w:rPr>
      </w:pPr>
    </w:p>
    <w:p>
      <w:pPr>
        <w:ind w:left="460" w:right="40" w:hanging="455"/>
        <w:spacing w:after="0" w:line="263"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Advice of Counsel</w:t>
      </w:r>
      <w:r>
        <w:rPr>
          <w:rFonts w:ascii="Arial" w:cs="Arial" w:eastAsia="Arial" w:hAnsi="Arial"/>
          <w:sz w:val="17"/>
          <w:szCs w:val="17"/>
          <w:color w:val="auto"/>
        </w:rPr>
        <w:t>. The Parties acknowledge that they have consulted with sophisticated attorney(s) of their own choosing regarding the rights,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terms of this Agreement, that they have entered into this Agreement knowingly, freely and voluntarily without coercion or undue influence, and that they have negotiated such terms at arm’s length and that they intend to be bound hereby. Each Party has undertaken such independent investigation and evaluation as it deems appropriate and is entering this Agreement in reliance on the Party’s own investigation and advice, and not in reliance on any advice, disclosure, representation, or information provided by or expected from any other Party or Party’s lawyers, except as expressly stated in this Agreement. Each Party assumes the risk that the facts or law may be other than it believes, and as such each Party agrees that no misunderstanding or misinformation of fact or law shall be a ground for rescission hereof.</w:t>
      </w:r>
    </w:p>
    <w:p>
      <w:pPr>
        <w:spacing w:after="0" w:line="85" w:lineRule="exact"/>
        <w:rPr>
          <w:rFonts w:ascii="Arial" w:cs="Arial" w:eastAsia="Arial" w:hAnsi="Arial"/>
          <w:sz w:val="17"/>
          <w:szCs w:val="17"/>
          <w:color w:val="auto"/>
        </w:rPr>
      </w:pPr>
    </w:p>
    <w:p>
      <w:pPr>
        <w:ind w:left="460" w:hanging="455"/>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Warranties and Covenants</w:t>
      </w:r>
      <w:r>
        <w:rPr>
          <w:rFonts w:ascii="Arial" w:cs="Arial" w:eastAsia="Arial" w:hAnsi="Arial"/>
          <w:sz w:val="17"/>
          <w:szCs w:val="17"/>
          <w:u w:val="single" w:color="auto"/>
          <w:color w:val="auto"/>
        </w:rPr>
        <w:t>.</w:t>
      </w:r>
    </w:p>
    <w:p>
      <w:pPr>
        <w:spacing w:after="0" w:line="137" w:lineRule="exact"/>
        <w:rPr>
          <w:rFonts w:ascii="Arial" w:cs="Arial" w:eastAsia="Arial" w:hAnsi="Arial"/>
          <w:sz w:val="17"/>
          <w:szCs w:val="17"/>
          <w:color w:val="auto"/>
        </w:rPr>
      </w:pPr>
    </w:p>
    <w:p>
      <w:pPr>
        <w:ind w:left="1480" w:hanging="572"/>
        <w:spacing w:after="0"/>
        <w:tabs>
          <w:tab w:leader="none" w:pos="148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MK Entities</w:t>
      </w:r>
      <w:r>
        <w:rPr>
          <w:rFonts w:ascii="Arial" w:cs="Arial" w:eastAsia="Arial" w:hAnsi="Arial"/>
          <w:sz w:val="16"/>
          <w:szCs w:val="16"/>
          <w:color w:val="auto"/>
        </w:rPr>
        <w:t>. As of the Effective Date, the MK Entities signing this Agreement represent, warrant and covenant to the Sanofi Entities that:</w:t>
      </w:r>
    </w:p>
    <w:p>
      <w:pPr>
        <w:spacing w:after="0" w:line="143" w:lineRule="exact"/>
        <w:rPr>
          <w:rFonts w:ascii="Arial" w:cs="Arial" w:eastAsia="Arial" w:hAnsi="Arial"/>
          <w:sz w:val="16"/>
          <w:szCs w:val="16"/>
          <w:color w:val="auto"/>
        </w:rPr>
      </w:pPr>
    </w:p>
    <w:p>
      <w:pPr>
        <w:ind w:left="1920" w:right="20" w:hanging="436"/>
        <w:spacing w:after="0" w:line="359" w:lineRule="auto"/>
        <w:tabs>
          <w:tab w:leader="none" w:pos="1920" w:val="left"/>
        </w:tabs>
        <w:numPr>
          <w:ilvl w:val="2"/>
          <w:numId w:val="43"/>
        </w:numPr>
        <w:rPr>
          <w:rFonts w:ascii="Arial" w:cs="Arial" w:eastAsia="Arial" w:hAnsi="Arial"/>
          <w:sz w:val="15"/>
          <w:szCs w:val="15"/>
          <w:color w:val="auto"/>
        </w:rPr>
      </w:pPr>
      <w:r>
        <w:rPr>
          <w:rFonts w:ascii="Arial" w:cs="Arial" w:eastAsia="Arial" w:hAnsi="Arial"/>
          <w:sz w:val="15"/>
          <w:szCs w:val="15"/>
          <w:color w:val="auto"/>
        </w:rPr>
        <w:t>they have all requisite legal right, power and authority to execute, deliver and perform this Agreement and grant the releases, covenants and other rights granted by the applicable parties in this Agreement, without restriction or requirement of consent of any other Person;</w:t>
      </w:r>
    </w:p>
    <w:p>
      <w:pPr>
        <w:spacing w:after="0" w:line="20" w:lineRule="exact"/>
        <w:rPr>
          <w:rFonts w:ascii="Arial" w:cs="Arial" w:eastAsia="Arial" w:hAnsi="Arial"/>
          <w:sz w:val="15"/>
          <w:szCs w:val="15"/>
          <w:color w:val="auto"/>
        </w:rPr>
      </w:pPr>
    </w:p>
    <w:p>
      <w:pPr>
        <w:ind w:left="1920" w:hanging="436"/>
        <w:spacing w:after="0"/>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no MK Entity nor any of its respective Related Parties have assigned any Potential Claims to any third party;</w:t>
      </w:r>
    </w:p>
    <w:p>
      <w:pPr>
        <w:spacing w:after="0" w:line="131" w:lineRule="exact"/>
        <w:rPr>
          <w:rFonts w:ascii="Arial" w:cs="Arial" w:eastAsia="Arial" w:hAnsi="Arial"/>
          <w:sz w:val="17"/>
          <w:szCs w:val="17"/>
          <w:color w:val="auto"/>
        </w:rPr>
      </w:pPr>
    </w:p>
    <w:p>
      <w:pPr>
        <w:ind w:left="1920" w:right="120" w:hanging="436"/>
        <w:spacing w:after="0" w:line="289" w:lineRule="auto"/>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no MK Entity has granted, and no MK Entity shall grant, any rights to any Person that would conflict with, or prevent, the grant of the releases, covenants, and other rights granted hereunder;</w:t>
      </w:r>
    </w:p>
    <w:p>
      <w:pPr>
        <w:spacing w:after="0" w:line="66" w:lineRule="exact"/>
        <w:rPr>
          <w:rFonts w:ascii="Arial" w:cs="Arial" w:eastAsia="Arial" w:hAnsi="Arial"/>
          <w:sz w:val="17"/>
          <w:szCs w:val="17"/>
          <w:color w:val="auto"/>
        </w:rPr>
      </w:pPr>
    </w:p>
    <w:p>
      <w:pPr>
        <w:ind w:left="1920" w:right="180" w:hanging="436"/>
        <w:spacing w:after="0" w:line="289" w:lineRule="auto"/>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there are no liens, conveyances, mortgages, assignments, encumbrances, or other contracts that would prevent or impair their full and complete performance of the terms and conditions of this Agreement;</w:t>
      </w:r>
    </w:p>
    <w:p>
      <w:pPr>
        <w:spacing w:after="0" w:line="66" w:lineRule="exact"/>
        <w:rPr>
          <w:rFonts w:ascii="Arial" w:cs="Arial" w:eastAsia="Arial" w:hAnsi="Arial"/>
          <w:sz w:val="17"/>
          <w:szCs w:val="17"/>
          <w:color w:val="auto"/>
        </w:rPr>
      </w:pPr>
    </w:p>
    <w:p>
      <w:pPr>
        <w:ind w:left="1920" w:hanging="436"/>
        <w:spacing w:after="0"/>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MK Entities are not aware of any third Person who has asserted or intends to assert a Potential Claim;</w:t>
      </w:r>
    </w:p>
    <w:p>
      <w:pPr>
        <w:spacing w:after="0" w:line="131" w:lineRule="exact"/>
        <w:rPr>
          <w:rFonts w:ascii="Arial" w:cs="Arial" w:eastAsia="Arial" w:hAnsi="Arial"/>
          <w:sz w:val="17"/>
          <w:szCs w:val="17"/>
          <w:color w:val="auto"/>
        </w:rPr>
      </w:pPr>
    </w:p>
    <w:p>
      <w:pPr>
        <w:ind w:left="1920" w:right="540" w:hanging="436"/>
        <w:spacing w:after="0" w:line="289" w:lineRule="auto"/>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they have the authority to settle and compromise all of the MK Entities’, and their Related Parties’, Potential Claims without the necessity of obtaining the consent of any other Person;</w:t>
      </w:r>
    </w:p>
    <w:p>
      <w:pPr>
        <w:spacing w:after="0" w:line="66" w:lineRule="exact"/>
        <w:rPr>
          <w:rFonts w:ascii="Arial" w:cs="Arial" w:eastAsia="Arial" w:hAnsi="Arial"/>
          <w:sz w:val="17"/>
          <w:szCs w:val="17"/>
          <w:color w:val="auto"/>
        </w:rPr>
      </w:pPr>
    </w:p>
    <w:p>
      <w:pPr>
        <w:ind w:left="1920" w:right="120" w:hanging="436"/>
        <w:spacing w:after="0" w:line="289" w:lineRule="auto"/>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transactions contemplated by this Agreement and the Pay-Off Letter constitute the exchange of reasonable equivalent value for the benefits provided by each Party to the other Party;</w:t>
      </w:r>
    </w:p>
    <w:p>
      <w:pPr>
        <w:spacing w:after="0" w:line="66" w:lineRule="exact"/>
        <w:rPr>
          <w:rFonts w:ascii="Arial" w:cs="Arial" w:eastAsia="Arial" w:hAnsi="Arial"/>
          <w:sz w:val="17"/>
          <w:szCs w:val="17"/>
          <w:color w:val="auto"/>
        </w:rPr>
      </w:pPr>
    </w:p>
    <w:p>
      <w:pPr>
        <w:ind w:left="1920" w:hanging="436"/>
        <w:spacing w:after="0"/>
        <w:tabs>
          <w:tab w:leader="none" w:pos="192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MK Entities are generally able to pay their debts and satisfy their obligations as they come due;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7250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1"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6</w:t>
      </w:r>
    </w:p>
    <w:p>
      <w:pPr>
        <w:sectPr>
          <w:pgSz w:w="11900" w:h="16838" w:orient="portrait"/>
          <w:cols w:equalWidth="0" w:num="1">
            <w:col w:w="11420"/>
          </w:cols>
          <w:pgMar w:left="240" w:top="26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64" w:lineRule="exact"/>
        <w:rPr>
          <w:sz w:val="20"/>
          <w:szCs w:val="20"/>
          <w:color w:val="auto"/>
        </w:rPr>
      </w:pPr>
    </w:p>
    <w:p>
      <w:pPr>
        <w:ind w:left="1920" w:right="80" w:hanging="436"/>
        <w:spacing w:after="0" w:line="289" w:lineRule="auto"/>
        <w:tabs>
          <w:tab w:leader="none" w:pos="1920" w:val="left"/>
        </w:tabs>
        <w:numPr>
          <w:ilvl w:val="2"/>
          <w:numId w:val="44"/>
        </w:numPr>
        <w:rPr>
          <w:rFonts w:ascii="Arial" w:cs="Arial" w:eastAsia="Arial" w:hAnsi="Arial"/>
          <w:sz w:val="17"/>
          <w:szCs w:val="17"/>
          <w:color w:val="auto"/>
        </w:rPr>
      </w:pPr>
      <w:r>
        <w:rPr>
          <w:rFonts w:ascii="Arial" w:cs="Arial" w:eastAsia="Arial" w:hAnsi="Arial"/>
          <w:sz w:val="17"/>
          <w:szCs w:val="17"/>
          <w:color w:val="auto"/>
        </w:rPr>
        <w:t>the MK Entities have not been, and as of the Effective Date are not presently engaged in, discussions with any creditors relating to any filings by MannKind under any Bankruptcy Laws or similar proceedings.</w:t>
      </w:r>
    </w:p>
    <w:p>
      <w:pPr>
        <w:spacing w:after="0" w:line="66" w:lineRule="exact"/>
        <w:rPr>
          <w:rFonts w:ascii="Arial" w:cs="Arial" w:eastAsia="Arial" w:hAnsi="Arial"/>
          <w:sz w:val="17"/>
          <w:szCs w:val="17"/>
          <w:color w:val="auto"/>
        </w:rPr>
      </w:pPr>
    </w:p>
    <w:p>
      <w:pPr>
        <w:ind w:left="1480" w:hanging="572"/>
        <w:spacing w:after="0"/>
        <w:tabs>
          <w:tab w:leader="none" w:pos="1480"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Sanofi</w:t>
      </w:r>
      <w:r>
        <w:rPr>
          <w:rFonts w:ascii="Arial" w:cs="Arial" w:eastAsia="Arial" w:hAnsi="Arial"/>
          <w:sz w:val="17"/>
          <w:szCs w:val="17"/>
          <w:color w:val="auto"/>
        </w:rPr>
        <w:t>. As of the Effective Date, Sanofi represents, warrants and covenants to the MK Entities that:</w:t>
      </w:r>
    </w:p>
    <w:p>
      <w:pPr>
        <w:spacing w:after="0" w:line="131" w:lineRule="exact"/>
        <w:rPr>
          <w:rFonts w:ascii="Arial" w:cs="Arial" w:eastAsia="Arial" w:hAnsi="Arial"/>
          <w:sz w:val="17"/>
          <w:szCs w:val="17"/>
          <w:color w:val="auto"/>
        </w:rPr>
      </w:pPr>
    </w:p>
    <w:p>
      <w:pPr>
        <w:ind w:left="1920" w:right="340" w:hanging="436"/>
        <w:spacing w:after="0" w:line="273" w:lineRule="auto"/>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the Sanofi has all requisite legal right, power and authority to execute, deliver and perform this Agreement and grant the releases, covenants and other rights granted by the applicable parties in this Agreement, without restriction or requirement of consent of any other Person;</w:t>
      </w:r>
    </w:p>
    <w:p>
      <w:pPr>
        <w:spacing w:after="0" w:line="79" w:lineRule="exact"/>
        <w:rPr>
          <w:rFonts w:ascii="Arial" w:cs="Arial" w:eastAsia="Arial" w:hAnsi="Arial"/>
          <w:sz w:val="17"/>
          <w:szCs w:val="17"/>
          <w:color w:val="auto"/>
        </w:rPr>
      </w:pPr>
    </w:p>
    <w:p>
      <w:pPr>
        <w:ind w:left="1920" w:hanging="436"/>
        <w:spacing w:after="0"/>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no Sanofi Entity nor any of its respective Related Parties have assigned any Potential Claims to any third party;</w:t>
      </w:r>
    </w:p>
    <w:p>
      <w:pPr>
        <w:spacing w:after="0" w:line="131" w:lineRule="exact"/>
        <w:rPr>
          <w:rFonts w:ascii="Arial" w:cs="Arial" w:eastAsia="Arial" w:hAnsi="Arial"/>
          <w:sz w:val="17"/>
          <w:szCs w:val="17"/>
          <w:color w:val="auto"/>
        </w:rPr>
      </w:pPr>
    </w:p>
    <w:p>
      <w:pPr>
        <w:ind w:left="1920" w:right="40" w:hanging="436"/>
        <w:spacing w:after="0" w:line="289" w:lineRule="auto"/>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no Sanofi Entity has granted, and no Sanofi entity shall grant, any rights to any Person that would conflict with, or prevent, the grant of the releases, covenants, and other rights granted hereunder;</w:t>
      </w:r>
    </w:p>
    <w:p>
      <w:pPr>
        <w:spacing w:after="0" w:line="66" w:lineRule="exact"/>
        <w:rPr>
          <w:rFonts w:ascii="Arial" w:cs="Arial" w:eastAsia="Arial" w:hAnsi="Arial"/>
          <w:sz w:val="17"/>
          <w:szCs w:val="17"/>
          <w:color w:val="auto"/>
        </w:rPr>
      </w:pPr>
    </w:p>
    <w:p>
      <w:pPr>
        <w:ind w:left="1920" w:right="340" w:hanging="436"/>
        <w:spacing w:after="0" w:line="289" w:lineRule="auto"/>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there are no liens, conveyances, mortgages, assignments, encumbrances, or other contracts that would prevent or impair its full and complete performance of the terms and conditions of this Agreement;</w:t>
      </w:r>
    </w:p>
    <w:p>
      <w:pPr>
        <w:spacing w:after="0" w:line="66" w:lineRule="exact"/>
        <w:rPr>
          <w:rFonts w:ascii="Arial" w:cs="Arial" w:eastAsia="Arial" w:hAnsi="Arial"/>
          <w:sz w:val="17"/>
          <w:szCs w:val="17"/>
          <w:color w:val="auto"/>
        </w:rPr>
      </w:pPr>
    </w:p>
    <w:p>
      <w:pPr>
        <w:ind w:left="1920" w:hanging="436"/>
        <w:spacing w:after="0"/>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the Sanofi Entities are not aware of any third Person who has asserted or intends to assert a Potential Claim;</w:t>
      </w:r>
    </w:p>
    <w:p>
      <w:pPr>
        <w:spacing w:after="0" w:line="131" w:lineRule="exact"/>
        <w:rPr>
          <w:rFonts w:ascii="Arial" w:cs="Arial" w:eastAsia="Arial" w:hAnsi="Arial"/>
          <w:sz w:val="17"/>
          <w:szCs w:val="17"/>
          <w:color w:val="auto"/>
        </w:rPr>
      </w:pPr>
    </w:p>
    <w:p>
      <w:pPr>
        <w:ind w:left="1920" w:right="460" w:hanging="436"/>
        <w:spacing w:after="0" w:line="289" w:lineRule="auto"/>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it has the authority to settle and compromise all of the Sanofi Entities’, and the Sanofi Entities’ Related Parties’, Potential Claims without the necessity of obtaining the consent of any other Person; and</w:t>
      </w:r>
    </w:p>
    <w:p>
      <w:pPr>
        <w:spacing w:after="0" w:line="66" w:lineRule="exact"/>
        <w:rPr>
          <w:rFonts w:ascii="Arial" w:cs="Arial" w:eastAsia="Arial" w:hAnsi="Arial"/>
          <w:sz w:val="17"/>
          <w:szCs w:val="17"/>
          <w:color w:val="auto"/>
        </w:rPr>
      </w:pPr>
    </w:p>
    <w:p>
      <w:pPr>
        <w:ind w:left="1920" w:right="120" w:hanging="436"/>
        <w:spacing w:after="0" w:line="289" w:lineRule="auto"/>
        <w:tabs>
          <w:tab w:leader="none" w:pos="19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the transactions contemplated by this Agreement and the Pay-Off Letter constitute the exchange of reasonable equivalent value for the benefits provided by each Party to the other Party.</w:t>
      </w:r>
    </w:p>
    <w:p>
      <w:pPr>
        <w:spacing w:after="0" w:line="60" w:lineRule="exact"/>
        <w:rPr>
          <w:rFonts w:ascii="Arial" w:cs="Arial" w:eastAsia="Arial" w:hAnsi="Arial"/>
          <w:sz w:val="17"/>
          <w:szCs w:val="17"/>
          <w:color w:val="auto"/>
        </w:rPr>
      </w:pPr>
    </w:p>
    <w:p>
      <w:pPr>
        <w:ind w:left="460" w:right="200" w:hanging="455"/>
        <w:spacing w:after="0" w:line="29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Except as provided in this Agreement, the Parties agree that the indemnification obligations under the License and Supply Arrangement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Transition Agreement are terminated as of the Effective Date. For the avoidance of doubt, Sanofi hereby waives any right it has to indemnification by the MK Entities under any and all product liability lawsuits pending as of the Effective Date, and the MK Entities hereby waive any right they have to indemnification by the Sanofi Entities under any and all product liability lawsuits pending as of the Effective Date</w:t>
      </w:r>
      <w:r>
        <w:rPr>
          <w:rFonts w:ascii="Arial" w:cs="Arial" w:eastAsia="Arial" w:hAnsi="Arial"/>
          <w:sz w:val="16"/>
          <w:szCs w:val="16"/>
          <w:i w:val="1"/>
          <w:iCs w:val="1"/>
          <w:color w:val="auto"/>
        </w:rPr>
        <w:t>.</w:t>
      </w:r>
    </w:p>
    <w:p>
      <w:pPr>
        <w:spacing w:after="0" w:line="60" w:lineRule="exact"/>
        <w:rPr>
          <w:rFonts w:ascii="Arial" w:cs="Arial" w:eastAsia="Arial" w:hAnsi="Arial"/>
          <w:sz w:val="16"/>
          <w:szCs w:val="16"/>
          <w:color w:val="auto"/>
        </w:rPr>
      </w:pPr>
    </w:p>
    <w:p>
      <w:pPr>
        <w:ind w:left="460" w:right="160" w:hanging="455"/>
        <w:spacing w:after="0" w:line="270"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b w:val="1"/>
          <w:bCs w:val="1"/>
          <w:u w:val="single" w:color="auto"/>
          <w:color w:val="auto"/>
        </w:rPr>
        <w:t>Dispute Resolution</w:t>
      </w:r>
      <w:r>
        <w:rPr>
          <w:rFonts w:ascii="Arial" w:cs="Arial" w:eastAsia="Arial" w:hAnsi="Arial"/>
          <w:sz w:val="17"/>
          <w:szCs w:val="17"/>
          <w:color w:val="auto"/>
        </w:rPr>
        <w:t>. In the event of any dispute arising out of or relating to this Agreement or either Party’s rights or obligations hereunder,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Article 14 of the LCA shall apply and govern the procedure and resolution of any such dispute. In the event multiple disputes arise out of or relating to any combination of this Agreement, the Parties may join any or all such disputes, and the provisions of Article 14 of the LCA shall continue to apply and govern the procedure and resolution of any such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02"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7</w:t>
      </w:r>
    </w:p>
    <w:p>
      <w:pPr>
        <w:sectPr>
          <w:pgSz w:w="11900" w:h="16838" w:orient="portrait"/>
          <w:cols w:equalWidth="0" w:num="1">
            <w:col w:w="11420"/>
          </w:cols>
          <w:pgMar w:left="240" w:top="265"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58" w:lineRule="exact"/>
        <w:rPr>
          <w:sz w:val="20"/>
          <w:szCs w:val="20"/>
          <w:color w:val="auto"/>
        </w:rPr>
      </w:pPr>
    </w:p>
    <w:p>
      <w:pPr>
        <w:ind w:left="460" w:hanging="455"/>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Provisions</w:t>
      </w:r>
      <w:r>
        <w:rPr>
          <w:rFonts w:ascii="Arial" w:cs="Arial" w:eastAsia="Arial" w:hAnsi="Arial"/>
          <w:sz w:val="17"/>
          <w:szCs w:val="17"/>
          <w:b w:val="1"/>
          <w:bCs w:val="1"/>
          <w:color w:val="auto"/>
        </w:rPr>
        <w:t>.</w:t>
      </w:r>
    </w:p>
    <w:p>
      <w:pPr>
        <w:spacing w:after="0" w:line="137" w:lineRule="exact"/>
        <w:rPr>
          <w:rFonts w:ascii="Arial" w:cs="Arial" w:eastAsia="Arial" w:hAnsi="Arial"/>
          <w:sz w:val="17"/>
          <w:szCs w:val="17"/>
          <w:color w:val="auto"/>
        </w:rPr>
      </w:pPr>
    </w:p>
    <w:p>
      <w:pPr>
        <w:ind w:left="1480" w:right="100" w:hanging="572"/>
        <w:spacing w:after="0" w:line="278"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Intervening Events</w:t>
      </w:r>
      <w:r>
        <w:rPr>
          <w:rFonts w:ascii="Arial" w:cs="Arial" w:eastAsia="Arial" w:hAnsi="Arial"/>
          <w:sz w:val="16"/>
          <w:szCs w:val="16"/>
          <w:color w:val="auto"/>
        </w:rPr>
        <w:t>. If the performance of any part of this Agreement by either Party (other than making payment when due) is prevented, restricted, interfered with or delayed by any reason or cause beyond the reasonable control of such Party (including: fire, flood, embargo, power shortage or failure, acts of war, insurrection, riot, terrorism, strike, lockout or other labor disturbance (save where such strike, lockout, or other labor disturbance is initiated by the employees of the Party which seeks to rely on this clause), acts of God or any acts, omissions or delays in acting of the other Party) (an “</w:t>
      </w:r>
      <w:r>
        <w:rPr>
          <w:rFonts w:ascii="Arial" w:cs="Arial" w:eastAsia="Arial" w:hAnsi="Arial"/>
          <w:sz w:val="16"/>
          <w:szCs w:val="16"/>
          <w:u w:val="single" w:color="auto"/>
          <w:color w:val="auto"/>
        </w:rPr>
        <w:t>Intervening Event</w:t>
      </w:r>
      <w:r>
        <w:rPr>
          <w:rFonts w:ascii="Arial" w:cs="Arial" w:eastAsia="Arial" w:hAnsi="Arial"/>
          <w:sz w:val="16"/>
          <w:szCs w:val="16"/>
          <w:color w:val="auto"/>
        </w:rPr>
        <w:t>”), the Party so affected shall, upon giving written notice to the other Party, be excused from such performance to the extent of such Intervening Event, provided that the affected Party shall use its substantial efforts to avoid or remove such causes of non-performance and shall continue performance with the utmost dispatch whenever such causes are removed. If either Party becomes aware that such an Intervening Event has occurred, is imminent or likely, it will immediately notify the other Party. The Party which is subject to such Intervening Event shall exert all reasonable efforts to overcome it. Such Party will keep the other informed as to the progress of overcoming such Intervening Event.</w:t>
      </w:r>
    </w:p>
    <w:p>
      <w:pPr>
        <w:spacing w:after="0" w:line="81" w:lineRule="exact"/>
        <w:rPr>
          <w:rFonts w:ascii="Arial" w:cs="Arial" w:eastAsia="Arial" w:hAnsi="Arial"/>
          <w:sz w:val="16"/>
          <w:szCs w:val="16"/>
          <w:color w:val="auto"/>
        </w:rPr>
      </w:pPr>
    </w:p>
    <w:p>
      <w:pPr>
        <w:ind w:left="1480" w:right="240" w:hanging="572"/>
        <w:spacing w:after="0" w:line="267"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Performance by Affiliates/Related Parties</w:t>
      </w:r>
      <w:r>
        <w:rPr>
          <w:rFonts w:ascii="Arial" w:cs="Arial" w:eastAsia="Arial" w:hAnsi="Arial"/>
          <w:sz w:val="17"/>
          <w:szCs w:val="17"/>
          <w:color w:val="auto"/>
        </w:rPr>
        <w:t>. To the extent that this Agreement imposes obligations on Affiliates or Related Parties of a Party, such Party agrees to cause its Affiliates or Related Parties to perform such obligation. Either Party may use one or more of its Affiliates or Related Parties to perform its obligation hereunder, provided that the Parties will remain liable hereunder for the prompt payment and performance of all their respective obligations hereunder.</w:t>
      </w:r>
    </w:p>
    <w:p>
      <w:pPr>
        <w:spacing w:after="0" w:line="86" w:lineRule="exact"/>
        <w:rPr>
          <w:rFonts w:ascii="Arial" w:cs="Arial" w:eastAsia="Arial" w:hAnsi="Arial"/>
          <w:sz w:val="17"/>
          <w:szCs w:val="17"/>
          <w:color w:val="auto"/>
        </w:rPr>
      </w:pPr>
    </w:p>
    <w:p>
      <w:pPr>
        <w:ind w:left="1480" w:right="100" w:hanging="572"/>
        <w:spacing w:after="0" w:line="273"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amendment or modification of any provision of this Agreement shall be effective unless in a prior writing signed by all of MannKind and Sanofi. No provision of this Agreement shall be varied, contradicted or explained by any oral agreement, course of dealing or performance or any other matter not set forth in an agreement in writing and signed by the Parties hereto.</w:t>
      </w:r>
    </w:p>
    <w:p>
      <w:pPr>
        <w:spacing w:after="0" w:line="79" w:lineRule="exact"/>
        <w:rPr>
          <w:rFonts w:ascii="Arial" w:cs="Arial" w:eastAsia="Arial" w:hAnsi="Arial"/>
          <w:sz w:val="17"/>
          <w:szCs w:val="17"/>
          <w:color w:val="auto"/>
        </w:rPr>
      </w:pPr>
    </w:p>
    <w:p>
      <w:pPr>
        <w:jc w:val="both"/>
        <w:ind w:left="1480" w:right="220" w:hanging="572"/>
        <w:spacing w:after="0" w:line="273"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No Circumvention of this Agreement</w:t>
      </w:r>
      <w:r>
        <w:rPr>
          <w:rFonts w:ascii="Arial" w:cs="Arial" w:eastAsia="Arial" w:hAnsi="Arial"/>
          <w:sz w:val="17"/>
          <w:szCs w:val="17"/>
          <w:color w:val="auto"/>
        </w:rPr>
        <w:t>. The Parties, on behalf of themselves and all of their Affiliates and Related Parties, agree that none of them shall enter into any arrangements, formal or informal, with the purpose of circumventing the intent of the terms and conditions of this Agreement.</w:t>
      </w:r>
    </w:p>
    <w:p>
      <w:pPr>
        <w:spacing w:after="0" w:line="79" w:lineRule="exact"/>
        <w:rPr>
          <w:rFonts w:ascii="Arial" w:cs="Arial" w:eastAsia="Arial" w:hAnsi="Arial"/>
          <w:sz w:val="17"/>
          <w:szCs w:val="17"/>
          <w:color w:val="auto"/>
        </w:rPr>
      </w:pPr>
    </w:p>
    <w:p>
      <w:pPr>
        <w:ind w:left="1480" w:right="100" w:hanging="572"/>
        <w:spacing w:after="0" w:line="289"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 The Parties agree that each Sanofi Entity, each MK Entity and each of their respective Related Parties are intended third party beneficiaries of the releases and covenants provided under this Agreement.</w:t>
      </w:r>
    </w:p>
    <w:p>
      <w:pPr>
        <w:spacing w:after="0" w:line="66" w:lineRule="exact"/>
        <w:rPr>
          <w:rFonts w:ascii="Arial" w:cs="Arial" w:eastAsia="Arial" w:hAnsi="Arial"/>
          <w:sz w:val="17"/>
          <w:szCs w:val="17"/>
          <w:color w:val="auto"/>
        </w:rPr>
      </w:pPr>
    </w:p>
    <w:p>
      <w:pPr>
        <w:ind w:left="1480" w:hanging="572"/>
        <w:spacing w:after="0"/>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Incorporation of Recitals</w:t>
      </w:r>
      <w:r>
        <w:rPr>
          <w:rFonts w:ascii="Arial" w:cs="Arial" w:eastAsia="Arial" w:hAnsi="Arial"/>
          <w:sz w:val="16"/>
          <w:szCs w:val="16"/>
          <w:color w:val="auto"/>
        </w:rPr>
        <w:t>. The Parties hereby incorporate each of the Recitals stated above as material provisions of this Agreement.</w:t>
      </w:r>
    </w:p>
    <w:p>
      <w:pPr>
        <w:spacing w:after="0" w:line="143" w:lineRule="exact"/>
        <w:rPr>
          <w:rFonts w:ascii="Arial" w:cs="Arial" w:eastAsia="Arial" w:hAnsi="Arial"/>
          <w:sz w:val="16"/>
          <w:szCs w:val="16"/>
          <w:color w:val="auto"/>
        </w:rPr>
      </w:pPr>
    </w:p>
    <w:p>
      <w:pPr>
        <w:ind w:left="1480" w:right="60" w:hanging="572"/>
        <w:spacing w:after="0" w:line="267"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Language</w:t>
      </w:r>
      <w:r>
        <w:rPr>
          <w:rFonts w:ascii="Arial" w:cs="Arial" w:eastAsia="Arial" w:hAnsi="Arial"/>
          <w:sz w:val="17"/>
          <w:szCs w:val="17"/>
          <w:color w:val="auto"/>
        </w:rPr>
        <w:t>. The language of this Agreement and all activities to be pursued under this Agreement is English. Any and all documents proffered by one Party to the other in fulfillment of any provision of this Agreement shall only be in compliance if in English. Any translation of this Agreement in another language shall be deemed for convenience only and shall never prevail over the original English version. This Agreement is established in the English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05" w:lineRule="exact"/>
        <w:rPr>
          <w:sz w:val="20"/>
          <w:szCs w:val="20"/>
          <w:color w:val="auto"/>
        </w:rPr>
      </w:pPr>
    </w:p>
    <w:p>
      <w:pPr>
        <w:ind w:left="4960"/>
        <w:spacing w:after="0"/>
        <w:tabs>
          <w:tab w:leader="none" w:pos="10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8</w:t>
      </w:r>
    </w:p>
    <w:p>
      <w:pPr>
        <w:sectPr>
          <w:pgSz w:w="11900" w:h="16838" w:orient="portrait"/>
          <w:cols w:equalWidth="0" w:num="1">
            <w:col w:w="11420"/>
          </w:cols>
          <w:pgMar w:left="240" w:top="265"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282" w:lineRule="exact"/>
        <w:rPr>
          <w:sz w:val="20"/>
          <w:szCs w:val="20"/>
          <w:color w:val="auto"/>
        </w:rPr>
      </w:pPr>
    </w:p>
    <w:p>
      <w:pPr>
        <w:ind w:left="580" w:hanging="572"/>
        <w:spacing w:after="0" w:line="279"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captions to this Agreement are not a part of this Agreement but are included for convenience of reference and shall not affect its meaning or interpretation. In this Agreement: (a) the word “including” shall be deemed to be followed by the phrase “without limitation” or like expression; (b) the word “or” means “and/or” unless the context dictates otherwise because the subject of the conjunction are mutually exclusive; (c) the words “herein,” “hereof” and “hereunder” and other words of similar import refer to this Agreement as a whole and not to any particular Article or Section or other subdivision; (d) references in this Agreement to “days” shall mean calendar days; (e) the singular shall include the plural and vice versa; and (f) masculine, feminine and neuter pronouns and expressions shall be interchangeable. Each accounting term used herein that is not specifically defined herein shall have the meaning given to it under IFRS, or if not defined by IFRS, the meaning applied to it by Sanofi in preparing its publicly reported financial statements, in each case, consistently applied, but only to the extent consistent with its usage and the other definitions in this Agreement.</w:t>
      </w:r>
    </w:p>
    <w:p>
      <w:pPr>
        <w:spacing w:after="0" w:line="78" w:lineRule="exact"/>
        <w:rPr>
          <w:rFonts w:ascii="Arial" w:cs="Arial" w:eastAsia="Arial" w:hAnsi="Arial"/>
          <w:sz w:val="16"/>
          <w:szCs w:val="16"/>
          <w:color w:val="auto"/>
        </w:rPr>
      </w:pPr>
    </w:p>
    <w:p>
      <w:pPr>
        <w:ind w:left="580" w:right="80" w:hanging="572"/>
        <w:spacing w:after="0" w:line="267"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Counterparts; Electronic or Facsimile Signatures</w:t>
      </w:r>
      <w:r>
        <w:rPr>
          <w:rFonts w:ascii="Arial" w:cs="Arial" w:eastAsia="Arial" w:hAnsi="Arial"/>
          <w:sz w:val="17"/>
          <w:szCs w:val="17"/>
          <w:color w:val="auto"/>
        </w:rPr>
        <w:t>. This Agreement may be executed in any number of counterparts, each of which shall be an 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86" w:lineRule="exact"/>
        <w:rPr>
          <w:rFonts w:ascii="Arial" w:cs="Arial" w:eastAsia="Arial" w:hAnsi="Arial"/>
          <w:sz w:val="17"/>
          <w:szCs w:val="17"/>
          <w:color w:val="auto"/>
        </w:rPr>
      </w:pPr>
    </w:p>
    <w:p>
      <w:pPr>
        <w:ind w:left="580" w:right="320" w:hanging="572"/>
        <w:spacing w:after="0" w:line="289"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Each Party shall bear its own tax liability in connection with this Agreement and shall make any report, payment or withholding as instructed or required by any regulatory or taxing authority.</w:t>
      </w:r>
    </w:p>
    <w:p>
      <w:pPr>
        <w:spacing w:after="0" w:line="66" w:lineRule="exact"/>
        <w:rPr>
          <w:rFonts w:ascii="Arial" w:cs="Arial" w:eastAsia="Arial" w:hAnsi="Arial"/>
          <w:sz w:val="17"/>
          <w:szCs w:val="17"/>
          <w:color w:val="auto"/>
        </w:rPr>
      </w:pPr>
    </w:p>
    <w:p>
      <w:pPr>
        <w:ind w:left="580" w:right="80" w:hanging="572"/>
        <w:spacing w:after="0" w:line="289"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construed in accordance with the laws of the State of New York without regard to principles of conflicts of law.</w:t>
      </w:r>
    </w:p>
    <w:p>
      <w:pPr>
        <w:spacing w:after="0" w:line="66" w:lineRule="exact"/>
        <w:rPr>
          <w:rFonts w:ascii="Arial" w:cs="Arial" w:eastAsia="Arial" w:hAnsi="Arial"/>
          <w:sz w:val="17"/>
          <w:szCs w:val="17"/>
          <w:color w:val="auto"/>
        </w:rPr>
      </w:pPr>
    </w:p>
    <w:p>
      <w:pPr>
        <w:ind w:left="580" w:right="300" w:hanging="572"/>
        <w:spacing w:after="0" w:line="267" w:lineRule="auto"/>
        <w:tabs>
          <w:tab w:leader="none" w:pos="58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or communication required or permitted under this Agreement shall be in writing in the English language, delivered 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p>
      <w:pPr>
        <w:spacing w:after="0" w:line="72"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u w:val="single" w:color="auto"/>
          <w:color w:val="auto"/>
        </w:rPr>
        <w:t>If to MannKind, as follows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MannKind Corporation</w:t>
      </w:r>
    </w:p>
    <w:p>
      <w:pPr>
        <w:spacing w:after="0" w:line="26" w:lineRule="exact"/>
        <w:rPr>
          <w:rFonts w:ascii="Arial" w:cs="Arial" w:eastAsia="Arial" w:hAnsi="Arial"/>
          <w:sz w:val="17"/>
          <w:szCs w:val="17"/>
          <w:color w:val="auto"/>
        </w:rPr>
      </w:pPr>
    </w:p>
    <w:p>
      <w:pPr>
        <w:ind w:left="580" w:right="7420"/>
        <w:spacing w:after="0" w:line="257" w:lineRule="auto"/>
        <w:rPr>
          <w:rFonts w:ascii="Arial" w:cs="Arial" w:eastAsia="Arial" w:hAnsi="Arial"/>
          <w:sz w:val="17"/>
          <w:szCs w:val="17"/>
          <w:color w:val="auto"/>
        </w:rPr>
      </w:pPr>
      <w:r>
        <w:rPr>
          <w:rFonts w:ascii="Arial" w:cs="Arial" w:eastAsia="Arial" w:hAnsi="Arial"/>
          <w:sz w:val="17"/>
          <w:szCs w:val="17"/>
          <w:color w:val="auto"/>
        </w:rPr>
        <w:t>25134 Rye Canyon Loop, Suite 300 Valencia, CA 91355</w:t>
      </w:r>
    </w:p>
    <w:p>
      <w:pPr>
        <w:ind w:left="580"/>
        <w:spacing w:after="0"/>
        <w:rPr>
          <w:rFonts w:ascii="Arial" w:cs="Arial" w:eastAsia="Arial" w:hAnsi="Arial"/>
          <w:sz w:val="17"/>
          <w:szCs w:val="17"/>
          <w:color w:val="auto"/>
        </w:rPr>
      </w:pPr>
      <w:r>
        <w:rPr>
          <w:rFonts w:ascii="Arial" w:cs="Arial" w:eastAsia="Arial" w:hAnsi="Arial"/>
          <w:sz w:val="17"/>
          <w:szCs w:val="17"/>
          <w:color w:val="auto"/>
        </w:rPr>
        <w:t>Facsimile: 661-775-2081</w:t>
      </w:r>
    </w:p>
    <w:p>
      <w:pPr>
        <w:spacing w:after="0" w:line="1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7"/>
          <w:szCs w:val="17"/>
          <w:color w:val="auto"/>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100330</wp:posOffset>
            </wp:positionV>
            <wp:extent cx="7250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39" w:lineRule="exact"/>
        <w:rPr>
          <w:sz w:val="20"/>
          <w:szCs w:val="20"/>
          <w:color w:val="auto"/>
        </w:rPr>
      </w:pPr>
    </w:p>
    <w:p>
      <w:pPr>
        <w:ind w:left="4060"/>
        <w:spacing w:after="0"/>
        <w:tabs>
          <w:tab w:leader="none" w:pos="98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9</w:t>
      </w:r>
    </w:p>
    <w:p>
      <w:pPr>
        <w:sectPr>
          <w:pgSz w:w="11900" w:h="16838" w:orient="portrait"/>
          <w:cols w:equalWidth="0" w:num="1">
            <w:col w:w="10520"/>
          </w:cols>
          <w:pgMar w:left="1140" w:top="26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CONFIDENTIAL</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Quinn Emanuel Urquhart &amp; Sullivan LLP</w:t>
      </w:r>
    </w:p>
    <w:p>
      <w:pPr>
        <w:spacing w:after="0" w:line="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865 S. Figueroa St., 10</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 Angeles, CA 90017</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Facsimile: 213-443-3100</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Attention: Joseph M. Paunovich, Esq.</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If to Sanofi, as follows</w:t>
      </w:r>
      <w:r>
        <w:rPr>
          <w:rFonts w:ascii="Arial" w:cs="Arial" w:eastAsia="Arial" w:hAnsi="Arial"/>
          <w:sz w:val="17"/>
          <w:szCs w:val="17"/>
          <w:color w:val="auto"/>
        </w:rPr>
        <w:t>:</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sanofi-aventis U.S. LLC</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55 Corporate Drive</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Mailstop: 55A-515A</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Bridgewater, NJ 08807</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Facsimile: 908-927-8623</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Attention: General Counsel, NA</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Stacy Silkworth, Esq.</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Christopher Liwski, Esq.</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a copy to:</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Weil, Gotshal &amp; Manges LLP</w:t>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767 Fifth Avenue</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New York, NY 10153</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Facsimile: (212) 310-8000</w:t>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Attention: Yehudah L. Buchweitz, Esq.</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Jeffrey D. Osterman, Esq.</w:t>
      </w:r>
    </w:p>
    <w:p>
      <w:pPr>
        <w:spacing w:after="0" w:line="107"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Any such notice shall be deemed to have been given: (a) when delivered if personally delivered; (b) on the next Business Day after dispatch if sent by confirmed facsimile or by internationally-recognized overnight courier; or (c) on the third Business Day following the date of mailing if sent by mail or nationally recognized courier.</w:t>
      </w:r>
    </w:p>
    <w:p>
      <w:pPr>
        <w:spacing w:after="0" w:line="171"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[S</w:t>
      </w:r>
      <w:r>
        <w:rPr>
          <w:rFonts w:ascii="Arial" w:cs="Arial" w:eastAsia="Arial" w:hAnsi="Arial"/>
          <w:sz w:val="14"/>
          <w:szCs w:val="14"/>
          <w:color w:val="auto"/>
        </w:rPr>
        <w:t>IGNATURE</w:t>
      </w:r>
      <w:r>
        <w:rPr>
          <w:rFonts w:ascii="Arial" w:cs="Arial" w:eastAsia="Arial" w:hAnsi="Arial"/>
          <w:sz w:val="17"/>
          <w:szCs w:val="17"/>
          <w:color w:val="auto"/>
        </w:rPr>
        <w:t xml:space="preserve"> P</w:t>
      </w:r>
      <w:r>
        <w:rPr>
          <w:rFonts w:ascii="Arial" w:cs="Arial" w:eastAsia="Arial" w:hAnsi="Arial"/>
          <w:sz w:val="14"/>
          <w:szCs w:val="14"/>
          <w:color w:val="auto"/>
        </w:rPr>
        <w:t>AGE</w:t>
      </w:r>
      <w:r>
        <w:rPr>
          <w:rFonts w:ascii="Arial" w:cs="Arial" w:eastAsia="Arial" w:hAnsi="Arial"/>
          <w:sz w:val="17"/>
          <w:szCs w:val="17"/>
          <w:color w:val="auto"/>
        </w:rPr>
        <w:t xml:space="preserve"> F</w:t>
      </w:r>
      <w:r>
        <w:rPr>
          <w:rFonts w:ascii="Arial" w:cs="Arial" w:eastAsia="Arial" w:hAnsi="Arial"/>
          <w:sz w:val="14"/>
          <w:szCs w:val="14"/>
          <w:color w:val="auto"/>
        </w:rPr>
        <w:t>OLLOWS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107950</wp:posOffset>
            </wp:positionV>
            <wp:extent cx="72504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151" w:lineRule="exact"/>
        <w:rPr>
          <w:sz w:val="20"/>
          <w:szCs w:val="20"/>
          <w:color w:val="auto"/>
        </w:rPr>
      </w:pPr>
    </w:p>
    <w:p>
      <w:pPr>
        <w:ind w:left="4040"/>
        <w:spacing w:after="0"/>
        <w:tabs>
          <w:tab w:leader="none" w:pos="9760" w:val="left"/>
        </w:tabs>
        <w:rPr>
          <w:sz w:val="20"/>
          <w:szCs w:val="20"/>
          <w:color w:val="auto"/>
        </w:rPr>
      </w:pPr>
      <w:r>
        <w:rPr>
          <w:rFonts w:ascii="Arial" w:cs="Arial" w:eastAsia="Arial" w:hAnsi="Arial"/>
          <w:sz w:val="17"/>
          <w:szCs w:val="17"/>
          <w:i w:val="1"/>
          <w:iCs w:val="1"/>
          <w:color w:val="auto"/>
        </w:rPr>
        <w:t>SETTLEMENT AGREEMENT</w:t>
      </w:r>
      <w:r>
        <w:rPr>
          <w:sz w:val="20"/>
          <w:szCs w:val="20"/>
          <w:color w:val="auto"/>
        </w:rPr>
        <w:tab/>
      </w:r>
      <w:r>
        <w:rPr>
          <w:rFonts w:ascii="Arial" w:cs="Arial" w:eastAsia="Arial" w:hAnsi="Arial"/>
          <w:sz w:val="15"/>
          <w:szCs w:val="15"/>
          <w:i w:val="1"/>
          <w:iCs w:val="1"/>
          <w:color w:val="auto"/>
        </w:rPr>
        <w:t>PAGE 10</w:t>
      </w:r>
    </w:p>
    <w:p>
      <w:pPr>
        <w:sectPr>
          <w:pgSz w:w="11900" w:h="16838" w:orient="portrait"/>
          <w:cols w:equalWidth="0" w:num="1">
            <w:col w:w="10500"/>
          </w:cols>
          <w:pgMar w:left="1160" w:top="265" w:right="239" w:bottom="1440" w:gutter="0" w:footer="0" w:header="0"/>
        </w:sectPr>
      </w:pPr>
    </w:p>
    <w:bookmarkStart w:id="137" w:name="page138"/>
    <w:bookmarkEnd w:id="137"/>
    <w:p>
      <w:pPr>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w:t>
      </w:r>
      <w:r>
        <w:rPr>
          <w:rFonts w:ascii="Arial" w:cs="Arial" w:eastAsia="Arial" w:hAnsi="Arial"/>
          <w:sz w:val="17"/>
          <w:szCs w:val="17"/>
          <w:color w:val="auto"/>
        </w:rPr>
        <w:t>, the Parties have caused this Agreement to be duly executed and delivered by their respective duly authorized representatives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day and year first above written.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sanofi-aventis U.S. LLC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Susan A. Manardo</w:t>
            </w: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3920" w:type="dxa"/>
            <w:vAlign w:val="bottom"/>
          </w:tcPr>
          <w:p>
            <w:pPr>
              <w:spacing w:after="0"/>
              <w:rPr>
                <w:sz w:val="20"/>
                <w:szCs w:val="20"/>
                <w:color w:val="auto"/>
              </w:rPr>
            </w:pPr>
            <w:r>
              <w:rPr>
                <w:rFonts w:ascii="Arial" w:cs="Arial" w:eastAsia="Arial" w:hAnsi="Arial"/>
                <w:sz w:val="17"/>
                <w:szCs w:val="17"/>
                <w:color w:val="auto"/>
              </w:rPr>
              <w:t>Susan A. Manardo</w:t>
            </w: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VP &amp; Head, N.A. Litigation &amp; Investigations</w:t>
            </w:r>
          </w:p>
        </w:tc>
      </w:tr>
    </w:tbl>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[Signature Page to Settlement Agreement]</w:t>
      </w:r>
    </w:p>
    <w:p>
      <w:pPr>
        <w:sectPr>
          <w:pgSz w:w="11900" w:h="16838" w:orient="portrait"/>
          <w:cols w:equalWidth="0" w:num="1">
            <w:col w:w="11240"/>
          </w:cols>
          <w:pgMar w:left="240" w:top="265" w:right="419" w:bottom="1440" w:gutter="0" w:footer="0" w:header="0"/>
        </w:sectPr>
      </w:pPr>
    </w:p>
    <w:bookmarkStart w:id="138" w:name="page139"/>
    <w:bookmarkEnd w:id="138"/>
    <w:p>
      <w:pPr>
        <w:spacing w:after="0" w:line="29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w:t>
      </w:r>
      <w:r>
        <w:rPr>
          <w:rFonts w:ascii="Arial" w:cs="Arial" w:eastAsia="Arial" w:hAnsi="Arial"/>
          <w:sz w:val="17"/>
          <w:szCs w:val="17"/>
          <w:color w:val="auto"/>
        </w:rPr>
        <w:t>, the Parties have caused this Agreement to be duly executed and delivered by their respective duly authorized representatives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day and year first above written.</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MannKind Corporation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Pfeffer</w:t>
            </w: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3920" w:type="dxa"/>
            <w:vAlign w:val="bottom"/>
          </w:tcPr>
          <w:p>
            <w:pPr>
              <w:spacing w:after="0"/>
              <w:rPr>
                <w:sz w:val="20"/>
                <w:szCs w:val="20"/>
                <w:color w:val="auto"/>
              </w:rPr>
            </w:pPr>
            <w:r>
              <w:rPr>
                <w:rFonts w:ascii="Arial" w:cs="Arial" w:eastAsia="Arial" w:hAnsi="Arial"/>
                <w:sz w:val="17"/>
                <w:szCs w:val="17"/>
                <w:color w:val="auto"/>
              </w:rPr>
              <w:t>Matthew Pfeffer</w:t>
            </w: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Technosphere International C.V.</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By: MannKind Corporation, its General Partner</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Pfeffer</w:t>
            </w: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3920" w:type="dxa"/>
            <w:vAlign w:val="bottom"/>
          </w:tcPr>
          <w:p>
            <w:pPr>
              <w:spacing w:after="0"/>
              <w:rPr>
                <w:sz w:val="20"/>
                <w:szCs w:val="20"/>
                <w:color w:val="auto"/>
              </w:rPr>
            </w:pPr>
            <w:r>
              <w:rPr>
                <w:rFonts w:ascii="Arial" w:cs="Arial" w:eastAsia="Arial" w:hAnsi="Arial"/>
                <w:sz w:val="17"/>
                <w:szCs w:val="17"/>
                <w:color w:val="auto"/>
              </w:rPr>
              <w:t>Matthew Pfeffer</w:t>
            </w: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419"/>
        </w:trPr>
        <w:tc>
          <w:tcPr>
            <w:tcW w:w="4560" w:type="dxa"/>
            <w:vAlign w:val="bottom"/>
            <w:gridSpan w:val="2"/>
          </w:tcPr>
          <w:p>
            <w:pPr>
              <w:spacing w:after="0"/>
              <w:rPr>
                <w:sz w:val="20"/>
                <w:szCs w:val="20"/>
                <w:color w:val="auto"/>
              </w:rPr>
            </w:pPr>
            <w:r>
              <w:rPr>
                <w:rFonts w:ascii="Arial" w:cs="Arial" w:eastAsia="Arial" w:hAnsi="Arial"/>
                <w:sz w:val="17"/>
                <w:szCs w:val="17"/>
                <w:color w:val="auto"/>
              </w:rPr>
              <w:t>MannKind Netherlands B.V.</w:t>
            </w:r>
          </w:p>
        </w:tc>
      </w:tr>
      <w:tr>
        <w:trPr>
          <w:trHeight w:val="446"/>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Matthew Pfeffer</w:t>
            </w:r>
          </w:p>
        </w:tc>
      </w:tr>
      <w:tr>
        <w:trPr>
          <w:trHeight w:val="203"/>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3920" w:type="dxa"/>
            <w:vAlign w:val="bottom"/>
          </w:tcPr>
          <w:p>
            <w:pPr>
              <w:spacing w:after="0"/>
              <w:rPr>
                <w:sz w:val="20"/>
                <w:szCs w:val="20"/>
                <w:color w:val="auto"/>
              </w:rPr>
            </w:pPr>
            <w:r>
              <w:rPr>
                <w:rFonts w:ascii="Arial" w:cs="Arial" w:eastAsia="Arial" w:hAnsi="Arial"/>
                <w:sz w:val="17"/>
                <w:szCs w:val="17"/>
                <w:color w:val="auto"/>
              </w:rPr>
              <w:t>Matthew Pfeffer</w:t>
            </w: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[Signature Page to Settlement Agreement]</w:t>
      </w:r>
    </w:p>
    <w:p>
      <w:pPr>
        <w:sectPr>
          <w:pgSz w:w="11900" w:h="16838" w:orient="portrait"/>
          <w:cols w:equalWidth="0" w:num="1">
            <w:col w:w="11240"/>
          </w:cols>
          <w:pgMar w:left="240" w:top="265" w:right="4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Pay-Off Letter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Attached</w:t>
      </w:r>
      <w:r>
        <w:rPr>
          <w:rFonts w:ascii="Arial" w:cs="Arial" w:eastAsia="Arial" w:hAnsi="Arial"/>
          <w:sz w:val="17"/>
          <w:szCs w:val="17"/>
          <w:color w:val="auto"/>
        </w:rPr>
        <w:t>]</w:t>
      </w:r>
    </w:p>
    <w:p>
      <w:pPr>
        <w:sectPr>
          <w:pgSz w:w="11900" w:h="16838" w:orient="portrait"/>
          <w:cols w:equalWidth="0" w:num="1">
            <w:col w:w="9019"/>
          </w:cols>
          <w:pgMar w:left="1440" w:top="265" w:right="1440" w:bottom="1440" w:gutter="0" w:footer="0" w:header="0"/>
        </w:sectPr>
      </w:pPr>
    </w:p>
    <w:bookmarkStart w:id="140" w:name="page141"/>
    <w:bookmarkEnd w:id="14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B</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Form of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1962150" cy="548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21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Company Contact: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Rose Alinaya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SVP, Finance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661-775-5300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ralinaya@mannkindcorp.com</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MANNKIND AND SANOFI REACH AGREEMENT ON AFREZZA</w:t>
      </w:r>
      <w:r>
        <w:rPr>
          <w:rFonts w:ascii="Arial" w:cs="Arial" w:eastAsia="Arial" w:hAnsi="Arial"/>
          <w:sz w:val="14"/>
          <w:szCs w:val="14"/>
          <w:b w:val="1"/>
          <w:bCs w:val="1"/>
          <w:color w:val="auto"/>
        </w:rPr>
        <w:t>®</w:t>
      </w:r>
    </w:p>
    <w:p>
      <w:pPr>
        <w:spacing w:after="0" w:line="224" w:lineRule="exact"/>
        <w:rPr>
          <w:sz w:val="20"/>
          <w:szCs w:val="20"/>
          <w:color w:val="auto"/>
        </w:rPr>
      </w:pPr>
    </w:p>
    <w:p>
      <w:pPr>
        <w:spacing w:after="0" w:line="296" w:lineRule="auto"/>
        <w:rPr>
          <w:sz w:val="20"/>
          <w:szCs w:val="20"/>
          <w:color w:val="auto"/>
        </w:rPr>
      </w:pPr>
      <w:r>
        <w:rPr>
          <w:rFonts w:ascii="Arial" w:cs="Arial" w:eastAsia="Arial" w:hAnsi="Arial"/>
          <w:sz w:val="17"/>
          <w:szCs w:val="17"/>
          <w:b w:val="1"/>
          <w:bCs w:val="1"/>
          <w:color w:val="auto"/>
        </w:rPr>
        <w:t xml:space="preserve">VALENCIA, Calif., November 9, 2016 (GLOBE NEWSWIRE) — MannKind Corporation (NASDAQ and TASE:MNKD) </w:t>
      </w:r>
      <w:r>
        <w:rPr>
          <w:rFonts w:ascii="Arial" w:cs="Arial" w:eastAsia="Arial" w:hAnsi="Arial"/>
          <w:sz w:val="17"/>
          <w:szCs w:val="17"/>
          <w:color w:val="auto"/>
        </w:rPr>
        <w:t>today announced that MannKind</w:t>
      </w:r>
      <w:r>
        <w:rPr>
          <w:rFonts w:ascii="Arial" w:cs="Arial" w:eastAsia="Arial" w:hAnsi="Arial"/>
          <w:sz w:val="17"/>
          <w:szCs w:val="17"/>
          <w:b w:val="1"/>
          <w:bCs w:val="1"/>
          <w:color w:val="auto"/>
        </w:rPr>
        <w:t xml:space="preserve"> </w:t>
      </w:r>
      <w:r>
        <w:rPr>
          <w:rFonts w:ascii="Arial" w:cs="Arial" w:eastAsia="Arial" w:hAnsi="Arial"/>
          <w:sz w:val="17"/>
          <w:szCs w:val="17"/>
          <w:color w:val="auto"/>
        </w:rPr>
        <w:t>and Sanofi have entered into an agreement with the following terms:</w:t>
      </w:r>
    </w:p>
    <w:p>
      <w:pPr>
        <w:spacing w:after="0" w:line="61" w:lineRule="exact"/>
        <w:rPr>
          <w:sz w:val="20"/>
          <w:szCs w:val="20"/>
          <w:color w:val="auto"/>
        </w:rPr>
      </w:pPr>
    </w:p>
    <w:p>
      <w:pPr>
        <w:ind w:left="900" w:right="220" w:hanging="332"/>
        <w:spacing w:after="0" w:line="28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promissory note and security agreement between MannKind and Aventisub LLC, a Sanofi affiliate, are terminated, with Aventisub agreeing to forgive the full outstanding loan balance of $71.56 million.</w:t>
      </w:r>
    </w:p>
    <w:p>
      <w:pPr>
        <w:spacing w:after="0" w:line="66" w:lineRule="exact"/>
        <w:rPr>
          <w:rFonts w:ascii="Arial" w:cs="Arial" w:eastAsia="Arial" w:hAnsi="Arial"/>
          <w:sz w:val="17"/>
          <w:szCs w:val="17"/>
          <w:color w:val="auto"/>
        </w:rPr>
      </w:pPr>
    </w:p>
    <w:p>
      <w:pPr>
        <w:ind w:left="900" w:hanging="332"/>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MannKind is also relieved from its obligation to pay $0.5 million in previously uncharged costs related to the collaboration.</w:t>
      </w:r>
    </w:p>
    <w:p>
      <w:pPr>
        <w:spacing w:after="0" w:line="131" w:lineRule="exact"/>
        <w:rPr>
          <w:rFonts w:ascii="Arial" w:cs="Arial" w:eastAsia="Arial" w:hAnsi="Arial"/>
          <w:sz w:val="17"/>
          <w:szCs w:val="17"/>
          <w:color w:val="auto"/>
        </w:rPr>
      </w:pPr>
    </w:p>
    <w:p>
      <w:pPr>
        <w:ind w:left="900" w:right="380" w:hanging="332"/>
        <w:spacing w:after="0" w:line="28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Sanofi will purchase $10.2 million worth of insulin from MannKind in early December as part of its preexisting commitment to purchase insulin following termination of the collaboration and MannKind’s exercise of a “put” option.</w:t>
      </w:r>
    </w:p>
    <w:p>
      <w:pPr>
        <w:spacing w:after="0" w:line="66" w:lineRule="exact"/>
        <w:rPr>
          <w:rFonts w:ascii="Arial" w:cs="Arial" w:eastAsia="Arial" w:hAnsi="Arial"/>
          <w:sz w:val="17"/>
          <w:szCs w:val="17"/>
          <w:color w:val="auto"/>
        </w:rPr>
      </w:pPr>
    </w:p>
    <w:p>
      <w:pPr>
        <w:ind w:left="900" w:right="360" w:hanging="332"/>
        <w:spacing w:after="0" w:line="28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balance of the insulin “put” option ($30.6 million) is accelerated with Sanofi completing the cash payment of $30.6 million to MannKind by January 9, 2017. This payment will be made without MannKind being required to deliver any insulin to Sanofi.</w:t>
      </w:r>
    </w:p>
    <w:p>
      <w:pPr>
        <w:spacing w:after="0" w:line="66" w:lineRule="exact"/>
        <w:rPr>
          <w:rFonts w:ascii="Arial" w:cs="Arial" w:eastAsia="Arial" w:hAnsi="Arial"/>
          <w:sz w:val="17"/>
          <w:szCs w:val="17"/>
          <w:color w:val="auto"/>
        </w:rPr>
      </w:pPr>
    </w:p>
    <w:p>
      <w:pPr>
        <w:ind w:left="900" w:right="40" w:hanging="332"/>
        <w:spacing w:after="0" w:line="289"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issues arising out of the license and collaboration agreement, the supply agreement, the promissory note, the security agreement and the transition agreement are resolved.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MannKind Corporation</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MannKind Corporation (NASDAQ and TASE: MNKD) focuses on the discovery, development and commercialization of therapeutic products for patients with diseases such as diabetes. MannKind maintains a website at </w:t>
      </w:r>
      <w:r>
        <w:rPr>
          <w:rFonts w:ascii="Arial" w:cs="Arial" w:eastAsia="Arial" w:hAnsi="Arial"/>
          <w:sz w:val="16"/>
          <w:szCs w:val="16"/>
          <w:u w:val="single" w:color="auto"/>
          <w:color w:val="auto"/>
        </w:rPr>
        <w:t>http://www.mannkindcorp.com</w:t>
      </w:r>
      <w:r>
        <w:rPr>
          <w:rFonts w:ascii="Arial" w:cs="Arial" w:eastAsia="Arial" w:hAnsi="Arial"/>
          <w:sz w:val="16"/>
          <w:szCs w:val="16"/>
          <w:color w:val="auto"/>
        </w:rPr>
        <w:t xml:space="preserve"> to which MannKind regularly posts copies of its press releases as well as additional information about MannKind. Interested persons can subscribe on the MannKind website to e-mail alerts that are sent automatically when MannKind issues press releases, files its reports with the Securities and Exchange Commission or posts certain other information to the website.</w:t>
      </w:r>
    </w:p>
    <w:p>
      <w:pPr>
        <w:sectPr>
          <w:pgSz w:w="11900" w:h="16838" w:orient="portrait"/>
          <w:cols w:equalWidth="0" w:num="1">
            <w:col w:w="11380"/>
          </w:cols>
          <w:pgMar w:left="240" w:top="265" w:right="279" w:bottom="1440" w:gutter="0" w:footer="0" w:header="0"/>
        </w:sectPr>
      </w:pPr>
    </w:p>
    <w:bookmarkStart w:id="141" w:name="page142"/>
    <w:bookmarkEnd w:id="141"/>
    <w:p>
      <w:pPr>
        <w:jc w:val="center"/>
        <w:ind w:right="-1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C</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Agreed Form of Statement</w:t>
      </w:r>
    </w:p>
    <w:p>
      <w:pPr>
        <w:spacing w:after="0" w:line="21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On November 9, 2016, MannKind and Sanofi reached an agreement to resolve all the outstanding contractual issues related to Afrezza. We refer you to the press release dated November 9, 2016.</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If MannKind is asked about claims, disputes or liabilities:</w:t>
      </w:r>
    </w:p>
    <w:p>
      <w:pPr>
        <w:spacing w:after="0" w:line="11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parties have mutually released one another from any and all potential claims arising out of the license and collaboration agreement, the supply agreement, the promissory note, the security agreement and the transition agreement.</w:t>
      </w:r>
    </w:p>
    <w:p>
      <w:pPr>
        <w:sectPr>
          <w:pgSz w:w="11900" w:h="16838" w:orient="portrait"/>
          <w:cols w:equalWidth="0" w:num="1">
            <w:col w:w="11320"/>
          </w:cols>
          <w:pgMar w:left="240" w:top="265"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1020"/>
        <w:spacing w:after="0"/>
        <w:rPr>
          <w:sz w:val="20"/>
          <w:szCs w:val="20"/>
          <w:color w:val="auto"/>
        </w:rPr>
      </w:pPr>
      <w:r>
        <w:rPr>
          <w:rFonts w:ascii="Arial" w:cs="Arial" w:eastAsia="Arial" w:hAnsi="Arial"/>
          <w:sz w:val="14"/>
          <w:szCs w:val="14"/>
          <w:b w:val="1"/>
          <w:bCs w:val="1"/>
          <w:u w:val="single" w:color="auto"/>
          <w:color w:val="auto"/>
        </w:rPr>
        <w:t>Transition Agreement</w:t>
      </w:r>
    </w:p>
    <w:p>
      <w:pPr>
        <w:jc w:val="center"/>
        <w:ind w:left="102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-5715</wp:posOffset>
            </wp:positionV>
            <wp:extent cx="8312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Exhibit C, Deliverable Number 30</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Exhibit E, Transition Service Number 11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Exhibit E, Transition Service Number 28</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Arial" w:cs="Arial" w:eastAsia="Arial" w:hAnsi="Arial"/>
          <w:sz w:val="17"/>
          <w:szCs w:val="17"/>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-203200</wp:posOffset>
            </wp:positionV>
            <wp:extent cx="729297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pacing w:after="0" w:line="12" w:lineRule="exact"/>
        <w:rPr>
          <w:sz w:val="20"/>
          <w:szCs w:val="20"/>
          <w:color w:val="auto"/>
        </w:rPr>
      </w:pPr>
    </w:p>
    <w:p>
      <w:pPr>
        <w:jc w:val="center"/>
        <w:ind w:right="580"/>
        <w:spacing w:after="0"/>
        <w:rPr>
          <w:sz w:val="20"/>
          <w:szCs w:val="20"/>
          <w:color w:val="auto"/>
        </w:rPr>
      </w:pPr>
      <w:r>
        <w:rPr>
          <w:rFonts w:ascii="Arial" w:cs="Arial" w:eastAsia="Arial" w:hAnsi="Arial"/>
          <w:sz w:val="15"/>
          <w:szCs w:val="15"/>
          <w:b w:val="1"/>
          <w:bCs w:val="1"/>
          <w:u w:val="single" w:color="auto"/>
          <w:color w:val="auto"/>
        </w:rPr>
        <w:t>Outstanding Transition Agreement Deliverables/Transition Activities</w:t>
      </w: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Deliverable/Transition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12065</wp:posOffset>
            </wp:positionV>
            <wp:extent cx="22453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spacing w:after="0" w:line="1" w:lineRule="exact"/>
        <w:rPr>
          <w:sz w:val="20"/>
          <w:szCs w:val="20"/>
          <w:color w:val="auto"/>
        </w:rPr>
      </w:pPr>
    </w:p>
    <w:p>
      <w:pPr>
        <w:ind w:left="2220" w:right="80"/>
        <w:spacing w:after="0" w:line="271" w:lineRule="auto"/>
        <w:rPr>
          <w:sz w:val="20"/>
          <w:szCs w:val="20"/>
          <w:color w:val="auto"/>
        </w:rPr>
      </w:pPr>
      <w:r>
        <w:rPr>
          <w:rFonts w:ascii="Arial" w:cs="Arial" w:eastAsia="Arial" w:hAnsi="Arial"/>
          <w:sz w:val="17"/>
          <w:szCs w:val="17"/>
          <w:color w:val="auto"/>
        </w:rPr>
        <w:t>Regulatory Reporting of Sample Distribution (XML files) reporting period up to and including April 4th, 2016 filed to the NDA.</w:t>
      </w:r>
    </w:p>
    <w:p>
      <w:pPr>
        <w:spacing w:after="0" w:line="6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Sanofi to honor 2016 Sanofi Savings Cards for</w:t>
      </w:r>
    </w:p>
    <w:p>
      <w:pPr>
        <w:spacing w:after="0" w:line="38"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patients who have registered with Sanofi on or</w:t>
      </w:r>
    </w:p>
    <w:p>
      <w:pPr>
        <w:spacing w:after="0" w:line="2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before April 4, 2016 until December</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31, 2016.</w:t>
      </w:r>
    </w:p>
    <w:p>
      <w:pPr>
        <w:spacing w:after="0" w:line="12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Sanofi to work with Veteran Affairs (VA) to</w:t>
      </w:r>
    </w:p>
    <w:p>
      <w:pPr>
        <w:spacing w:after="0" w:line="26"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remove the Sanofi Afrezza NDCs from the</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Federal Supply Schedule (FSS).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u w:val="single" w:color="auto"/>
          <w:color w:val="auto"/>
        </w:rPr>
        <w:t>Delivery/Completion</w:t>
      </w:r>
    </w:p>
    <w:p>
      <w:pPr>
        <w:spacing w:after="0" w:line="2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Deadline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172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April 30, 2017</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January 1, 2017</w:t>
      </w:r>
    </w:p>
    <w:p>
      <w:pPr>
        <w:sectPr>
          <w:pgSz w:w="11900" w:h="16838" w:orient="portrait"/>
          <w:cols w:equalWidth="0" w:num="3">
            <w:col w:w="2860" w:space="280"/>
            <w:col w:w="5720" w:space="720"/>
            <w:col w:w="1540"/>
          </w:cols>
          <w:pgMar w:left="240" w:top="265" w:right="5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b w:val="1"/>
          <w:bCs w:val="1"/>
          <w:color w:val="auto"/>
        </w:rPr>
        <w:t>Exhibit 10.32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SUPPLY AGREEMENT</w:t>
      </w:r>
    </w:p>
    <w:p>
      <w:pPr>
        <w:spacing w:after="0" w:line="230" w:lineRule="exact"/>
        <w:rPr>
          <w:sz w:val="20"/>
          <w:szCs w:val="20"/>
          <w:color w:val="auto"/>
        </w:rPr>
      </w:pPr>
    </w:p>
    <w:p>
      <w:pPr>
        <w:ind w:right="40" w:firstLine="457"/>
        <w:spacing w:after="0" w:line="267" w:lineRule="auto"/>
        <w:rPr>
          <w:sz w:val="20"/>
          <w:szCs w:val="20"/>
          <w:color w:val="auto"/>
        </w:rPr>
      </w:pPr>
      <w:r>
        <w:rPr>
          <w:rFonts w:ascii="Arial" w:cs="Arial" w:eastAsia="Arial" w:hAnsi="Arial"/>
          <w:sz w:val="17"/>
          <w:szCs w:val="17"/>
          <w:color w:val="auto"/>
        </w:rPr>
        <w:t>This first amendment (“First Amendment”) to the Supply Agreement by and between MannKind Corporation (“MannKind”) and Amphastar France Pharmaceuticals S.A.S. (“AFP”), dated July 31, 2014 (the “Agreement”), is hereby made as of the 31st day of October, 2014, by and between MannKind on the one hand, and on the other hand, AFP and Amphastar Pharmaceuticals, Inc., a Delaware Corporation, having its principal office and place of business at 11570 6th Street, Rancho Cucamonga, CA 91730 (“Amphastar”).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r>
        <w:rPr>
          <w:rFonts w:ascii="Arial" w:cs="Arial" w:eastAsia="Arial" w:hAnsi="Arial"/>
          <w:sz w:val="17"/>
          <w:szCs w:val="17"/>
          <w:color w:val="auto"/>
        </w:rPr>
        <w:t>:</w:t>
      </w:r>
    </w:p>
    <w:p>
      <w:pPr>
        <w:spacing w:after="0" w:line="224" w:lineRule="exact"/>
        <w:rPr>
          <w:sz w:val="20"/>
          <w:szCs w:val="20"/>
          <w:color w:val="auto"/>
        </w:rPr>
      </w:pPr>
    </w:p>
    <w:p>
      <w:pPr>
        <w:ind w:right="780" w:firstLine="457"/>
        <w:spacing w:after="0" w:line="289" w:lineRule="auto"/>
        <w:rPr>
          <w:sz w:val="20"/>
          <w:szCs w:val="20"/>
          <w:color w:val="auto"/>
        </w:rPr>
      </w:pPr>
      <w:r>
        <w:rPr>
          <w:rFonts w:ascii="Arial" w:cs="Arial" w:eastAsia="Arial" w:hAnsi="Arial"/>
          <w:sz w:val="17"/>
          <w:szCs w:val="17"/>
          <w:color w:val="auto"/>
        </w:rPr>
        <w:t>WHEREAS, MannKind and AFP entered into the Agreement pursuant to which AFP is to manufacture and supply the Product to MannKind, and MannKind is to purchase certain minimum quantities of the Product;</w:t>
      </w:r>
    </w:p>
    <w:p>
      <w:pPr>
        <w:spacing w:after="0" w:line="158" w:lineRule="exact"/>
        <w:rPr>
          <w:sz w:val="20"/>
          <w:szCs w:val="20"/>
          <w:color w:val="auto"/>
        </w:rPr>
      </w:pPr>
    </w:p>
    <w:p>
      <w:pPr>
        <w:ind w:right="740" w:firstLine="457"/>
        <w:spacing w:after="0" w:line="289" w:lineRule="auto"/>
        <w:rPr>
          <w:sz w:val="20"/>
          <w:szCs w:val="20"/>
          <w:color w:val="auto"/>
        </w:rPr>
      </w:pPr>
      <w:r>
        <w:rPr>
          <w:rFonts w:ascii="Arial" w:cs="Arial" w:eastAsia="Arial" w:hAnsi="Arial"/>
          <w:sz w:val="17"/>
          <w:szCs w:val="17"/>
          <w:color w:val="auto"/>
        </w:rPr>
        <w:t>WHEREAS MannKind and AFP, together with Amphastar, the parent company of AFP, have determined it to be mutually beneficial to amend the Agreement as set forth herein.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NOW, THEREFORE, for good and valuable consideration, MannKind and AFP, together with Amphastar, hereby agree to amend the Agreement as follows:</w:t>
      </w:r>
    </w:p>
    <w:p>
      <w:pPr>
        <w:spacing w:after="0" w:line="142" w:lineRule="exact"/>
        <w:rPr>
          <w:sz w:val="20"/>
          <w:szCs w:val="20"/>
          <w:color w:val="auto"/>
        </w:rPr>
      </w:pPr>
    </w:p>
    <w:p>
      <w:pPr>
        <w:ind w:firstLine="461"/>
        <w:spacing w:after="0" w:line="289" w:lineRule="auto"/>
        <w:tabs>
          <w:tab w:leader="none" w:pos="631"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otherwise defined herein, each of the capitalized terms used in this First Amendment shall have the definition and meaning ascribed to it in the Agreement.</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Amendments to the Agreement</w:t>
      </w:r>
      <w:r>
        <w:rPr>
          <w:rFonts w:ascii="Arial" w:cs="Arial" w:eastAsia="Arial" w:hAnsi="Arial"/>
          <w:sz w:val="17"/>
          <w:szCs w:val="17"/>
          <w:color w:val="auto"/>
        </w:rPr>
        <w:t>.</w:t>
      </w:r>
    </w:p>
    <w:p>
      <w:pPr>
        <w:spacing w:after="0" w:line="119" w:lineRule="exact"/>
        <w:rPr>
          <w:sz w:val="20"/>
          <w:szCs w:val="20"/>
          <w:color w:val="auto"/>
        </w:rPr>
      </w:pPr>
    </w:p>
    <w:p>
      <w:pPr>
        <w:ind w:right="580" w:firstLine="457"/>
        <w:spacing w:after="0" w:line="289" w:lineRule="auto"/>
        <w:rPr>
          <w:sz w:val="20"/>
          <w:szCs w:val="20"/>
          <w:color w:val="auto"/>
        </w:rPr>
      </w:pPr>
      <w:r>
        <w:rPr>
          <w:rFonts w:ascii="Arial" w:cs="Arial" w:eastAsia="Arial" w:hAnsi="Arial"/>
          <w:sz w:val="17"/>
          <w:szCs w:val="17"/>
          <w:color w:val="auto"/>
        </w:rPr>
        <w:t>2.1 All references to “AFP” in the Agreement are replaced with “Amphastar.” For avoidance of doubt, Amphastar shall replace AFP as a party to the Agreement, and AFP shall no longer be a party to the Agreement.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 For avoidance of doubt, Amphastar shall assume all of AFP’s rights and obligations under the Agreement.</w:t>
      </w:r>
    </w:p>
    <w:p>
      <w:pPr>
        <w:spacing w:after="0" w:line="119" w:lineRule="exact"/>
        <w:rPr>
          <w:sz w:val="20"/>
          <w:szCs w:val="20"/>
          <w:color w:val="auto"/>
        </w:rPr>
      </w:pPr>
    </w:p>
    <w:p>
      <w:pPr>
        <w:ind w:right="40" w:firstLine="457"/>
        <w:spacing w:after="0" w:line="289" w:lineRule="auto"/>
        <w:rPr>
          <w:sz w:val="20"/>
          <w:szCs w:val="20"/>
          <w:color w:val="auto"/>
        </w:rPr>
      </w:pPr>
      <w:r>
        <w:rPr>
          <w:rFonts w:ascii="Arial" w:cs="Arial" w:eastAsia="Arial" w:hAnsi="Arial"/>
          <w:sz w:val="17"/>
          <w:szCs w:val="17"/>
          <w:color w:val="auto"/>
        </w:rPr>
        <w:t>2.3 With respect to Amphastar’s obligations under the Agreement, Amphastar either shall perform, or shall cause AFP to perform, all such obligations under the Agreement.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 Section 4.4 of the Agreement is amended and replaced in its entirety with the following:</w:t>
      </w:r>
    </w:p>
    <w:p>
      <w:pPr>
        <w:spacing w:after="0" w:line="113" w:lineRule="exact"/>
        <w:rPr>
          <w:sz w:val="20"/>
          <w:szCs w:val="20"/>
          <w:color w:val="auto"/>
        </w:rPr>
      </w:pPr>
    </w:p>
    <w:p>
      <w:pPr>
        <w:ind w:left="920" w:right="20" w:firstLine="420"/>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4.4 Audits.</w:t>
      </w:r>
      <w:r>
        <w:rPr>
          <w:rFonts w:ascii="Arial" w:cs="Arial" w:eastAsia="Arial" w:hAnsi="Arial"/>
          <w:sz w:val="16"/>
          <w:szCs w:val="16"/>
          <w:color w:val="auto"/>
        </w:rPr>
        <w:t xml:space="preserve"> Upon MannKind’s written request to Amphastar, which shall be not less than thirty (30) days in advance, MannKind, or a mutually agreed upon independent third party representative on behalf of MannKind’s licensee(s) identified in such a written request (“Licensee’s Representative”), shall have the right to visit Amphastar’s facility located at Usine Saint Charles, 60590 Eragny-sur-Epte, France, during normal business hours to review and inspect Amphastar’s manufacturing operations and quality systems related to the Product and to discuss any related issues with Amphastar’s manufacturing and management personnel. Such audits of Amphastar shall not exceed one (1) time per calendar year for MannKind and shall not exceed one (1) time per calendar year for MannKind’s Licensee’s Representative. For the avoidance of doubt, only two</w:t>
      </w:r>
    </w:p>
    <w:p>
      <w:pPr>
        <w:spacing w:after="0" w:line="1" w:lineRule="exact"/>
        <w:rPr>
          <w:sz w:val="20"/>
          <w:szCs w:val="20"/>
          <w:color w:val="auto"/>
        </w:rPr>
      </w:pPr>
    </w:p>
    <w:p>
      <w:pPr>
        <w:jc w:val="both"/>
        <w:ind w:left="920" w:right="400" w:hanging="2"/>
        <w:spacing w:after="0" w:line="317" w:lineRule="auto"/>
        <w:tabs>
          <w:tab w:leader="none" w:pos="1167" w:val="left"/>
        </w:tabs>
        <w:numPr>
          <w:ilvl w:val="0"/>
          <w:numId w:val="51"/>
        </w:numPr>
        <w:rPr>
          <w:rFonts w:ascii="Arial" w:cs="Arial" w:eastAsia="Arial" w:hAnsi="Arial"/>
          <w:sz w:val="15"/>
          <w:szCs w:val="15"/>
          <w:color w:val="auto"/>
        </w:rPr>
      </w:pPr>
      <w:r>
        <w:rPr>
          <w:rFonts w:ascii="Arial" w:cs="Arial" w:eastAsia="Arial" w:hAnsi="Arial"/>
          <w:sz w:val="15"/>
          <w:szCs w:val="15"/>
          <w:color w:val="auto"/>
        </w:rPr>
        <w:t>audits in total are allowed per calendar year. MannKind, or the Licensee’s Representative will be entitled to perform additional audits, upon shorter notice, if Non-conforming Products are produced by Amphastar or complaints or other inquiries by regulatory authorities relating to the Products produced hereunder are received by either Party, or for any additional reasons where good cause is articulated in writing by MannKind.</w:t>
      </w:r>
    </w:p>
    <w:p>
      <w:pPr>
        <w:spacing w:after="0" w:line="77" w:lineRule="exact"/>
        <w:rPr>
          <w:rFonts w:ascii="Arial" w:cs="Arial" w:eastAsia="Arial" w:hAnsi="Arial"/>
          <w:sz w:val="15"/>
          <w:szCs w:val="15"/>
          <w:color w:val="auto"/>
        </w:rPr>
      </w:pPr>
    </w:p>
    <w:p>
      <w:pPr>
        <w:ind w:left="5680" w:hanging="111"/>
        <w:spacing w:after="0"/>
        <w:tabs>
          <w:tab w:leader="none" w:pos="56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1 -</w:t>
      </w:r>
    </w:p>
    <w:p>
      <w:pPr>
        <w:sectPr>
          <w:pgSz w:w="11900" w:h="16838" w:orient="portrait"/>
          <w:cols w:equalWidth="0" w:num="1">
            <w:col w:w="11420"/>
          </w:cols>
          <w:pgMar w:left="240" w:top="121" w:right="239" w:bottom="1440" w:gutter="0" w:footer="0" w:header="0"/>
        </w:sectPr>
      </w:pPr>
    </w:p>
    <w:bookmarkStart w:id="144" w:name="page145"/>
    <w:bookmarkEnd w:id="144"/>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2.5 The following sentence in section 6.1 of the Agreement: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amounts due under this § 6.1 shall be due and payable by MannKind to AFP in EUR in accordance with § 6.2.”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is amended and replaced in its entirety with the following:</w:t>
      </w:r>
    </w:p>
    <w:p>
      <w:pPr>
        <w:spacing w:after="0" w:line="119" w:lineRule="exact"/>
        <w:rPr>
          <w:sz w:val="20"/>
          <w:szCs w:val="20"/>
          <w:color w:val="auto"/>
        </w:rPr>
      </w:pPr>
    </w:p>
    <w:p>
      <w:pPr>
        <w:ind w:left="920"/>
        <w:spacing w:after="0" w:line="267" w:lineRule="auto"/>
        <w:rPr>
          <w:sz w:val="20"/>
          <w:szCs w:val="20"/>
          <w:color w:val="auto"/>
        </w:rPr>
      </w:pPr>
      <w:r>
        <w:rPr>
          <w:rFonts w:ascii="Arial" w:cs="Arial" w:eastAsia="Arial" w:hAnsi="Arial"/>
          <w:sz w:val="17"/>
          <w:szCs w:val="17"/>
          <w:color w:val="auto"/>
        </w:rPr>
        <w:t>“All amounts due under this § 6.1 shall be due and payable by MannKind to Amphastar in U.S. dollars, and the conversion of the Purchase Price from euros (EUR) to U.S. dollars shall be made using the exchange rate at the close (Eastern time) of the last business day immediately prior to the shipment date, as reported by the Bloomberg Currency Spot Exchange Rate (</w:t>
      </w:r>
      <w:r>
        <w:rPr>
          <w:rFonts w:ascii="Arial" w:cs="Arial" w:eastAsia="Arial" w:hAnsi="Arial"/>
          <w:sz w:val="17"/>
          <w:szCs w:val="17"/>
          <w:u w:val="single" w:color="auto"/>
          <w:color w:val="auto"/>
        </w:rPr>
        <w:t>http://www.bloomberg.com/quote/EURUSD:CUR</w:t>
      </w:r>
      <w:r>
        <w:rPr>
          <w:rFonts w:ascii="Arial" w:cs="Arial" w:eastAsia="Arial" w:hAnsi="Arial"/>
          <w:sz w:val="17"/>
          <w:szCs w:val="17"/>
          <w:color w:val="auto"/>
        </w:rPr>
        <w:t>), and otherwise in accordance with § 6.2.”</w:t>
      </w:r>
    </w:p>
    <w:p>
      <w:pPr>
        <w:spacing w:after="0" w:line="73"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2.6 Section 11.1 of the Agreement is amended by adding the following sentence at the end of section 11.1: “MannKind’s obligations under this section 11.1 shall apply to Confidential Information MannKind receives from Amphastar or Amphastar’s Affiliates.”</w:t>
      </w:r>
    </w:p>
    <w:p>
      <w:pPr>
        <w:spacing w:after="0" w:line="53" w:lineRule="exact"/>
        <w:rPr>
          <w:sz w:val="20"/>
          <w:szCs w:val="20"/>
          <w:color w:val="auto"/>
        </w:rPr>
      </w:pPr>
    </w:p>
    <w:p>
      <w:pPr>
        <w:ind w:left="640" w:hanging="179"/>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Final Agreement</w:t>
      </w:r>
      <w:r>
        <w:rPr>
          <w:rFonts w:ascii="Arial" w:cs="Arial" w:eastAsia="Arial" w:hAnsi="Arial"/>
          <w:sz w:val="17"/>
          <w:szCs w:val="17"/>
          <w:color w:val="auto"/>
        </w:rPr>
        <w:t>.</w:t>
      </w:r>
    </w:p>
    <w:p>
      <w:pPr>
        <w:spacing w:after="0" w:line="119" w:lineRule="exact"/>
        <w:rPr>
          <w:sz w:val="20"/>
          <w:szCs w:val="20"/>
          <w:color w:val="auto"/>
        </w:rPr>
      </w:pPr>
    </w:p>
    <w:p>
      <w:pPr>
        <w:ind w:right="20" w:firstLine="457"/>
        <w:spacing w:after="0" w:line="267" w:lineRule="auto"/>
        <w:rPr>
          <w:sz w:val="20"/>
          <w:szCs w:val="20"/>
          <w:color w:val="auto"/>
        </w:rPr>
      </w:pPr>
      <w:r>
        <w:rPr>
          <w:rFonts w:ascii="Arial" w:cs="Arial" w:eastAsia="Arial" w:hAnsi="Arial"/>
          <w:sz w:val="17"/>
          <w:szCs w:val="17"/>
          <w:color w:val="auto"/>
        </w:rPr>
        <w:t>From and after the execution of this First Amendment, all references in the Agreement (or in the First Amendment) to “this Agreement,” “hereof,” “herein,” “hereto,” and similar words or phrases shall mean and refer to the Agreement as amended by this First Amendment. The Agreement as amended by this First Amendment constitutes the entire agreement by and between the Parties as to the subject matter hereof. Except as expressly modified by this First Amendment, all other terms and conditions of the Agreement shall remain in full force and effect.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400"/>
          </w:cols>
          <w:pgMar w:left="240" w:top="271" w:right="25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each of MannKind, AFP, and Amphastar has caused this First Amendment to be executed by their duly authorized officers.</w:t>
      </w:r>
    </w:p>
    <w:p>
      <w:pPr>
        <w:spacing w:after="0" w:line="255"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MannKind Corporation</w:t>
      </w:r>
    </w:p>
    <w:p>
      <w:pPr>
        <w:spacing w:after="0" w:line="230"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Kathleen M. Farley</w:t>
            </w:r>
          </w:p>
        </w:tc>
      </w:tr>
      <w:tr>
        <w:trPr>
          <w:trHeight w:val="204"/>
        </w:trPr>
        <w:tc>
          <w:tcPr>
            <w:tcW w:w="640" w:type="dxa"/>
            <w:vAlign w:val="bottom"/>
          </w:tcPr>
          <w:p>
            <w:pPr>
              <w:spacing w:after="0"/>
              <w:rPr>
                <w:sz w:val="20"/>
                <w:szCs w:val="20"/>
                <w:color w:val="auto"/>
              </w:rPr>
            </w:pPr>
            <w:r>
              <w:rPr>
                <w:rFonts w:ascii="Arial" w:cs="Arial" w:eastAsia="Arial" w:hAnsi="Arial"/>
                <w:sz w:val="17"/>
                <w:szCs w:val="17"/>
                <w:color w:val="auto"/>
              </w:rPr>
              <w:t>Name:</w:t>
            </w:r>
          </w:p>
        </w:tc>
        <w:tc>
          <w:tcPr>
            <w:tcW w:w="3920" w:type="dxa"/>
            <w:vAlign w:val="bottom"/>
          </w:tcPr>
          <w:p>
            <w:pPr>
              <w:spacing w:after="0"/>
              <w:rPr>
                <w:sz w:val="20"/>
                <w:szCs w:val="20"/>
                <w:color w:val="auto"/>
              </w:rPr>
            </w:pPr>
            <w:r>
              <w:rPr>
                <w:rFonts w:ascii="Arial" w:cs="Arial" w:eastAsia="Arial" w:hAnsi="Arial"/>
                <w:sz w:val="17"/>
                <w:szCs w:val="17"/>
                <w:color w:val="auto"/>
              </w:rPr>
              <w:t>Kathleen M. Farley</w:t>
            </w:r>
          </w:p>
        </w:tc>
      </w:tr>
      <w:tr>
        <w:trPr>
          <w:trHeight w:val="222"/>
        </w:trPr>
        <w:tc>
          <w:tcPr>
            <w:tcW w:w="640" w:type="dxa"/>
            <w:vAlign w:val="bottom"/>
          </w:tcPr>
          <w:p>
            <w:pPr>
              <w:spacing w:after="0"/>
              <w:rPr>
                <w:sz w:val="20"/>
                <w:szCs w:val="20"/>
                <w:color w:val="auto"/>
              </w:rPr>
            </w:pPr>
            <w:r>
              <w:rPr>
                <w:rFonts w:ascii="Arial" w:cs="Arial" w:eastAsia="Arial" w:hAnsi="Arial"/>
                <w:sz w:val="17"/>
                <w:szCs w:val="17"/>
                <w:color w:val="auto"/>
              </w:rPr>
              <w:t>Title:</w:t>
            </w:r>
          </w:p>
        </w:tc>
        <w:tc>
          <w:tcPr>
            <w:tcW w:w="3920" w:type="dxa"/>
            <w:vAlign w:val="bottom"/>
          </w:tcPr>
          <w:p>
            <w:pPr>
              <w:spacing w:after="0"/>
              <w:rPr>
                <w:sz w:val="20"/>
                <w:szCs w:val="20"/>
                <w:color w:val="auto"/>
              </w:rPr>
            </w:pPr>
            <w:r>
              <w:rPr>
                <w:rFonts w:ascii="Arial" w:cs="Arial" w:eastAsia="Arial" w:hAnsi="Arial"/>
                <w:sz w:val="17"/>
                <w:szCs w:val="17"/>
                <w:color w:val="auto"/>
              </w:rPr>
              <w:t>V.P. Strategic Operations</w:t>
            </w:r>
          </w:p>
        </w:tc>
      </w:tr>
    </w:tbl>
    <w:p>
      <w:pPr>
        <w:spacing w:after="0" w:line="192"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Amphastar France Pharmaceuticals S.A.S.</w:t>
      </w:r>
    </w:p>
    <w:p>
      <w:pPr>
        <w:spacing w:after="0" w:line="230"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Franck Vitali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16510</wp:posOffset>
            </wp:positionV>
            <wp:extent cx="24860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6"/>
          <w:szCs w:val="16"/>
          <w:color w:val="auto"/>
        </w:rPr>
        <w:t>Franck Vitali</w:t>
      </w:r>
    </w:p>
    <w:p>
      <w:pPr>
        <w:spacing w:after="0" w:line="26"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7"/>
          <w:szCs w:val="17"/>
          <w:color w:val="auto"/>
        </w:rPr>
        <w:t>Title:</w:t>
        <w:tab/>
        <w:t>Plant Manager</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Amphastar Pharmaceuticals, Inc.</w:t>
      </w:r>
    </w:p>
    <w:p>
      <w:pPr>
        <w:spacing w:after="0" w:line="230"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Jason Shandell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16510</wp:posOffset>
            </wp:positionV>
            <wp:extent cx="24860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5"/>
          <w:szCs w:val="15"/>
          <w:color w:val="auto"/>
        </w:rPr>
        <w:t>Jason Shandell</w:t>
      </w:r>
    </w:p>
    <w:p>
      <w:pPr>
        <w:spacing w:after="0" w:line="26" w:lineRule="exact"/>
        <w:rPr>
          <w:sz w:val="20"/>
          <w:szCs w:val="20"/>
          <w:color w:val="auto"/>
        </w:rPr>
      </w:pPr>
    </w:p>
    <w:p>
      <w:pPr>
        <w:ind w:left="6400"/>
        <w:spacing w:after="0"/>
        <w:tabs>
          <w:tab w:leader="none" w:pos="7020" w:val="left"/>
        </w:tabs>
        <w:rPr>
          <w:sz w:val="20"/>
          <w:szCs w:val="20"/>
          <w:color w:val="auto"/>
        </w:rPr>
      </w:pPr>
      <w:r>
        <w:rPr>
          <w:rFonts w:ascii="Arial" w:cs="Arial" w:eastAsia="Arial" w:hAnsi="Arial"/>
          <w:sz w:val="17"/>
          <w:szCs w:val="17"/>
          <w:color w:val="auto"/>
        </w:rPr>
        <w:t>Title:</w:t>
        <w:tab/>
        <w:t>President</w:t>
      </w:r>
    </w:p>
    <w:p>
      <w:pPr>
        <w:spacing w:after="0" w:line="1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0960"/>
          </w:cols>
          <w:pgMar w:left="700" w:top="271" w:right="239" w:bottom="1440" w:gutter="0" w:footer="0" w:header="0"/>
        </w:sectPr>
      </w:pPr>
    </w:p>
    <w:bookmarkStart w:id="146" w:name="page147"/>
    <w:bookmarkEnd w:id="146"/>
    <w:p>
      <w:pPr>
        <w:ind w:left="10440"/>
        <w:spacing w:after="0"/>
        <w:rPr>
          <w:sz w:val="20"/>
          <w:szCs w:val="20"/>
          <w:color w:val="auto"/>
        </w:rPr>
      </w:pPr>
      <w:r>
        <w:rPr>
          <w:rFonts w:ascii="Arial" w:cs="Arial" w:eastAsia="Arial" w:hAnsi="Arial"/>
          <w:sz w:val="16"/>
          <w:szCs w:val="16"/>
          <w:b w:val="1"/>
          <w:bCs w:val="1"/>
          <w:color w:val="auto"/>
        </w:rPr>
        <w:t>Exhibit 10.33</w:t>
      </w:r>
    </w:p>
    <w:p>
      <w:pPr>
        <w:spacing w:after="0" w:line="235"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***Text Omitted and Filed Separately</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auto"/>
        </w:rPr>
        <w:t>with the Securities and Exchange Commission.</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Confidential Treatment Requested</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Under 17 C.F.R. Sections 200.80(b)(4)</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and 240.24b-2.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SUPPLY AGREEMENT</w:t>
      </w:r>
    </w:p>
    <w:p>
      <w:pPr>
        <w:spacing w:after="0" w:line="23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This second amendment (“Second Amendment”) to the Supply Agreement by and between MannKind Corporation (“MannKind”) and Amphastar</w:t>
      </w:r>
    </w:p>
    <w:p>
      <w:pPr>
        <w:spacing w:after="0" w:line="26"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Pharmaceuticals, Inc. (“Amphastar”), originally dated July 31, 2014 and as previously amended on October 31, 2014 (collectively, the “Agreement”), is hereby made as of the 9</w:t>
      </w:r>
      <w:r>
        <w:rPr>
          <w:rFonts w:ascii="Arial" w:cs="Arial" w:eastAsia="Arial" w:hAnsi="Arial"/>
          <w:sz w:val="14"/>
          <w:szCs w:val="14"/>
          <w:color w:val="auto"/>
        </w:rPr>
        <w:t>th</w:t>
      </w:r>
      <w:r>
        <w:rPr>
          <w:rFonts w:ascii="Arial" w:cs="Arial" w:eastAsia="Arial" w:hAnsi="Arial"/>
          <w:sz w:val="17"/>
          <w:szCs w:val="17"/>
          <w:color w:val="auto"/>
        </w:rPr>
        <w:t xml:space="preserve"> day of November, 2016, by and between MannKind on the one hand, and on the other hand, Amphastar.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RECITALS</w:t>
      </w:r>
      <w:r>
        <w:rPr>
          <w:rFonts w:ascii="Arial" w:cs="Arial" w:eastAsia="Arial" w:hAnsi="Arial"/>
          <w:sz w:val="17"/>
          <w:szCs w:val="17"/>
          <w:color w:val="auto"/>
        </w:rPr>
        <w:t>:</w:t>
      </w:r>
    </w:p>
    <w:p>
      <w:pPr>
        <w:spacing w:after="0" w:line="224"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WHEREAS, MannKind and Amphastar entered into the Agreement pursuant to which Amphastar is to manufacture and supply the Product to MannKind, and MannKind is to purchase certain minimum quantities of the Product;</w:t>
      </w:r>
    </w:p>
    <w:p>
      <w:pPr>
        <w:spacing w:after="0" w:line="158" w:lineRule="exact"/>
        <w:rPr>
          <w:sz w:val="20"/>
          <w:szCs w:val="20"/>
          <w:color w:val="auto"/>
        </w:rPr>
      </w:pPr>
    </w:p>
    <w:p>
      <w:pPr>
        <w:ind w:right="620" w:firstLine="457"/>
        <w:spacing w:after="0" w:line="289" w:lineRule="auto"/>
        <w:rPr>
          <w:sz w:val="20"/>
          <w:szCs w:val="20"/>
          <w:color w:val="auto"/>
        </w:rPr>
      </w:pPr>
      <w:r>
        <w:rPr>
          <w:rFonts w:ascii="Arial" w:cs="Arial" w:eastAsia="Arial" w:hAnsi="Arial"/>
          <w:sz w:val="17"/>
          <w:szCs w:val="17"/>
          <w:color w:val="auto"/>
        </w:rPr>
        <w:t>WHEREAS, MannKind and Amphastar are concurrently entering into a first amendment to the Insulin Purchase Option Agreement originally dated January 1, 2015 (the “Option Amendment”)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MannKind and Amphastar have determined it to be mutually beneficial to amend the Agreement as set forth herein.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for good and valuable consideration, MannKind and Amphastar, hereby agree to amend the Agreement as follows:</w:t>
      </w:r>
    </w:p>
    <w:p>
      <w:pPr>
        <w:spacing w:after="0" w:line="119" w:lineRule="exact"/>
        <w:rPr>
          <w:sz w:val="20"/>
          <w:szCs w:val="20"/>
          <w:color w:val="auto"/>
        </w:rPr>
      </w:pPr>
    </w:p>
    <w:p>
      <w:pPr>
        <w:ind w:firstLine="461"/>
        <w:spacing w:after="0" w:line="289" w:lineRule="auto"/>
        <w:tabs>
          <w:tab w:leader="none" w:pos="63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Unless otherwise defined herein, each of the capitalized terms used in this Second Amendment shall have the definition and meaning ascribed to it in the Agreement.</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Amendments to the Agreement</w:t>
      </w:r>
      <w:r>
        <w:rPr>
          <w:rFonts w:ascii="Arial" w:cs="Arial" w:eastAsia="Arial" w:hAnsi="Arial"/>
          <w:sz w:val="17"/>
          <w:szCs w:val="17"/>
          <w:color w:val="auto"/>
        </w:rPr>
        <w: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2.1 The following sentence in </w:t>
      </w:r>
      <w:r>
        <w:rPr>
          <w:rFonts w:ascii="Arial" w:cs="Arial" w:eastAsia="Arial" w:hAnsi="Arial"/>
          <w:sz w:val="17"/>
          <w:szCs w:val="17"/>
          <w:b w:val="1"/>
          <w:bCs w:val="1"/>
          <w:color w:val="auto"/>
        </w:rPr>
        <w:t>Section 5.1</w:t>
      </w:r>
      <w:r>
        <w:rPr>
          <w:rFonts w:ascii="Arial" w:cs="Arial" w:eastAsia="Arial" w:hAnsi="Arial"/>
          <w:sz w:val="17"/>
          <w:szCs w:val="17"/>
          <w:color w:val="auto"/>
        </w:rPr>
        <w:t xml:space="preserve"> of the Agreement:</w:t>
      </w:r>
    </w:p>
    <w:p>
      <w:pPr>
        <w:spacing w:after="0" w:line="125"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“Upon delivery to MannKind, AFP shall ensure Product will have a remaining expiry date of not less than four (4) years.”</w:t>
      </w:r>
    </w:p>
    <w:p>
      <w:pPr>
        <w:spacing w:after="0" w:line="1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Is amended and replaced in its entirety with the following:</w:t>
      </w:r>
    </w:p>
    <w:p>
      <w:pPr>
        <w:spacing w:after="0" w:line="119" w:lineRule="exact"/>
        <w:rPr>
          <w:sz w:val="20"/>
          <w:szCs w:val="20"/>
          <w:color w:val="auto"/>
        </w:rPr>
      </w:pPr>
    </w:p>
    <w:p>
      <w:pPr>
        <w:ind w:left="1480" w:right="160"/>
        <w:spacing w:after="0" w:line="273" w:lineRule="auto"/>
        <w:rPr>
          <w:sz w:val="20"/>
          <w:szCs w:val="20"/>
          <w:color w:val="auto"/>
        </w:rPr>
      </w:pPr>
      <w:r>
        <w:rPr>
          <w:rFonts w:ascii="Arial" w:cs="Arial" w:eastAsia="Arial" w:hAnsi="Arial"/>
          <w:sz w:val="17"/>
          <w:szCs w:val="17"/>
          <w:color w:val="auto"/>
        </w:rPr>
        <w:t>“In calendar year 2017 and 2018, upon delivery to MannKind, Amphastar shall ensure that Product will have a remaining expiry date of not less than two (2) years. In calendar year 2019 and the remainder of the term of the Agreement, Amphastar shall ensure Product will have a remaining expiry date of not less than three (3) years.”</w:t>
      </w:r>
    </w:p>
    <w:p>
      <w:pPr>
        <w:spacing w:after="0" w:line="6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2.2 The following sentence in </w:t>
      </w:r>
      <w:r>
        <w:rPr>
          <w:rFonts w:ascii="Arial" w:cs="Arial" w:eastAsia="Arial" w:hAnsi="Arial"/>
          <w:sz w:val="17"/>
          <w:szCs w:val="17"/>
          <w:b w:val="1"/>
          <w:bCs w:val="1"/>
          <w:color w:val="auto"/>
        </w:rPr>
        <w:t>Section 6.1</w:t>
      </w:r>
      <w:r>
        <w:rPr>
          <w:rFonts w:ascii="Arial" w:cs="Arial" w:eastAsia="Arial" w:hAnsi="Arial"/>
          <w:sz w:val="17"/>
          <w:szCs w:val="17"/>
          <w:color w:val="auto"/>
        </w:rPr>
        <w:t xml:space="preserve"> of the Agreement:</w:t>
      </w:r>
    </w:p>
    <w:p>
      <w:pPr>
        <w:spacing w:after="0" w:line="119" w:lineRule="exact"/>
        <w:rPr>
          <w:sz w:val="20"/>
          <w:szCs w:val="20"/>
          <w:color w:val="auto"/>
        </w:rPr>
      </w:pPr>
    </w:p>
    <w:p>
      <w:pPr>
        <w:ind w:left="920" w:right="20"/>
        <w:spacing w:after="0" w:line="265" w:lineRule="auto"/>
        <w:rPr>
          <w:sz w:val="20"/>
          <w:szCs w:val="20"/>
          <w:color w:val="auto"/>
        </w:rPr>
      </w:pPr>
      <w:r>
        <w:rPr>
          <w:rFonts w:ascii="Arial" w:cs="Arial" w:eastAsia="Arial" w:hAnsi="Arial"/>
          <w:sz w:val="17"/>
          <w:szCs w:val="17"/>
          <w:b w:val="1"/>
          <w:bCs w:val="1"/>
          <w:color w:val="auto"/>
        </w:rPr>
        <w:t>“Purchase Commitment and Purchase Price</w:t>
      </w:r>
      <w:r>
        <w:rPr>
          <w:rFonts w:ascii="Arial" w:cs="Arial" w:eastAsia="Arial" w:hAnsi="Arial"/>
          <w:sz w:val="17"/>
          <w:szCs w:val="17"/>
          <w:color w:val="auto"/>
        </w:rPr>
        <w:t>. MannKind shall purchase from AFP the minimum quantities of Product (the “</w:t>
      </w:r>
      <w:r>
        <w:rPr>
          <w:rFonts w:ascii="Arial" w:cs="Arial" w:eastAsia="Arial" w:hAnsi="Arial"/>
          <w:sz w:val="17"/>
          <w:szCs w:val="17"/>
          <w:b w:val="1"/>
          <w:bCs w:val="1"/>
          <w:i w:val="1"/>
          <w:iCs w:val="1"/>
          <w:color w:val="auto"/>
        </w:rPr>
        <w:t>Purchase Commitment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Quantities</w:t>
      </w:r>
      <w:r>
        <w:rPr>
          <w:rFonts w:ascii="Arial" w:cs="Arial" w:eastAsia="Arial" w:hAnsi="Arial"/>
          <w:sz w:val="17"/>
          <w:szCs w:val="17"/>
          <w:color w:val="auto"/>
        </w:rPr>
        <w:t>”) at the purchase price per gram (the “</w:t>
      </w:r>
      <w:r>
        <w:rPr>
          <w:rFonts w:ascii="Arial" w:cs="Arial" w:eastAsia="Arial" w:hAnsi="Arial"/>
          <w:sz w:val="17"/>
          <w:szCs w:val="17"/>
          <w:b w:val="1"/>
          <w:bCs w:val="1"/>
          <w:i w:val="1"/>
          <w:iCs w:val="1"/>
          <w:color w:val="auto"/>
        </w:rPr>
        <w:t>Purchase Price</w:t>
      </w:r>
      <w:r>
        <w:rPr>
          <w:rFonts w:ascii="Arial" w:cs="Arial" w:eastAsia="Arial" w:hAnsi="Arial"/>
          <w:sz w:val="17"/>
          <w:szCs w:val="17"/>
          <w:color w:val="auto"/>
        </w:rPr>
        <w:t>”) in each calendar year as provided in the table set forth below. In the event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MannKind fails to meet the Purchase Commitment Quantities in any given calendar year, MannKind shall pay AFP for the difference in the amount of the Purchase Commitment Quantities and the actual amount purchased for the corresponding calendar year (such difference, the “</w:t>
      </w:r>
      <w:r>
        <w:rPr>
          <w:rFonts w:ascii="Arial" w:cs="Arial" w:eastAsia="Arial" w:hAnsi="Arial"/>
          <w:sz w:val="17"/>
          <w:szCs w:val="17"/>
          <w:b w:val="1"/>
          <w:bCs w:val="1"/>
          <w:i w:val="1"/>
          <w:iCs w:val="1"/>
          <w:color w:val="auto"/>
        </w:rPr>
        <w:t>Purchase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Commitment Difference</w:t>
      </w:r>
      <w:r>
        <w:rPr>
          <w:rFonts w:ascii="Arial" w:cs="Arial" w:eastAsia="Arial" w:hAnsi="Arial"/>
          <w:sz w:val="17"/>
          <w:szCs w:val="17"/>
          <w:color w:val="auto"/>
        </w:rPr>
        <w:t>”). AFP shall issue an invoice and MannKind shall pay the Purchase Commitment Difference no later than thirty (30)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close of the corresponding calendar year.”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is amended and replaced in its entirety with the following:</w:t>
      </w:r>
    </w:p>
    <w:p>
      <w:pPr>
        <w:sectPr>
          <w:pgSz w:w="11900" w:h="16838" w:orient="portrait"/>
          <w:cols w:equalWidth="0" w:num="1">
            <w:col w:w="11420"/>
          </w:cols>
          <w:pgMar w:left="240" w:top="121" w:right="239" w:bottom="1440" w:gutter="0" w:footer="0" w:header="0"/>
        </w:sectPr>
      </w:pPr>
    </w:p>
    <w:bookmarkStart w:id="147" w:name="page148"/>
    <w:bookmarkEnd w:id="147"/>
    <w:p>
      <w:pPr>
        <w:ind w:left="920" w:right="20"/>
        <w:spacing w:after="0" w:line="28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Purchase Commitment and Purchase Price</w:t>
      </w:r>
      <w:r>
        <w:rPr>
          <w:rFonts w:ascii="Arial" w:cs="Arial" w:eastAsia="Arial" w:hAnsi="Arial"/>
          <w:sz w:val="16"/>
          <w:szCs w:val="16"/>
          <w:color w:val="auto"/>
        </w:rPr>
        <w:t>. MannKind shall purchase from Amphastar the minimum quantities of Product (the “</w:t>
      </w:r>
      <w:r>
        <w:rPr>
          <w:rFonts w:ascii="Arial" w:cs="Arial" w:eastAsia="Arial" w:hAnsi="Arial"/>
          <w:sz w:val="16"/>
          <w:szCs w:val="16"/>
          <w:b w:val="1"/>
          <w:bCs w:val="1"/>
          <w:i w:val="1"/>
          <w:iCs w:val="1"/>
          <w:color w:val="auto"/>
        </w:rPr>
        <w:t>Purchase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Commitment Quantities</w:t>
      </w:r>
      <w:r>
        <w:rPr>
          <w:rFonts w:ascii="Arial" w:cs="Arial" w:eastAsia="Arial" w:hAnsi="Arial"/>
          <w:sz w:val="16"/>
          <w:szCs w:val="16"/>
          <w:color w:val="auto"/>
        </w:rPr>
        <w:t>”) at the purchase price per gram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in each calendar year as provided in the table set forth below.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Purchase Commitment Quantities will be divided into four (4) equal quarterly commitments (the “</w:t>
      </w:r>
      <w:r>
        <w:rPr>
          <w:rFonts w:ascii="Arial" w:cs="Arial" w:eastAsia="Arial" w:hAnsi="Arial"/>
          <w:sz w:val="16"/>
          <w:szCs w:val="16"/>
          <w:b w:val="1"/>
          <w:bCs w:val="1"/>
          <w:i w:val="1"/>
          <w:iCs w:val="1"/>
          <w:color w:val="auto"/>
        </w:rPr>
        <w:t>Quarterly Commitment</w:t>
      </w:r>
      <w:r>
        <w:rPr>
          <w:rFonts w:ascii="Arial" w:cs="Arial" w:eastAsia="Arial" w:hAnsi="Arial"/>
          <w:sz w:val="16"/>
          <w:szCs w:val="16"/>
          <w:color w:val="auto"/>
        </w:rPr>
        <w:t>”). In the event that MannKind fails to meet the Quarterly Commitment in any given calendar quarter, MannKind shall pay Amphastar for the difference in the amount of the Quarterly Commitment and the actual amount purchased for the corresponding calendar quarter (such difference, the “</w:t>
      </w:r>
      <w:r>
        <w:rPr>
          <w:rFonts w:ascii="Arial" w:cs="Arial" w:eastAsia="Arial" w:hAnsi="Arial"/>
          <w:sz w:val="16"/>
          <w:szCs w:val="16"/>
          <w:b w:val="1"/>
          <w:bCs w:val="1"/>
          <w:i w:val="1"/>
          <w:iCs w:val="1"/>
          <w:color w:val="auto"/>
        </w:rPr>
        <w:t>Payment Commitment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Difference</w:t>
      </w:r>
      <w:r>
        <w:rPr>
          <w:rFonts w:ascii="Arial" w:cs="Arial" w:eastAsia="Arial" w:hAnsi="Arial"/>
          <w:sz w:val="16"/>
          <w:szCs w:val="16"/>
          <w:color w:val="auto"/>
        </w:rPr>
        <w:t>”). Amphastar shall issue an invoice and MannKind shall pay the Payment Commitment Difference no later than thirty (30) days after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close of the corresponding calendar quarter. Notwithstanding the foregoing, the parties hereby agree that the Purchase Commitment Quantities for 2017 shall not be divided into four (4) equal quarterly payments but rather MannKind shall take receipt of the entire [</w:t>
      </w:r>
      <w:r>
        <w:rPr>
          <w:rFonts w:ascii="Arial" w:cs="Arial" w:eastAsia="Arial" w:hAnsi="Arial"/>
          <w:sz w:val="13"/>
          <w:szCs w:val="13"/>
          <w:b w:val="1"/>
          <w:bCs w:val="1"/>
          <w:i w:val="1"/>
          <w:iCs w:val="1"/>
          <w:color w:val="auto"/>
        </w:rPr>
        <w:t>*</w:t>
      </w:r>
      <w:r>
        <w:rPr>
          <w:rFonts w:ascii="Arial" w:cs="Arial" w:eastAsia="Arial" w:hAnsi="Arial"/>
          <w:sz w:val="16"/>
          <w:szCs w:val="16"/>
          <w:color w:val="auto"/>
        </w:rPr>
        <w:t>…***…] Kgs of Product in the fourth (4</w:t>
      </w:r>
      <w:r>
        <w:rPr>
          <w:rFonts w:ascii="Arial" w:cs="Arial" w:eastAsia="Arial" w:hAnsi="Arial"/>
          <w:sz w:val="13"/>
          <w:szCs w:val="13"/>
          <w:color w:val="auto"/>
        </w:rPr>
        <w:t>th</w:t>
      </w:r>
      <w:r>
        <w:rPr>
          <w:rFonts w:ascii="Arial" w:cs="Arial" w:eastAsia="Arial" w:hAnsi="Arial"/>
          <w:sz w:val="16"/>
          <w:szCs w:val="16"/>
          <w:color w:val="auto"/>
        </w:rPr>
        <w:t>) quarter of 2017 but no later than November 15, 2017.</w:t>
      </w:r>
    </w:p>
    <w:p>
      <w:pPr>
        <w:spacing w:after="0" w:line="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2.3 The table in Section 6.1 of the Agreement is amended and replaced in its entirety with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tcPr>
          <w:p>
            <w:pPr>
              <w:spacing w:after="0"/>
              <w:rPr>
                <w:sz w:val="20"/>
                <w:szCs w:val="20"/>
                <w:color w:val="auto"/>
              </w:rPr>
            </w:pPr>
            <w:r>
              <w:rPr>
                <w:rFonts w:ascii="Arial" w:cs="Arial" w:eastAsia="Arial" w:hAnsi="Arial"/>
                <w:sz w:val="14"/>
                <w:szCs w:val="14"/>
                <w:color w:val="auto"/>
              </w:rPr>
              <w:t>Calendar</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Purchase Commitment</w:t>
            </w: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Purchase Price</w:t>
            </w:r>
          </w:p>
        </w:tc>
        <w:tc>
          <w:tcPr>
            <w:tcW w:w="7940" w:type="dxa"/>
            <w:vAlign w:val="bottom"/>
          </w:tcPr>
          <w:p>
            <w:pPr>
              <w:spacing w:after="0"/>
              <w:rPr>
                <w:sz w:val="14"/>
                <w:szCs w:val="14"/>
                <w:color w:val="auto"/>
              </w:rPr>
            </w:pPr>
          </w:p>
        </w:tc>
      </w:tr>
      <w:tr>
        <w:trPr>
          <w:trHeight w:val="169"/>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Year</w:t>
            </w:r>
          </w:p>
        </w:tc>
        <w:tc>
          <w:tcPr>
            <w:tcW w:w="30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Quantities (kg)</w:t>
            </w:r>
          </w:p>
        </w:tc>
        <w:tc>
          <w:tcPr>
            <w:tcW w:w="100" w:type="dxa"/>
            <w:vAlign w:val="bottom"/>
          </w:tcPr>
          <w:p>
            <w:pPr>
              <w:spacing w:after="0"/>
              <w:rPr>
                <w:sz w:val="14"/>
                <w:szCs w:val="14"/>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(per gram)</w:t>
            </w:r>
          </w:p>
        </w:tc>
        <w:tc>
          <w:tcPr>
            <w:tcW w:w="100" w:type="dxa"/>
            <w:vAlign w:val="bottom"/>
          </w:tcPr>
          <w:p>
            <w:pPr>
              <w:spacing w:after="0"/>
              <w:rPr>
                <w:sz w:val="14"/>
                <w:szCs w:val="14"/>
                <w:color w:val="auto"/>
              </w:rPr>
            </w:pPr>
          </w:p>
        </w:tc>
        <w:tc>
          <w:tcPr>
            <w:tcW w:w="7940" w:type="dxa"/>
            <w:vAlign w:val="bottom"/>
            <w:tcBorders>
              <w:bottom w:val="single" w:sz="8" w:color="auto"/>
            </w:tcBorders>
          </w:tcPr>
          <w:p>
            <w:pPr>
              <w:ind w:left="3340"/>
              <w:spacing w:after="0"/>
              <w:rPr>
                <w:sz w:val="20"/>
                <w:szCs w:val="20"/>
                <w:color w:val="auto"/>
              </w:rPr>
            </w:pPr>
            <w:r>
              <w:rPr>
                <w:rFonts w:ascii="Arial" w:cs="Arial" w:eastAsia="Arial" w:hAnsi="Arial"/>
                <w:sz w:val="14"/>
                <w:szCs w:val="14"/>
                <w:color w:val="auto"/>
              </w:rPr>
              <w:t>Delivery and Payment</w:t>
            </w:r>
          </w:p>
        </w:tc>
      </w:tr>
      <w:tr>
        <w:trPr>
          <w:trHeight w:val="301"/>
        </w:trPr>
        <w:tc>
          <w:tcPr>
            <w:tcW w:w="500" w:type="dxa"/>
            <w:vAlign w:val="bottom"/>
          </w:tcPr>
          <w:p>
            <w:pPr>
              <w:spacing w:after="0"/>
              <w:rPr>
                <w:sz w:val="20"/>
                <w:szCs w:val="20"/>
                <w:color w:val="auto"/>
              </w:rPr>
            </w:pPr>
            <w:r>
              <w:rPr>
                <w:rFonts w:ascii="Arial" w:cs="Arial" w:eastAsia="Arial" w:hAnsi="Arial"/>
                <w:sz w:val="17"/>
                <w:szCs w:val="17"/>
                <w:color w:val="auto"/>
              </w:rPr>
              <w:t>2014</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color w:val="auto"/>
              </w:rPr>
              <w:t>EUR [***]</w:t>
            </w:r>
          </w:p>
        </w:tc>
        <w:tc>
          <w:tcPr>
            <w:tcW w:w="7940" w:type="dxa"/>
            <w:vAlign w:val="bottom"/>
          </w:tcPr>
          <w:p>
            <w:pPr>
              <w:spacing w:after="0"/>
              <w:rPr>
                <w:sz w:val="24"/>
                <w:szCs w:val="24"/>
                <w:color w:val="auto"/>
              </w:rPr>
            </w:pP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2015</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color w:val="auto"/>
              </w:rPr>
              <w:t>EUR [***]</w:t>
            </w:r>
          </w:p>
        </w:tc>
        <w:tc>
          <w:tcPr>
            <w:tcW w:w="7940" w:type="dxa"/>
            <w:vAlign w:val="bottom"/>
          </w:tcPr>
          <w:p>
            <w:pPr>
              <w:spacing w:after="0"/>
              <w:rPr>
                <w:sz w:val="24"/>
                <w:szCs w:val="24"/>
                <w:color w:val="auto"/>
              </w:rPr>
            </w:pP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2016</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7"/>
                <w:szCs w:val="17"/>
                <w:color w:val="auto"/>
              </w:rPr>
              <w:t>EUR [***]</w:t>
            </w:r>
          </w:p>
        </w:tc>
        <w:tc>
          <w:tcPr>
            <w:tcW w:w="7940" w:type="dxa"/>
            <w:vAlign w:val="bottom"/>
          </w:tcPr>
          <w:p>
            <w:pPr>
              <w:spacing w:after="0"/>
              <w:rPr>
                <w:sz w:val="24"/>
                <w:szCs w:val="24"/>
                <w:color w:val="auto"/>
              </w:rPr>
            </w:pP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2017</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100% of the Purchase Commitment Quantities Payment shall be paid no later than November 5, 2017</w:t>
            </w: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25% of the Purchase Commitment Quantities shall be paid on a Quarterly basis</w:t>
            </w: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2019</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25% of the Purchase Commitment Quantities shall be paid on a Quarterly basis</w:t>
            </w: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2020</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25% of the Purchase Commitment Quantities shall be paid on a Quarterly basis</w:t>
            </w: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2021</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25% of the Purchase Commitment Quantities shall be paid on a Quarterly basis</w:t>
            </w: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2022</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25% of the Purchase Commitment Quantities shall be paid on a Quarterly basis</w:t>
            </w:r>
          </w:p>
        </w:tc>
      </w:tr>
      <w:tr>
        <w:trPr>
          <w:trHeight w:val="314"/>
        </w:trPr>
        <w:tc>
          <w:tcPr>
            <w:tcW w:w="500" w:type="dxa"/>
            <w:vAlign w:val="bottom"/>
          </w:tcPr>
          <w:p>
            <w:pPr>
              <w:spacing w:after="0"/>
              <w:rPr>
                <w:sz w:val="20"/>
                <w:szCs w:val="20"/>
                <w:color w:val="auto"/>
              </w:rPr>
            </w:pPr>
            <w:r>
              <w:rPr>
                <w:rFonts w:ascii="Arial" w:cs="Arial" w:eastAsia="Arial" w:hAnsi="Arial"/>
                <w:sz w:val="17"/>
                <w:szCs w:val="17"/>
                <w:color w:val="auto"/>
              </w:rPr>
              <w:t>2023</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EUR [***]  25% of the Purchase Commitment Quantities shall be paid on a Quarterly basis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32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51" w:lineRule="exact"/>
        <w:rPr>
          <w:sz w:val="20"/>
          <w:szCs w:val="20"/>
          <w:color w:val="auto"/>
        </w:rPr>
      </w:pPr>
    </w:p>
    <w:p>
      <w:pPr>
        <w:ind w:left="460" w:hanging="455"/>
        <w:spacing w:after="0"/>
        <w:tabs>
          <w:tab w:leader="none" w:pos="460" w:val="left"/>
        </w:tabs>
        <w:numPr>
          <w:ilvl w:val="0"/>
          <w:numId w:val="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Confidential Treatment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ectPr>
          <w:pgSz w:w="11900" w:h="16838" w:orient="portrait"/>
          <w:cols w:equalWidth="0" w:num="1">
            <w:col w:w="11420"/>
          </w:cols>
          <w:pgMar w:left="240" w:top="265" w:right="239" w:bottom="1440" w:gutter="0" w:footer="0" w:header="0"/>
        </w:sectPr>
      </w:pPr>
    </w:p>
    <w:bookmarkStart w:id="148" w:name="page149"/>
    <w:bookmarkEnd w:id="148"/>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2.4 Section 6.2 of the Agreement shall be amended and replaced in its entirety with the following:</w:t>
      </w:r>
    </w:p>
    <w:p>
      <w:pPr>
        <w:spacing w:after="0" w:line="113" w:lineRule="exact"/>
        <w:rPr>
          <w:sz w:val="20"/>
          <w:szCs w:val="20"/>
          <w:color w:val="auto"/>
        </w:rPr>
      </w:pPr>
    </w:p>
    <w:p>
      <w:pPr>
        <w:ind w:left="920" w:right="60"/>
        <w:spacing w:after="0" w:line="265" w:lineRule="auto"/>
        <w:rPr>
          <w:sz w:val="20"/>
          <w:szCs w:val="20"/>
          <w:color w:val="auto"/>
        </w:rPr>
      </w:pPr>
      <w:r>
        <w:rPr>
          <w:rFonts w:ascii="Arial" w:cs="Arial" w:eastAsia="Arial" w:hAnsi="Arial"/>
          <w:sz w:val="17"/>
          <w:szCs w:val="17"/>
          <w:b w:val="1"/>
          <w:bCs w:val="1"/>
          <w:color w:val="auto"/>
        </w:rPr>
        <w:t xml:space="preserve">6.2 Payment. </w:t>
      </w:r>
      <w:r>
        <w:rPr>
          <w:rFonts w:ascii="Arial" w:cs="Arial" w:eastAsia="Arial" w:hAnsi="Arial"/>
          <w:sz w:val="17"/>
          <w:szCs w:val="17"/>
          <w:color w:val="auto"/>
        </w:rPr>
        <w:t>In calendar year 2017 and 2018, MannKind shall pre-pay Amphastar for the Product at least ten (10) days prior to the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delivery date. For the avoidance of doubt, Amphastar shall not ship the Product to MannKind until such payment is received. Beginning in 2019 and for the remainder of the term of the Agreement, MannKind shall pay Amphastar for the Product within forty-five (45) days from shipment date of the Product. Amphastar shall submit an invoice electronically to MannKind, Attention: Account Payable, </w:t>
      </w:r>
      <w:r>
        <w:rPr>
          <w:rFonts w:ascii="Arial" w:cs="Arial" w:eastAsia="Arial" w:hAnsi="Arial"/>
          <w:sz w:val="17"/>
          <w:szCs w:val="17"/>
          <w:u w:val="single" w:color="auto"/>
          <w:color w:val="auto"/>
        </w:rPr>
        <w:t>valenciaap@mannkindcorp.com</w:t>
      </w:r>
      <w:r>
        <w:rPr>
          <w:rFonts w:ascii="Arial" w:cs="Arial" w:eastAsia="Arial" w:hAnsi="Arial"/>
          <w:sz w:val="17"/>
          <w:szCs w:val="17"/>
          <w:color w:val="auto"/>
        </w:rPr>
        <w:t>. If any portion of an invoice is disputed then MannKind shall pay the undisputed amount and the Parties shall use good faith efforts to reconcile the disputed amount as soon as practicable.</w:t>
      </w:r>
    </w:p>
    <w:p>
      <w:pPr>
        <w:spacing w:after="0" w:line="6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2.5 A new </w:t>
      </w:r>
      <w:r>
        <w:rPr>
          <w:rFonts w:ascii="Arial" w:cs="Arial" w:eastAsia="Arial" w:hAnsi="Arial"/>
          <w:sz w:val="17"/>
          <w:szCs w:val="17"/>
          <w:b w:val="1"/>
          <w:bCs w:val="1"/>
          <w:color w:val="auto"/>
        </w:rPr>
        <w:t>Section 6.5</w:t>
      </w:r>
      <w:r>
        <w:rPr>
          <w:rFonts w:ascii="Arial" w:cs="Arial" w:eastAsia="Arial" w:hAnsi="Arial"/>
          <w:sz w:val="17"/>
          <w:szCs w:val="17"/>
          <w:color w:val="auto"/>
        </w:rPr>
        <w:t xml:space="preserve"> shall be added to the Agreement as follows:</w:t>
      </w:r>
    </w:p>
    <w:p>
      <w:pPr>
        <w:spacing w:after="0" w:line="119" w:lineRule="exact"/>
        <w:rPr>
          <w:sz w:val="20"/>
          <w:szCs w:val="20"/>
          <w:color w:val="auto"/>
        </w:rPr>
      </w:pPr>
    </w:p>
    <w:p>
      <w:pPr>
        <w:ind w:left="920" w:right="180"/>
        <w:spacing w:after="0" w:line="277" w:lineRule="auto"/>
        <w:rPr>
          <w:sz w:val="20"/>
          <w:szCs w:val="20"/>
          <w:color w:val="auto"/>
        </w:rPr>
      </w:pPr>
      <w:r>
        <w:rPr>
          <w:rFonts w:ascii="Arial" w:cs="Arial" w:eastAsia="Arial" w:hAnsi="Arial"/>
          <w:sz w:val="16"/>
          <w:szCs w:val="16"/>
          <w:b w:val="1"/>
          <w:bCs w:val="1"/>
          <w:color w:val="auto"/>
        </w:rPr>
        <w:t xml:space="preserve">6.5 Right of First Refusal in China. </w:t>
      </w:r>
      <w:r>
        <w:rPr>
          <w:rFonts w:ascii="Arial" w:cs="Arial" w:eastAsia="Arial" w:hAnsi="Arial"/>
          <w:sz w:val="16"/>
          <w:szCs w:val="16"/>
          <w:color w:val="auto"/>
        </w:rPr>
        <w:t>In consideration of the amendments contained in this Second Amendment and in the Option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MannKind hereby grants Amphastar the right of first refusal to participate in the development and commercialization of Afrezza in China through a collaborative arrangement. Specifically, Amphastar and MannKind agree that MannKind will not commence the process of obtaining approval of Afrezza in China without first providing Amphastar with (i) at least ninety (90) days prior written notice of MannKind’s intention to commence the process of obtaining approval of Afrezza in China, and (ii) if Amphastar confirms its interest in collaborating in the development or commercialization of Afrezza in China in writing within thirty (30) days of receipt of MannKind’s notice, then the Parties shall reserve sixty</w:t>
      </w:r>
    </w:p>
    <w:p>
      <w:pPr>
        <w:spacing w:after="0" w:line="1" w:lineRule="exact"/>
        <w:rPr>
          <w:sz w:val="20"/>
          <w:szCs w:val="20"/>
          <w:color w:val="auto"/>
        </w:rPr>
      </w:pPr>
    </w:p>
    <w:p>
      <w:pPr>
        <w:ind w:left="920" w:hanging="2"/>
        <w:spacing w:after="0" w:line="281" w:lineRule="auto"/>
        <w:tabs>
          <w:tab w:leader="none" w:pos="1254" w:val="left"/>
        </w:tabs>
        <w:numPr>
          <w:ilvl w:val="0"/>
          <w:numId w:val="55"/>
        </w:numPr>
        <w:rPr>
          <w:rFonts w:ascii="Arial" w:cs="Arial" w:eastAsia="Arial" w:hAnsi="Arial"/>
          <w:sz w:val="16"/>
          <w:szCs w:val="16"/>
          <w:color w:val="auto"/>
        </w:rPr>
      </w:pPr>
      <w:r>
        <w:rPr>
          <w:rFonts w:ascii="Arial" w:cs="Arial" w:eastAsia="Arial" w:hAnsi="Arial"/>
          <w:sz w:val="16"/>
          <w:szCs w:val="16"/>
          <w:color w:val="auto"/>
        </w:rPr>
        <w:t>days to negotiate in good faith the terms of such a collaborative arrangement for Afrezza in China. In the event that the Parties are unable to agree on commercial terms for a collaborative agreement after the sixty (60) day negotiation period, then MannKind shall have the right to negotiate a collaborative agreement with another party (“Competing Terms”). MannKind shall present the Competing Terms to Amphastar in writing, and within sixty (60) days of receipt of the Competing Terms, Amphastar shall have the option to either (i) decline to match the Competing Terms, or (ii) agree to match the same Competing Terms and enter into a collaborative agreement with MannKind in China.</w:t>
      </w:r>
    </w:p>
    <w:p>
      <w:pPr>
        <w:spacing w:after="0" w:line="57" w:lineRule="exact"/>
        <w:rPr>
          <w:sz w:val="20"/>
          <w:szCs w:val="20"/>
          <w:color w:val="auto"/>
        </w:rPr>
      </w:pPr>
    </w:p>
    <w:p>
      <w:pPr>
        <w:ind w:left="460" w:right="220" w:firstLine="438"/>
        <w:spacing w:after="0" w:line="296"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b w:val="1"/>
          <w:bCs w:val="1"/>
          <w:color w:val="auto"/>
        </w:rPr>
        <w:t>Section 10.1</w:t>
      </w:r>
      <w:r>
        <w:rPr>
          <w:rFonts w:ascii="Arial" w:cs="Arial" w:eastAsia="Arial" w:hAnsi="Arial"/>
          <w:sz w:val="17"/>
          <w:szCs w:val="17"/>
          <w:color w:val="auto"/>
        </w:rPr>
        <w:t xml:space="preserve"> of the Agreement shall be extended until December 31, 2023. All other terms and conditions in paragraph 10.1 shall remain in full force and effect.</w:t>
      </w:r>
    </w:p>
    <w:p>
      <w:pPr>
        <w:spacing w:after="0" w:line="48" w:lineRule="exact"/>
        <w:rPr>
          <w:sz w:val="20"/>
          <w:szCs w:val="20"/>
          <w:color w:val="auto"/>
        </w:rPr>
      </w:pPr>
    </w:p>
    <w:p>
      <w:pPr>
        <w:ind w:left="640" w:hanging="179"/>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Final Agreement</w:t>
      </w:r>
      <w:r>
        <w:rPr>
          <w:rFonts w:ascii="Arial" w:cs="Arial" w:eastAsia="Arial" w:hAnsi="Arial"/>
          <w:sz w:val="17"/>
          <w:szCs w:val="17"/>
          <w:color w:val="auto"/>
        </w:rPr>
        <w:t>.</w:t>
      </w:r>
    </w:p>
    <w:p>
      <w:pPr>
        <w:spacing w:after="0" w:line="119" w:lineRule="exact"/>
        <w:rPr>
          <w:sz w:val="20"/>
          <w:szCs w:val="20"/>
          <w:color w:val="auto"/>
        </w:rPr>
      </w:pPr>
    </w:p>
    <w:p>
      <w:pPr>
        <w:ind w:right="180" w:firstLine="457"/>
        <w:spacing w:after="0" w:line="267" w:lineRule="auto"/>
        <w:rPr>
          <w:sz w:val="20"/>
          <w:szCs w:val="20"/>
          <w:color w:val="auto"/>
        </w:rPr>
      </w:pPr>
      <w:r>
        <w:rPr>
          <w:rFonts w:ascii="Arial" w:cs="Arial" w:eastAsia="Arial" w:hAnsi="Arial"/>
          <w:sz w:val="17"/>
          <w:szCs w:val="17"/>
          <w:color w:val="auto"/>
        </w:rPr>
        <w:t>From and after the execution of this Second Amendment, all references in the Agreement (or in the Second Amendment) to “this Agreement,” “hereof,” “herein,” “hereto,” and similar words or phrases shall mean and refer to the Agreement as amended by this Second Amendment. The Agreement as amended by this Second Amendment constitutes the entire agreement by and between the Parties as to the subject matter hereof. Except as expressly modified by this Second Amendment, all other terms and conditions of the Agreement shall remain in full force and effect.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ectPr>
          <w:pgSz w:w="11900" w:h="16838" w:orient="portrait"/>
          <w:cols w:equalWidth="0" w:num="1">
            <w:col w:w="11420"/>
          </w:cols>
          <w:pgMar w:left="240" w:top="271" w:right="23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each of MannKind and Amphastar has caused this Second Amendment to be executed by their duly authorized officers.</w:t>
      </w:r>
    </w:p>
    <w:p>
      <w:pPr>
        <w:spacing w:after="0" w:line="267"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MannKind Corporation</w:t>
      </w:r>
    </w:p>
    <w:p>
      <w:pPr>
        <w:spacing w:after="0" w:line="230"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Matthew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Matthew Pfeffer</w:t>
      </w:r>
    </w:p>
    <w:p>
      <w:pPr>
        <w:spacing w:after="0" w:line="26"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Title:</w:t>
        <w:tab/>
        <w:t>CEO</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Amphastar Pharmaceuticals, Inc.</w:t>
      </w:r>
    </w:p>
    <w:p>
      <w:pPr>
        <w:spacing w:after="0" w:line="230"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Jason Shandell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16510</wp:posOffset>
            </wp:positionV>
            <wp:extent cx="25114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Name:  Jason Shandell</w:t>
      </w:r>
    </w:p>
    <w:p>
      <w:pPr>
        <w:spacing w:after="0" w:line="26" w:lineRule="exact"/>
        <w:rPr>
          <w:sz w:val="20"/>
          <w:szCs w:val="20"/>
          <w:color w:val="auto"/>
        </w:rPr>
      </w:pPr>
    </w:p>
    <w:p>
      <w:pPr>
        <w:ind w:left="6400"/>
        <w:spacing w:after="0"/>
        <w:tabs>
          <w:tab w:leader="none" w:pos="6980" w:val="left"/>
        </w:tabs>
        <w:rPr>
          <w:sz w:val="20"/>
          <w:szCs w:val="20"/>
          <w:color w:val="auto"/>
        </w:rPr>
      </w:pPr>
      <w:r>
        <w:rPr>
          <w:rFonts w:ascii="Arial" w:cs="Arial" w:eastAsia="Arial" w:hAnsi="Arial"/>
          <w:sz w:val="17"/>
          <w:szCs w:val="17"/>
          <w:color w:val="auto"/>
        </w:rPr>
        <w:t>Title:</w:t>
        <w:tab/>
        <w:t>President</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- 4 -</w:t>
      </w:r>
    </w:p>
    <w:p>
      <w:pPr>
        <w:sectPr>
          <w:pgSz w:w="11900" w:h="16838" w:orient="portrait"/>
          <w:cols w:equalWidth="0" w:num="1">
            <w:col w:w="10300"/>
          </w:cols>
          <w:pgMar w:left="700" w:top="271" w:right="8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10.35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AGREEMENT OF PURCHASE AND SALE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JOINT ESCROW INSTRUCTIONS</w:t>
      </w:r>
    </w:p>
    <w:p>
      <w:pPr>
        <w:spacing w:after="0" w:line="206" w:lineRule="exact"/>
        <w:rPr>
          <w:sz w:val="20"/>
          <w:szCs w:val="20"/>
          <w:color w:val="auto"/>
        </w:rPr>
      </w:pPr>
    </w:p>
    <w:p>
      <w:pPr>
        <w:ind w:right="40" w:firstLine="457"/>
        <w:spacing w:after="0" w:line="276" w:lineRule="auto"/>
        <w:rPr>
          <w:sz w:val="20"/>
          <w:szCs w:val="20"/>
          <w:color w:val="auto"/>
        </w:rPr>
      </w:pPr>
      <w:r>
        <w:rPr>
          <w:rFonts w:ascii="Arial" w:cs="Arial" w:eastAsia="Arial" w:hAnsi="Arial"/>
          <w:sz w:val="17"/>
          <w:szCs w:val="17"/>
          <w:color w:val="auto"/>
        </w:rPr>
        <w:t>THIS FIRST AMENDMENT TO AGREEMENT OF PURCHASE AND SALE AND JOINT ESCROW INSTRUCTIONS (this “</w:t>
      </w:r>
      <w:r>
        <w:rPr>
          <w:rFonts w:ascii="Arial" w:cs="Arial" w:eastAsia="Arial" w:hAnsi="Arial"/>
          <w:sz w:val="17"/>
          <w:szCs w:val="17"/>
          <w:b w:val="1"/>
          <w:bCs w:val="1"/>
          <w:color w:val="auto"/>
        </w:rPr>
        <w:t>First Amendment</w:t>
      </w:r>
      <w:r>
        <w:rPr>
          <w:rFonts w:ascii="Arial" w:cs="Arial" w:eastAsia="Arial" w:hAnsi="Arial"/>
          <w:sz w:val="17"/>
          <w:szCs w:val="17"/>
          <w:color w:val="auto"/>
        </w:rPr>
        <w:t>”) is made and entered into as of February 7, 2017, by and between MANNKIND CORPORATION, a Delaware corporation (“</w:t>
      </w:r>
      <w:r>
        <w:rPr>
          <w:rFonts w:ascii="Arial" w:cs="Arial" w:eastAsia="Arial" w:hAnsi="Arial"/>
          <w:sz w:val="17"/>
          <w:szCs w:val="17"/>
          <w:b w:val="1"/>
          <w:bCs w:val="1"/>
          <w:color w:val="auto"/>
        </w:rPr>
        <w:t>Seller</w:t>
      </w:r>
      <w:r>
        <w:rPr>
          <w:rFonts w:ascii="Arial" w:cs="Arial" w:eastAsia="Arial" w:hAnsi="Arial"/>
          <w:sz w:val="17"/>
          <w:szCs w:val="17"/>
          <w:color w:val="auto"/>
        </w:rPr>
        <w:t>”), and REXFORD INDUSTRIAL REALTY, L.P., a Maryland limited partnership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65" w:lineRule="exact"/>
        <w:rPr>
          <w:sz w:val="20"/>
          <w:szCs w:val="20"/>
          <w:color w:val="auto"/>
        </w:rPr>
      </w:pPr>
    </w:p>
    <w:p>
      <w:pPr>
        <w:jc w:val="both"/>
        <w:ind w:right="200" w:firstLine="457"/>
        <w:spacing w:after="0" w:line="273" w:lineRule="auto"/>
        <w:rPr>
          <w:sz w:val="20"/>
          <w:szCs w:val="20"/>
          <w:color w:val="auto"/>
        </w:rPr>
      </w:pPr>
      <w:r>
        <w:rPr>
          <w:rFonts w:ascii="Arial" w:cs="Arial" w:eastAsia="Arial" w:hAnsi="Arial"/>
          <w:sz w:val="17"/>
          <w:szCs w:val="17"/>
          <w:color w:val="auto"/>
        </w:rPr>
        <w:t>A. Seller and Buyer entered into that certain Agreement of Purchase and Sale and Joint Escrow Instructions dated for reference purposes as of January 6, 2017 (the “</w:t>
      </w:r>
      <w:r>
        <w:rPr>
          <w:rFonts w:ascii="Arial" w:cs="Arial" w:eastAsia="Arial" w:hAnsi="Arial"/>
          <w:sz w:val="17"/>
          <w:szCs w:val="17"/>
          <w:b w:val="1"/>
          <w:bCs w:val="1"/>
          <w:color w:val="auto"/>
        </w:rPr>
        <w:t>Original Agreement</w:t>
      </w:r>
      <w:r>
        <w:rPr>
          <w:rFonts w:ascii="Arial" w:cs="Arial" w:eastAsia="Arial" w:hAnsi="Arial"/>
          <w:sz w:val="17"/>
          <w:szCs w:val="17"/>
          <w:color w:val="auto"/>
        </w:rPr>
        <w:t>”), relating to certain real property located in the City of Valencia, County of Los Angeles, State of California, more particularly described in the Original Agreement.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Seller and Buyer now desire to amend the terms of the Original Agreement as provided in this First Amendment.</w:t>
      </w:r>
    </w:p>
    <w:p>
      <w:pPr>
        <w:spacing w:after="0" w:line="224" w:lineRule="exact"/>
        <w:rPr>
          <w:sz w:val="20"/>
          <w:szCs w:val="20"/>
          <w:color w:val="auto"/>
        </w:rPr>
      </w:pPr>
    </w:p>
    <w:p>
      <w:pPr>
        <w:jc w:val="both"/>
        <w:ind w:right="180" w:firstLine="457"/>
        <w:spacing w:after="0" w:line="289" w:lineRule="auto"/>
        <w:rPr>
          <w:sz w:val="20"/>
          <w:szCs w:val="20"/>
          <w:color w:val="auto"/>
        </w:rPr>
      </w:pPr>
      <w:r>
        <w:rPr>
          <w:rFonts w:ascii="Arial" w:cs="Arial" w:eastAsia="Arial" w:hAnsi="Arial"/>
          <w:sz w:val="17"/>
          <w:szCs w:val="17"/>
          <w:color w:val="auto"/>
        </w:rPr>
        <w:t>NOW THEREFORE, for good and valuable consideration, the receipt and sufficiency of which are hereby acknowledged, Seller and Buyer hereby amend the Original Agreement as follows:</w:t>
      </w:r>
    </w:p>
    <w:p>
      <w:pPr>
        <w:spacing w:after="0" w:line="53" w:lineRule="exact"/>
        <w:rPr>
          <w:sz w:val="20"/>
          <w:szCs w:val="20"/>
          <w:color w:val="auto"/>
        </w:rPr>
      </w:pPr>
    </w:p>
    <w:p>
      <w:pPr>
        <w:ind w:right="20" w:firstLine="461"/>
        <w:spacing w:after="0" w:line="289" w:lineRule="auto"/>
        <w:tabs>
          <w:tab w:leader="none" w:pos="63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Recitals; Definitions</w:t>
      </w:r>
      <w:r>
        <w:rPr>
          <w:rFonts w:ascii="Arial" w:cs="Arial" w:eastAsia="Arial" w:hAnsi="Arial"/>
          <w:sz w:val="17"/>
          <w:szCs w:val="17"/>
          <w:color w:val="auto"/>
        </w:rPr>
        <w:t>. The recitals set forth above are not merely recitals, but form an integral part of this First Amendment. All capitalized terms used and not otherwise defined in this First Amendment shall have the meanings respectively assigned to them in the Original Agreement.</w:t>
      </w:r>
    </w:p>
    <w:p>
      <w:pPr>
        <w:spacing w:after="0" w:line="53" w:lineRule="exact"/>
        <w:rPr>
          <w:rFonts w:ascii="Arial" w:cs="Arial" w:eastAsia="Arial" w:hAnsi="Arial"/>
          <w:sz w:val="17"/>
          <w:szCs w:val="17"/>
          <w:color w:val="auto"/>
        </w:rPr>
      </w:pPr>
    </w:p>
    <w:p>
      <w:pPr>
        <w:ind w:right="340" w:firstLine="461"/>
        <w:spacing w:after="0" w:line="289" w:lineRule="auto"/>
        <w:tabs>
          <w:tab w:leader="none" w:pos="63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Contingency Date</w:t>
      </w:r>
      <w:r>
        <w:rPr>
          <w:rFonts w:ascii="Arial" w:cs="Arial" w:eastAsia="Arial" w:hAnsi="Arial"/>
          <w:sz w:val="17"/>
          <w:szCs w:val="17"/>
          <w:color w:val="auto"/>
        </w:rPr>
        <w:t>. The parties agree that the Contingency Date shall be extended to, and all references to “Contingency Date” in the Agreement shall mean and refer to, 5:00 p.m. Pacific Time on February 10, 2017.</w:t>
      </w:r>
    </w:p>
    <w:p>
      <w:pPr>
        <w:spacing w:after="0" w:line="53" w:lineRule="exact"/>
        <w:rPr>
          <w:rFonts w:ascii="Arial" w:cs="Arial" w:eastAsia="Arial" w:hAnsi="Arial"/>
          <w:sz w:val="17"/>
          <w:szCs w:val="17"/>
          <w:color w:val="auto"/>
        </w:rPr>
      </w:pPr>
    </w:p>
    <w:p>
      <w:pPr>
        <w:ind w:right="40" w:firstLine="461"/>
        <w:spacing w:after="0" w:line="283" w:lineRule="auto"/>
        <w:tabs>
          <w:tab w:leader="none" w:pos="63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Equipment</w:t>
      </w:r>
      <w:r>
        <w:rPr>
          <w:rFonts w:ascii="Arial" w:cs="Arial" w:eastAsia="Arial" w:hAnsi="Arial"/>
          <w:sz w:val="16"/>
          <w:szCs w:val="16"/>
          <w:color w:val="auto"/>
        </w:rPr>
        <w:t xml:space="preserve">. Notwithstanding anything in the Original Agreement to the contrary,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2</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to the Original Agreement are hereby deleted in their entirety and replaced with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Additionally, without limitation of Section 7.9 of the Original Agreement, Buyer and its agents and designees shall have the right, prior to Closing, to enter onto the Property from time to time, subject to the terms and conditions of Section 14 of the Original Agreement, to confirm there has been no Material Change to the Property, including, without limitation, the removal of, or damage to, any of the Equipment. Without limitation of Buyer’s other rights and remedies in the Original Agreement, in the event of any Material Change under this provision, Buyer shall have the right to defer the Closing until such Material Change is remedied or addressed to Buyer’s reasonable satisfaction.</w:t>
      </w:r>
    </w:p>
    <w:p>
      <w:pPr>
        <w:spacing w:after="0" w:line="60" w:lineRule="exact"/>
        <w:rPr>
          <w:rFonts w:ascii="Arial" w:cs="Arial" w:eastAsia="Arial" w:hAnsi="Arial"/>
          <w:sz w:val="16"/>
          <w:szCs w:val="16"/>
          <w:color w:val="auto"/>
        </w:rPr>
      </w:pPr>
    </w:p>
    <w:p>
      <w:pPr>
        <w:ind w:right="20" w:firstLine="461"/>
        <w:spacing w:after="0" w:line="262" w:lineRule="auto"/>
        <w:tabs>
          <w:tab w:leader="none" w:pos="63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Allocation of Purchase Price</w:t>
      </w:r>
      <w:r>
        <w:rPr>
          <w:rFonts w:ascii="Arial" w:cs="Arial" w:eastAsia="Arial" w:hAnsi="Arial"/>
          <w:sz w:val="17"/>
          <w:szCs w:val="17"/>
          <w:color w:val="auto"/>
        </w:rPr>
        <w:t>. The parties agree that the allocation of the Purchase Price is $215,000.00 for the Equipment and $17,060,000.00 for the Real Property. The parties further agree that the sale is indivisible notwithstanding the fact that the amounts have been allocated separately. No party to this Agreement shall file any tax return, filing or report or take a position with any tax authority (whether federal, state or local) that is inconsistent with such allocation. Each of the parties to this Agreement shall cooperate with the other in the filing of any forms with any taxing authority with respect to the reporting of the allocation of the Purchase Price. Seller represents and warrants to, and covenants with, Buyer that as of the Closing, including the sale to Buyer, Seller shall not have made more than two (2) sales of tangible personal property during the twelve (12) month period immediately prior to Closing. Seller shall be responsible for any and all sales tax in connection with the transfer of the Equipment to Buyer.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sectPr>
      </w:pPr>
    </w:p>
    <w:bookmarkStart w:id="151" w:name="page152"/>
    <w:bookmarkEnd w:id="151"/>
    <w:p>
      <w:pPr>
        <w:ind w:left="-20" w:right="40" w:firstLine="461"/>
        <w:spacing w:after="0" w:line="278" w:lineRule="auto"/>
        <w:tabs>
          <w:tab w:leader="none" w:pos="611"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Removal of Certain Hazardous Substances</w:t>
      </w:r>
      <w:r>
        <w:rPr>
          <w:rFonts w:ascii="Arial" w:cs="Arial" w:eastAsia="Arial" w:hAnsi="Arial"/>
          <w:sz w:val="16"/>
          <w:szCs w:val="16"/>
          <w:color w:val="auto"/>
        </w:rPr>
        <w:t>. Seller has engaged Clean Harbors, Inc. (Nasdaq symbol “CLH”) (“</w:t>
      </w:r>
      <w:r>
        <w:rPr>
          <w:rFonts w:ascii="Arial" w:cs="Arial" w:eastAsia="Arial" w:hAnsi="Arial"/>
          <w:sz w:val="16"/>
          <w:szCs w:val="16"/>
          <w:b w:val="1"/>
          <w:bCs w:val="1"/>
          <w:color w:val="auto"/>
        </w:rPr>
        <w:t>Clean Harbors</w:t>
      </w:r>
      <w:r>
        <w:rPr>
          <w:rFonts w:ascii="Arial" w:cs="Arial" w:eastAsia="Arial" w:hAnsi="Arial"/>
          <w:sz w:val="16"/>
          <w:szCs w:val="16"/>
          <w:color w:val="auto"/>
        </w:rPr>
        <w:t>”) to remove certain Hazardous Substances stored at, on or upon the Property, as well as any and all containers storing same. Seller shall (a) prior to the Contingency Date provide Buyer, a reasonably detailed summary or list of the Hazardous Substances, containers and locations thereof that are to be removed prior to Closing and scope of any other work to be performed by Clean Harbors, as well as a list of any chemicals or Hazardous Materials identified by Clean Harbors or Seller that are not being cleaned, removed or treated by Clean Harbors, and (b) prior to Closing, shall (i) cause such removal to be completed in accordance with all applicable laws and in a good and workmanlike manner, and (ii) provide Buyer a manifest executed by Clean Harbors describing the Hazardous Materials and containers that Clean Harbors has removed. Additionally, without limitation of Section 7.9 of the Original Agreement, Buyer and its agents and designees shall have the right, prior to Closing, to enter onto the Property from time to time, subject to the terms and conditions of Section 14 of the Original Agreement, to confirm the removal of such Hazardous Substances has been completed in accordance with the terms of this Section. Seller’s obligations in this provision shall be a condition precedent to Buyer’s obligation to consummate the transaction contemplated by the Agreement, and without limitation of Buyer’s other rights and remedies in the Original Agreement, Buyer shall have the right to defer the Closing until the foregoing condition(s) are satisfied.</w:t>
      </w:r>
    </w:p>
    <w:p>
      <w:pPr>
        <w:spacing w:after="0" w:line="71" w:lineRule="exact"/>
        <w:rPr>
          <w:rFonts w:ascii="Arial" w:cs="Arial" w:eastAsia="Arial" w:hAnsi="Arial"/>
          <w:sz w:val="16"/>
          <w:szCs w:val="16"/>
          <w:color w:val="auto"/>
        </w:rPr>
      </w:pPr>
    </w:p>
    <w:p>
      <w:pPr>
        <w:ind w:left="-20" w:right="360" w:firstLine="461"/>
        <w:spacing w:after="0" w:line="273"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Assumed Contracts</w:t>
      </w:r>
      <w:r>
        <w:rPr>
          <w:rFonts w:ascii="Arial" w:cs="Arial" w:eastAsia="Arial" w:hAnsi="Arial"/>
          <w:sz w:val="17"/>
          <w:szCs w:val="17"/>
          <w:color w:val="auto"/>
        </w:rPr>
        <w:t xml:space="preserve">. The Service Contracts listed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shall be deemed to be the “Assumed Contracts” as described in the Original Agreement. Pursuant to the Original Agreement, at Closing, Seller shall, at its sole cost, terminate all other Service Contracts other than the Assumed Contracts.</w:t>
      </w:r>
    </w:p>
    <w:p>
      <w:pPr>
        <w:spacing w:after="0" w:line="66" w:lineRule="exact"/>
        <w:rPr>
          <w:rFonts w:ascii="Arial" w:cs="Arial" w:eastAsia="Arial" w:hAnsi="Arial"/>
          <w:sz w:val="17"/>
          <w:szCs w:val="17"/>
          <w:color w:val="auto"/>
        </w:rPr>
      </w:pPr>
    </w:p>
    <w:p>
      <w:pPr>
        <w:ind w:left="-20" w:firstLine="461"/>
        <w:spacing w:after="0" w:line="263" w:lineRule="auto"/>
        <w:tabs>
          <w:tab w:leader="none" w:pos="61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Except as otherwise expressly provided in this First Amendment, the provisions of the Original Agreement shall be and remain unmodified and in full force and effect (such Original Agreement being hereby ratified, reaffirmed and confirmed by Buyer and Seller), and if any provision of this First Amendment conflicts with the Original Agreement, then the provisions of this First Amendment shall prevail. Except as otherwise expressly provided in this First Amendment, nothing contained in this First Amendment shall operate to waive the rights of Buyer or Seller under the Original Agreement. This First Amendment may be executed in one or more counterparts (by original, facsimile or electronic PDF signatures), each of which shall be deemed to constitute an original, but all of which, when taken together, shall constitute one and the same instrument.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[END OF TEXT; SIGNATURES ON FOLLOWING PAGE]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60" w:top="265" w:right="239" w:bottom="1440" w:gutter="0" w:footer="0" w:header="0"/>
        </w:sectPr>
      </w:pPr>
    </w:p>
    <w:bookmarkStart w:id="152" w:name="page153"/>
    <w:bookmarkEnd w:id="15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Seller and Buyer have executed this First Amendment as of the date first set forth above.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gridSpan w:val="3"/>
          </w:tcPr>
          <w:p>
            <w:pPr>
              <w:spacing w:after="0"/>
              <w:rPr>
                <w:sz w:val="20"/>
                <w:szCs w:val="20"/>
                <w:color w:val="auto"/>
              </w:rPr>
            </w:pPr>
            <w:r>
              <w:rPr>
                <w:rFonts w:ascii="Arial" w:cs="Arial" w:eastAsia="Arial" w:hAnsi="Arial"/>
                <w:sz w:val="17"/>
                <w:szCs w:val="17"/>
                <w:b w:val="1"/>
                <w:bCs w:val="1"/>
                <w:color w:val="auto"/>
              </w:rPr>
              <w:t>“BUYER”</w:t>
            </w:r>
          </w:p>
        </w:tc>
        <w:tc>
          <w:tcPr>
            <w:tcW w:w="4060" w:type="dxa"/>
            <w:vAlign w:val="bottom"/>
            <w:gridSpan w:val="2"/>
          </w:tcPr>
          <w:p>
            <w:pPr>
              <w:ind w:left="1720"/>
              <w:spacing w:after="0"/>
              <w:rPr>
                <w:sz w:val="20"/>
                <w:szCs w:val="20"/>
                <w:color w:val="auto"/>
              </w:rPr>
            </w:pPr>
            <w:r>
              <w:rPr>
                <w:rFonts w:ascii="Arial" w:cs="Arial" w:eastAsia="Arial" w:hAnsi="Arial"/>
                <w:sz w:val="17"/>
                <w:szCs w:val="17"/>
                <w:b w:val="1"/>
                <w:bCs w:val="1"/>
                <w:color w:val="auto"/>
              </w:rPr>
              <w:t>“SELLER”</w:t>
            </w:r>
          </w:p>
        </w:tc>
      </w:tr>
      <w:tr>
        <w:trPr>
          <w:trHeight w:val="315"/>
        </w:trPr>
        <w:tc>
          <w:tcPr>
            <w:tcW w:w="4340" w:type="dxa"/>
            <w:vAlign w:val="bottom"/>
            <w:gridSpan w:val="3"/>
          </w:tcPr>
          <w:p>
            <w:pPr>
              <w:spacing w:after="0"/>
              <w:rPr>
                <w:sz w:val="20"/>
                <w:szCs w:val="20"/>
                <w:color w:val="auto"/>
              </w:rPr>
            </w:pPr>
            <w:r>
              <w:rPr>
                <w:rFonts w:ascii="Arial" w:cs="Arial" w:eastAsia="Arial" w:hAnsi="Arial"/>
                <w:sz w:val="17"/>
                <w:szCs w:val="17"/>
                <w:color w:val="auto"/>
              </w:rPr>
              <w:t>REXFORD INDUSTRIAL REALTY, L.P.,</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MANNKIND CORPORATION,</w:t>
            </w:r>
          </w:p>
        </w:tc>
      </w:tr>
      <w:tr>
        <w:trPr>
          <w:trHeight w:val="222"/>
        </w:trPr>
        <w:tc>
          <w:tcPr>
            <w:tcW w:w="4340" w:type="dxa"/>
            <w:vAlign w:val="bottom"/>
            <w:gridSpan w:val="3"/>
          </w:tcPr>
          <w:p>
            <w:pPr>
              <w:spacing w:after="0"/>
              <w:rPr>
                <w:sz w:val="20"/>
                <w:szCs w:val="20"/>
                <w:color w:val="auto"/>
              </w:rPr>
            </w:pPr>
            <w:r>
              <w:rPr>
                <w:rFonts w:ascii="Arial" w:cs="Arial" w:eastAsia="Arial" w:hAnsi="Arial"/>
                <w:sz w:val="17"/>
                <w:szCs w:val="17"/>
                <w:color w:val="auto"/>
              </w:rPr>
              <w:t>a Maryland limited partnership</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a Delaware corporation</w:t>
            </w:r>
          </w:p>
        </w:tc>
      </w:tr>
      <w:tr>
        <w:trPr>
          <w:trHeight w:val="288"/>
        </w:trPr>
        <w:tc>
          <w:tcPr>
            <w:tcW w:w="4340" w:type="dxa"/>
            <w:vAlign w:val="bottom"/>
            <w:gridSpan w:val="3"/>
          </w:tcPr>
          <w:p>
            <w:pPr>
              <w:spacing w:after="0"/>
              <w:rPr>
                <w:sz w:val="20"/>
                <w:szCs w:val="20"/>
                <w:color w:val="auto"/>
              </w:rPr>
            </w:pPr>
            <w:r>
              <w:rPr>
                <w:rFonts w:ascii="Arial" w:cs="Arial" w:eastAsia="Arial" w:hAnsi="Arial"/>
                <w:sz w:val="17"/>
                <w:szCs w:val="17"/>
                <w:color w:val="auto"/>
              </w:rPr>
              <w:t>By: Rexford Industrial Realty, Inc.,</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By: /s/ David Thomson</w:t>
            </w:r>
          </w:p>
        </w:tc>
      </w:tr>
      <w:tr>
        <w:trPr>
          <w:trHeight w:val="20"/>
        </w:trPr>
        <w:tc>
          <w:tcPr>
            <w:tcW w:w="43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r>
        <w:trPr>
          <w:trHeight w:val="216"/>
        </w:trPr>
        <w:tc>
          <w:tcPr>
            <w:tcW w:w="4340" w:type="dxa"/>
            <w:vAlign w:val="bottom"/>
            <w:gridSpan w:val="3"/>
          </w:tcPr>
          <w:p>
            <w:pPr>
              <w:ind w:left="260"/>
              <w:spacing w:after="0"/>
              <w:rPr>
                <w:sz w:val="20"/>
                <w:szCs w:val="20"/>
                <w:color w:val="auto"/>
              </w:rPr>
            </w:pPr>
            <w:r>
              <w:rPr>
                <w:rFonts w:ascii="Arial" w:cs="Arial" w:eastAsia="Arial" w:hAnsi="Arial"/>
                <w:sz w:val="17"/>
                <w:szCs w:val="17"/>
                <w:color w:val="auto"/>
              </w:rPr>
              <w:t>a Maryland corporation,</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Name: David Thomson</w:t>
            </w:r>
          </w:p>
        </w:tc>
      </w:tr>
      <w:tr>
        <w:trPr>
          <w:trHeight w:val="222"/>
        </w:trPr>
        <w:tc>
          <w:tcPr>
            <w:tcW w:w="4340" w:type="dxa"/>
            <w:vAlign w:val="bottom"/>
            <w:gridSpan w:val="3"/>
          </w:tcPr>
          <w:p>
            <w:pPr>
              <w:ind w:left="260"/>
              <w:spacing w:after="0"/>
              <w:rPr>
                <w:sz w:val="20"/>
                <w:szCs w:val="20"/>
                <w:color w:val="auto"/>
              </w:rPr>
            </w:pPr>
            <w:r>
              <w:rPr>
                <w:rFonts w:ascii="Arial" w:cs="Arial" w:eastAsia="Arial" w:hAnsi="Arial"/>
                <w:sz w:val="17"/>
                <w:szCs w:val="17"/>
                <w:color w:val="auto"/>
              </w:rPr>
              <w:t>Its General Partner</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Its: Vice President</w:t>
            </w:r>
          </w:p>
        </w:tc>
      </w:tr>
      <w:tr>
        <w:trPr>
          <w:trHeight w:val="288"/>
        </w:trPr>
        <w:tc>
          <w:tcPr>
            <w:tcW w:w="4340" w:type="dxa"/>
            <w:vAlign w:val="bottom"/>
            <w:gridSpan w:val="3"/>
          </w:tcPr>
          <w:p>
            <w:pPr>
              <w:ind w:left="260"/>
              <w:spacing w:after="0"/>
              <w:rPr>
                <w:sz w:val="20"/>
                <w:szCs w:val="20"/>
                <w:color w:val="auto"/>
              </w:rPr>
            </w:pPr>
            <w:r>
              <w:rPr>
                <w:rFonts w:ascii="Arial" w:cs="Arial" w:eastAsia="Arial" w:hAnsi="Arial"/>
                <w:sz w:val="17"/>
                <w:szCs w:val="17"/>
                <w:color w:val="auto"/>
              </w:rPr>
              <w:t>By: /s/ Howard Schwimmer</w:t>
            </w: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6"/>
        </w:trPr>
        <w:tc>
          <w:tcPr>
            <w:tcW w:w="4340" w:type="dxa"/>
            <w:vAlign w:val="bottom"/>
            <w:gridSpan w:val="3"/>
          </w:tcPr>
          <w:p>
            <w:pPr>
              <w:ind w:left="260"/>
              <w:spacing w:after="0"/>
              <w:rPr>
                <w:sz w:val="20"/>
                <w:szCs w:val="20"/>
                <w:color w:val="auto"/>
              </w:rPr>
            </w:pPr>
            <w:r>
              <w:rPr>
                <w:rFonts w:ascii="Arial" w:cs="Arial" w:eastAsia="Arial" w:hAnsi="Arial"/>
                <w:sz w:val="17"/>
                <w:szCs w:val="17"/>
                <w:color w:val="auto"/>
              </w:rPr>
              <w:t>Name: Howard Schwimmer</w:t>
            </w:r>
          </w:p>
        </w:tc>
        <w:tc>
          <w:tcPr>
            <w:tcW w:w="20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4340" w:type="dxa"/>
            <w:vAlign w:val="bottom"/>
            <w:gridSpan w:val="3"/>
          </w:tcPr>
          <w:p>
            <w:pPr>
              <w:ind w:left="260"/>
              <w:spacing w:after="0"/>
              <w:rPr>
                <w:sz w:val="20"/>
                <w:szCs w:val="20"/>
                <w:color w:val="auto"/>
              </w:rPr>
            </w:pPr>
            <w:r>
              <w:rPr>
                <w:rFonts w:ascii="Arial" w:cs="Arial" w:eastAsia="Arial" w:hAnsi="Arial"/>
                <w:sz w:val="17"/>
                <w:szCs w:val="17"/>
                <w:color w:val="auto"/>
              </w:rPr>
              <w:t>Its: Co-CEO</w:t>
            </w:r>
          </w:p>
        </w:tc>
        <w:tc>
          <w:tcPr>
            <w:tcW w:w="20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67"/>
        </w:trPr>
        <w:tc>
          <w:tcPr>
            <w:tcW w:w="5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20" w:type="dxa"/>
            <w:vAlign w:val="bottom"/>
          </w:tcPr>
          <w:p>
            <w:pPr>
              <w:ind w:left="1340"/>
              <w:spacing w:after="0"/>
              <w:rPr>
                <w:sz w:val="20"/>
                <w:szCs w:val="20"/>
                <w:color w:val="auto"/>
              </w:rPr>
            </w:pPr>
            <w:r>
              <w:rPr>
                <w:rFonts w:ascii="Arial" w:cs="Arial" w:eastAsia="Arial" w:hAnsi="Arial"/>
                <w:sz w:val="17"/>
                <w:szCs w:val="17"/>
                <w:color w:val="auto"/>
              </w:rPr>
              <w:t>3</w:t>
            </w:r>
          </w:p>
        </w:tc>
        <w:tc>
          <w:tcPr>
            <w:tcW w:w="2040" w:type="dxa"/>
            <w:vAlign w:val="bottom"/>
          </w:tcPr>
          <w:p>
            <w:pPr>
              <w:spacing w:after="0"/>
              <w:rPr>
                <w:sz w:val="24"/>
                <w:szCs w:val="24"/>
                <w:color w:val="auto"/>
              </w:rPr>
            </w:pPr>
          </w:p>
        </w:tc>
      </w:tr>
    </w:tbl>
    <w:p>
      <w:pPr>
        <w:sectPr>
          <w:pgSz w:w="11900" w:h="16838" w:orient="portrait"/>
          <w:cols w:equalWidth="0" w:num="1">
            <w:col w:w="10219"/>
          </w:cols>
          <w:pgMar w:left="240" w:top="271" w:right="1440" w:bottom="1440" w:gutter="0" w:footer="0" w:header="0"/>
        </w:sectPr>
      </w:pPr>
    </w:p>
    <w:bookmarkStart w:id="153" w:name="page154"/>
    <w:bookmarkEnd w:id="153"/>
    <w:p>
      <w:pPr>
        <w:jc w:val="center"/>
        <w:ind w:right="-39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“B”</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LIST OF EQUIPMENT</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INCLUDED ITEMS</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OUTSIDE</w:t>
      </w:r>
    </w:p>
    <w:p>
      <w:pPr>
        <w:spacing w:after="0" w:line="23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Spectrum Int. Combustion Mod. R163-7K36, 1115 KW Diesel Generator, Detroit Diesel 16-Cycle Engine, Turbo Charged, After Cooled w/ Arco 7000 Series Transfer Switch in Elec. Room w/ Wire.</w:t>
      </w:r>
    </w:p>
    <w:p>
      <w:pPr>
        <w:spacing w:after="0" w:line="1" w:lineRule="exact"/>
        <w:rPr>
          <w:sz w:val="20"/>
          <w:szCs w:val="20"/>
          <w:color w:val="auto"/>
        </w:rPr>
      </w:pPr>
    </w:p>
    <w:p>
      <w:pPr>
        <w:ind w:right="2980" w:firstLine="5"/>
        <w:spacing w:after="0" w:line="257" w:lineRule="auto"/>
        <w:tabs>
          <w:tab w:leader="none" w:pos="247" w:val="left"/>
        </w:tabs>
        <w:numPr>
          <w:ilvl w:val="0"/>
          <w:numId w:val="59"/>
        </w:numPr>
        <w:rPr>
          <w:rFonts w:ascii="Arial" w:cs="Arial" w:eastAsia="Arial" w:hAnsi="Arial"/>
          <w:sz w:val="17"/>
          <w:szCs w:val="17"/>
          <w:color w:val="auto"/>
        </w:rPr>
      </w:pPr>
      <w:r>
        <w:rPr>
          <w:rFonts w:ascii="Arial" w:cs="Arial" w:eastAsia="Arial" w:hAnsi="Arial"/>
          <w:sz w:val="17"/>
          <w:szCs w:val="17"/>
          <w:color w:val="auto"/>
        </w:rPr>
        <w:t>Cleaver Brooks Mod. FLX700-450 Flex Water Tube Boilers w/ Arleta Mod. CSB50 Controllers, Still &amp; Pumps U.S. Filter D.I. Unit Mod. 90/01096-607 w/ (2) R.O. Systems.</w:t>
      </w:r>
    </w:p>
    <w:p>
      <w:pPr>
        <w:spacing w:after="0"/>
        <w:rPr>
          <w:rFonts w:ascii="Arial" w:cs="Arial" w:eastAsia="Arial" w:hAnsi="Arial"/>
          <w:sz w:val="17"/>
          <w:szCs w:val="17"/>
          <w:color w:val="auto"/>
        </w:rPr>
      </w:pPr>
      <w:r>
        <w:rPr>
          <w:rFonts w:ascii="Arial" w:cs="Arial" w:eastAsia="Arial" w:hAnsi="Arial"/>
          <w:sz w:val="17"/>
          <w:szCs w:val="17"/>
          <w:color w:val="auto"/>
        </w:rPr>
        <w:t>(2006) Kaesar Mod. AS20, Rotary Screw Air Compressor w/ Receiver. S/N 1156</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(2001 &amp; 2008) McQuay Mod. E2612BE2-A, 300 Ton Chillers w/ Electrical &amp; Microtech Controllers.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Evapco Cooling Towers.</w:t>
      </w:r>
    </w:p>
    <w:p>
      <w:pPr>
        <w:spacing w:after="0" w:line="14" w:lineRule="exact"/>
        <w:rPr>
          <w:rFonts w:ascii="Arial" w:cs="Arial" w:eastAsia="Arial" w:hAnsi="Arial"/>
          <w:sz w:val="17"/>
          <w:szCs w:val="17"/>
          <w:color w:val="auto"/>
        </w:rPr>
      </w:pPr>
    </w:p>
    <w:p>
      <w:pPr>
        <w:ind w:right="6600"/>
        <w:spacing w:after="0" w:line="257" w:lineRule="auto"/>
        <w:rPr>
          <w:rFonts w:ascii="Arial" w:cs="Arial" w:eastAsia="Arial" w:hAnsi="Arial"/>
          <w:sz w:val="17"/>
          <w:szCs w:val="17"/>
          <w:color w:val="auto"/>
        </w:rPr>
      </w:pPr>
      <w:r>
        <w:rPr>
          <w:rFonts w:ascii="Arial" w:cs="Arial" w:eastAsia="Arial" w:hAnsi="Arial"/>
          <w:sz w:val="17"/>
          <w:szCs w:val="17"/>
          <w:color w:val="auto"/>
        </w:rPr>
        <w:t>Armstong Water Re-Circulation System w/ Pumps &amp; Electrical Quincy Twin Stage 5 H.P. Air Compressors</w:t>
      </w:r>
    </w:p>
    <w:p>
      <w:pPr>
        <w:spacing w:after="0"/>
        <w:rPr>
          <w:rFonts w:ascii="Arial" w:cs="Arial" w:eastAsia="Arial" w:hAnsi="Arial"/>
          <w:sz w:val="17"/>
          <w:szCs w:val="17"/>
          <w:color w:val="auto"/>
        </w:rPr>
      </w:pPr>
      <w:r>
        <w:rPr>
          <w:rFonts w:ascii="Arial" w:cs="Arial" w:eastAsia="Arial" w:hAnsi="Arial"/>
          <w:sz w:val="17"/>
          <w:szCs w:val="17"/>
          <w:color w:val="auto"/>
        </w:rPr>
        <w:t>PCH Twin Stage Vacuum Pump System.</w:t>
      </w:r>
    </w:p>
    <w:p>
      <w:pPr>
        <w:spacing w:after="0" w:line="14" w:lineRule="exact"/>
        <w:rPr>
          <w:sz w:val="20"/>
          <w:szCs w:val="20"/>
          <w:color w:val="auto"/>
        </w:rPr>
      </w:pPr>
    </w:p>
    <w:p>
      <w:pPr>
        <w:ind w:right="6840" w:firstLine="5"/>
        <w:spacing w:after="0" w:line="274" w:lineRule="auto"/>
        <w:tabs>
          <w:tab w:leader="none" w:pos="445" w:val="left"/>
        </w:tabs>
        <w:numPr>
          <w:ilvl w:val="0"/>
          <w:numId w:val="62"/>
        </w:numPr>
        <w:rPr>
          <w:rFonts w:ascii="Arial" w:cs="Arial" w:eastAsia="Arial" w:hAnsi="Arial"/>
          <w:sz w:val="17"/>
          <w:szCs w:val="17"/>
          <w:color w:val="auto"/>
        </w:rPr>
      </w:pPr>
      <w:r>
        <w:rPr>
          <w:rFonts w:ascii="Arial" w:cs="Arial" w:eastAsia="Arial" w:hAnsi="Arial"/>
          <w:sz w:val="17"/>
          <w:szCs w:val="17"/>
          <w:color w:val="auto"/>
        </w:rPr>
        <w:t>Quincy QRD 30 H.P. High Pressure Air Compressors Magliner Aluminum Dock Ramp.</w:t>
      </w: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INSIDE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 Metallurgical Microscope Per Images below</w:t>
      </w:r>
    </w:p>
    <w:p>
      <w:pPr>
        <w:spacing w:after="0" w:line="200" w:lineRule="exact"/>
        <w:rPr>
          <w:sz w:val="20"/>
          <w:szCs w:val="20"/>
          <w:color w:val="auto"/>
        </w:rPr>
      </w:pP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LOBBY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Reception Desk w/ Chairs, Sofa.</w:t>
      </w: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WAIKIKI ROOM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Chairs &amp; Furniture.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Lunch Room w/ Microwaves, Ref, Tables &amp; Chair.</w:t>
      </w: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 xml:space="preserve">ROOMS #136, #131, #132, #134, #122, #123, #130, </w:t>
      </w:r>
      <w:r>
        <w:rPr>
          <w:rFonts w:ascii="Arial" w:cs="Arial" w:eastAsia="Arial" w:hAnsi="Arial"/>
          <w:sz w:val="17"/>
          <w:szCs w:val="17"/>
          <w:b w:val="1"/>
          <w:bCs w:val="1"/>
          <w:u w:val="single" w:color="auto"/>
          <w:color w:val="auto"/>
        </w:rPr>
        <w:t>#129, #128, #1102, #1104, #1105, #1107</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Fisher Scientific Isotemp Oven.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Heraeus Megafuge 2.0, Centrifuge.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Packard Cobra II, Auto. Gama.</w:t>
      </w:r>
    </w:p>
    <w:p>
      <w:pPr>
        <w:spacing w:after="0" w:line="14" w:lineRule="exact"/>
        <w:rPr>
          <w:sz w:val="20"/>
          <w:szCs w:val="20"/>
          <w:color w:val="auto"/>
        </w:rPr>
      </w:pPr>
    </w:p>
    <w:p>
      <w:pPr>
        <w:ind w:right="7360" w:firstLine="5"/>
        <w:spacing w:after="0" w:line="274" w:lineRule="auto"/>
        <w:tabs>
          <w:tab w:leader="none" w:pos="445"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Baker Sterligard VBM500, S.S. Fume Hoods. Kodiak X-Omat 2000A, Developer.</w:t>
      </w:r>
    </w:p>
    <w:p>
      <w:pPr>
        <w:spacing w:after="0" w:line="10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1020"/>
          </w:cols>
          <w:pgMar w:left="240" w:top="265" w:right="639" w:bottom="1440" w:gutter="0" w:footer="0" w:header="0"/>
        </w:sectPr>
      </w:pPr>
    </w:p>
    <w:bookmarkStart w:id="154" w:name="page155"/>
    <w:bookmarkEnd w:id="154"/>
    <w:p>
      <w:pPr>
        <w:ind w:right="7219" w:firstLine="5"/>
        <w:spacing w:after="0" w:line="281" w:lineRule="auto"/>
        <w:tabs>
          <w:tab w:leader="none" w:pos="247"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Fisher Hamilton Safeaire Fume Hoods. Castle 8666, Washer Disinfector.</w:t>
      </w:r>
    </w:p>
    <w:p>
      <w:pPr>
        <w:spacing w:after="0"/>
        <w:rPr>
          <w:rFonts w:ascii="Arial" w:cs="Arial" w:eastAsia="Arial" w:hAnsi="Arial"/>
          <w:sz w:val="16"/>
          <w:szCs w:val="16"/>
          <w:color w:val="auto"/>
        </w:rPr>
      </w:pPr>
      <w:r>
        <w:rPr>
          <w:rFonts w:ascii="Arial" w:cs="Arial" w:eastAsia="Arial" w:hAnsi="Arial"/>
          <w:sz w:val="17"/>
          <w:szCs w:val="17"/>
          <w:color w:val="auto"/>
        </w:rPr>
        <w:t>(2001) Gettinge Mod. GE2609AR1, Steam Washer-Dryer.</w:t>
      </w:r>
    </w:p>
    <w:p>
      <w:pPr>
        <w:spacing w:after="0" w:line="14" w:lineRule="exact"/>
        <w:rPr>
          <w:rFonts w:ascii="Arial" w:cs="Arial" w:eastAsia="Arial" w:hAnsi="Arial"/>
          <w:sz w:val="16"/>
          <w:szCs w:val="16"/>
          <w:color w:val="auto"/>
        </w:rPr>
      </w:pPr>
    </w:p>
    <w:p>
      <w:pPr>
        <w:ind w:left="260" w:hanging="255"/>
        <w:spacing w:after="0"/>
        <w:tabs>
          <w:tab w:leader="none" w:pos="2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New Brunswick Hot Plate Stirrers.</w:t>
      </w:r>
    </w:p>
    <w:p>
      <w:pPr>
        <w:spacing w:after="0" w:line="14" w:lineRule="exact"/>
        <w:rPr>
          <w:rFonts w:ascii="Arial" w:cs="Arial" w:eastAsia="Arial" w:hAnsi="Arial"/>
          <w:sz w:val="17"/>
          <w:szCs w:val="17"/>
          <w:color w:val="auto"/>
        </w:rPr>
      </w:pPr>
    </w:p>
    <w:p>
      <w:pPr>
        <w:ind w:right="4379" w:firstLine="5"/>
        <w:spacing w:after="0" w:line="257" w:lineRule="auto"/>
        <w:tabs>
          <w:tab w:leader="none" w:pos="247" w:val="left"/>
        </w:tabs>
        <w:numPr>
          <w:ilvl w:val="0"/>
          <w:numId w:val="66"/>
        </w:numPr>
        <w:rPr>
          <w:rFonts w:ascii="Arial" w:cs="Arial" w:eastAsia="Arial" w:hAnsi="Arial"/>
          <w:sz w:val="17"/>
          <w:szCs w:val="17"/>
          <w:color w:val="auto"/>
        </w:rPr>
      </w:pPr>
      <w:r>
        <w:rPr>
          <w:rFonts w:ascii="Arial" w:cs="Arial" w:eastAsia="Arial" w:hAnsi="Arial"/>
          <w:sz w:val="17"/>
          <w:szCs w:val="17"/>
          <w:color w:val="auto"/>
        </w:rPr>
        <w:t>Room #125—R.W. Smith 12’ x 15’ Modular Controlled Environmental Rooms. Gas Tech 128, Monitor.</w:t>
      </w:r>
    </w:p>
    <w:p>
      <w:pPr>
        <w:ind w:right="6159" w:firstLine="5"/>
        <w:spacing w:after="0" w:line="257" w:lineRule="auto"/>
        <w:tabs>
          <w:tab w:leader="none" w:pos="247" w:val="left"/>
        </w:tabs>
        <w:numPr>
          <w:ilvl w:val="0"/>
          <w:numId w:val="67"/>
        </w:numPr>
        <w:rPr>
          <w:rFonts w:ascii="Arial" w:cs="Arial" w:eastAsia="Arial" w:hAnsi="Arial"/>
          <w:sz w:val="17"/>
          <w:szCs w:val="17"/>
          <w:color w:val="auto"/>
        </w:rPr>
      </w:pPr>
      <w:r>
        <w:rPr>
          <w:rFonts w:ascii="Arial" w:cs="Arial" w:eastAsia="Arial" w:hAnsi="Arial"/>
          <w:sz w:val="17"/>
          <w:szCs w:val="17"/>
          <w:color w:val="auto"/>
        </w:rPr>
        <w:t>NuAire Class II Type A/B3, S.S. Bio. Safety Cabinets. Napco CO2 Environmental Ovens.</w:t>
      </w:r>
    </w:p>
    <w:p>
      <w:pPr>
        <w:ind w:left="260" w:hanging="255"/>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Western Innovator Industrial Manifolds.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Thermo Forma Class II, A2 Bio. Safety Cabinets.</w:t>
      </w:r>
    </w:p>
    <w:p>
      <w:pPr>
        <w:spacing w:after="0" w:line="14" w:lineRule="exact"/>
        <w:rPr>
          <w:rFonts w:ascii="Arial" w:cs="Arial" w:eastAsia="Arial" w:hAnsi="Arial"/>
          <w:sz w:val="17"/>
          <w:szCs w:val="17"/>
          <w:color w:val="auto"/>
        </w:rPr>
      </w:pPr>
    </w:p>
    <w:p>
      <w:pPr>
        <w:ind w:right="6039" w:firstLine="5"/>
        <w:spacing w:after="0" w:line="257" w:lineRule="auto"/>
        <w:tabs>
          <w:tab w:leader="none" w:pos="247" w:val="left"/>
        </w:tabs>
        <w:numPr>
          <w:ilvl w:val="0"/>
          <w:numId w:val="69"/>
        </w:numPr>
        <w:rPr>
          <w:rFonts w:ascii="Arial" w:cs="Arial" w:eastAsia="Arial" w:hAnsi="Arial"/>
          <w:sz w:val="17"/>
          <w:szCs w:val="17"/>
          <w:color w:val="auto"/>
        </w:rPr>
      </w:pPr>
      <w:r>
        <w:rPr>
          <w:rFonts w:ascii="Arial" w:cs="Arial" w:eastAsia="Arial" w:hAnsi="Arial"/>
          <w:sz w:val="17"/>
          <w:szCs w:val="17"/>
          <w:color w:val="auto"/>
        </w:rPr>
        <w:t>New Brunswick Classic C25 &amp; C24, Incubator Shakers. Justrite Flammable Storage Cabinet.</w:t>
      </w:r>
    </w:p>
    <w:p>
      <w:pPr>
        <w:ind w:right="7479"/>
        <w:spacing w:after="0" w:line="257" w:lineRule="auto"/>
        <w:rPr>
          <w:rFonts w:ascii="Arial" w:cs="Arial" w:eastAsia="Arial" w:hAnsi="Arial"/>
          <w:sz w:val="17"/>
          <w:szCs w:val="17"/>
          <w:color w:val="auto"/>
        </w:rPr>
      </w:pPr>
      <w:r>
        <w:rPr>
          <w:rFonts w:ascii="Arial" w:cs="Arial" w:eastAsia="Arial" w:hAnsi="Arial"/>
          <w:sz w:val="17"/>
          <w:szCs w:val="17"/>
          <w:color w:val="auto"/>
        </w:rPr>
        <w:t>Beckman Coulter Microplate Carousel. Isotemp 20T, Bath.</w:t>
      </w:r>
    </w:p>
    <w:p>
      <w:pPr>
        <w:spacing w:after="0"/>
        <w:rPr>
          <w:rFonts w:ascii="Arial" w:cs="Arial" w:eastAsia="Arial" w:hAnsi="Arial"/>
          <w:sz w:val="17"/>
          <w:szCs w:val="17"/>
          <w:color w:val="auto"/>
        </w:rPr>
      </w:pPr>
      <w:r>
        <w:rPr>
          <w:rFonts w:ascii="Arial" w:cs="Arial" w:eastAsia="Arial" w:hAnsi="Arial"/>
          <w:sz w:val="17"/>
          <w:szCs w:val="17"/>
          <w:color w:val="auto"/>
        </w:rPr>
        <w:t>Lab Line III, Incubator.</w:t>
      </w:r>
    </w:p>
    <w:p>
      <w:pPr>
        <w:spacing w:after="0" w:line="14" w:lineRule="exact"/>
        <w:rPr>
          <w:rFonts w:ascii="Arial" w:cs="Arial" w:eastAsia="Arial" w:hAnsi="Arial"/>
          <w:sz w:val="17"/>
          <w:szCs w:val="17"/>
          <w:color w:val="auto"/>
        </w:rPr>
      </w:pPr>
    </w:p>
    <w:p>
      <w:pPr>
        <w:ind w:right="5059" w:firstLine="5"/>
        <w:spacing w:after="0" w:line="257" w:lineRule="auto"/>
        <w:tabs>
          <w:tab w:leader="none" w:pos="334" w:val="left"/>
        </w:tabs>
        <w:numPr>
          <w:ilvl w:val="0"/>
          <w:numId w:val="70"/>
        </w:numPr>
        <w:rPr>
          <w:rFonts w:ascii="Arial" w:cs="Arial" w:eastAsia="Arial" w:hAnsi="Arial"/>
          <w:sz w:val="17"/>
          <w:szCs w:val="17"/>
          <w:color w:val="auto"/>
        </w:rPr>
      </w:pPr>
      <w:r>
        <w:rPr>
          <w:rFonts w:ascii="Arial" w:cs="Arial" w:eastAsia="Arial" w:hAnsi="Arial"/>
          <w:sz w:val="17"/>
          <w:szCs w:val="17"/>
          <w:color w:val="auto"/>
        </w:rPr>
        <w:t>Lab Benches: 6’ x 24’ w/ Sink, Gas Lines, Electrical Outlets, Chairs. Supply Cabinets w/ Glass Doors.</w:t>
      </w:r>
    </w:p>
    <w:p>
      <w:pPr>
        <w:spacing w:after="0"/>
        <w:rPr>
          <w:rFonts w:ascii="Arial" w:cs="Arial" w:eastAsia="Arial" w:hAnsi="Arial"/>
          <w:sz w:val="17"/>
          <w:szCs w:val="17"/>
          <w:color w:val="auto"/>
        </w:rPr>
      </w:pPr>
      <w:r>
        <w:rPr>
          <w:rFonts w:ascii="Arial" w:cs="Arial" w:eastAsia="Arial" w:hAnsi="Arial"/>
          <w:sz w:val="17"/>
          <w:szCs w:val="17"/>
          <w:color w:val="auto"/>
        </w:rPr>
        <w:t>Olympus BX41 Met. Microscope.</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Eppendorf 5415, Centrifuges.</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Leica 090-135-001, Stereo Zoom Microscope.</w:t>
      </w:r>
    </w:p>
    <w:p>
      <w:pPr>
        <w:spacing w:after="0" w:line="14" w:lineRule="exact"/>
        <w:rPr>
          <w:rFonts w:ascii="Arial" w:cs="Arial" w:eastAsia="Arial" w:hAnsi="Arial"/>
          <w:sz w:val="17"/>
          <w:szCs w:val="17"/>
          <w:color w:val="auto"/>
        </w:rPr>
      </w:pPr>
    </w:p>
    <w:p>
      <w:pPr>
        <w:jc w:val="both"/>
        <w:ind w:right="9059" w:firstLine="5"/>
        <w:spacing w:after="0" w:line="273" w:lineRule="auto"/>
        <w:tabs>
          <w:tab w:leader="none" w:pos="2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VWR Wash. Bio Tek ELX50.</w:t>
      </w:r>
    </w:p>
    <w:p>
      <w:pPr>
        <w:spacing w:after="0"/>
        <w:rPr>
          <w:rFonts w:ascii="Arial" w:cs="Arial" w:eastAsia="Arial" w:hAnsi="Arial"/>
          <w:sz w:val="16"/>
          <w:szCs w:val="16"/>
          <w:color w:val="auto"/>
        </w:rPr>
      </w:pPr>
      <w:r>
        <w:rPr>
          <w:rFonts w:ascii="Arial" w:cs="Arial" w:eastAsia="Arial" w:hAnsi="Arial"/>
          <w:sz w:val="17"/>
          <w:szCs w:val="17"/>
          <w:color w:val="auto"/>
        </w:rPr>
        <w:t>MJ PTC100, Prog. Thermal Controller.</w:t>
      </w:r>
    </w:p>
    <w:p>
      <w:pPr>
        <w:spacing w:after="0" w:line="14" w:lineRule="exact"/>
        <w:rPr>
          <w:rFonts w:ascii="Arial" w:cs="Arial" w:eastAsia="Arial" w:hAnsi="Arial"/>
          <w:sz w:val="16"/>
          <w:szCs w:val="16"/>
          <w:color w:val="auto"/>
        </w:rPr>
      </w:pPr>
    </w:p>
    <w:p>
      <w:pPr>
        <w:ind w:right="3179"/>
        <w:spacing w:after="0" w:line="257" w:lineRule="auto"/>
        <w:rPr>
          <w:rFonts w:ascii="Arial" w:cs="Arial" w:eastAsia="Arial" w:hAnsi="Arial"/>
          <w:sz w:val="16"/>
          <w:szCs w:val="16"/>
          <w:color w:val="auto"/>
        </w:rPr>
      </w:pPr>
      <w:r>
        <w:rPr>
          <w:rFonts w:ascii="Arial" w:cs="Arial" w:eastAsia="Arial" w:hAnsi="Arial"/>
          <w:sz w:val="17"/>
          <w:szCs w:val="17"/>
          <w:color w:val="auto"/>
        </w:rPr>
        <w:t>Varian Pro Star Chromatography System w/ (2) Solvent Delivery Modules, UV-VIS Detector w/ PC. Gemini Twin Shaking Water Bath.</w:t>
      </w:r>
    </w:p>
    <w:p>
      <w:pPr>
        <w:ind w:right="7819" w:firstLine="5"/>
        <w:spacing w:after="0" w:line="291" w:lineRule="auto"/>
        <w:tabs>
          <w:tab w:leader="none" w:pos="247" w:val="left"/>
        </w:tabs>
        <w:numPr>
          <w:ilvl w:val="0"/>
          <w:numId w:val="72"/>
        </w:numPr>
        <w:rPr>
          <w:rFonts w:ascii="Arial" w:cs="Arial" w:eastAsia="Arial" w:hAnsi="Arial"/>
          <w:sz w:val="15"/>
          <w:szCs w:val="15"/>
          <w:color w:val="auto"/>
        </w:rPr>
      </w:pPr>
      <w:r>
        <w:rPr>
          <w:rFonts w:ascii="Arial" w:cs="Arial" w:eastAsia="Arial" w:hAnsi="Arial"/>
          <w:sz w:val="15"/>
          <w:szCs w:val="15"/>
          <w:color w:val="auto"/>
        </w:rPr>
        <w:t>Savant Speed Vac Centrifuges. Lab Line Orbit Environ-Shaker.</w:t>
      </w:r>
    </w:p>
    <w:p>
      <w:pPr>
        <w:ind w:left="260" w:hanging="255"/>
        <w:spacing w:after="0"/>
        <w:tabs>
          <w:tab w:leader="none" w:pos="2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Steel Supply Cabinets.</w:t>
      </w:r>
    </w:p>
    <w:p>
      <w:pPr>
        <w:spacing w:after="0" w:line="14" w:lineRule="exact"/>
        <w:rPr>
          <w:sz w:val="20"/>
          <w:szCs w:val="20"/>
          <w:color w:val="auto"/>
        </w:rPr>
      </w:pPr>
    </w:p>
    <w:p>
      <w:pPr>
        <w:ind w:left="260" w:hanging="255"/>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Hanson Fume Hood.</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Titer Plate Shakers.</w:t>
      </w:r>
    </w:p>
    <w:p>
      <w:pPr>
        <w:spacing w:after="0" w:line="200" w:lineRule="exact"/>
        <w:rPr>
          <w:sz w:val="20"/>
          <w:szCs w:val="20"/>
          <w:color w:val="auto"/>
        </w:rPr>
      </w:pPr>
    </w:p>
    <w:p>
      <w:pPr>
        <w:spacing w:after="0" w:line="221" w:lineRule="exact"/>
        <w:rPr>
          <w:sz w:val="20"/>
          <w:szCs w:val="20"/>
          <w:color w:val="auto"/>
        </w:rPr>
      </w:pPr>
    </w:p>
    <w:p>
      <w:pPr>
        <w:ind w:left="260" w:hanging="255"/>
        <w:spacing w:after="0"/>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New Brunswick Biofold 3000, Batch Cont. Bio. Reactors.</w:t>
      </w:r>
    </w:p>
    <w:p>
      <w:pPr>
        <w:spacing w:after="0" w:line="26" w:lineRule="exact"/>
        <w:rPr>
          <w:rFonts w:ascii="Arial" w:cs="Arial" w:eastAsia="Arial" w:hAnsi="Arial"/>
          <w:sz w:val="17"/>
          <w:szCs w:val="17"/>
          <w:color w:val="auto"/>
        </w:rPr>
      </w:pPr>
    </w:p>
    <w:p>
      <w:pPr>
        <w:ind w:left="260" w:hanging="255"/>
        <w:spacing w:after="0"/>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Thermo Scientific Class II A/B3, Biological Safety Cabinets.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Forma Scientific CO2 Water Jacketed Incubators.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Newport Lab. Tables.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Beckman Coulter System Gold 128, Solvent Module.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Aurora Discovery.</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Molecular Device Mod. 0310-3895, Chemilluminescence Imaging Plate Reader w/ 600 Camera Controller.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S/N CL-115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Digital Analysis Lab. Treat LT-50, Ph Adjustment System w/ Effluent Monitor.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Steam Generator.</w:t>
      </w:r>
    </w:p>
    <w:p>
      <w:pPr>
        <w:spacing w:after="0" w:line="14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0219"/>
          </w:cols>
          <w:pgMar w:left="240" w:top="271" w:right="1440" w:bottom="1440" w:gutter="0" w:footer="0" w:header="0"/>
        </w:sectPr>
      </w:pPr>
    </w:p>
    <w:bookmarkStart w:id="155" w:name="page156"/>
    <w:bookmarkEnd w:id="155"/>
    <w:p>
      <w:pPr>
        <w:ind w:left="524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ROOM #142</w:t>
      </w:r>
    </w:p>
    <w:p>
      <w:pPr>
        <w:spacing w:after="0" w:line="256" w:lineRule="exact"/>
        <w:rPr>
          <w:sz w:val="20"/>
          <w:szCs w:val="20"/>
          <w:color w:val="auto"/>
        </w:rPr>
      </w:pPr>
    </w:p>
    <w:p>
      <w:pPr>
        <w:ind w:right="5519" w:firstLine="5"/>
        <w:spacing w:after="0" w:line="262" w:lineRule="auto"/>
        <w:tabs>
          <w:tab w:leader="none" w:pos="445" w:val="left"/>
        </w:tabs>
        <w:numPr>
          <w:ilvl w:val="0"/>
          <w:numId w:val="79"/>
        </w:numPr>
        <w:rPr>
          <w:rFonts w:ascii="Arial" w:cs="Arial" w:eastAsia="Arial" w:hAnsi="Arial"/>
          <w:sz w:val="17"/>
          <w:szCs w:val="17"/>
          <w:color w:val="auto"/>
        </w:rPr>
      </w:pPr>
      <w:r>
        <w:rPr>
          <w:rFonts w:ascii="Arial" w:cs="Arial" w:eastAsia="Arial" w:hAnsi="Arial"/>
          <w:sz w:val="17"/>
          <w:szCs w:val="17"/>
          <w:color w:val="auto"/>
        </w:rPr>
        <w:t>Scientek S.S. Downdraft Necropsy Tables, 2’ x 8’ w/ Hoods. TSI Fluidized Bed Aerosol Generator w/ Bias Flow Generator. Scientek Mod. SBS-48, Lab. Table w/ Fume Hood.</w:t>
      </w:r>
    </w:p>
    <w:p>
      <w:pPr>
        <w:ind w:left="460" w:hanging="455"/>
        <w:spacing w:after="0"/>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Port. S.S. Carts.</w:t>
      </w:r>
    </w:p>
    <w:p>
      <w:pPr>
        <w:spacing w:after="0" w:line="14" w:lineRule="exact"/>
        <w:rPr>
          <w:sz w:val="20"/>
          <w:szCs w:val="20"/>
          <w:color w:val="auto"/>
        </w:rPr>
      </w:pPr>
    </w:p>
    <w:p>
      <w:pPr>
        <w:ind w:right="6479" w:firstLine="5"/>
        <w:spacing w:after="0" w:line="291" w:lineRule="auto"/>
        <w:tabs>
          <w:tab w:leader="none" w:pos="445" w:val="left"/>
        </w:tabs>
        <w:numPr>
          <w:ilvl w:val="0"/>
          <w:numId w:val="81"/>
        </w:numPr>
        <w:rPr>
          <w:rFonts w:ascii="Arial" w:cs="Arial" w:eastAsia="Arial" w:hAnsi="Arial"/>
          <w:sz w:val="15"/>
          <w:szCs w:val="15"/>
          <w:color w:val="auto"/>
        </w:rPr>
      </w:pPr>
      <w:r>
        <w:rPr>
          <w:rFonts w:ascii="Arial" w:cs="Arial" w:eastAsia="Arial" w:hAnsi="Arial"/>
          <w:sz w:val="15"/>
          <w:szCs w:val="15"/>
          <w:color w:val="auto"/>
        </w:rPr>
        <w:t>Scientek S.S. Backdraft Work Benches &amp; Sins. Gettinge MTP 1800 S.S. Cage &amp; Bottle Washer.</w:t>
      </w:r>
    </w:p>
    <w:p>
      <w:pPr>
        <w:ind w:left="260" w:hanging="255"/>
        <w:spacing w:after="0"/>
        <w:tabs>
          <w:tab w:leader="none" w:pos="2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Gettinge Vivarium Autoclave II, Vacuum Steam Sterilizers w/ 4’ x 4’ x 4’ Wheel-In Cart Chamber w/ PACS 2000 Controller, Dbl. End.</w:t>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WAREHOUSE</w:t>
      </w:r>
    </w:p>
    <w:p>
      <w:pPr>
        <w:spacing w:after="0" w:line="256" w:lineRule="exact"/>
        <w:rPr>
          <w:sz w:val="20"/>
          <w:szCs w:val="20"/>
          <w:color w:val="auto"/>
        </w:rPr>
      </w:pPr>
    </w:p>
    <w:p>
      <w:pPr>
        <w:ind w:left="460" w:hanging="455"/>
        <w:spacing w:after="0"/>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Revo Ultima II, Freezers.</w:t>
      </w:r>
    </w:p>
    <w:p>
      <w:pPr>
        <w:spacing w:after="0" w:line="200" w:lineRule="exact"/>
        <w:rPr>
          <w:sz w:val="20"/>
          <w:szCs w:val="20"/>
          <w:color w:val="auto"/>
        </w:rPr>
      </w:pPr>
    </w:p>
    <w:p>
      <w:pPr>
        <w:spacing w:after="0" w:line="227"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ELECTRICAL</w:t>
      </w:r>
    </w:p>
    <w:p>
      <w:pPr>
        <w:spacing w:after="0" w:line="256" w:lineRule="exact"/>
        <w:rPr>
          <w:sz w:val="20"/>
          <w:szCs w:val="20"/>
          <w:color w:val="auto"/>
        </w:rPr>
      </w:pPr>
    </w:p>
    <w:p>
      <w:pPr>
        <w:ind w:left="460" w:hanging="455"/>
        <w:spacing w:after="0"/>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Square ‘D’ 2000 Amp., 480/277 Volts Breakers &amp; Wire.</w:t>
      </w:r>
    </w:p>
    <w:p>
      <w:pPr>
        <w:spacing w:after="0" w:line="26" w:lineRule="exact"/>
        <w:rPr>
          <w:sz w:val="20"/>
          <w:szCs w:val="20"/>
          <w:color w:val="auto"/>
        </w:rPr>
      </w:pPr>
    </w:p>
    <w:p>
      <w:pPr>
        <w:ind w:left="460" w:hanging="45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GE Zenith Transfer Switches &amp; Wire.</w:t>
      </w:r>
    </w:p>
    <w:p>
      <w:pPr>
        <w:spacing w:after="0" w:line="14" w:lineRule="exact"/>
        <w:rPr>
          <w:sz w:val="20"/>
          <w:szCs w:val="20"/>
          <w:color w:val="auto"/>
        </w:rPr>
      </w:pPr>
    </w:p>
    <w:p>
      <w:pPr>
        <w:jc w:val="both"/>
        <w:ind w:right="6679" w:firstLine="5"/>
        <w:spacing w:after="0" w:line="273" w:lineRule="auto"/>
        <w:tabs>
          <w:tab w:leader="none" w:pos="4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Square ‘D’ Mod. 6, M.C.C. Panels &amp; Wire. Crown 3000 Lb. Elec. Forklift w/ Legacy Charger.</w:t>
      </w:r>
    </w:p>
    <w:p>
      <w:pPr>
        <w:ind w:left="460" w:hanging="455"/>
        <w:spacing w:after="0"/>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Hyd. Pallet Jacks.</w:t>
      </w:r>
    </w:p>
    <w:p>
      <w:pPr>
        <w:spacing w:after="0" w:line="200" w:lineRule="exact"/>
        <w:rPr>
          <w:sz w:val="20"/>
          <w:szCs w:val="20"/>
          <w:color w:val="auto"/>
        </w:rPr>
      </w:pPr>
    </w:p>
    <w:p>
      <w:pPr>
        <w:spacing w:after="0" w:line="221" w:lineRule="exact"/>
        <w:rPr>
          <w:sz w:val="20"/>
          <w:szCs w:val="20"/>
          <w:color w:val="auto"/>
        </w:rPr>
      </w:pPr>
    </w:p>
    <w:p>
      <w:pPr>
        <w:ind w:right="6419" w:firstLine="5"/>
        <w:spacing w:after="0" w:line="264" w:lineRule="auto"/>
        <w:tabs>
          <w:tab w:leader="none" w:pos="4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Thermo Orion CO2 Incubators, Water Jacketed, Presto Die Lift. Cart.</w:t>
      </w:r>
    </w:p>
    <w:p>
      <w:pPr>
        <w:spacing w:after="0" w:line="1" w:lineRule="exact"/>
        <w:rPr>
          <w:sz w:val="20"/>
          <w:szCs w:val="20"/>
          <w:color w:val="auto"/>
        </w:rPr>
      </w:pPr>
    </w:p>
    <w:p>
      <w:pPr>
        <w:jc w:val="both"/>
        <w:ind w:right="8359" w:firstLine="5"/>
        <w:spacing w:after="0" w:line="273" w:lineRule="auto"/>
        <w:tabs>
          <w:tab w:leader="none" w:pos="445" w:val="left"/>
        </w:tabs>
        <w:numPr>
          <w:ilvl w:val="0"/>
          <w:numId w:val="89"/>
        </w:numPr>
        <w:rPr>
          <w:rFonts w:ascii="Arial" w:cs="Arial" w:eastAsia="Arial" w:hAnsi="Arial"/>
          <w:sz w:val="16"/>
          <w:szCs w:val="16"/>
          <w:color w:val="auto"/>
        </w:rPr>
      </w:pPr>
      <w:r>
        <w:rPr>
          <w:rFonts w:ascii="Arial" w:cs="Arial" w:eastAsia="Arial" w:hAnsi="Arial"/>
          <w:sz w:val="16"/>
          <w:szCs w:val="16"/>
          <w:color w:val="auto"/>
        </w:rPr>
        <w:t>Freezers. (Hallway) Fisher Scientific Lab. Ref. Lincoln Arc Welder.</w:t>
      </w:r>
    </w:p>
    <w:p>
      <w:pPr>
        <w:spacing w:after="0"/>
        <w:rPr>
          <w:rFonts w:ascii="Arial" w:cs="Arial" w:eastAsia="Arial" w:hAnsi="Arial"/>
          <w:sz w:val="16"/>
          <w:szCs w:val="16"/>
          <w:color w:val="auto"/>
        </w:rPr>
      </w:pPr>
      <w:r>
        <w:rPr>
          <w:rFonts w:ascii="Arial" w:cs="Arial" w:eastAsia="Arial" w:hAnsi="Arial"/>
          <w:sz w:val="17"/>
          <w:szCs w:val="17"/>
          <w:color w:val="auto"/>
        </w:rPr>
        <w:t>Port. A-Frame Hoist.</w:t>
      </w:r>
    </w:p>
    <w:p>
      <w:pPr>
        <w:spacing w:after="0" w:line="14" w:lineRule="exact"/>
        <w:rPr>
          <w:sz w:val="20"/>
          <w:szCs w:val="20"/>
          <w:color w:val="auto"/>
        </w:rPr>
      </w:pPr>
    </w:p>
    <w:p>
      <w:pPr>
        <w:ind w:left="460" w:hanging="455"/>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Beckman Coulter 25R, Centrifuge.</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6"/>
          <w:szCs w:val="16"/>
          <w:color w:val="auto"/>
        </w:rPr>
        <w:t>Fire King Fire Proof Cabinets.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Powerwave 9390, U.P.S. w/ New Batteries &amp; Capacitors.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Misc. Office Furniture &amp; Cubicles.</w:t>
      </w:r>
    </w:p>
    <w:p>
      <w:pPr>
        <w:spacing w:after="0" w:line="14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0219"/>
          </w:cols>
          <w:pgMar w:left="240" w:top="265" w:right="1440" w:bottom="1440" w:gutter="0" w:footer="0" w:header="0"/>
        </w:sectPr>
      </w:pPr>
    </w:p>
    <w:bookmarkStart w:id="156" w:name="page157"/>
    <w:bookmarkEnd w:id="156"/>
    <w:p>
      <w:pPr>
        <w:jc w:val="right"/>
        <w:ind w:right="37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EXCLUDED ITEMS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12’ Single Axle Equipment Trailer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Praxair Liquid Nitrogen Tank, Approx. 300 Gal.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Equipment In Rooms #1109, #1110 &amp; #1112 (including Hanson fume hood).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Lab. Benches from Rooms #1109, #1110 and #1112.</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Lab. Sink in general lab area.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Fume Hood in general lab area.</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Keurig Coffee Maker</w:t>
      </w:r>
    </w:p>
    <w:p>
      <w:pPr>
        <w:spacing w:after="0" w:line="146"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0219"/>
          </w:cols>
          <w:pgMar w:left="240" w:top="265" w:right="1440" w:bottom="1440" w:gutter="0" w:footer="0" w:header="0"/>
        </w:sectPr>
      </w:pPr>
    </w:p>
    <w:bookmarkStart w:id="157" w:name="page158"/>
    <w:bookmarkEnd w:id="157"/>
    <w:p>
      <w:pPr>
        <w:jc w:val="center"/>
        <w:ind w:right="-1195"/>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SCHEDULE 1</w:t>
      </w:r>
    </w:p>
    <w:p>
      <w:pPr>
        <w:spacing w:after="0" w:line="224" w:lineRule="exact"/>
        <w:rPr>
          <w:sz w:val="20"/>
          <w:szCs w:val="20"/>
          <w:color w:val="auto"/>
        </w:rPr>
      </w:pPr>
    </w:p>
    <w:p>
      <w:pPr>
        <w:ind w:left="4715"/>
        <w:spacing w:after="0"/>
        <w:rPr>
          <w:sz w:val="20"/>
          <w:szCs w:val="20"/>
          <w:color w:val="auto"/>
        </w:rPr>
      </w:pPr>
      <w:r>
        <w:rPr>
          <w:rFonts w:ascii="Arial" w:cs="Arial" w:eastAsia="Arial" w:hAnsi="Arial"/>
          <w:sz w:val="17"/>
          <w:szCs w:val="17"/>
          <w:b w:val="1"/>
          <w:bCs w:val="1"/>
          <w:color w:val="auto"/>
        </w:rPr>
        <w:t>ASSUMED CONTRACTS</w:t>
      </w:r>
    </w:p>
    <w:p>
      <w:pPr>
        <w:spacing w:after="0" w:line="138" w:lineRule="exact"/>
        <w:rPr>
          <w:sz w:val="20"/>
          <w:szCs w:val="20"/>
          <w:color w:val="auto"/>
        </w:rPr>
      </w:pPr>
    </w:p>
    <w:p>
      <w:pPr>
        <w:ind w:left="455" w:hanging="455"/>
        <w:spacing w:after="0"/>
        <w:tabs>
          <w:tab w:leader="none" w:pos="455" w:val="left"/>
        </w:tabs>
        <w:numPr>
          <w:ilvl w:val="0"/>
          <w:numId w:val="91"/>
        </w:numPr>
        <w:rPr>
          <w:rFonts w:ascii="Arial" w:cs="Arial" w:eastAsia="Arial" w:hAnsi="Arial"/>
          <w:sz w:val="15"/>
          <w:szCs w:val="15"/>
          <w:color w:val="auto"/>
        </w:rPr>
      </w:pPr>
      <w:r>
        <w:rPr>
          <w:rFonts w:ascii="Arial" w:cs="Arial" w:eastAsia="Arial" w:hAnsi="Arial"/>
          <w:sz w:val="15"/>
          <w:szCs w:val="15"/>
          <w:color w:val="auto"/>
        </w:rPr>
        <w:t>Fire Protection Systems Annual Testing Proposal/Agreement with Red Hawk Fire &amp; Security dated September 28, 2015.</w:t>
      </w:r>
    </w:p>
    <w:p>
      <w:pPr>
        <w:spacing w:after="0" w:line="154" w:lineRule="exact"/>
        <w:rPr>
          <w:rFonts w:ascii="Arial" w:cs="Arial" w:eastAsia="Arial" w:hAnsi="Arial"/>
          <w:sz w:val="15"/>
          <w:szCs w:val="15"/>
          <w:color w:val="auto"/>
        </w:rPr>
      </w:pPr>
    </w:p>
    <w:p>
      <w:pPr>
        <w:ind w:left="455" w:hanging="455"/>
        <w:spacing w:after="0"/>
        <w:tabs>
          <w:tab w:leader="none" w:pos="4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Standard Landscape Maintenance Agreement with American Landscape Maintenance dated June 6, 2001.</w:t>
      </w:r>
    </w:p>
    <w:p>
      <w:pPr>
        <w:spacing w:after="0" w:line="158" w:lineRule="exact"/>
        <w:rPr>
          <w:sz w:val="20"/>
          <w:szCs w:val="20"/>
          <w:color w:val="auto"/>
        </w:rPr>
      </w:pPr>
    </w:p>
    <w:p>
      <w:pPr>
        <w:ind w:left="5195"/>
        <w:spacing w:after="0"/>
        <w:rPr>
          <w:sz w:val="20"/>
          <w:szCs w:val="20"/>
          <w:color w:val="auto"/>
        </w:rPr>
      </w:pPr>
      <w:r>
        <w:rPr>
          <w:rFonts w:ascii="Arial" w:cs="Arial" w:eastAsia="Arial" w:hAnsi="Arial"/>
          <w:sz w:val="17"/>
          <w:szCs w:val="17"/>
          <w:color w:val="auto"/>
        </w:rPr>
        <w:t>SCHEDULE 1</w:t>
      </w:r>
    </w:p>
    <w:p>
      <w:pPr>
        <w:sectPr>
          <w:pgSz w:w="11900" w:h="16838" w:orient="portrait"/>
          <w:cols w:equalWidth="0" w:num="1">
            <w:col w:w="10214"/>
          </w:cols>
          <w:pgMar w:left="245" w:top="265"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SECOND AMENDMENT TO AGREEMENT OF PURCHASE AND SALE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JOINT ESCROW INSTRUCTIONS</w:t>
      </w:r>
    </w:p>
    <w:p>
      <w:pPr>
        <w:spacing w:after="0" w:line="206" w:lineRule="exact"/>
        <w:rPr>
          <w:sz w:val="20"/>
          <w:szCs w:val="20"/>
          <w:color w:val="auto"/>
        </w:rPr>
      </w:pPr>
    </w:p>
    <w:p>
      <w:pPr>
        <w:ind w:firstLine="457"/>
        <w:spacing w:after="0" w:line="276" w:lineRule="auto"/>
        <w:rPr>
          <w:sz w:val="20"/>
          <w:szCs w:val="20"/>
          <w:color w:val="auto"/>
        </w:rPr>
      </w:pPr>
      <w:r>
        <w:rPr>
          <w:rFonts w:ascii="Arial" w:cs="Arial" w:eastAsia="Arial" w:hAnsi="Arial"/>
          <w:sz w:val="17"/>
          <w:szCs w:val="17"/>
          <w:color w:val="auto"/>
        </w:rPr>
        <w:t>THIS SECOND AMENDMENT TO AGREEMENT OF PURCHASE AND SALE AND JOINT ESCROW INSTRUCTIONS (this “</w:t>
      </w:r>
      <w:r>
        <w:rPr>
          <w:rFonts w:ascii="Arial" w:cs="Arial" w:eastAsia="Arial" w:hAnsi="Arial"/>
          <w:sz w:val="17"/>
          <w:szCs w:val="17"/>
          <w:b w:val="1"/>
          <w:bCs w:val="1"/>
          <w:color w:val="auto"/>
        </w:rPr>
        <w:t>Second Amendment</w:t>
      </w:r>
      <w:r>
        <w:rPr>
          <w:rFonts w:ascii="Arial" w:cs="Arial" w:eastAsia="Arial" w:hAnsi="Arial"/>
          <w:sz w:val="17"/>
          <w:szCs w:val="17"/>
          <w:color w:val="auto"/>
        </w:rPr>
        <w:t>”) is made and entered into as of February 10, 2017, by and between MANNKIND CORPORATION, a Delaware corporation (“</w:t>
      </w:r>
      <w:r>
        <w:rPr>
          <w:rFonts w:ascii="Arial" w:cs="Arial" w:eastAsia="Arial" w:hAnsi="Arial"/>
          <w:sz w:val="17"/>
          <w:szCs w:val="17"/>
          <w:b w:val="1"/>
          <w:bCs w:val="1"/>
          <w:color w:val="auto"/>
        </w:rPr>
        <w:t>Seller</w:t>
      </w:r>
      <w:r>
        <w:rPr>
          <w:rFonts w:ascii="Arial" w:cs="Arial" w:eastAsia="Arial" w:hAnsi="Arial"/>
          <w:sz w:val="17"/>
          <w:szCs w:val="17"/>
          <w:color w:val="auto"/>
        </w:rPr>
        <w:t>”), and REXFORD INDUSTRIAL REALTY, L.P., a Maryland limited partnership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65" w:lineRule="exact"/>
        <w:rPr>
          <w:sz w:val="20"/>
          <w:szCs w:val="20"/>
          <w:color w:val="auto"/>
        </w:rPr>
      </w:pPr>
    </w:p>
    <w:p>
      <w:pPr>
        <w:ind w:right="280" w:firstLine="457"/>
        <w:spacing w:after="0" w:line="267" w:lineRule="auto"/>
        <w:rPr>
          <w:sz w:val="20"/>
          <w:szCs w:val="20"/>
          <w:color w:val="auto"/>
        </w:rPr>
      </w:pPr>
      <w:r>
        <w:rPr>
          <w:rFonts w:ascii="Arial" w:cs="Arial" w:eastAsia="Arial" w:hAnsi="Arial"/>
          <w:sz w:val="17"/>
          <w:szCs w:val="17"/>
          <w:color w:val="auto"/>
        </w:rPr>
        <w:t>A. Seller and Buyer entered into that certain Agreement of Purchase and Sale and Joint Escrow Instructions dated for reference purposes as of January 6, 2017 (the “</w:t>
      </w:r>
      <w:r>
        <w:rPr>
          <w:rFonts w:ascii="Arial" w:cs="Arial" w:eastAsia="Arial" w:hAnsi="Arial"/>
          <w:sz w:val="17"/>
          <w:szCs w:val="17"/>
          <w:b w:val="1"/>
          <w:bCs w:val="1"/>
          <w:color w:val="auto"/>
        </w:rPr>
        <w:t>Original Agreement</w:t>
      </w:r>
      <w:r>
        <w:rPr>
          <w:rFonts w:ascii="Arial" w:cs="Arial" w:eastAsia="Arial" w:hAnsi="Arial"/>
          <w:sz w:val="17"/>
          <w:szCs w:val="17"/>
          <w:color w:val="auto"/>
        </w:rPr>
        <w:t>”), as modified by that certain First Amendment to Agreement of Purchase and Sale and Joint Escrow Instructions dated February 7, 2017 (the “</w:t>
      </w:r>
      <w:r>
        <w:rPr>
          <w:rFonts w:ascii="Arial" w:cs="Arial" w:eastAsia="Arial" w:hAnsi="Arial"/>
          <w:sz w:val="17"/>
          <w:szCs w:val="17"/>
          <w:b w:val="1"/>
          <w:bCs w:val="1"/>
          <w:color w:val="auto"/>
        </w:rPr>
        <w:t>First Amendment</w:t>
      </w:r>
      <w:r>
        <w:rPr>
          <w:rFonts w:ascii="Arial" w:cs="Arial" w:eastAsia="Arial" w:hAnsi="Arial"/>
          <w:sz w:val="17"/>
          <w:szCs w:val="17"/>
          <w:color w:val="auto"/>
        </w:rPr>
        <w:t>”; together with the Original Agreement, the “</w:t>
      </w:r>
      <w:r>
        <w:rPr>
          <w:rFonts w:ascii="Arial" w:cs="Arial" w:eastAsia="Arial" w:hAnsi="Arial"/>
          <w:sz w:val="17"/>
          <w:szCs w:val="17"/>
          <w:b w:val="1"/>
          <w:bCs w:val="1"/>
          <w:color w:val="auto"/>
        </w:rPr>
        <w:t>Amended Agreement</w:t>
      </w:r>
      <w:r>
        <w:rPr>
          <w:rFonts w:ascii="Arial" w:cs="Arial" w:eastAsia="Arial" w:hAnsi="Arial"/>
          <w:sz w:val="17"/>
          <w:szCs w:val="17"/>
          <w:color w:val="auto"/>
        </w:rPr>
        <w:t>”), relating to certain real property located in the City of Valencia, County of Los Angeles, State of California, more particularly described in the Original Agreement.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Seller and Buyer now desire to amend the terms of the Amended Agreement as provided in this Second Amendment.</w:t>
      </w:r>
    </w:p>
    <w:p>
      <w:pPr>
        <w:spacing w:after="0" w:line="119" w:lineRule="exact"/>
        <w:rPr>
          <w:sz w:val="20"/>
          <w:szCs w:val="20"/>
          <w:color w:val="auto"/>
        </w:rPr>
      </w:pPr>
    </w:p>
    <w:p>
      <w:pPr>
        <w:ind w:right="180" w:firstLine="457"/>
        <w:spacing w:after="0" w:line="289" w:lineRule="auto"/>
        <w:rPr>
          <w:sz w:val="20"/>
          <w:szCs w:val="20"/>
          <w:color w:val="auto"/>
        </w:rPr>
      </w:pPr>
      <w:r>
        <w:rPr>
          <w:rFonts w:ascii="Arial" w:cs="Arial" w:eastAsia="Arial" w:hAnsi="Arial"/>
          <w:sz w:val="17"/>
          <w:szCs w:val="17"/>
          <w:color w:val="auto"/>
        </w:rPr>
        <w:t>NOW THEREFORE, for good and valuable consideration, the receipt and sufficiency of which are hereby acknowledged, Seller and Buyer hereby amend the Amended Agreement as follows:</w:t>
      </w:r>
    </w:p>
    <w:p>
      <w:pPr>
        <w:spacing w:after="0" w:line="53" w:lineRule="exact"/>
        <w:rPr>
          <w:sz w:val="20"/>
          <w:szCs w:val="20"/>
          <w:color w:val="auto"/>
        </w:rPr>
      </w:pPr>
    </w:p>
    <w:p>
      <w:pPr>
        <w:ind w:right="120" w:firstLine="461"/>
        <w:spacing w:after="0" w:line="289" w:lineRule="auto"/>
        <w:tabs>
          <w:tab w:leader="none" w:pos="63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Recitals; Definitions</w:t>
      </w:r>
      <w:r>
        <w:rPr>
          <w:rFonts w:ascii="Arial" w:cs="Arial" w:eastAsia="Arial" w:hAnsi="Arial"/>
          <w:sz w:val="17"/>
          <w:szCs w:val="17"/>
          <w:color w:val="auto"/>
        </w:rPr>
        <w:t>. The recitals set forth above are not merely recitals, but form an integral part of this Second Amendment. All capitalized terms used and not otherwise defined in this Second Amendment shall have the meanings respectively assigned to them in the Amended Agreement.</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Approval of Certain Matters</w:t>
      </w:r>
      <w:r>
        <w:rPr>
          <w:rFonts w:ascii="Arial" w:cs="Arial" w:eastAsia="Arial" w:hAnsi="Arial"/>
          <w:sz w:val="17"/>
          <w:szCs w:val="17"/>
          <w:color w:val="auto"/>
        </w:rPr>
        <w:t>. Buyer hereby waives any and all contingencies that are scheduled to expire as of the Contingency Date.</w:t>
      </w:r>
    </w:p>
    <w:p>
      <w:pPr>
        <w:spacing w:after="0" w:line="118" w:lineRule="exact"/>
        <w:rPr>
          <w:rFonts w:ascii="Arial" w:cs="Arial" w:eastAsia="Arial" w:hAnsi="Arial"/>
          <w:sz w:val="17"/>
          <w:szCs w:val="17"/>
          <w:color w:val="auto"/>
        </w:rPr>
      </w:pPr>
    </w:p>
    <w:p>
      <w:pPr>
        <w:ind w:left="640" w:hanging="179"/>
        <w:spacing w:after="0"/>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Closing Date</w:t>
      </w:r>
      <w:r>
        <w:rPr>
          <w:rFonts w:ascii="Arial" w:cs="Arial" w:eastAsia="Arial" w:hAnsi="Arial"/>
          <w:sz w:val="17"/>
          <w:szCs w:val="17"/>
          <w:color w:val="auto"/>
        </w:rPr>
        <w:t>. Notwithstanding anything in the Amended Agreement to the contrary, the Closing Date shall be February 17, 2017.</w:t>
      </w:r>
    </w:p>
    <w:p>
      <w:pPr>
        <w:spacing w:after="0" w:line="118" w:lineRule="exact"/>
        <w:rPr>
          <w:rFonts w:ascii="Arial" w:cs="Arial" w:eastAsia="Arial" w:hAnsi="Arial"/>
          <w:sz w:val="17"/>
          <w:szCs w:val="17"/>
          <w:color w:val="auto"/>
        </w:rPr>
      </w:pPr>
    </w:p>
    <w:p>
      <w:pPr>
        <w:ind w:right="200" w:firstLine="461"/>
        <w:spacing w:after="0" w:line="273" w:lineRule="auto"/>
        <w:tabs>
          <w:tab w:leader="none" w:pos="63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Letter from MannKind LLC</w:t>
      </w:r>
      <w:r>
        <w:rPr>
          <w:rFonts w:ascii="Arial" w:cs="Arial" w:eastAsia="Arial" w:hAnsi="Arial"/>
          <w:sz w:val="17"/>
          <w:szCs w:val="17"/>
          <w:color w:val="auto"/>
        </w:rPr>
        <w:t xml:space="preserve">. At least one (1) business day prior to the Close of Escrow, Seller shall cause Mannkind LLC, a Delaware limited liability company, to deliver to Escrow Holder a duly executed original letter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Upon the Close of Escrow, Escrow Holder shall deliver the original of such letter to Buyer in accordance with Section 12.4 of the Original Agreement.</w:t>
      </w:r>
    </w:p>
    <w:p>
      <w:pPr>
        <w:spacing w:after="0" w:line="66" w:lineRule="exact"/>
        <w:rPr>
          <w:rFonts w:ascii="Arial" w:cs="Arial" w:eastAsia="Arial" w:hAnsi="Arial"/>
          <w:sz w:val="17"/>
          <w:szCs w:val="17"/>
          <w:color w:val="auto"/>
        </w:rPr>
      </w:pPr>
    </w:p>
    <w:p>
      <w:pPr>
        <w:ind w:right="320" w:firstLine="461"/>
        <w:spacing w:after="0" w:line="273" w:lineRule="auto"/>
        <w:tabs>
          <w:tab w:leader="none" w:pos="63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UCC-3</w:t>
      </w:r>
      <w:r>
        <w:rPr>
          <w:rFonts w:ascii="Arial" w:cs="Arial" w:eastAsia="Arial" w:hAnsi="Arial"/>
          <w:sz w:val="17"/>
          <w:szCs w:val="17"/>
          <w:color w:val="auto"/>
        </w:rPr>
        <w:t xml:space="preserve">. At least one (1) business day prior to the Close of Escrow, Seller shall cause to be completed a UCC-3 statement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deliver same to Escrow Holder for filing by Escrow Holder, or Buyer (at Buyer’s request), with the appropriate secretary of state, such that Buyer shall receive the Equipment and Personal Property free and clear of liens at Closing.</w:t>
      </w:r>
    </w:p>
    <w:p>
      <w:pPr>
        <w:spacing w:after="0" w:line="66" w:lineRule="exact"/>
        <w:rPr>
          <w:rFonts w:ascii="Arial" w:cs="Arial" w:eastAsia="Arial" w:hAnsi="Arial"/>
          <w:sz w:val="17"/>
          <w:szCs w:val="17"/>
          <w:color w:val="auto"/>
        </w:rPr>
      </w:pPr>
    </w:p>
    <w:p>
      <w:pPr>
        <w:ind w:right="200" w:firstLine="461"/>
        <w:spacing w:after="0" w:line="283" w:lineRule="auto"/>
        <w:tabs>
          <w:tab w:leader="none" w:pos="63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Except as otherwise expressly provided in this Second Amendment, the provisions of the Amended Agreement shall be and remain unmodified and in full force and effect (such Amended Agreement being hereby ratified, reaffirmed and confirmed by Buyer and Seller), and if any provision of this Second Amendment conflicts with the Amended Agreement, then the provisions of this Second Amendment shall prevail. Except as otherwise expressly provided in this Second Amendment, nothing contained in this Second Amendment shall operate to waive the rights of Buyer or Seller under the Amended Agreement. This Second Amendment may be executed in one or more counterparts (by original, facsimile or electronic PDF signatures), each of which shall be deemed to constitute an original, but all of which, when taken together, shall constitute one and the same instrument.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65" w:right="239" w:bottom="1440" w:gutter="0" w:footer="0" w:header="0"/>
        </w:sectPr>
      </w:pPr>
    </w:p>
    <w:bookmarkStart w:id="159" w:name="page160"/>
    <w:bookmarkEnd w:id="15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Seller and Buyer have executed this Second Amendment as of the date first set forth above.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gridSpan w:val="3"/>
          </w:tcPr>
          <w:p>
            <w:pPr>
              <w:spacing w:after="0"/>
              <w:rPr>
                <w:sz w:val="20"/>
                <w:szCs w:val="20"/>
                <w:color w:val="auto"/>
              </w:rPr>
            </w:pPr>
            <w:r>
              <w:rPr>
                <w:rFonts w:ascii="Arial" w:cs="Arial" w:eastAsia="Arial" w:hAnsi="Arial"/>
                <w:sz w:val="17"/>
                <w:szCs w:val="17"/>
                <w:b w:val="1"/>
                <w:bCs w:val="1"/>
                <w:color w:val="auto"/>
              </w:rPr>
              <w:t>“BUYER”</w:t>
            </w:r>
          </w:p>
        </w:tc>
        <w:tc>
          <w:tcPr>
            <w:tcW w:w="4060" w:type="dxa"/>
            <w:vAlign w:val="bottom"/>
            <w:gridSpan w:val="2"/>
          </w:tcPr>
          <w:p>
            <w:pPr>
              <w:ind w:left="1720"/>
              <w:spacing w:after="0"/>
              <w:rPr>
                <w:sz w:val="20"/>
                <w:szCs w:val="20"/>
                <w:color w:val="auto"/>
              </w:rPr>
            </w:pPr>
            <w:r>
              <w:rPr>
                <w:rFonts w:ascii="Arial" w:cs="Arial" w:eastAsia="Arial" w:hAnsi="Arial"/>
                <w:sz w:val="17"/>
                <w:szCs w:val="17"/>
                <w:b w:val="1"/>
                <w:bCs w:val="1"/>
                <w:color w:val="auto"/>
              </w:rPr>
              <w:t>“SELLER”</w:t>
            </w:r>
          </w:p>
        </w:tc>
      </w:tr>
      <w:tr>
        <w:trPr>
          <w:trHeight w:val="315"/>
        </w:trPr>
        <w:tc>
          <w:tcPr>
            <w:tcW w:w="4340" w:type="dxa"/>
            <w:vAlign w:val="bottom"/>
            <w:gridSpan w:val="3"/>
          </w:tcPr>
          <w:p>
            <w:pPr>
              <w:spacing w:after="0"/>
              <w:rPr>
                <w:sz w:val="20"/>
                <w:szCs w:val="20"/>
                <w:color w:val="auto"/>
              </w:rPr>
            </w:pPr>
            <w:r>
              <w:rPr>
                <w:rFonts w:ascii="Arial" w:cs="Arial" w:eastAsia="Arial" w:hAnsi="Arial"/>
                <w:sz w:val="17"/>
                <w:szCs w:val="17"/>
                <w:color w:val="auto"/>
              </w:rPr>
              <w:t>REXFORD INDUSTRIAL REALTY, L.P.,</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MANNKIND CORPORATION,</w:t>
            </w:r>
          </w:p>
        </w:tc>
      </w:tr>
      <w:tr>
        <w:trPr>
          <w:trHeight w:val="222"/>
        </w:trPr>
        <w:tc>
          <w:tcPr>
            <w:tcW w:w="4340" w:type="dxa"/>
            <w:vAlign w:val="bottom"/>
            <w:gridSpan w:val="3"/>
          </w:tcPr>
          <w:p>
            <w:pPr>
              <w:spacing w:after="0"/>
              <w:rPr>
                <w:sz w:val="20"/>
                <w:szCs w:val="20"/>
                <w:color w:val="auto"/>
              </w:rPr>
            </w:pPr>
            <w:r>
              <w:rPr>
                <w:rFonts w:ascii="Arial" w:cs="Arial" w:eastAsia="Arial" w:hAnsi="Arial"/>
                <w:sz w:val="17"/>
                <w:szCs w:val="17"/>
                <w:color w:val="auto"/>
              </w:rPr>
              <w:t>a Maryland limited partnership</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a Delaware corporation</w:t>
            </w:r>
          </w:p>
        </w:tc>
      </w:tr>
      <w:tr>
        <w:trPr>
          <w:trHeight w:val="288"/>
        </w:trPr>
        <w:tc>
          <w:tcPr>
            <w:tcW w:w="4340" w:type="dxa"/>
            <w:vAlign w:val="bottom"/>
            <w:gridSpan w:val="3"/>
          </w:tcPr>
          <w:p>
            <w:pPr>
              <w:spacing w:after="0"/>
              <w:rPr>
                <w:sz w:val="20"/>
                <w:szCs w:val="20"/>
                <w:color w:val="auto"/>
              </w:rPr>
            </w:pPr>
            <w:r>
              <w:rPr>
                <w:rFonts w:ascii="Arial" w:cs="Arial" w:eastAsia="Arial" w:hAnsi="Arial"/>
                <w:sz w:val="17"/>
                <w:szCs w:val="17"/>
                <w:color w:val="auto"/>
              </w:rPr>
              <w:t>By:  Rexford Industrial Realty, Inc.,</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By: /s/ David Thomson</w:t>
            </w:r>
          </w:p>
        </w:tc>
      </w:tr>
      <w:tr>
        <w:trPr>
          <w:trHeight w:val="20"/>
        </w:trPr>
        <w:tc>
          <w:tcPr>
            <w:tcW w:w="43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r>
        <w:trPr>
          <w:trHeight w:val="216"/>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a Maryland corporation,</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Name: David Thomson</w:t>
            </w:r>
          </w:p>
        </w:tc>
      </w:tr>
      <w:tr>
        <w:trPr>
          <w:trHeight w:val="222"/>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Its General Partner</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Its: Vice President</w:t>
            </w:r>
          </w:p>
        </w:tc>
      </w:tr>
      <w:tr>
        <w:trPr>
          <w:trHeight w:val="288"/>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By: /s/ Howard Schwimmer</w:t>
            </w: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6"/>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Name: Howard Schwimmer</w:t>
            </w:r>
          </w:p>
        </w:tc>
        <w:tc>
          <w:tcPr>
            <w:tcW w:w="20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Its: Co-CEO</w:t>
            </w:r>
          </w:p>
        </w:tc>
        <w:tc>
          <w:tcPr>
            <w:tcW w:w="20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67"/>
        </w:trPr>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tcPr>
          <w:p>
            <w:pPr>
              <w:ind w:left="1340"/>
              <w:spacing w:after="0"/>
              <w:rPr>
                <w:sz w:val="20"/>
                <w:szCs w:val="20"/>
                <w:color w:val="auto"/>
              </w:rPr>
            </w:pPr>
            <w:r>
              <w:rPr>
                <w:rFonts w:ascii="Arial" w:cs="Arial" w:eastAsia="Arial" w:hAnsi="Arial"/>
                <w:sz w:val="17"/>
                <w:szCs w:val="17"/>
                <w:color w:val="auto"/>
              </w:rPr>
              <w:t>2</w:t>
            </w:r>
          </w:p>
        </w:tc>
        <w:tc>
          <w:tcPr>
            <w:tcW w:w="2040" w:type="dxa"/>
            <w:vAlign w:val="bottom"/>
          </w:tcPr>
          <w:p>
            <w:pPr>
              <w:spacing w:after="0"/>
              <w:rPr>
                <w:sz w:val="24"/>
                <w:szCs w:val="24"/>
                <w:color w:val="auto"/>
              </w:rPr>
            </w:pPr>
          </w:p>
        </w:tc>
      </w:tr>
    </w:tbl>
    <w:p>
      <w:pPr>
        <w:sectPr>
          <w:pgSz w:w="11900" w:h="16838" w:orient="portrait"/>
          <w:cols w:equalWidth="0" w:num="1">
            <w:col w:w="10219"/>
          </w:cols>
          <w:pgMar w:left="240" w:top="271" w:right="1440"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“A”</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FORM OF LETTER FROM MANNKIND LLC</w:t>
      </w:r>
    </w:p>
    <w:p>
      <w:pPr>
        <w:spacing w:after="0" w:line="23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color w:val="auto"/>
        </w:rPr>
        <w:t>February</w:t>
      </w:r>
      <w:r>
        <w:rPr>
          <w:sz w:val="20"/>
          <w:szCs w:val="20"/>
          <w:color w:val="auto"/>
        </w:rPr>
        <w:tab/>
      </w:r>
      <w:r>
        <w:rPr>
          <w:rFonts w:ascii="Arial" w:cs="Arial" w:eastAsia="Arial" w:hAnsi="Arial"/>
          <w:sz w:val="15"/>
          <w:szCs w:val="15"/>
          <w:color w:val="auto"/>
        </w:rPr>
        <w:t>, 2017</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Rexford Industrial Realty, 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11620 Wilshire Blvd., Suite 1000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 90025</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Acquisition of Property in Valencia, CA</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To Whom It May Concern:</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hereby made to that certain Agreement of Purchase and Sale and Joint Escrow Instructions dated as of January 6, 2017, by and between MannKind Corporation, a Delaware corporation (“</w:t>
      </w:r>
      <w:r>
        <w:rPr>
          <w:rFonts w:ascii="Arial" w:cs="Arial" w:eastAsia="Arial" w:hAnsi="Arial"/>
          <w:sz w:val="17"/>
          <w:szCs w:val="17"/>
          <w:b w:val="1"/>
          <w:bCs w:val="1"/>
          <w:color w:val="auto"/>
        </w:rPr>
        <w:t>MannKind Corp</w:t>
      </w:r>
      <w:r>
        <w:rPr>
          <w:rFonts w:ascii="Arial" w:cs="Arial" w:eastAsia="Arial" w:hAnsi="Arial"/>
          <w:sz w:val="17"/>
          <w:szCs w:val="17"/>
          <w:color w:val="auto"/>
        </w:rPr>
        <w:t>”) and Rexford Industrial Realty, L.P., a Maryland limited partnership (“</w:t>
      </w:r>
      <w:r>
        <w:rPr>
          <w:rFonts w:ascii="Arial" w:cs="Arial" w:eastAsia="Arial" w:hAnsi="Arial"/>
          <w:sz w:val="17"/>
          <w:szCs w:val="17"/>
          <w:b w:val="1"/>
          <w:bCs w:val="1"/>
          <w:color w:val="auto"/>
        </w:rPr>
        <w:t>Rexford</w:t>
      </w:r>
      <w:r>
        <w:rPr>
          <w:rFonts w:ascii="Arial" w:cs="Arial" w:eastAsia="Arial" w:hAnsi="Arial"/>
          <w:sz w:val="17"/>
          <w:szCs w:val="17"/>
          <w:color w:val="auto"/>
        </w:rPr>
        <w:t>”), as amended by that certain First Amendment to Agreement of Purchase and Sale and Joint Escrow Instructions dated as of February 7, 2017 (collectively, together with any additional amendments thereto, the “</w:t>
      </w:r>
      <w:r>
        <w:rPr>
          <w:rFonts w:ascii="Arial" w:cs="Arial" w:eastAsia="Arial" w:hAnsi="Arial"/>
          <w:sz w:val="17"/>
          <w:szCs w:val="17"/>
          <w:b w:val="1"/>
          <w:bCs w:val="1"/>
          <w:color w:val="auto"/>
        </w:rPr>
        <w:t>Agreement</w:t>
      </w:r>
      <w:r>
        <w:rPr>
          <w:rFonts w:ascii="Arial" w:cs="Arial" w:eastAsia="Arial" w:hAnsi="Arial"/>
          <w:sz w:val="17"/>
          <w:szCs w:val="17"/>
          <w:color w:val="auto"/>
        </w:rPr>
        <w:t>”), respecting the sale of certain parcels of land located at 28901-03 N. Avenue Paine, in the City of Valencia, County of Los Angeles, State of California, as more particularly described in the Agreement (the “</w:t>
      </w:r>
      <w:r>
        <w:rPr>
          <w:rFonts w:ascii="Arial" w:cs="Arial" w:eastAsia="Arial" w:hAnsi="Arial"/>
          <w:sz w:val="17"/>
          <w:szCs w:val="17"/>
          <w:b w:val="1"/>
          <w:bCs w:val="1"/>
          <w:color w:val="auto"/>
        </w:rPr>
        <w:t>Property</w:t>
      </w:r>
      <w:r>
        <w:rPr>
          <w:rFonts w:ascii="Arial" w:cs="Arial" w:eastAsia="Arial" w:hAnsi="Arial"/>
          <w:sz w:val="17"/>
          <w:szCs w:val="17"/>
          <w:color w:val="auto"/>
        </w:rPr>
        <w:t>”). The undersigned hereby certifies that it owns no tangible property, furniture, fixtures or equipment physically located at or used in connection with MannKind Corp’s business operations at the Property and further certifies that it has no business operations at the Property. The undersigned recognizes that Rexford and its successors and assigns are relying on this letter and the accuracy of the information contained herein.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MANNKIND LLC,</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 Delaware limited liability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16510</wp:posOffset>
            </wp:positionV>
            <wp:extent cx="25114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EXHIBIT “A”</w:t>
      </w:r>
    </w:p>
    <w:p>
      <w:pPr>
        <w:sectPr>
          <w:pgSz w:w="11900" w:h="16838" w:orient="portrait"/>
          <w:cols w:equalWidth="0" w:num="1">
            <w:col w:w="11380"/>
          </w:cols>
          <w:pgMar w:left="240" w:top="265" w:right="279" w:bottom="1440" w:gutter="0" w:footer="0" w:header="0"/>
        </w:sectPr>
      </w:pPr>
    </w:p>
    <w:bookmarkStart w:id="161" w:name="page162"/>
    <w:bookmarkEnd w:id="161"/>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“B”</w:t>
      </w:r>
    </w:p>
    <w:p>
      <w:pPr>
        <w:sectPr>
          <w:pgSz w:w="11900" w:h="16838" w:orient="portrait"/>
          <w:cols w:equalWidth="0" w:num="1">
            <w:col w:w="9019"/>
          </w:cols>
          <w:pgMar w:left="1440" w:top="265" w:right="1440" w:bottom="1440" w:gutter="0" w:footer="0" w:header="0"/>
        </w:sect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UCC-3</w:t>
      </w: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attached</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9019"/>
          </w:cols>
          <w:pgMar w:left="1440" w:top="265" w:right="1440" w:bottom="1440" w:gutter="0" w:footer="0" w:header="0"/>
          <w:type w:val="continuous"/>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612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975" cy="5612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9019"/>
          </w:cols>
          <w:pgMar w:left="1440" w:top="1440" w:right="1440" w:bottom="1440" w:gutter="0" w:footer="0" w:header="0"/>
        </w:sectPr>
      </w:pPr>
    </w:p>
    <w:bookmarkStart w:id="163" w:name="page164"/>
    <w:bookmarkEnd w:id="163"/>
    <w:p>
      <w:pPr>
        <w:jc w:val="center"/>
        <w:ind w:right="-3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ANNEX I</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LIST OF EQUIPMENT</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INCLUDED ITEMS</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OUTSIDE</w:t>
      </w:r>
    </w:p>
    <w:p>
      <w:pPr>
        <w:spacing w:after="0" w:line="230"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Spectrum Int. Combustion Mod. R163-7K36, 1115 KW Diesel Generator, Detroit Diesel 16-Cycle Engine, Turbo Charged, After Cooled w/ Arco 7000 Series Transfer Switch in Elec. Room w/ Wire.</w:t>
      </w:r>
    </w:p>
    <w:p>
      <w:pPr>
        <w:spacing w:after="0" w:line="1" w:lineRule="exact"/>
        <w:rPr>
          <w:sz w:val="20"/>
          <w:szCs w:val="20"/>
          <w:color w:val="auto"/>
        </w:rPr>
      </w:pPr>
    </w:p>
    <w:p>
      <w:pPr>
        <w:ind w:right="4020" w:firstLine="5"/>
        <w:spacing w:after="0" w:line="257" w:lineRule="auto"/>
        <w:tabs>
          <w:tab w:leader="none" w:pos="247" w:val="left"/>
        </w:tabs>
        <w:numPr>
          <w:ilvl w:val="0"/>
          <w:numId w:val="93"/>
        </w:numPr>
        <w:rPr>
          <w:rFonts w:ascii="Arial" w:cs="Arial" w:eastAsia="Arial" w:hAnsi="Arial"/>
          <w:sz w:val="17"/>
          <w:szCs w:val="17"/>
          <w:color w:val="auto"/>
        </w:rPr>
      </w:pPr>
      <w:r>
        <w:rPr>
          <w:rFonts w:ascii="Arial" w:cs="Arial" w:eastAsia="Arial" w:hAnsi="Arial"/>
          <w:sz w:val="17"/>
          <w:szCs w:val="17"/>
          <w:color w:val="auto"/>
        </w:rPr>
        <w:t>Cleaver Brooks Mod. FLX700-450 Flex Water Tube Boilers w/ Arleta Mod. CSB50 Controllers, Still &amp; Pumps</w:t>
      </w:r>
    </w:p>
    <w:p>
      <w:pPr>
        <w:spacing w:after="0"/>
        <w:rPr>
          <w:rFonts w:ascii="Arial" w:cs="Arial" w:eastAsia="Arial" w:hAnsi="Arial"/>
          <w:sz w:val="17"/>
          <w:szCs w:val="17"/>
          <w:color w:val="auto"/>
        </w:rPr>
      </w:pPr>
      <w:r>
        <w:rPr>
          <w:rFonts w:ascii="Arial" w:cs="Arial" w:eastAsia="Arial" w:hAnsi="Arial"/>
          <w:sz w:val="17"/>
          <w:szCs w:val="17"/>
          <w:color w:val="auto"/>
        </w:rPr>
        <w:t>U.S. Filter D.I. Unit Mod. 90/01096-607 w/ (2) R.O. Systems.</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(2006) Kaesar Mod. AS20, Rotary Screw Air Compressor w/ Receiver. S/N 1156</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(2001 &amp; 2008) McQuay Mod. E2612BE2-A, 300 Ton Chillers w/ Electrical </w:t>
      </w:r>
      <w:r>
        <w:rPr>
          <w:rFonts w:ascii="Arial" w:cs="Arial" w:eastAsia="Arial" w:hAnsi="Arial"/>
          <w:sz w:val="17"/>
          <w:szCs w:val="17"/>
          <w:i w:val="1"/>
          <w:iCs w:val="1"/>
          <w:color w:val="auto"/>
        </w:rPr>
        <w:t>&amp;</w:t>
      </w:r>
      <w:r>
        <w:rPr>
          <w:rFonts w:ascii="Arial" w:cs="Arial" w:eastAsia="Arial" w:hAnsi="Arial"/>
          <w:sz w:val="17"/>
          <w:szCs w:val="17"/>
          <w:color w:val="auto"/>
        </w:rPr>
        <w:t xml:space="preserve"> Microtech Controllers.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Evapco Cooling Towers.</w:t>
      </w:r>
    </w:p>
    <w:p>
      <w:pPr>
        <w:spacing w:after="0" w:line="14" w:lineRule="exact"/>
        <w:rPr>
          <w:rFonts w:ascii="Arial" w:cs="Arial" w:eastAsia="Arial" w:hAnsi="Arial"/>
          <w:sz w:val="17"/>
          <w:szCs w:val="17"/>
          <w:color w:val="auto"/>
        </w:rPr>
      </w:pPr>
    </w:p>
    <w:p>
      <w:pPr>
        <w:ind w:right="6600"/>
        <w:spacing w:after="0" w:line="257" w:lineRule="auto"/>
        <w:rPr>
          <w:rFonts w:ascii="Arial" w:cs="Arial" w:eastAsia="Arial" w:hAnsi="Arial"/>
          <w:sz w:val="17"/>
          <w:szCs w:val="17"/>
          <w:color w:val="auto"/>
        </w:rPr>
      </w:pPr>
      <w:r>
        <w:rPr>
          <w:rFonts w:ascii="Arial" w:cs="Arial" w:eastAsia="Arial" w:hAnsi="Arial"/>
          <w:sz w:val="17"/>
          <w:szCs w:val="17"/>
          <w:color w:val="auto"/>
        </w:rPr>
        <w:t>Armstong Water Re-Circulation System w/ Pumps &amp; Electrical Quincy Twin Stage 5 H.P. Air Compressors</w:t>
      </w:r>
    </w:p>
    <w:p>
      <w:pPr>
        <w:spacing w:after="0"/>
        <w:rPr>
          <w:rFonts w:ascii="Arial" w:cs="Arial" w:eastAsia="Arial" w:hAnsi="Arial"/>
          <w:sz w:val="17"/>
          <w:szCs w:val="17"/>
          <w:color w:val="auto"/>
        </w:rPr>
      </w:pPr>
      <w:r>
        <w:rPr>
          <w:rFonts w:ascii="Arial" w:cs="Arial" w:eastAsia="Arial" w:hAnsi="Arial"/>
          <w:sz w:val="17"/>
          <w:szCs w:val="17"/>
          <w:color w:val="auto"/>
        </w:rPr>
        <w:t>PCH Twin Stage Vacuum Pump System.</w:t>
      </w:r>
    </w:p>
    <w:p>
      <w:pPr>
        <w:spacing w:after="0" w:line="14" w:lineRule="exact"/>
        <w:rPr>
          <w:rFonts w:ascii="Arial" w:cs="Arial" w:eastAsia="Arial" w:hAnsi="Arial"/>
          <w:sz w:val="17"/>
          <w:szCs w:val="17"/>
          <w:color w:val="auto"/>
        </w:rPr>
      </w:pPr>
    </w:p>
    <w:p>
      <w:pPr>
        <w:ind w:right="7040" w:firstLine="5"/>
        <w:spacing w:after="0" w:line="274" w:lineRule="auto"/>
        <w:tabs>
          <w:tab w:leader="none" w:pos="247" w:val="left"/>
        </w:tabs>
        <w:numPr>
          <w:ilvl w:val="0"/>
          <w:numId w:val="96"/>
        </w:numPr>
        <w:rPr>
          <w:rFonts w:ascii="Arial" w:cs="Arial" w:eastAsia="Arial" w:hAnsi="Arial"/>
          <w:sz w:val="17"/>
          <w:szCs w:val="17"/>
          <w:color w:val="auto"/>
        </w:rPr>
      </w:pPr>
      <w:r>
        <w:rPr>
          <w:rFonts w:ascii="Arial" w:cs="Arial" w:eastAsia="Arial" w:hAnsi="Arial"/>
          <w:sz w:val="17"/>
          <w:szCs w:val="17"/>
          <w:color w:val="auto"/>
        </w:rPr>
        <w:t>Quincy QRD 30 H.P. High Pressure Air Compressors Magliner Aluminum Dock Ramp.</w:t>
      </w:r>
    </w:p>
    <w:p>
      <w:pPr>
        <w:spacing w:after="0" w:line="374"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INSIDE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 Metallurgical Microscope Per Images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158750</wp:posOffset>
            </wp:positionV>
            <wp:extent cx="2785745" cy="18459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85745" cy="184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u w:val="single" w:color="auto"/>
          <w:color w:val="auto"/>
        </w:rPr>
        <w:t>LOBBY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Reception Desk w/ Chairs, Sofa.</w:t>
      </w:r>
    </w:p>
    <w:p>
      <w:pPr>
        <w:spacing w:after="0" w:line="14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1020"/>
          </w:cols>
          <w:pgMar w:left="240" w:top="265" w:right="639" w:bottom="1440" w:gutter="0" w:footer="0" w:header="0"/>
        </w:sectPr>
      </w:pPr>
    </w:p>
    <w:bookmarkStart w:id="164" w:name="page165"/>
    <w:bookmarkEnd w:id="164"/>
    <w:p>
      <w:pPr>
        <w:ind w:left="504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WAIKIKI ROOM</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Chairs &amp; Furniture.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Lunch Room w/ Microwaves, Ref, Tables &amp; Chair.</w:t>
      </w:r>
    </w:p>
    <w:p>
      <w:pPr>
        <w:spacing w:after="0" w:line="200" w:lineRule="exact"/>
        <w:rPr>
          <w:sz w:val="20"/>
          <w:szCs w:val="20"/>
          <w:color w:val="auto"/>
        </w:rPr>
      </w:pPr>
    </w:p>
    <w:p>
      <w:pPr>
        <w:spacing w:after="0" w:line="227" w:lineRule="exact"/>
        <w:rPr>
          <w:sz w:val="20"/>
          <w:szCs w:val="20"/>
          <w:color w:val="auto"/>
        </w:rPr>
      </w:pPr>
    </w:p>
    <w:p>
      <w:pPr>
        <w:jc w:val="right"/>
        <w:ind w:right="1199"/>
        <w:spacing w:after="0"/>
        <w:rPr>
          <w:sz w:val="20"/>
          <w:szCs w:val="20"/>
          <w:color w:val="auto"/>
        </w:rPr>
      </w:pPr>
      <w:r>
        <w:rPr>
          <w:rFonts w:ascii="Arial" w:cs="Arial" w:eastAsia="Arial" w:hAnsi="Arial"/>
          <w:sz w:val="17"/>
          <w:szCs w:val="17"/>
          <w:b w:val="1"/>
          <w:bCs w:val="1"/>
          <w:color w:val="auto"/>
        </w:rPr>
        <w:t xml:space="preserve">ROOMS #136, #131, #132, #134, #122, #123, #130, </w:t>
      </w:r>
      <w:r>
        <w:rPr>
          <w:rFonts w:ascii="Arial" w:cs="Arial" w:eastAsia="Arial" w:hAnsi="Arial"/>
          <w:sz w:val="17"/>
          <w:szCs w:val="17"/>
          <w:b w:val="1"/>
          <w:bCs w:val="1"/>
          <w:u w:val="single" w:color="auto"/>
          <w:color w:val="auto"/>
        </w:rPr>
        <w:t>#129, #128, #1102, #1104, #1105, #1107</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Fisher Scientific Isotemp Oven.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Heraeus Megafuge 2.0, Centrifuge.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Packard Cobra II, Auto. Gama.</w:t>
      </w:r>
    </w:p>
    <w:p>
      <w:pPr>
        <w:spacing w:after="0" w:line="14" w:lineRule="exact"/>
        <w:rPr>
          <w:sz w:val="20"/>
          <w:szCs w:val="20"/>
          <w:color w:val="auto"/>
        </w:rPr>
      </w:pPr>
    </w:p>
    <w:p>
      <w:pPr>
        <w:ind w:right="6759" w:firstLine="5"/>
        <w:spacing w:after="0" w:line="257" w:lineRule="auto"/>
        <w:tabs>
          <w:tab w:leader="none" w:pos="247" w:val="left"/>
        </w:tabs>
        <w:numPr>
          <w:ilvl w:val="0"/>
          <w:numId w:val="97"/>
        </w:numPr>
        <w:rPr>
          <w:rFonts w:ascii="Arial" w:cs="Arial" w:eastAsia="Arial" w:hAnsi="Arial"/>
          <w:sz w:val="17"/>
          <w:szCs w:val="17"/>
          <w:color w:val="auto"/>
        </w:rPr>
      </w:pPr>
      <w:r>
        <w:rPr>
          <w:rFonts w:ascii="Arial" w:cs="Arial" w:eastAsia="Arial" w:hAnsi="Arial"/>
          <w:sz w:val="17"/>
          <w:szCs w:val="17"/>
          <w:color w:val="auto"/>
        </w:rPr>
        <w:t>Baker Sterligard VBM500, S.S. Fume Hoods. Kodiak X-Omat 2000A, Developer.</w:t>
      </w:r>
    </w:p>
    <w:p>
      <w:pPr>
        <w:ind w:right="7219" w:firstLine="5"/>
        <w:spacing w:after="0" w:line="273" w:lineRule="auto"/>
        <w:tabs>
          <w:tab w:leader="none" w:pos="2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Fisher Hamilton Safeaire Fume Hoods. Castle 8666, Washer Disinfector.</w:t>
      </w:r>
    </w:p>
    <w:p>
      <w:pPr>
        <w:spacing w:after="0"/>
        <w:rPr>
          <w:rFonts w:ascii="Arial" w:cs="Arial" w:eastAsia="Arial" w:hAnsi="Arial"/>
          <w:sz w:val="16"/>
          <w:szCs w:val="16"/>
          <w:color w:val="auto"/>
        </w:rPr>
      </w:pPr>
      <w:r>
        <w:rPr>
          <w:rFonts w:ascii="Arial" w:cs="Arial" w:eastAsia="Arial" w:hAnsi="Arial"/>
          <w:sz w:val="17"/>
          <w:szCs w:val="17"/>
          <w:color w:val="auto"/>
        </w:rPr>
        <w:t>(2001) Gettinge Mod. GE2609AR1, Steam Washer-Dryer.</w:t>
      </w:r>
    </w:p>
    <w:p>
      <w:pPr>
        <w:spacing w:after="0" w:line="14" w:lineRule="exact"/>
        <w:rPr>
          <w:rFonts w:ascii="Arial" w:cs="Arial" w:eastAsia="Arial" w:hAnsi="Arial"/>
          <w:sz w:val="16"/>
          <w:szCs w:val="16"/>
          <w:color w:val="auto"/>
        </w:rPr>
      </w:pPr>
    </w:p>
    <w:p>
      <w:pPr>
        <w:ind w:left="260" w:hanging="255"/>
        <w:spacing w:after="0"/>
        <w:tabs>
          <w:tab w:leader="none" w:pos="2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New Brunswick Hot Plate Stirrers.</w:t>
      </w:r>
    </w:p>
    <w:p>
      <w:pPr>
        <w:spacing w:after="0" w:line="14" w:lineRule="exact"/>
        <w:rPr>
          <w:rFonts w:ascii="Arial" w:cs="Arial" w:eastAsia="Arial" w:hAnsi="Arial"/>
          <w:sz w:val="17"/>
          <w:szCs w:val="17"/>
          <w:color w:val="auto"/>
        </w:rPr>
      </w:pPr>
    </w:p>
    <w:p>
      <w:pPr>
        <w:ind w:right="4399" w:firstLine="5"/>
        <w:spacing w:after="0" w:line="257" w:lineRule="auto"/>
        <w:tabs>
          <w:tab w:leader="none" w:pos="247" w:val="left"/>
        </w:tabs>
        <w:numPr>
          <w:ilvl w:val="0"/>
          <w:numId w:val="99"/>
        </w:numPr>
        <w:rPr>
          <w:rFonts w:ascii="Arial" w:cs="Arial" w:eastAsia="Arial" w:hAnsi="Arial"/>
          <w:sz w:val="17"/>
          <w:szCs w:val="17"/>
          <w:color w:val="auto"/>
        </w:rPr>
      </w:pPr>
      <w:r>
        <w:rPr>
          <w:rFonts w:ascii="Arial" w:cs="Arial" w:eastAsia="Arial" w:hAnsi="Arial"/>
          <w:sz w:val="17"/>
          <w:szCs w:val="17"/>
          <w:color w:val="auto"/>
        </w:rPr>
        <w:t>Room #125 - R.W. Smith 12’ x 15’ Modular Controlled Environmental Rooms. Gas Tech 128, Monitor.</w:t>
      </w:r>
    </w:p>
    <w:p>
      <w:pPr>
        <w:ind w:right="6159" w:firstLine="5"/>
        <w:spacing w:after="0" w:line="257" w:lineRule="auto"/>
        <w:tabs>
          <w:tab w:leader="none" w:pos="24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NuAire Class II Type A/B3, S.S. Bio. Safety Cabinets. Napco C02 Environmental Ovens.</w:t>
      </w:r>
    </w:p>
    <w:p>
      <w:pPr>
        <w:ind w:left="260" w:hanging="255"/>
        <w:spacing w:after="0"/>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Western Innovator Industrial Manifolds.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Thermo Forma Class II, A2 Bio. Safety Cabinets.</w:t>
      </w:r>
    </w:p>
    <w:p>
      <w:pPr>
        <w:spacing w:after="0" w:line="14" w:lineRule="exact"/>
        <w:rPr>
          <w:rFonts w:ascii="Arial" w:cs="Arial" w:eastAsia="Arial" w:hAnsi="Arial"/>
          <w:sz w:val="17"/>
          <w:szCs w:val="17"/>
          <w:color w:val="auto"/>
        </w:rPr>
      </w:pPr>
    </w:p>
    <w:p>
      <w:pPr>
        <w:ind w:right="6039" w:firstLine="5"/>
        <w:spacing w:after="0" w:line="257" w:lineRule="auto"/>
        <w:tabs>
          <w:tab w:leader="none" w:pos="24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New Brunswick Classic C25 &amp; C24, Incubator Shakers. Justrite Flammable Storage Cabinet.</w:t>
      </w:r>
    </w:p>
    <w:p>
      <w:pPr>
        <w:ind w:right="7479"/>
        <w:spacing w:after="0" w:line="257" w:lineRule="auto"/>
        <w:rPr>
          <w:rFonts w:ascii="Arial" w:cs="Arial" w:eastAsia="Arial" w:hAnsi="Arial"/>
          <w:sz w:val="17"/>
          <w:szCs w:val="17"/>
          <w:color w:val="auto"/>
        </w:rPr>
      </w:pPr>
      <w:r>
        <w:rPr>
          <w:rFonts w:ascii="Arial" w:cs="Arial" w:eastAsia="Arial" w:hAnsi="Arial"/>
          <w:sz w:val="17"/>
          <w:szCs w:val="17"/>
          <w:color w:val="auto"/>
        </w:rPr>
        <w:t>Beckman Coulter Microplate Carousel. Isotemp 20T, Bath.</w:t>
      </w:r>
    </w:p>
    <w:p>
      <w:pPr>
        <w:spacing w:after="0"/>
        <w:rPr>
          <w:rFonts w:ascii="Arial" w:cs="Arial" w:eastAsia="Arial" w:hAnsi="Arial"/>
          <w:sz w:val="17"/>
          <w:szCs w:val="17"/>
          <w:color w:val="auto"/>
        </w:rPr>
      </w:pPr>
      <w:r>
        <w:rPr>
          <w:rFonts w:ascii="Arial" w:cs="Arial" w:eastAsia="Arial" w:hAnsi="Arial"/>
          <w:sz w:val="17"/>
          <w:szCs w:val="17"/>
          <w:color w:val="auto"/>
        </w:rPr>
        <w:t>Lab Line III, Incubator.</w:t>
      </w:r>
    </w:p>
    <w:p>
      <w:pPr>
        <w:spacing w:after="0" w:line="14" w:lineRule="exact"/>
        <w:rPr>
          <w:rFonts w:ascii="Arial" w:cs="Arial" w:eastAsia="Arial" w:hAnsi="Arial"/>
          <w:sz w:val="17"/>
          <w:szCs w:val="17"/>
          <w:color w:val="auto"/>
        </w:rPr>
      </w:pPr>
    </w:p>
    <w:p>
      <w:pPr>
        <w:ind w:right="5059" w:firstLine="5"/>
        <w:spacing w:after="0" w:line="257" w:lineRule="auto"/>
        <w:tabs>
          <w:tab w:leader="none" w:pos="33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Lab Benches: 6’ x 24’ w/ Sink, Gas Lines, Electrical Outlets, Chairs. Supply Cabinets w/ Glass Doors.</w:t>
      </w:r>
    </w:p>
    <w:p>
      <w:pPr>
        <w:spacing w:after="0"/>
        <w:rPr>
          <w:rFonts w:ascii="Arial" w:cs="Arial" w:eastAsia="Arial" w:hAnsi="Arial"/>
          <w:sz w:val="17"/>
          <w:szCs w:val="17"/>
          <w:color w:val="auto"/>
        </w:rPr>
      </w:pPr>
      <w:r>
        <w:rPr>
          <w:rFonts w:ascii="Arial" w:cs="Arial" w:eastAsia="Arial" w:hAnsi="Arial"/>
          <w:sz w:val="17"/>
          <w:szCs w:val="17"/>
          <w:color w:val="auto"/>
        </w:rPr>
        <w:t>Olympus BX41 Met. Microscope.</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Eppendorf 5415, Centrifuges.</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Leica 090-135-001, Stereo Zoom Microscope.</w:t>
      </w:r>
    </w:p>
    <w:p>
      <w:pPr>
        <w:spacing w:after="0" w:line="14" w:lineRule="exact"/>
        <w:rPr>
          <w:rFonts w:ascii="Arial" w:cs="Arial" w:eastAsia="Arial" w:hAnsi="Arial"/>
          <w:sz w:val="17"/>
          <w:szCs w:val="17"/>
          <w:color w:val="auto"/>
        </w:rPr>
      </w:pPr>
    </w:p>
    <w:p>
      <w:pPr>
        <w:jc w:val="both"/>
        <w:ind w:right="9059" w:firstLine="5"/>
        <w:spacing w:after="0" w:line="273" w:lineRule="auto"/>
        <w:tabs>
          <w:tab w:leader="none" w:pos="2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VWR Wash. Bio Tek ELX50.</w:t>
      </w:r>
    </w:p>
    <w:p>
      <w:pPr>
        <w:spacing w:after="0"/>
        <w:rPr>
          <w:rFonts w:ascii="Arial" w:cs="Arial" w:eastAsia="Arial" w:hAnsi="Arial"/>
          <w:sz w:val="16"/>
          <w:szCs w:val="16"/>
          <w:color w:val="auto"/>
        </w:rPr>
      </w:pPr>
      <w:r>
        <w:rPr>
          <w:rFonts w:ascii="Arial" w:cs="Arial" w:eastAsia="Arial" w:hAnsi="Arial"/>
          <w:sz w:val="17"/>
          <w:szCs w:val="17"/>
          <w:color w:val="auto"/>
        </w:rPr>
        <w:t>MJPTC100, Prog. Thermal Controller.</w:t>
      </w:r>
    </w:p>
    <w:p>
      <w:pPr>
        <w:spacing w:after="0" w:line="14" w:lineRule="exact"/>
        <w:rPr>
          <w:rFonts w:ascii="Arial" w:cs="Arial" w:eastAsia="Arial" w:hAnsi="Arial"/>
          <w:sz w:val="16"/>
          <w:szCs w:val="16"/>
          <w:color w:val="auto"/>
        </w:rPr>
      </w:pPr>
    </w:p>
    <w:p>
      <w:pPr>
        <w:ind w:right="3179"/>
        <w:spacing w:after="0" w:line="257" w:lineRule="auto"/>
        <w:rPr>
          <w:rFonts w:ascii="Arial" w:cs="Arial" w:eastAsia="Arial" w:hAnsi="Arial"/>
          <w:sz w:val="16"/>
          <w:szCs w:val="16"/>
          <w:color w:val="auto"/>
        </w:rPr>
      </w:pPr>
      <w:r>
        <w:rPr>
          <w:rFonts w:ascii="Arial" w:cs="Arial" w:eastAsia="Arial" w:hAnsi="Arial"/>
          <w:sz w:val="17"/>
          <w:szCs w:val="17"/>
          <w:color w:val="auto"/>
        </w:rPr>
        <w:t>Varian Pro Star Chromatography System w/ (2) Solvent Delivery Modules, UV-VIS Detector w/ PC. Gemini Twin Shaking Water Bath.</w:t>
      </w:r>
    </w:p>
    <w:p>
      <w:pPr>
        <w:ind w:right="7819" w:firstLine="5"/>
        <w:spacing w:after="0" w:line="291" w:lineRule="auto"/>
        <w:tabs>
          <w:tab w:leader="none" w:pos="247" w:val="left"/>
        </w:tabs>
        <w:numPr>
          <w:ilvl w:val="0"/>
          <w:numId w:val="105"/>
        </w:numPr>
        <w:rPr>
          <w:rFonts w:ascii="Arial" w:cs="Arial" w:eastAsia="Arial" w:hAnsi="Arial"/>
          <w:sz w:val="15"/>
          <w:szCs w:val="15"/>
          <w:color w:val="auto"/>
        </w:rPr>
      </w:pPr>
      <w:r>
        <w:rPr>
          <w:rFonts w:ascii="Arial" w:cs="Arial" w:eastAsia="Arial" w:hAnsi="Arial"/>
          <w:sz w:val="15"/>
          <w:szCs w:val="15"/>
          <w:color w:val="auto"/>
        </w:rPr>
        <w:t>Savant Speed Vac Centrifuges. Lab Line Orbit Environ-Shaker.</w:t>
      </w:r>
    </w:p>
    <w:p>
      <w:pPr>
        <w:ind w:left="260" w:hanging="255"/>
        <w:spacing w:after="0"/>
        <w:tabs>
          <w:tab w:leader="none" w:pos="2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Steel Supply Cabinets.</w:t>
      </w:r>
    </w:p>
    <w:p>
      <w:pPr>
        <w:spacing w:after="0" w:line="14" w:lineRule="exact"/>
        <w:rPr>
          <w:sz w:val="20"/>
          <w:szCs w:val="20"/>
          <w:color w:val="auto"/>
        </w:rPr>
      </w:pPr>
    </w:p>
    <w:p>
      <w:pPr>
        <w:ind w:left="260" w:hanging="255"/>
        <w:spacing w:after="0"/>
        <w:tabs>
          <w:tab w:leader="none" w:pos="2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Hanson Fume Hood.</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Titer Plate Shakers.</w:t>
      </w:r>
    </w:p>
    <w:p>
      <w:pPr>
        <w:spacing w:after="0" w:line="1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0219"/>
          </w:cols>
          <w:pgMar w:left="240" w:top="266" w:right="1440"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Branson 8510, Ultrasonic Cleaner.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Port. S.S. Cart.</w:t>
      </w:r>
    </w:p>
    <w:p>
      <w:pPr>
        <w:spacing w:after="0" w:line="14" w:lineRule="exact"/>
        <w:rPr>
          <w:sz w:val="20"/>
          <w:szCs w:val="20"/>
          <w:color w:val="auto"/>
        </w:rPr>
      </w:pPr>
    </w:p>
    <w:p>
      <w:pPr>
        <w:ind w:left="260" w:hanging="255"/>
        <w:spacing w:after="0"/>
        <w:tabs>
          <w:tab w:leader="none" w:pos="2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New Brunswick Biofold 3000, Batch Cont. Bio. Reactors.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Thermo Scientific Class II A/B3, Biological Safety Cabinets.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Forma Scientific CO2 Water Jacketed Incubators.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Newport Lab. Tables.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Beckman Coulter System Gold 128, Solvent Module.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Aurora Discovery.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Molecular Device Mod. 0310-3895, Chemilluminescence Imaging Plate Reader w/ 600 Camera Controller.</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S/N CL-115</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Digital Analysis Lab. Treat LT-50, Ph Adjustment System w/ Effluent Monitor.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Steam Generator.</w:t>
      </w: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Arial" w:cs="Arial" w:eastAsia="Arial" w:hAnsi="Arial"/>
          <w:sz w:val="17"/>
          <w:szCs w:val="17"/>
          <w:b w:val="1"/>
          <w:bCs w:val="1"/>
          <w:u w:val="single" w:color="auto"/>
          <w:color w:val="auto"/>
        </w:rPr>
        <w:t>ROOM #142</w:t>
      </w:r>
    </w:p>
    <w:p>
      <w:pPr>
        <w:spacing w:after="0" w:line="32" w:lineRule="exact"/>
        <w:rPr>
          <w:sz w:val="20"/>
          <w:szCs w:val="20"/>
          <w:color w:val="auto"/>
        </w:rPr>
      </w:pPr>
    </w:p>
    <w:p>
      <w:pPr>
        <w:ind w:right="5719" w:firstLine="5"/>
        <w:spacing w:after="0" w:line="273" w:lineRule="auto"/>
        <w:tabs>
          <w:tab w:leader="none" w:pos="24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Scientek S.S. Downdraft Necropsy Tables, 2’ x 8’ w/ Hoods. TSI Fluidized Bed Aerosol Generator w/ Bias Flow Generator. Scientek Mod. SBS-48, Lab. Table w/ Fume Hood.</w:t>
      </w:r>
    </w:p>
    <w:p>
      <w:pPr>
        <w:ind w:left="260" w:hanging="255"/>
        <w:spacing w:after="0"/>
        <w:tabs>
          <w:tab w:leader="none" w:pos="2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Port. S.S. Carts.</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Scientek S.S. Backdraft Work Benches &amp; Sins.</w:t>
      </w:r>
    </w:p>
    <w:p>
      <w:pPr>
        <w:spacing w:after="0" w:line="212" w:lineRule="exact"/>
        <w:rPr>
          <w:sz w:val="20"/>
          <w:szCs w:val="20"/>
          <w:color w:val="auto"/>
        </w:rPr>
      </w:pPr>
    </w:p>
    <w:p>
      <w:pPr>
        <w:ind w:right="1999" w:firstLine="5"/>
        <w:spacing w:after="0" w:line="289" w:lineRule="auto"/>
        <w:tabs>
          <w:tab w:leader="none" w:pos="24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Gettinge Vivarium Autoclave II, Vacuum Steam Sterilizers w/ 4’ x 4’ x 4’ Wheel-In Cart Chamber w/ PACS 2000 Controller, Dbl. End.</w:t>
      </w:r>
    </w:p>
    <w:p>
      <w:pPr>
        <w:spacing w:after="0" w:line="361"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WAREHOUSE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(7) Revo Ultima II, Freezers.</w:t>
      </w:r>
    </w:p>
    <w:p>
      <w:pPr>
        <w:spacing w:after="0" w:line="200" w:lineRule="exact"/>
        <w:rPr>
          <w:sz w:val="20"/>
          <w:szCs w:val="20"/>
          <w:color w:val="auto"/>
        </w:rPr>
      </w:pPr>
    </w:p>
    <w:p>
      <w:pPr>
        <w:spacing w:after="0" w:line="215"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ELECTRICAL</w:t>
      </w:r>
    </w:p>
    <w:p>
      <w:pPr>
        <w:spacing w:after="0" w:line="230" w:lineRule="exact"/>
        <w:rPr>
          <w:sz w:val="20"/>
          <w:szCs w:val="20"/>
          <w:color w:val="auto"/>
        </w:rPr>
      </w:pPr>
    </w:p>
    <w:p>
      <w:pPr>
        <w:ind w:left="260" w:hanging="255"/>
        <w:spacing w:after="0"/>
        <w:tabs>
          <w:tab w:leader="none" w:pos="2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Square ‘D’ 2000 Amp., 480/277 Volts Breakers &amp; Wire.</w:t>
      </w:r>
    </w:p>
    <w:p>
      <w:pPr>
        <w:spacing w:after="0" w:line="26" w:lineRule="exact"/>
        <w:rPr>
          <w:rFonts w:ascii="Arial" w:cs="Arial" w:eastAsia="Arial" w:hAnsi="Arial"/>
          <w:sz w:val="17"/>
          <w:szCs w:val="17"/>
          <w:color w:val="auto"/>
        </w:rPr>
      </w:pPr>
    </w:p>
    <w:p>
      <w:pPr>
        <w:ind w:left="260" w:hanging="255"/>
        <w:spacing w:after="0"/>
        <w:tabs>
          <w:tab w:leader="none" w:pos="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GE Zenith Transfer Switches &amp; Wire.</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Square ‘D’ Mod. 6, M.C.C. Panels &amp; Wire.</w:t>
      </w:r>
    </w:p>
    <w:p>
      <w:pPr>
        <w:spacing w:after="0" w:line="1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Crown 3000 Lb. Elec. Forklift w/ Legacy Charger.</w:t>
      </w:r>
    </w:p>
    <w:p>
      <w:pPr>
        <w:spacing w:after="0" w:line="14" w:lineRule="exact"/>
        <w:rPr>
          <w:rFonts w:ascii="Arial" w:cs="Arial" w:eastAsia="Arial" w:hAnsi="Arial"/>
          <w:sz w:val="17"/>
          <w:szCs w:val="17"/>
          <w:color w:val="auto"/>
        </w:rPr>
      </w:pPr>
    </w:p>
    <w:p>
      <w:pPr>
        <w:ind w:left="260" w:hanging="255"/>
        <w:spacing w:after="0"/>
        <w:tabs>
          <w:tab w:leader="none" w:pos="2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Hyd. Pallet Jacks.</w:t>
      </w:r>
    </w:p>
    <w:p>
      <w:pPr>
        <w:spacing w:after="0" w:line="14" w:lineRule="exact"/>
        <w:rPr>
          <w:rFonts w:ascii="Arial" w:cs="Arial" w:eastAsia="Arial" w:hAnsi="Arial"/>
          <w:sz w:val="17"/>
          <w:szCs w:val="17"/>
          <w:color w:val="auto"/>
        </w:rPr>
      </w:pPr>
    </w:p>
    <w:p>
      <w:pPr>
        <w:ind w:right="7999"/>
        <w:spacing w:after="0" w:line="257" w:lineRule="auto"/>
        <w:rPr>
          <w:rFonts w:ascii="Arial" w:cs="Arial" w:eastAsia="Arial" w:hAnsi="Arial"/>
          <w:sz w:val="17"/>
          <w:szCs w:val="17"/>
          <w:color w:val="auto"/>
        </w:rPr>
      </w:pPr>
      <w:r>
        <w:rPr>
          <w:rFonts w:ascii="Arial" w:cs="Arial" w:eastAsia="Arial" w:hAnsi="Arial"/>
          <w:sz w:val="17"/>
          <w:szCs w:val="17"/>
          <w:color w:val="auto"/>
        </w:rPr>
        <w:t>Genie AWP-30S, Elec. Manlift. Harris Refrigerator.</w:t>
      </w:r>
    </w:p>
    <w:p>
      <w:pPr>
        <w:ind w:right="6619" w:firstLine="5"/>
        <w:spacing w:after="0" w:line="257" w:lineRule="auto"/>
        <w:tabs>
          <w:tab w:leader="none" w:pos="24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Thermo Orion CO2 Incubators, Water Jacketed, Presto Die Lift. Cart.</w:t>
      </w:r>
    </w:p>
    <w:p>
      <w:pPr>
        <w:ind w:right="8359" w:firstLine="5"/>
        <w:spacing w:after="0" w:line="257" w:lineRule="auto"/>
        <w:tabs>
          <w:tab w:leader="none" w:pos="33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Freezers. (Hallway) Fisher Scientific Lab. Ref. Lincoln Arc Welder. Port. A-Frame Hoist.</w:t>
      </w:r>
    </w:p>
    <w:p>
      <w:pPr>
        <w:ind w:left="260" w:hanging="255"/>
        <w:spacing w:after="0"/>
        <w:tabs>
          <w:tab w:leader="none" w:pos="2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Beckman Coulter 25R, Centrifuge.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(13) Fire King Fire Proof Cabinets.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Powerwave 9390, U.P.S. w/ New Batteries &amp; Capacitors.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Misc. Office Furniture &amp; Cubicles.</w:t>
      </w:r>
    </w:p>
    <w:p>
      <w:pPr>
        <w:spacing w:after="0" w:line="146"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Exhibit “B”</w:t>
      </w:r>
    </w:p>
    <w:p>
      <w:pPr>
        <w:sectPr>
          <w:pgSz w:w="11900" w:h="16838" w:orient="portrait"/>
          <w:cols w:equalWidth="0" w:num="1">
            <w:col w:w="10219"/>
          </w:cols>
          <w:pgMar w:left="240" w:top="272" w:right="1440" w:bottom="1440" w:gutter="0" w:footer="0" w:header="0"/>
        </w:sectPr>
      </w:pPr>
    </w:p>
    <w:bookmarkStart w:id="166" w:name="page167"/>
    <w:bookmarkEnd w:id="166"/>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THIRD AMENDMENT TO AGREEMENT OF PURCHASE AND SALE</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AND JOINT ESCROW INSTRUCTIONS</w:t>
      </w:r>
    </w:p>
    <w:p>
      <w:pPr>
        <w:spacing w:after="0" w:line="206" w:lineRule="exact"/>
        <w:rPr>
          <w:sz w:val="20"/>
          <w:szCs w:val="20"/>
          <w:color w:val="auto"/>
        </w:rPr>
      </w:pPr>
    </w:p>
    <w:p>
      <w:pPr>
        <w:ind w:right="20" w:firstLine="457"/>
        <w:spacing w:after="0" w:line="276" w:lineRule="auto"/>
        <w:rPr>
          <w:sz w:val="20"/>
          <w:szCs w:val="20"/>
          <w:color w:val="auto"/>
        </w:rPr>
      </w:pPr>
      <w:r>
        <w:rPr>
          <w:rFonts w:ascii="Arial" w:cs="Arial" w:eastAsia="Arial" w:hAnsi="Arial"/>
          <w:sz w:val="17"/>
          <w:szCs w:val="17"/>
          <w:color w:val="auto"/>
        </w:rPr>
        <w:t>THIS THIRD AMENDMENT TO AGREEMENT OF PURCHASE AND SALE AND JOINT ESCROW INSTRUCTIONS (this “</w:t>
      </w:r>
      <w:r>
        <w:rPr>
          <w:rFonts w:ascii="Arial" w:cs="Arial" w:eastAsia="Arial" w:hAnsi="Arial"/>
          <w:sz w:val="17"/>
          <w:szCs w:val="17"/>
          <w:b w:val="1"/>
          <w:bCs w:val="1"/>
          <w:color w:val="auto"/>
        </w:rPr>
        <w:t>Third Amendment</w:t>
      </w:r>
      <w:r>
        <w:rPr>
          <w:rFonts w:ascii="Arial" w:cs="Arial" w:eastAsia="Arial" w:hAnsi="Arial"/>
          <w:sz w:val="17"/>
          <w:szCs w:val="17"/>
          <w:color w:val="auto"/>
        </w:rPr>
        <w:t>”) is made and entered into as of February 15, 2017, by and between MANNKIND CORPORATION, a Delaware corporation (“</w:t>
      </w:r>
      <w:r>
        <w:rPr>
          <w:rFonts w:ascii="Arial" w:cs="Arial" w:eastAsia="Arial" w:hAnsi="Arial"/>
          <w:sz w:val="17"/>
          <w:szCs w:val="17"/>
          <w:b w:val="1"/>
          <w:bCs w:val="1"/>
          <w:color w:val="auto"/>
        </w:rPr>
        <w:t>Seller</w:t>
      </w:r>
      <w:r>
        <w:rPr>
          <w:rFonts w:ascii="Arial" w:cs="Arial" w:eastAsia="Arial" w:hAnsi="Arial"/>
          <w:sz w:val="17"/>
          <w:szCs w:val="17"/>
          <w:color w:val="auto"/>
        </w:rPr>
        <w:t>”), and REXFORD INDUSTRIAL REALTY, L.P., a Maryland limited partnership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70"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A. Seller and Buyer entered into that certain Agreement of Purchase and Sale and Joint Escrow Instructions dated for reference purposes as of January 6, 2017 (the “</w:t>
      </w:r>
      <w:r>
        <w:rPr>
          <w:rFonts w:ascii="Arial" w:cs="Arial" w:eastAsia="Arial" w:hAnsi="Arial"/>
          <w:sz w:val="16"/>
          <w:szCs w:val="16"/>
          <w:b w:val="1"/>
          <w:bCs w:val="1"/>
          <w:color w:val="auto"/>
        </w:rPr>
        <w:t>Original Agreement</w:t>
      </w:r>
      <w:r>
        <w:rPr>
          <w:rFonts w:ascii="Arial" w:cs="Arial" w:eastAsia="Arial" w:hAnsi="Arial"/>
          <w:sz w:val="16"/>
          <w:szCs w:val="16"/>
          <w:color w:val="auto"/>
        </w:rPr>
        <w:t>”), as modified by that certain First Amendment to Agreement of Purchase and Sale and Joint Escrow Instructions dated February 7, 2017 (the “</w:t>
      </w:r>
      <w:r>
        <w:rPr>
          <w:rFonts w:ascii="Arial" w:cs="Arial" w:eastAsia="Arial" w:hAnsi="Arial"/>
          <w:sz w:val="16"/>
          <w:szCs w:val="16"/>
          <w:b w:val="1"/>
          <w:bCs w:val="1"/>
          <w:color w:val="auto"/>
        </w:rPr>
        <w:t>First Amendment</w:t>
      </w:r>
      <w:r>
        <w:rPr>
          <w:rFonts w:ascii="Arial" w:cs="Arial" w:eastAsia="Arial" w:hAnsi="Arial"/>
          <w:sz w:val="16"/>
          <w:szCs w:val="16"/>
          <w:color w:val="auto"/>
        </w:rPr>
        <w:t>”) and the Second Amendment to Agreement of Purchase and Sale and Joint Escrow Instructions dated February 10, 2017 (the “</w:t>
      </w:r>
      <w:r>
        <w:rPr>
          <w:rFonts w:ascii="Arial" w:cs="Arial" w:eastAsia="Arial" w:hAnsi="Arial"/>
          <w:sz w:val="16"/>
          <w:szCs w:val="16"/>
          <w:b w:val="1"/>
          <w:bCs w:val="1"/>
          <w:color w:val="auto"/>
        </w:rPr>
        <w:t>Second Amendment</w:t>
      </w:r>
      <w:r>
        <w:rPr>
          <w:rFonts w:ascii="Arial" w:cs="Arial" w:eastAsia="Arial" w:hAnsi="Arial"/>
          <w:sz w:val="16"/>
          <w:szCs w:val="16"/>
          <w:color w:val="auto"/>
        </w:rPr>
        <w:t>”; together with the Original Agreement and the First Amendment, the “</w:t>
      </w:r>
      <w:r>
        <w:rPr>
          <w:rFonts w:ascii="Arial" w:cs="Arial" w:eastAsia="Arial" w:hAnsi="Arial"/>
          <w:sz w:val="16"/>
          <w:szCs w:val="16"/>
          <w:b w:val="1"/>
          <w:bCs w:val="1"/>
          <w:color w:val="auto"/>
        </w:rPr>
        <w:t>Amended Agreement</w:t>
      </w:r>
      <w:r>
        <w:rPr>
          <w:rFonts w:ascii="Arial" w:cs="Arial" w:eastAsia="Arial" w:hAnsi="Arial"/>
          <w:sz w:val="16"/>
          <w:szCs w:val="16"/>
          <w:color w:val="auto"/>
        </w:rPr>
        <w:t>”), relating to certain real property located in the City of Valencia, County of Los Angeles, State of California, more particularly described in the Original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Seller and Buyer now desire to amend the terms of the Amended Agreement as provided in this Third Amendment.</w:t>
      </w:r>
    </w:p>
    <w:p>
      <w:pPr>
        <w:spacing w:after="0" w:line="224" w:lineRule="exact"/>
        <w:rPr>
          <w:sz w:val="20"/>
          <w:szCs w:val="20"/>
          <w:color w:val="auto"/>
        </w:rPr>
      </w:pPr>
    </w:p>
    <w:p>
      <w:pPr>
        <w:ind w:right="100" w:firstLine="457"/>
        <w:spacing w:after="0" w:line="289" w:lineRule="auto"/>
        <w:rPr>
          <w:sz w:val="20"/>
          <w:szCs w:val="20"/>
          <w:color w:val="auto"/>
        </w:rPr>
      </w:pPr>
      <w:r>
        <w:rPr>
          <w:rFonts w:ascii="Arial" w:cs="Arial" w:eastAsia="Arial" w:hAnsi="Arial"/>
          <w:sz w:val="17"/>
          <w:szCs w:val="17"/>
          <w:color w:val="auto"/>
        </w:rPr>
        <w:t>NOW THEREFORE, for good and valuable consideration, the receipt and sufficiency of which are hereby acknowledged, Seller and Buyer hereby amend the Amended Agreement as follows:</w:t>
      </w:r>
    </w:p>
    <w:p>
      <w:pPr>
        <w:spacing w:after="0" w:line="53" w:lineRule="exact"/>
        <w:rPr>
          <w:sz w:val="20"/>
          <w:szCs w:val="20"/>
          <w:color w:val="auto"/>
        </w:rPr>
      </w:pPr>
    </w:p>
    <w:p>
      <w:pPr>
        <w:ind w:right="160" w:firstLine="461"/>
        <w:spacing w:after="0" w:line="289" w:lineRule="auto"/>
        <w:tabs>
          <w:tab w:leader="none" w:pos="631"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Recitals; Definitions</w:t>
      </w:r>
      <w:r>
        <w:rPr>
          <w:rFonts w:ascii="Arial" w:cs="Arial" w:eastAsia="Arial" w:hAnsi="Arial"/>
          <w:sz w:val="17"/>
          <w:szCs w:val="17"/>
          <w:color w:val="auto"/>
        </w:rPr>
        <w:t>. The recitals set forth above are not merely recitals, but form an integral part of this Third Amendment. All capitalized terms used and not otherwise defined in this Third Amendment shall have the meanings respectively assigned to them in the Amended Agreement.</w:t>
      </w:r>
    </w:p>
    <w:p>
      <w:pPr>
        <w:spacing w:after="0" w:line="53" w:lineRule="exact"/>
        <w:rPr>
          <w:rFonts w:ascii="Arial" w:cs="Arial" w:eastAsia="Arial" w:hAnsi="Arial"/>
          <w:sz w:val="17"/>
          <w:szCs w:val="17"/>
          <w:color w:val="auto"/>
        </w:rPr>
      </w:pPr>
    </w:p>
    <w:p>
      <w:pPr>
        <w:ind w:left="640" w:hanging="179"/>
        <w:spacing w:after="0"/>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Purchase Price</w:t>
      </w:r>
      <w:r>
        <w:rPr>
          <w:rFonts w:ascii="Arial" w:cs="Arial" w:eastAsia="Arial" w:hAnsi="Arial"/>
          <w:sz w:val="17"/>
          <w:szCs w:val="17"/>
          <w:color w:val="auto"/>
        </w:rPr>
        <w:t>. Section VIII of the Basic Provisions of the Original Agreement is hereby deleted in its entirety and replaced with the following:</w:t>
      </w:r>
    </w:p>
    <w:p>
      <w:pPr>
        <w:spacing w:after="0" w:line="113" w:lineRule="exact"/>
        <w:rPr>
          <w:sz w:val="20"/>
          <w:szCs w:val="20"/>
          <w:color w:val="auto"/>
        </w:rPr>
      </w:pPr>
    </w:p>
    <w:p>
      <w:pPr>
        <w:ind w:right="1180" w:firstLine="913"/>
        <w:spacing w:after="0" w:line="389" w:lineRule="auto"/>
        <w:rPr>
          <w:sz w:val="20"/>
          <w:szCs w:val="20"/>
          <w:color w:val="auto"/>
        </w:rPr>
      </w:pPr>
      <w:r>
        <w:rPr>
          <w:rFonts w:ascii="Arial" w:cs="Arial" w:eastAsia="Arial" w:hAnsi="Arial"/>
          <w:sz w:val="17"/>
          <w:szCs w:val="17"/>
          <w:color w:val="auto"/>
        </w:rPr>
        <w:t>“The sum of Seventeen Million Two Hundred Seventy-Three Thousand and 00/100 Dollars ($17,273,000) (the “</w:t>
      </w:r>
      <w:r>
        <w:rPr>
          <w:rFonts w:ascii="Arial" w:cs="Arial" w:eastAsia="Arial" w:hAnsi="Arial"/>
          <w:sz w:val="17"/>
          <w:szCs w:val="17"/>
          <w:b w:val="1"/>
          <w:bCs w:val="1"/>
          <w:color w:val="auto"/>
        </w:rPr>
        <w:t>Purchase Price</w:t>
      </w:r>
      <w:r>
        <w:rPr>
          <w:rFonts w:ascii="Arial" w:cs="Arial" w:eastAsia="Arial" w:hAnsi="Arial"/>
          <w:sz w:val="17"/>
          <w:szCs w:val="17"/>
          <w:color w:val="auto"/>
        </w:rPr>
        <w:t>”).” All references in the Amended Agreement to the “Purchase Price” shall mean such term as amended hereby.</w:t>
      </w:r>
    </w:p>
    <w:p>
      <w:pPr>
        <w:spacing w:after="0" w:line="1" w:lineRule="exact"/>
        <w:rPr>
          <w:sz w:val="20"/>
          <w:szCs w:val="20"/>
          <w:color w:val="auto"/>
        </w:rPr>
      </w:pPr>
    </w:p>
    <w:p>
      <w:pPr>
        <w:ind w:left="920" w:right="260" w:hanging="459"/>
        <w:spacing w:after="0" w:line="409" w:lineRule="auto"/>
        <w:tabs>
          <w:tab w:leader="none" w:pos="638"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Allocation of Purchase Price</w:t>
      </w:r>
      <w:r>
        <w:rPr>
          <w:rFonts w:ascii="Arial" w:cs="Arial" w:eastAsia="Arial" w:hAnsi="Arial"/>
          <w:sz w:val="16"/>
          <w:szCs w:val="16"/>
          <w:color w:val="auto"/>
        </w:rPr>
        <w:t>. The first sentence of Section 4 of the First Amendment is hereby deleted in its entirety and replaced with the following: “The parties agree that the allocation of the Purchase Price is $213,000.00 for the Equipment and $17,060,000.00 for the Real Property.”</w:t>
      </w:r>
    </w:p>
    <w:p>
      <w:pPr>
        <w:spacing w:after="0" w:line="1" w:lineRule="exact"/>
        <w:rPr>
          <w:rFonts w:ascii="Arial" w:cs="Arial" w:eastAsia="Arial" w:hAnsi="Arial"/>
          <w:sz w:val="16"/>
          <w:szCs w:val="16"/>
          <w:color w:val="auto"/>
        </w:rPr>
      </w:pPr>
    </w:p>
    <w:p>
      <w:pPr>
        <w:ind w:left="640" w:hanging="179"/>
        <w:spacing w:after="0"/>
        <w:tabs>
          <w:tab w:leader="none" w:pos="64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Equipment</w:t>
      </w:r>
      <w:r>
        <w:rPr>
          <w:rFonts w:ascii="Arial" w:cs="Arial" w:eastAsia="Arial" w:hAnsi="Arial"/>
          <w:sz w:val="17"/>
          <w:szCs w:val="17"/>
          <w:color w:val="auto"/>
        </w:rPr>
        <w:t xml:space="preserve">. The list of Equipment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First Amendment is hereby amended by deleting the following equipment:</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“TSI Fluidized Bed Aerosol Generator w/ Bias Flow Generator.”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5. </w:t>
      </w:r>
      <w:r>
        <w:rPr>
          <w:rFonts w:ascii="Arial" w:cs="Arial" w:eastAsia="Arial" w:hAnsi="Arial"/>
          <w:sz w:val="15"/>
          <w:szCs w:val="15"/>
          <w:u w:val="single" w:color="auto"/>
          <w:color w:val="auto"/>
        </w:rPr>
        <w:t>Assumed Contracts</w:t>
      </w:r>
      <w:r>
        <w:rPr>
          <w:rFonts w:ascii="Arial" w:cs="Arial" w:eastAsia="Arial" w:hAnsi="Arial"/>
          <w:sz w:val="15"/>
          <w:szCs w:val="15"/>
          <w:color w:val="auto"/>
        </w:rPr>
        <w:t xml:space="preserve">. The list of Assumed Contracts set forth in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to the First Amendment is hereby amended by deleting the following contract:</w:t>
      </w:r>
    </w:p>
    <w:p>
      <w:pPr>
        <w:spacing w:after="0" w:line="35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“Fire Protection Systems Annual Testing Proposal/Agreement with Red Hawk Fire &amp; Security dated September 28, 2015.”</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240" w:top="265" w:right="31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All references in the Amended Agreement to the “Assumed Contracts” shall mean such term as amended hereby.</w:t>
      </w:r>
    </w:p>
    <w:p>
      <w:pPr>
        <w:spacing w:after="0" w:line="119" w:lineRule="exact"/>
        <w:rPr>
          <w:sz w:val="20"/>
          <w:szCs w:val="20"/>
          <w:color w:val="auto"/>
        </w:rPr>
      </w:pPr>
    </w:p>
    <w:p>
      <w:pPr>
        <w:ind w:right="720" w:firstLine="461"/>
        <w:spacing w:after="0" w:line="289" w:lineRule="auto"/>
        <w:tabs>
          <w:tab w:leader="none" w:pos="631"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UCC-3</w:t>
      </w:r>
      <w:r>
        <w:rPr>
          <w:rFonts w:ascii="Arial" w:cs="Arial" w:eastAsia="Arial" w:hAnsi="Arial"/>
          <w:sz w:val="17"/>
          <w:szCs w:val="17"/>
          <w:color w:val="auto"/>
        </w:rPr>
        <w:t xml:space="preserve">. The form UCC-3 statement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Second Amendment is hereby amended by deleting the following equipment therefrom:</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“TSI Fluidized Bed Aerosol Generator w/ Bias Flow Generator.”</w:t>
      </w:r>
    </w:p>
    <w:p>
      <w:pPr>
        <w:spacing w:after="0" w:line="119" w:lineRule="exact"/>
        <w:rPr>
          <w:sz w:val="20"/>
          <w:szCs w:val="20"/>
          <w:color w:val="auto"/>
        </w:rPr>
      </w:pPr>
    </w:p>
    <w:p>
      <w:pPr>
        <w:ind w:firstLine="461"/>
        <w:spacing w:after="0" w:line="283" w:lineRule="auto"/>
        <w:tabs>
          <w:tab w:leader="none" w:pos="631"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Except as otherwise expressly provided in this Third Amendment, the provisions of the Amended Agreement shall be and remain unmodified and in full force and effect (such Amended Agreement being hereby ratified, reaffirmed and confirmed by Buyer and Seller), and if any provision of this Third Amendment conflicts with the Amended Agreement, then the provisions of this Third Amendment shall prevail. Except as otherwise expressly provided in this Third Amendment, nothing contained in this Third Amendment shall operate to waive the rights of Buyer or Seller under the Amended Agreement. This Third Amendment may be executed in one or more counterparts (by original, facsimile or electronic PDF signatures), each of which shall be deemed to constitute an original, but all of which, when taken together, shall constitute one and the same instrument.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1" w:right="279" w:bottom="1440" w:gutter="0" w:footer="0" w:header="0"/>
        </w:sectPr>
      </w:pPr>
    </w:p>
    <w:bookmarkStart w:id="168" w:name="page169"/>
    <w:bookmarkEnd w:id="168"/>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WITNESS WHEREOF, Seller and Buyer have executed this Third Amendment as of the date first set forth above.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gridSpan w:val="3"/>
          </w:tcPr>
          <w:p>
            <w:pPr>
              <w:spacing w:after="0"/>
              <w:rPr>
                <w:sz w:val="20"/>
                <w:szCs w:val="20"/>
                <w:color w:val="auto"/>
              </w:rPr>
            </w:pPr>
            <w:r>
              <w:rPr>
                <w:rFonts w:ascii="Arial" w:cs="Arial" w:eastAsia="Arial" w:hAnsi="Arial"/>
                <w:sz w:val="17"/>
                <w:szCs w:val="17"/>
                <w:b w:val="1"/>
                <w:bCs w:val="1"/>
                <w:color w:val="auto"/>
              </w:rPr>
              <w:t>“BUYER”</w:t>
            </w:r>
          </w:p>
        </w:tc>
        <w:tc>
          <w:tcPr>
            <w:tcW w:w="4060" w:type="dxa"/>
            <w:vAlign w:val="bottom"/>
            <w:gridSpan w:val="2"/>
          </w:tcPr>
          <w:p>
            <w:pPr>
              <w:ind w:left="1720"/>
              <w:spacing w:after="0"/>
              <w:rPr>
                <w:sz w:val="20"/>
                <w:szCs w:val="20"/>
                <w:color w:val="auto"/>
              </w:rPr>
            </w:pPr>
            <w:r>
              <w:rPr>
                <w:rFonts w:ascii="Arial" w:cs="Arial" w:eastAsia="Arial" w:hAnsi="Arial"/>
                <w:sz w:val="17"/>
                <w:szCs w:val="17"/>
                <w:b w:val="1"/>
                <w:bCs w:val="1"/>
                <w:color w:val="auto"/>
              </w:rPr>
              <w:t>“SELLER”</w:t>
            </w:r>
          </w:p>
        </w:tc>
      </w:tr>
      <w:tr>
        <w:trPr>
          <w:trHeight w:val="315"/>
        </w:trPr>
        <w:tc>
          <w:tcPr>
            <w:tcW w:w="4340" w:type="dxa"/>
            <w:vAlign w:val="bottom"/>
            <w:gridSpan w:val="3"/>
          </w:tcPr>
          <w:p>
            <w:pPr>
              <w:spacing w:after="0"/>
              <w:rPr>
                <w:sz w:val="20"/>
                <w:szCs w:val="20"/>
                <w:color w:val="auto"/>
              </w:rPr>
            </w:pPr>
            <w:r>
              <w:rPr>
                <w:rFonts w:ascii="Arial" w:cs="Arial" w:eastAsia="Arial" w:hAnsi="Arial"/>
                <w:sz w:val="17"/>
                <w:szCs w:val="17"/>
                <w:color w:val="auto"/>
              </w:rPr>
              <w:t>REXFORD INDUSTRIAL REALTY, L.P.,</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MANNKIND CORPORATION,</w:t>
            </w:r>
          </w:p>
        </w:tc>
      </w:tr>
      <w:tr>
        <w:trPr>
          <w:trHeight w:val="222"/>
        </w:trPr>
        <w:tc>
          <w:tcPr>
            <w:tcW w:w="4340" w:type="dxa"/>
            <w:vAlign w:val="bottom"/>
            <w:gridSpan w:val="3"/>
          </w:tcPr>
          <w:p>
            <w:pPr>
              <w:spacing w:after="0"/>
              <w:rPr>
                <w:sz w:val="20"/>
                <w:szCs w:val="20"/>
                <w:color w:val="auto"/>
              </w:rPr>
            </w:pPr>
            <w:r>
              <w:rPr>
                <w:rFonts w:ascii="Arial" w:cs="Arial" w:eastAsia="Arial" w:hAnsi="Arial"/>
                <w:sz w:val="17"/>
                <w:szCs w:val="17"/>
                <w:color w:val="auto"/>
              </w:rPr>
              <w:t>a Maryland limited partnership</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a Delaware corporation</w:t>
            </w:r>
          </w:p>
        </w:tc>
      </w:tr>
      <w:tr>
        <w:trPr>
          <w:trHeight w:val="288"/>
        </w:trPr>
        <w:tc>
          <w:tcPr>
            <w:tcW w:w="4340" w:type="dxa"/>
            <w:vAlign w:val="bottom"/>
            <w:gridSpan w:val="3"/>
          </w:tcPr>
          <w:p>
            <w:pPr>
              <w:spacing w:after="0"/>
              <w:rPr>
                <w:sz w:val="20"/>
                <w:szCs w:val="20"/>
                <w:color w:val="auto"/>
              </w:rPr>
            </w:pPr>
            <w:r>
              <w:rPr>
                <w:rFonts w:ascii="Arial" w:cs="Arial" w:eastAsia="Arial" w:hAnsi="Arial"/>
                <w:sz w:val="17"/>
                <w:szCs w:val="17"/>
                <w:color w:val="auto"/>
              </w:rPr>
              <w:t>By:  Rexford Industrial Realty, Inc.,</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By: /s/ David Thomson</w:t>
            </w:r>
          </w:p>
        </w:tc>
      </w:tr>
      <w:tr>
        <w:trPr>
          <w:trHeight w:val="20"/>
        </w:trPr>
        <w:tc>
          <w:tcPr>
            <w:tcW w:w="434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r>
        <w:trPr>
          <w:trHeight w:val="216"/>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a Maryland corporation,</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Name: David Thomson</w:t>
            </w:r>
          </w:p>
        </w:tc>
      </w:tr>
      <w:tr>
        <w:trPr>
          <w:trHeight w:val="222"/>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Its General Partner</w:t>
            </w:r>
          </w:p>
        </w:tc>
        <w:tc>
          <w:tcPr>
            <w:tcW w:w="4060" w:type="dxa"/>
            <w:vAlign w:val="bottom"/>
            <w:gridSpan w:val="2"/>
          </w:tcPr>
          <w:p>
            <w:pPr>
              <w:ind w:left="1720"/>
              <w:spacing w:after="0"/>
              <w:rPr>
                <w:sz w:val="20"/>
                <w:szCs w:val="20"/>
                <w:color w:val="auto"/>
              </w:rPr>
            </w:pPr>
            <w:r>
              <w:rPr>
                <w:rFonts w:ascii="Arial" w:cs="Arial" w:eastAsia="Arial" w:hAnsi="Arial"/>
                <w:sz w:val="17"/>
                <w:szCs w:val="17"/>
                <w:color w:val="auto"/>
              </w:rPr>
              <w:t>Its: Vice President</w:t>
            </w:r>
          </w:p>
        </w:tc>
      </w:tr>
      <w:tr>
        <w:trPr>
          <w:trHeight w:val="288"/>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By: /s/ Howard Schwimmer</w:t>
            </w: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16"/>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Name: Howard Schwimmer</w:t>
            </w:r>
          </w:p>
        </w:tc>
        <w:tc>
          <w:tcPr>
            <w:tcW w:w="20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4340" w:type="dxa"/>
            <w:vAlign w:val="bottom"/>
            <w:gridSpan w:val="3"/>
          </w:tcPr>
          <w:p>
            <w:pPr>
              <w:ind w:left="360"/>
              <w:spacing w:after="0"/>
              <w:rPr>
                <w:sz w:val="20"/>
                <w:szCs w:val="20"/>
                <w:color w:val="auto"/>
              </w:rPr>
            </w:pPr>
            <w:r>
              <w:rPr>
                <w:rFonts w:ascii="Arial" w:cs="Arial" w:eastAsia="Arial" w:hAnsi="Arial"/>
                <w:sz w:val="17"/>
                <w:szCs w:val="17"/>
                <w:color w:val="auto"/>
              </w:rPr>
              <w:t>Its: Co-CEO</w:t>
            </w:r>
          </w:p>
        </w:tc>
        <w:tc>
          <w:tcPr>
            <w:tcW w:w="20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367"/>
        </w:trPr>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tcPr>
          <w:p>
            <w:pPr>
              <w:ind w:left="1340"/>
              <w:spacing w:after="0"/>
              <w:rPr>
                <w:sz w:val="20"/>
                <w:szCs w:val="20"/>
                <w:color w:val="auto"/>
              </w:rPr>
            </w:pPr>
            <w:r>
              <w:rPr>
                <w:rFonts w:ascii="Arial" w:cs="Arial" w:eastAsia="Arial" w:hAnsi="Arial"/>
                <w:sz w:val="17"/>
                <w:szCs w:val="17"/>
                <w:color w:val="auto"/>
              </w:rPr>
              <w:t>3</w:t>
            </w:r>
          </w:p>
        </w:tc>
        <w:tc>
          <w:tcPr>
            <w:tcW w:w="2040" w:type="dxa"/>
            <w:vAlign w:val="bottom"/>
          </w:tcPr>
          <w:p>
            <w:pPr>
              <w:spacing w:after="0"/>
              <w:rPr>
                <w:sz w:val="24"/>
                <w:szCs w:val="24"/>
                <w:color w:val="auto"/>
              </w:rPr>
            </w:pPr>
          </w:p>
        </w:tc>
      </w:tr>
    </w:tbl>
    <w:p>
      <w:pPr>
        <w:sectPr>
          <w:pgSz w:w="11900" w:h="16838" w:orient="portrait"/>
          <w:cols w:equalWidth="0" w:num="1">
            <w:col w:w="10219"/>
          </w:cols>
          <w:pgMar w:left="240" w:top="271" w:right="1440"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b w:val="1"/>
          <w:bCs w:val="1"/>
          <w:color w:val="auto"/>
        </w:rPr>
        <w:t>Exhibit 10.36</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One Casper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1962150" cy="548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62150" cy="548640"/>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Danbury, CT 06810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Main: 203-798-8000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Fax: 203-798-7740</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www.mannkindcorp.com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December 22, 2016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Mr. Stuart A. Tross, Ph.D.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1024 Cheshire Hills Court</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Westlake Village, CA 91361</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Dear Stuart,</w:t>
      </w:r>
    </w:p>
    <w:p>
      <w:pPr>
        <w:spacing w:after="0" w:line="119"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Congratulations! The MannKind team has been very impressed with your background and credentials, and we are genuinely pleased to offer you full-time employment with MannKind Corporation, in the exempt position Chief People Officer Officer located in Valencia CA. In this position you will initially report directly to Matthew J. Pfeffer, Chief Executive Officer and CFO.</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will target your employment to commence on December 23, 2016. Please be advised that continued employment is contingent upon satisfactory reference and background checks and receipt of results of a satisfactory drug screening test. You will receive an email with information regarding the test, contact and location information for the laboratory as well as the hours of operation. This screening test must be completed within two weeks from the date of this letter.</w:t>
      </w:r>
    </w:p>
    <w:p>
      <w:pPr>
        <w:spacing w:after="0" w:line="260"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You will be paid on a bi-weekly basis, on regular payroll schedule, in the amount of $14,038.47, equating to an annualized amount of $365,000.22. You will be eligible to participate in the MannKind Discretionary Bonus Plan, with a target bonus opportunity of 50% of annual earnings.</w:t>
      </w:r>
    </w:p>
    <w:p>
      <w:pPr>
        <w:spacing w:after="0" w:line="15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Additionally, you will receive a one-time sign-on bonus in the gross amount of $35,000.00, less appropriate withholdings and other payroll deductions, payable as a lump sum on the first pay period at the end of the first ninety (90) days of your employment. By accepting this offer, you agree that, in the event that you voluntarily leave the Company, or if you are terminated by the Company for “cause”, within the twelve (12) months following receipt of payment, you will repay the full amount of the payment, net any with-holdings within thirty (30) days after the last day of your employment. By accepting this offer, you further agree that the Company may deduct this amount from any other amounts The Company owes you should you be obligated to repay this amount.</w:t>
      </w:r>
    </w:p>
    <w:p>
      <w:pPr>
        <w:spacing w:after="0" w:line="1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You will be eligible to participate in MannKind’s Equity Incentive Plan, under which stock options and restricted stock will be awarded to you at a future date, as approved by the Board of Directors. At the next quarterly Board meeting after your hire date, we will recommend that you be granted an equity award of 400,000 stock options and 100,000 restricted stock units which is comparable to grants made for other individuals in similar level positions throughout the company. You will also be eligible for 400,000 stock options for Performance Grants. This is not a guarantee for a specific number of restricted stock units, but is only intended to provide you with an understanding of grant guidelines for your position. If your start date is less than two weeks prior to the next quarterly Board meeting, the recommendation will be submitted in the following quarter. Grants will begin vesting based on your hire date. You will also be eligible for an annual equity grant.</w:t>
      </w:r>
    </w:p>
    <w:p>
      <w:pPr>
        <w:sectPr>
          <w:pgSz w:w="11900" w:h="16838" w:orient="portrait"/>
          <w:cols w:equalWidth="0" w:num="1">
            <w:col w:w="11420"/>
          </w:cols>
          <w:pgMar w:left="240" w:top="121" w:right="2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Stuart A. Tross, page two</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a substantial list of fringe benefits, including the following: 20 days PTO annually, which accrues on a bi-weekly basis; short term and long term disability insurance; company–paid life insurance; a 401(k) tax deferred savings program; flexible spending accounts; health, vision and dental insurance, Executive Medical Reimbursement plan and paid holidays which includes a full week in July and December for the holiday break. The holidays and other time off benefits will be prorated based on your date of hire. All benefits, policies and rules are subject to change from time to time at the Company’s discretion. All benefits outlined in this offer letter are contingent on your continuing employment with MannKind Corporation in a benefit eligible status.</w:t>
      </w:r>
    </w:p>
    <w:p>
      <w:pPr>
        <w:spacing w:after="0" w:line="16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Shortly after we are in receipt of your acceptance, you will receive a welcome email from our onboarding manager, with a link to your personalized onboarding portal. Through this portal you will have access to most of the required MannKind policies and agreements that will require your signature such as, the Employee Proprietary Information and Inventions Agreement, an Arbitration Agreement, a Policy Against Insider Trading, Code of Business Conduct and Ethics, and an Employee Acknowledgement Form, required after reading the MannKind Employee Sourcebook. Of course, the company may require additional policies or agreements to be signed and acknowledged in the future.</w:t>
      </w:r>
    </w:p>
    <w:p>
      <w:pPr>
        <w:spacing w:after="0" w:line="178"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Employment at MannKind is at will, which means that either you or MannKind can end the employment relationship at any time, and for any reason or for no reason, with or without cause or notice. The employment terms in this letter supersede any other agreements or promises made to you by anyone, whether oral or written, and cannot be modified or amended except in writing by an officer of the company. As required by law, this offer is subject to satisfactory proof of your right to work in the United States. This at will employment relationship cannot be changed except in writing as approved by the Board of Directors of MannKind.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We appreciate the energy and enthusiasm you demonstrated during our interview and selection process and we look forward to a favorable response to our offer.</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We have many exciting challenges ahead and believe you can make a significant contribution to MannKind.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At your earliest convenience, please sign and date this letter and return it to Diana Champagne, Director, Compensation and Benefits and HRIS</w:t>
      </w:r>
    </w:p>
    <w:p>
      <w:pPr>
        <w:spacing w:after="0" w:line="2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dchampagne@mannkindcorp.com</w:t>
      </w:r>
      <w:r>
        <w:rPr>
          <w:rFonts w:ascii="Arial" w:cs="Arial" w:eastAsia="Arial" w:hAnsi="Arial"/>
          <w:sz w:val="17"/>
          <w:szCs w:val="17"/>
          <w:color w:val="auto"/>
        </w:rPr>
        <w:t>) to indicate your acceptance of this written offer of employment. Please also include proof of your annual compensation in the form of a recent pay stub or W2/1099.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If you should have any questions, please don’t hesitate to contact 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Matthew J. Pfeffer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Matthew J. Pfeffer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CFO</w:t>
      </w:r>
    </w:p>
    <w:p>
      <w:pPr>
        <w:sectPr>
          <w:pgSz w:w="11900" w:h="16838" w:orient="portrait"/>
          <w:cols w:equalWidth="0" w:num="1">
            <w:col w:w="11360"/>
          </w:cols>
          <w:pgMar w:left="240" w:top="271" w:right="29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Stuart A. Tross, page three</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I have carefully read and understand all of the terms of the above letter and freely and voluntarily accept and agree to all of its terms. I represent that, in agreeing to this offer letter, I am not relying on any representations or promises of any kind other than set forth in this letter.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 Stuart A. 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8936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Stuart A. Tross, Ph.D.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December 22, 2016</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Date Signed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December 23, 2016</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Confirmed Start Date</w:t>
      </w:r>
    </w:p>
    <w:p>
      <w:pPr>
        <w:sectPr>
          <w:pgSz w:w="11900" w:h="16838" w:orient="portrait"/>
          <w:cols w:equalWidth="0" w:num="1">
            <w:col w:w="11420"/>
          </w:cols>
          <w:pgMar w:left="240" w:top="27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We consent to the incorporation by reference in Registration Statement Nos. 333-117811, 333-127876, 333-137332, 333-149049, 333-160225, 333-176409, 333-182457, 333-188790 and 333-213366 on Form S-8 of our reports dated March 16, 2017, relating to the consolidated financial statements of MannKind Corporation and subsidiaries (“MannKind Corporation”) (which report expresses an unqualified opinion and includes explanatory paragraphs relating to the Company’s ability to continue as a going concern and the effects of a reverse stock split), and the effectiveness of MannKind Corporation’s internal control over financial reporting, appearing in this Annual Report on Form 10-K of MannKind Corporation for the year ended December 31, 2016.</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Stamford, Connecticut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March 16, 2017</w:t>
      </w:r>
    </w:p>
    <w:p>
      <w:pPr>
        <w:sectPr>
          <w:pgSz w:w="11900" w:h="16838" w:orient="portrait"/>
          <w:cols w:equalWidth="0" w:num="1">
            <w:col w:w="11420"/>
          </w:cols>
          <w:pgMar w:left="240" w:top="121"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RULE 13a-14(a)/15d-14(a) 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Matthew J. Pfeffer, certify that:</w:t>
      </w:r>
    </w:p>
    <w:p>
      <w:pPr>
        <w:spacing w:after="0" w:line="224" w:lineRule="exact"/>
        <w:rPr>
          <w:sz w:val="20"/>
          <w:szCs w:val="20"/>
          <w:color w:val="auto"/>
        </w:rPr>
      </w:pPr>
    </w:p>
    <w:p>
      <w:pPr>
        <w:ind w:left="640" w:hanging="179"/>
        <w:spacing w:after="0"/>
        <w:tabs>
          <w:tab w:leader="none" w:pos="6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MannKind Corporation;</w:t>
      </w:r>
    </w:p>
    <w:p>
      <w:pPr>
        <w:spacing w:after="0" w:line="223" w:lineRule="exact"/>
        <w:rPr>
          <w:rFonts w:ascii="Arial" w:cs="Arial" w:eastAsia="Arial" w:hAnsi="Arial"/>
          <w:sz w:val="17"/>
          <w:szCs w:val="17"/>
          <w:color w:val="auto"/>
        </w:rPr>
      </w:pPr>
    </w:p>
    <w:p>
      <w:pPr>
        <w:ind w:right="640" w:firstLine="461"/>
        <w:spacing w:after="0" w:line="359" w:lineRule="auto"/>
        <w:tabs>
          <w:tab w:leader="none" w:pos="631"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640" w:firstLine="461"/>
        <w:spacing w:after="0" w:line="289" w:lineRule="auto"/>
        <w:tabs>
          <w:tab w:leader="none" w:pos="6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right="300" w:firstLine="461"/>
        <w:spacing w:after="0" w:line="289" w:lineRule="auto"/>
        <w:tabs>
          <w:tab w:leader="none" w:pos="6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460" w:right="400" w:firstLine="440"/>
        <w:spacing w:after="0" w:line="273" w:lineRule="auto"/>
        <w:tabs>
          <w:tab w:leader="none" w:pos="113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66" w:lineRule="exact"/>
        <w:rPr>
          <w:rFonts w:ascii="Arial" w:cs="Arial" w:eastAsia="Arial" w:hAnsi="Arial"/>
          <w:sz w:val="17"/>
          <w:szCs w:val="17"/>
          <w:color w:val="auto"/>
        </w:rPr>
      </w:pPr>
    </w:p>
    <w:p>
      <w:pPr>
        <w:ind w:left="1140" w:hanging="240"/>
        <w:spacing w:after="0"/>
        <w:tabs>
          <w:tab w:leader="none" w:pos="11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w:t>
      </w:r>
    </w:p>
    <w:p>
      <w:pPr>
        <w:spacing w:after="0" w:line="26" w:lineRule="exact"/>
        <w:rPr>
          <w:rFonts w:ascii="Arial" w:cs="Arial" w:eastAsia="Arial" w:hAnsi="Arial"/>
          <w:sz w:val="17"/>
          <w:szCs w:val="17"/>
          <w:color w:val="auto"/>
        </w:rPr>
      </w:pPr>
    </w:p>
    <w:p>
      <w:pPr>
        <w:ind w:left="460" w:right="100"/>
        <w:spacing w:after="0" w:line="274" w:lineRule="auto"/>
        <w:rPr>
          <w:rFonts w:ascii="Arial" w:cs="Arial" w:eastAsia="Arial" w:hAnsi="Arial"/>
          <w:sz w:val="17"/>
          <w:szCs w:val="17"/>
          <w:color w:val="auto"/>
        </w:rPr>
      </w:pPr>
      <w:r>
        <w:rPr>
          <w:rFonts w:ascii="Arial" w:cs="Arial" w:eastAsia="Arial" w:hAnsi="Arial"/>
          <w:sz w:val="17"/>
          <w:szCs w:val="17"/>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7"/>
          <w:szCs w:val="17"/>
          <w:color w:val="auto"/>
        </w:rPr>
      </w:pPr>
    </w:p>
    <w:p>
      <w:pPr>
        <w:ind w:left="460" w:right="880" w:firstLine="440"/>
        <w:spacing w:after="0" w:line="322" w:lineRule="auto"/>
        <w:tabs>
          <w:tab w:leader="none" w:pos="113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6"/>
          <w:szCs w:val="16"/>
          <w:color w:val="auto"/>
        </w:rPr>
      </w:pPr>
    </w:p>
    <w:p>
      <w:pPr>
        <w:ind w:left="460" w:right="40" w:firstLine="440"/>
        <w:spacing w:after="0" w:line="273" w:lineRule="auto"/>
        <w:tabs>
          <w:tab w:leader="none" w:pos="114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right="260" w:firstLine="461"/>
        <w:spacing w:after="0" w:line="289" w:lineRule="auto"/>
        <w:tabs>
          <w:tab w:leader="none" w:pos="63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460" w:right="280" w:firstLine="440"/>
        <w:spacing w:after="0" w:line="289" w:lineRule="auto"/>
        <w:tabs>
          <w:tab w:leader="none" w:pos="113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460" w:right="240" w:firstLine="440"/>
        <w:spacing w:after="0" w:line="289" w:lineRule="auto"/>
        <w:tabs>
          <w:tab w:leader="none" w:pos="114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16510</wp:posOffset>
            </wp:positionV>
            <wp:extent cx="28936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Matthew J. Pfeffer</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Executive Officer and</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Date: March 16, 2017</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r>
        <w:rPr>
          <w:rFonts w:ascii="Arial" w:cs="Arial" w:eastAsia="Arial" w:hAnsi="Arial"/>
          <w:sz w:val="14"/>
          <w:szCs w:val="14"/>
          <w:b w:val="1"/>
          <w:bCs w:val="1"/>
          <w:color w:val="auto"/>
        </w:rPr>
        <w:t>1</w:t>
      </w:r>
    </w:p>
    <w:p>
      <w:pPr>
        <w:spacing w:after="0" w:line="230" w:lineRule="exact"/>
        <w:rPr>
          <w:sz w:val="20"/>
          <w:szCs w:val="20"/>
          <w:color w:val="auto"/>
        </w:rPr>
      </w:pPr>
    </w:p>
    <w:p>
      <w:pPr>
        <w:jc w:val="both"/>
        <w:ind w:right="220" w:firstLine="457"/>
        <w:spacing w:after="0" w:line="273" w:lineRule="auto"/>
        <w:rPr>
          <w:sz w:val="20"/>
          <w:szCs w:val="20"/>
          <w:color w:val="auto"/>
        </w:rPr>
      </w:pPr>
      <w:r>
        <w:rPr>
          <w:rFonts w:ascii="Arial" w:cs="Arial" w:eastAsia="Arial" w:hAnsi="Arial"/>
          <w:sz w:val="17"/>
          <w:szCs w:val="17"/>
          <w:color w:val="auto"/>
        </w:rPr>
        <w:t>Pursuant to the requirement set forth in Rule 13a-14(b) or Rule 15d-14(b) of the Securities Exchange Act of 1934, as amended (the “Exchange Act”), and Section 1350 of Chapter 63 of Title 18 of the United States Code (18 U.S.C. §1350), Matthew J. Pfeffer, Chief Executive Officer and Chief Financial Officer of MannKind Corporation (the “Company”), hereby certifies that, to the best of his knowledge:</w:t>
      </w:r>
    </w:p>
    <w:p>
      <w:pPr>
        <w:spacing w:after="0" w:line="66" w:lineRule="exact"/>
        <w:rPr>
          <w:sz w:val="20"/>
          <w:szCs w:val="20"/>
          <w:color w:val="auto"/>
        </w:rPr>
      </w:pPr>
    </w:p>
    <w:p>
      <w:pPr>
        <w:ind w:left="460" w:right="260" w:firstLine="440"/>
        <w:spacing w:after="0" w:line="289" w:lineRule="auto"/>
        <w:tabs>
          <w:tab w:leader="none" w:pos="107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Company’s Annual Report on Form 10-K for the period ended December 31, 2016, to which this Certification is attached as Exhibit 32 (the “Annual Report”) fully complies with the requirements of Section 13(a) or Section 15(d) of the Exchange Act, and</w:t>
      </w:r>
    </w:p>
    <w:p>
      <w:pPr>
        <w:spacing w:after="0" w:line="53" w:lineRule="exact"/>
        <w:rPr>
          <w:rFonts w:ascii="Arial" w:cs="Arial" w:eastAsia="Arial" w:hAnsi="Arial"/>
          <w:sz w:val="17"/>
          <w:szCs w:val="17"/>
          <w:color w:val="auto"/>
        </w:rPr>
      </w:pPr>
    </w:p>
    <w:p>
      <w:pPr>
        <w:ind w:left="460" w:right="420" w:firstLine="440"/>
        <w:spacing w:after="0" w:line="289" w:lineRule="auto"/>
        <w:tabs>
          <w:tab w:leader="none" w:pos="107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Witness Whereof, the undersigned has set his hand hereto as of the 16th day of March, 2017.</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8936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369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Matthew J. Pfeffer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32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65" w:lineRule="exact"/>
        <w:rPr>
          <w:sz w:val="20"/>
          <w:szCs w:val="20"/>
          <w:color w:val="auto"/>
        </w:rPr>
      </w:pPr>
    </w:p>
    <w:p>
      <w:pPr>
        <w:ind w:left="220" w:right="180" w:hanging="215"/>
        <w:spacing w:after="0" w:line="267" w:lineRule="auto"/>
        <w:tabs>
          <w:tab w:leader="none" w:pos="220" w:val="left"/>
        </w:tabs>
        <w:numPr>
          <w:ilvl w:val="0"/>
          <w:numId w:val="129"/>
        </w:numPr>
        <w:rPr>
          <w:rFonts w:ascii="Arial" w:cs="Arial" w:eastAsia="Arial" w:hAnsi="Arial"/>
          <w:sz w:val="15"/>
          <w:szCs w:val="15"/>
          <w:color w:val="auto"/>
        </w:rPr>
      </w:pPr>
      <w:r>
        <w:rPr>
          <w:rFonts w:ascii="Arial" w:cs="Arial" w:eastAsia="Arial" w:hAnsi="Arial"/>
          <w:sz w:val="17"/>
          <w:szCs w:val="17"/>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lvl w:ilvl="1">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1)"/>
      <w:numFmt w:val="lowerRoman"/>
      <w:start w:val="1"/>
    </w:lvl>
  </w:abstractNum>
  <w:abstractNum w:abstractNumId="23">
    <w:nsid w:val="BF72B14"/>
    <w:multiLevelType w:val="hybridMultilevel"/>
    <w:lvl w:ilvl="0">
      <w:lvlJc w:val="left"/>
      <w:lvlText w:val="(%1)"/>
      <w:numFmt w:val="decimal"/>
      <w:start w:val="1"/>
    </w:lvl>
  </w:abstractNum>
  <w:abstractNum w:abstractNumId="24">
    <w:nsid w:val="11447B73"/>
    <w:multiLevelType w:val="hybridMultilevel"/>
    <w:lvl w:ilvl="0">
      <w:lvlJc w:val="left"/>
      <w:lvlText w:val="(%1)"/>
      <w:numFmt w:val="lowerRoman"/>
      <w:start w:val="1"/>
    </w:lvl>
  </w:abstractNum>
  <w:abstractNum w:abstractNumId="25">
    <w:nsid w:val="42963E5A"/>
    <w:multiLevelType w:val="hybridMultilevel"/>
    <w:lvl w:ilvl="0">
      <w:lvlJc w:val="left"/>
      <w:lvlText w:val="(%1)"/>
      <w:numFmt w:val="decimal"/>
      <w:start w:val="2"/>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1)"/>
      <w:numFmt w:val="decimal"/>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1)"/>
      <w:numFmt w:val="lowerLetter"/>
      <w:start w:val="1"/>
    </w:lvl>
  </w:abstractNum>
  <w:abstractNum w:abstractNumId="31">
    <w:nsid w:val="4962813B"/>
    <w:multiLevelType w:val="hybridMultilevel"/>
    <w:lvl w:ilvl="0">
      <w:lvlJc w:val="left"/>
      <w:lvlText w:val="%1"/>
      <w:numFmt w:val="lowerLetter"/>
      <w:start w:val="1"/>
    </w:lvl>
    <w:lvl w:ilvl="1">
      <w:lvlJc w:val="left"/>
      <w:lvlText w:val="(%2)"/>
      <w:numFmt w:val="decimal"/>
      <w:start w:val="3"/>
    </w:lvl>
  </w:abstractNum>
  <w:abstractNum w:abstractNumId="32">
    <w:nsid w:val="60B6DF70"/>
    <w:multiLevelType w:val="hybridMultilevel"/>
    <w:lvl w:ilvl="0">
      <w:lvlJc w:val="left"/>
      <w:lvlText w:val="(%1)"/>
      <w:numFmt w:val="lowerLetter"/>
      <w:start w:val="2"/>
    </w:lvl>
    <w:lvl w:ilvl="1">
      <w:lvlJc w:val="left"/>
      <w:lvlText w:val="%2"/>
      <w:numFmt w:val="decimal"/>
      <w:start w:val="1"/>
    </w:lvl>
  </w:abstractNum>
  <w:abstractNum w:abstractNumId="33">
    <w:nsid w:val="6A5EE64"/>
    <w:multiLevelType w:val="hybridMultilevel"/>
    <w:lvl w:ilvl="0">
      <w:lvlJc w:val="left"/>
      <w:lvlText w:val="%1"/>
      <w:numFmt w:val="decimal"/>
      <w:start w:val="3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1."/>
      <w:numFmt w:val="decimal"/>
      <w:start w:val="1"/>
    </w:lvl>
    <w:lvl w:ilvl="1">
      <w:lvlJc w:val="left"/>
      <w:lvlText w:val="(%2)"/>
      <w:numFmt w:val="lowerLetter"/>
      <w:start w:val="1"/>
    </w:lvl>
  </w:abstractNum>
  <w:abstractNum w:abstractNumId="38">
    <w:nsid w:val="100F59DC"/>
    <w:multiLevelType w:val="hybridMultilevel"/>
    <w:lvl w:ilvl="0">
      <w:lvlJc w:val="left"/>
      <w:lvlText w:val="%1"/>
      <w:numFmt w:val="decimal"/>
      <w:start w:val="1"/>
    </w:lvl>
    <w:lvl w:ilvl="1">
      <w:lvlJc w:val="left"/>
      <w:lvlText w:val="(%2)"/>
      <w:numFmt w:val="lowerLetter"/>
      <w:start w:val="4"/>
    </w:lvl>
  </w:abstractNum>
  <w:abstractNum w:abstractNumId="39">
    <w:nsid w:val="7FB7E0AA"/>
    <w:multiLevelType w:val="hybridMultilevel"/>
    <w:lvl w:ilvl="0">
      <w:lvlJc w:val="left"/>
      <w:lvlText w:val="%1."/>
      <w:numFmt w:val="decimal"/>
      <w:start w:val="2"/>
    </w:lvl>
    <w:lvl w:ilvl="1">
      <w:lvlJc w:val="left"/>
      <w:lvlText w:val="(%2)"/>
      <w:numFmt w:val="lowerLetter"/>
      <w:start w:val="1"/>
    </w:lvl>
  </w:abstractNum>
  <w:abstractNum w:abstractNumId="40">
    <w:nsid w:val="6EB5BD4"/>
    <w:multiLevelType w:val="hybridMultilevel"/>
    <w:lvl w:ilvl="0">
      <w:lvlJc w:val="left"/>
      <w:lvlText w:val="%1."/>
      <w:numFmt w:val="decimal"/>
      <w:start w:val="4"/>
    </w:lvl>
    <w:lvl w:ilvl="1">
      <w:lvlJc w:val="left"/>
      <w:lvlText w:val="(%2)"/>
      <w:numFmt w:val="lowerLetter"/>
      <w:start w:val="1"/>
    </w:lvl>
  </w:abstractNum>
  <w:abstractNum w:abstractNumId="41">
    <w:nsid w:val="6F6DD9AC"/>
    <w:multiLevelType w:val="hybridMultilevel"/>
    <w:lvl w:ilvl="0">
      <w:lvlJc w:val="left"/>
      <w:lvlText w:val="%1."/>
      <w:numFmt w:val="decimal"/>
      <w:start w:val="6"/>
    </w:lvl>
  </w:abstractNum>
  <w:abstractNum w:abstractNumId="42">
    <w:nsid w:val="94211F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3">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44">
    <w:nsid w:val="7627211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5">
    <w:nsid w:val="4C04A8AF"/>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6">
    <w:nsid w:val="1716703B"/>
    <w:multiLevelType w:val="hybridMultilevel"/>
    <w:lvl w:ilvl="0">
      <w:lvlJc w:val="left"/>
      <w:lvlText w:val="%1."/>
      <w:numFmt w:val="decimal"/>
      <w:start w:val="14"/>
    </w:lvl>
    <w:lvl w:ilvl="1">
      <w:lvlJc w:val="left"/>
      <w:lvlText w:val="(%2)"/>
      <w:numFmt w:val="lowerLetter"/>
      <w:start w:val="1"/>
    </w:lvl>
  </w:abstractNum>
  <w:abstractNum w:abstractNumId="47">
    <w:nsid w:val="14E17E33"/>
    <w:multiLevelType w:val="hybridMultilevel"/>
    <w:lvl w:ilvl="0">
      <w:lvlJc w:val="left"/>
      <w:lvlText w:val="(%1)"/>
      <w:numFmt w:val="lowerLetter"/>
      <w:start w:val="8"/>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decimal"/>
      <w:start w:val="2"/>
    </w:lvl>
    <w:lvl w:ilvl="1">
      <w:lvlJc w:val="left"/>
      <w:lvlText w:val="-"/>
      <w:numFmt w:val="bullet"/>
      <w:start w:val="1"/>
    </w:lvl>
  </w:abstractNum>
  <w:abstractNum w:abstractNumId="51">
    <w:nsid w:val="2DF6D648"/>
    <w:multiLevelType w:val="hybridMultilevel"/>
    <w:lvl w:ilvl="0">
      <w:lvlJc w:val="left"/>
      <w:lvlText w:val="%1."/>
      <w:numFmt w:val="decimal"/>
      <w:start w:val="3"/>
    </w:lvl>
  </w:abstractNum>
  <w:abstractNum w:abstractNumId="52">
    <w:nsid w:val="46B7D447"/>
    <w:multiLevelType w:val="hybridMultilevel"/>
    <w:lvl w:ilvl="0">
      <w:lvlJc w:val="left"/>
      <w:lvlText w:val="%1."/>
      <w:numFmt w:val="decimal"/>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1)"/>
      <w:numFmt w:val="decimal"/>
      <w:start w:val="60"/>
    </w:lvl>
  </w:abstractNum>
  <w:abstractNum w:abstractNumId="55">
    <w:nsid w:val="57FC4FBB"/>
    <w:multiLevelType w:val="hybridMultilevel"/>
    <w:lvl w:ilvl="0">
      <w:lvlJc w:val="left"/>
      <w:lvlText w:val="%1."/>
      <w:numFmt w:val="decimal"/>
      <w:start w:val="3"/>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decimal"/>
      <w:start w:val="5"/>
    </w:lvl>
  </w:abstractNum>
  <w:abstractNum w:abstractNumId="58">
    <w:nsid w:val="60EF0119"/>
    <w:multiLevelType w:val="hybridMultilevel"/>
    <w:lvl w:ilvl="0">
      <w:lvlJc w:val="left"/>
      <w:lvlText w:val="(%1)"/>
      <w:numFmt w:val="decimal"/>
      <w:start w:val="3"/>
    </w:lvl>
  </w:abstractNum>
  <w:abstractNum w:abstractNumId="59">
    <w:nsid w:val="26F324BA"/>
    <w:multiLevelType w:val="hybridMultilevel"/>
    <w:lvl w:ilvl="0">
      <w:lvlJc w:val="left"/>
      <w:lvlText w:val="(%1)"/>
      <w:numFmt w:val="decimal"/>
      <w:start w:val="2"/>
    </w:lvl>
  </w:abstractNum>
  <w:abstractNum w:abstractNumId="60">
    <w:nsid w:val="7F01579B"/>
    <w:multiLevelType w:val="hybridMultilevel"/>
    <w:lvl w:ilvl="0">
      <w:lvlJc w:val="left"/>
      <w:lvlText w:val="(%1)"/>
      <w:numFmt w:val="decimal"/>
      <w:start w:val="2"/>
    </w:lvl>
  </w:abstractNum>
  <w:abstractNum w:abstractNumId="61">
    <w:nsid w:val="49DA307D"/>
    <w:multiLevelType w:val="hybridMultilevel"/>
    <w:lvl w:ilvl="0">
      <w:lvlJc w:val="left"/>
      <w:lvlText w:val="(%1)"/>
      <w:numFmt w:val="decimal"/>
      <w:start w:val="2"/>
    </w:lvl>
  </w:abstractNum>
  <w:abstractNum w:abstractNumId="62">
    <w:nsid w:val="7055A5F5"/>
    <w:multiLevelType w:val="hybridMultilevel"/>
    <w:lvl w:ilvl="0">
      <w:lvlJc w:val="left"/>
      <w:lvlText w:val="(%1)"/>
      <w:numFmt w:val="decimal"/>
      <w:start w:val="4"/>
    </w:lvl>
  </w:abstractNum>
  <w:abstractNum w:abstractNumId="63">
    <w:nsid w:val="5FB8370B"/>
    <w:multiLevelType w:val="hybridMultilevel"/>
    <w:lvl w:ilvl="0">
      <w:lvlJc w:val="left"/>
      <w:lvlText w:val="(%1)"/>
      <w:numFmt w:val="decimal"/>
      <w:start w:val="5"/>
    </w:lvl>
  </w:abstractNum>
  <w:abstractNum w:abstractNumId="64">
    <w:nsid w:val="50801EE1"/>
    <w:multiLevelType w:val="hybridMultilevel"/>
    <w:lvl w:ilvl="0">
      <w:lvlJc w:val="left"/>
      <w:lvlText w:val="(%1)"/>
      <w:numFmt w:val="decimal"/>
      <w:start w:val="4"/>
    </w:lvl>
  </w:abstractNum>
  <w:abstractNum w:abstractNumId="65">
    <w:nsid w:val="488AC1A"/>
    <w:multiLevelType w:val="hybridMultilevel"/>
    <w:lvl w:ilvl="0">
      <w:lvlJc w:val="left"/>
      <w:lvlText w:val="(%1)"/>
      <w:numFmt w:val="decimal"/>
      <w:start w:val="2"/>
    </w:lvl>
  </w:abstractNum>
  <w:abstractNum w:abstractNumId="66">
    <w:nsid w:val="5FB8011C"/>
    <w:multiLevelType w:val="hybridMultilevel"/>
    <w:lvl w:ilvl="0">
      <w:lvlJc w:val="left"/>
      <w:lvlText w:val="(%1)"/>
      <w:numFmt w:val="decimal"/>
      <w:start w:val="8"/>
    </w:lvl>
  </w:abstractNum>
  <w:abstractNum w:abstractNumId="67">
    <w:nsid w:val="6AA78F7F"/>
    <w:multiLevelType w:val="hybridMultilevel"/>
    <w:lvl w:ilvl="0">
      <w:lvlJc w:val="left"/>
      <w:lvlText w:val="(%1)"/>
      <w:numFmt w:val="decimal"/>
      <w:start w:val="2"/>
    </w:lvl>
  </w:abstractNum>
  <w:abstractNum w:abstractNumId="68">
    <w:nsid w:val="7672BD23"/>
    <w:multiLevelType w:val="hybridMultilevel"/>
    <w:lvl w:ilvl="0">
      <w:lvlJc w:val="left"/>
      <w:lvlText w:val="(%1)"/>
      <w:numFmt w:val="decimal"/>
      <w:start w:val="3"/>
    </w:lvl>
  </w:abstractNum>
  <w:abstractNum w:abstractNumId="69">
    <w:nsid w:val="6FC75AF8"/>
    <w:multiLevelType w:val="hybridMultilevel"/>
    <w:lvl w:ilvl="0">
      <w:lvlJc w:val="left"/>
      <w:lvlText w:val="(%1)"/>
      <w:numFmt w:val="decimal"/>
      <w:start w:val="20"/>
    </w:lvl>
  </w:abstractNum>
  <w:abstractNum w:abstractNumId="70">
    <w:nsid w:val="6A5F7029"/>
    <w:multiLevelType w:val="hybridMultilevel"/>
    <w:lvl w:ilvl="0">
      <w:lvlJc w:val="left"/>
      <w:lvlText w:val="(%1)"/>
      <w:numFmt w:val="decimal"/>
      <w:start w:val="2"/>
    </w:lvl>
  </w:abstractNum>
  <w:abstractNum w:abstractNumId="71">
    <w:nsid w:val="7D5E18F8"/>
    <w:multiLevelType w:val="hybridMultilevel"/>
    <w:lvl w:ilvl="0">
      <w:lvlJc w:val="left"/>
      <w:lvlText w:val="(%1)"/>
      <w:numFmt w:val="decimal"/>
      <w:start w:val="2"/>
    </w:lvl>
  </w:abstractNum>
  <w:abstractNum w:abstractNumId="72">
    <w:nsid w:val="5F3534A4"/>
    <w:multiLevelType w:val="hybridMultilevel"/>
    <w:lvl w:ilvl="0">
      <w:lvlJc w:val="left"/>
      <w:lvlText w:val="(%1)"/>
      <w:numFmt w:val="decimal"/>
      <w:start w:val="6"/>
    </w:lvl>
  </w:abstractNum>
  <w:abstractNum w:abstractNumId="73">
    <w:nsid w:val="73A1821B"/>
    <w:multiLevelType w:val="hybridMultilevel"/>
    <w:lvl w:ilvl="0">
      <w:lvlJc w:val="left"/>
      <w:lvlText w:val="(%1)"/>
      <w:numFmt w:val="decimal"/>
      <w:start w:val="1"/>
    </w:lvl>
  </w:abstractNum>
  <w:abstractNum w:abstractNumId="74">
    <w:nsid w:val="7DE67713"/>
    <w:multiLevelType w:val="hybridMultilevel"/>
    <w:lvl w:ilvl="0">
      <w:lvlJc w:val="left"/>
      <w:lvlText w:val="(%1)"/>
      <w:numFmt w:val="decimal"/>
      <w:start w:val="2"/>
    </w:lvl>
  </w:abstractNum>
  <w:abstractNum w:abstractNumId="75">
    <w:nsid w:val="555C55B5"/>
    <w:multiLevelType w:val="hybridMultilevel"/>
    <w:lvl w:ilvl="0">
      <w:lvlJc w:val="left"/>
      <w:lvlText w:val="(%1)"/>
      <w:numFmt w:val="decimal"/>
      <w:start w:val="2"/>
    </w:lvl>
  </w:abstractNum>
  <w:abstractNum w:abstractNumId="76">
    <w:nsid w:val="3FA62ACA"/>
    <w:multiLevelType w:val="hybridMultilevel"/>
    <w:lvl w:ilvl="0">
      <w:lvlJc w:val="left"/>
      <w:lvlText w:val="(%1)"/>
      <w:numFmt w:val="decimal"/>
      <w:start w:val="4"/>
    </w:lvl>
  </w:abstractNum>
  <w:abstractNum w:abstractNumId="77">
    <w:nsid w:val="14FCE74E"/>
    <w:multiLevelType w:val="hybridMultilevel"/>
    <w:lvl w:ilvl="0">
      <w:lvlJc w:val="left"/>
      <w:lvlText w:val="(%1)"/>
      <w:numFmt w:val="decimal"/>
      <w:start w:val="3"/>
    </w:lvl>
  </w:abstractNum>
  <w:abstractNum w:abstractNumId="78">
    <w:nsid w:val="6A3DD3E8"/>
    <w:multiLevelType w:val="hybridMultilevel"/>
    <w:lvl w:ilvl="0">
      <w:lvlJc w:val="left"/>
      <w:lvlText w:val="(%1)"/>
      <w:numFmt w:val="decimal"/>
      <w:start w:val="5"/>
    </w:lvl>
  </w:abstractNum>
  <w:abstractNum w:abstractNumId="79">
    <w:nsid w:val="71C91298"/>
    <w:multiLevelType w:val="hybridMultilevel"/>
    <w:lvl w:ilvl="0">
      <w:lvlJc w:val="left"/>
      <w:lvlText w:val="(%1)"/>
      <w:numFmt w:val="decimal"/>
      <w:start w:val="2"/>
    </w:lvl>
  </w:abstractNum>
  <w:abstractNum w:abstractNumId="80">
    <w:nsid w:val="9DAF632"/>
    <w:multiLevelType w:val="hybridMultilevel"/>
    <w:lvl w:ilvl="0">
      <w:lvlJc w:val="left"/>
      <w:lvlText w:val="(%1)"/>
      <w:numFmt w:val="decimal"/>
      <w:start w:val="6"/>
    </w:lvl>
  </w:abstractNum>
  <w:abstractNum w:abstractNumId="81">
    <w:nsid w:val="53299938"/>
    <w:multiLevelType w:val="hybridMultilevel"/>
    <w:lvl w:ilvl="0">
      <w:lvlJc w:val="left"/>
      <w:lvlText w:val="(%1)"/>
      <w:numFmt w:val="decimal"/>
      <w:start w:val="2"/>
    </w:lvl>
  </w:abstractNum>
  <w:abstractNum w:abstractNumId="82">
    <w:nsid w:val="1FBFE8E0"/>
    <w:multiLevelType w:val="hybridMultilevel"/>
    <w:lvl w:ilvl="0">
      <w:lvlJc w:val="left"/>
      <w:lvlText w:val="(%1)"/>
      <w:numFmt w:val="decimal"/>
      <w:start w:val="7"/>
    </w:lvl>
  </w:abstractNum>
  <w:abstractNum w:abstractNumId="83">
    <w:nsid w:val="5092CA79"/>
    <w:multiLevelType w:val="hybridMultilevel"/>
    <w:lvl w:ilvl="0">
      <w:lvlJc w:val="left"/>
      <w:lvlText w:val="(%1)"/>
      <w:numFmt w:val="decimal"/>
      <w:start w:val="3"/>
    </w:lvl>
  </w:abstractNum>
  <w:abstractNum w:abstractNumId="84">
    <w:nsid w:val="1D545C4D"/>
    <w:multiLevelType w:val="hybridMultilevel"/>
    <w:lvl w:ilvl="0">
      <w:lvlJc w:val="left"/>
      <w:lvlText w:val="(%1)"/>
      <w:numFmt w:val="decimal"/>
      <w:start w:val="2"/>
    </w:lvl>
  </w:abstractNum>
  <w:abstractNum w:abstractNumId="85">
    <w:nsid w:val="59ADEA3D"/>
    <w:multiLevelType w:val="hybridMultilevel"/>
    <w:lvl w:ilvl="0">
      <w:lvlJc w:val="left"/>
      <w:lvlText w:val="(%1)"/>
      <w:numFmt w:val="decimal"/>
      <w:start w:val="2"/>
    </w:lvl>
  </w:abstractNum>
  <w:abstractNum w:abstractNumId="86">
    <w:nsid w:val="288F1A34"/>
    <w:multiLevelType w:val="hybridMultilevel"/>
    <w:lvl w:ilvl="0">
      <w:lvlJc w:val="left"/>
      <w:lvlText w:val="(%1)"/>
      <w:numFmt w:val="decimal"/>
      <w:start w:val="2"/>
    </w:lvl>
  </w:abstractNum>
  <w:abstractNum w:abstractNumId="87">
    <w:nsid w:val="2A155DBC"/>
    <w:multiLevelType w:val="hybridMultilevel"/>
    <w:lvl w:ilvl="0">
      <w:lvlJc w:val="left"/>
      <w:lvlText w:val="(%1)"/>
      <w:numFmt w:val="decimal"/>
      <w:start w:val="2"/>
    </w:lvl>
  </w:abstractNum>
  <w:abstractNum w:abstractNumId="88">
    <w:nsid w:val="1D9F6E5F"/>
    <w:multiLevelType w:val="hybridMultilevel"/>
    <w:lvl w:ilvl="0">
      <w:lvlJc w:val="left"/>
      <w:lvlText w:val="(%1)"/>
      <w:numFmt w:val="decimal"/>
      <w:start w:val="10"/>
    </w:lvl>
  </w:abstractNum>
  <w:abstractNum w:abstractNumId="89">
    <w:nsid w:val="97E1B4E"/>
    <w:multiLevelType w:val="hybridMultilevel"/>
    <w:lvl w:ilvl="0">
      <w:lvlJc w:val="left"/>
      <w:lvlText w:val="(%1)"/>
      <w:numFmt w:val="decimal"/>
      <w:start w:val="3"/>
    </w:lvl>
  </w:abstractNum>
  <w:abstractNum w:abstractNumId="90">
    <w:nsid w:val="51088277"/>
    <w:multiLevelType w:val="hybridMultilevel"/>
    <w:lvl w:ilvl="0">
      <w:lvlJc w:val="left"/>
      <w:lvlText w:val="%1."/>
      <w:numFmt w:val="decimal"/>
      <w:start w:val="1"/>
    </w:lvl>
  </w:abstractNum>
  <w:abstractNum w:abstractNumId="91">
    <w:nsid w:val="1CA0C5FA"/>
    <w:multiLevelType w:val="hybridMultilevel"/>
    <w:lvl w:ilvl="0">
      <w:lvlJc w:val="left"/>
      <w:lvlText w:val="%1."/>
      <w:numFmt w:val="decimal"/>
      <w:start w:val="1"/>
    </w:lvl>
  </w:abstractNum>
  <w:abstractNum w:abstractNumId="92">
    <w:nsid w:val="53584BCB"/>
    <w:multiLevelType w:val="hybridMultilevel"/>
    <w:lvl w:ilvl="0">
      <w:lvlJc w:val="left"/>
      <w:lvlText w:val="(%1)"/>
      <w:numFmt w:val="decimal"/>
      <w:start w:val="3"/>
    </w:lvl>
  </w:abstractNum>
  <w:abstractNum w:abstractNumId="93">
    <w:nsid w:val="415E286C"/>
    <w:multiLevelType w:val="hybridMultilevel"/>
    <w:lvl w:ilvl="0">
      <w:lvlJc w:val="left"/>
      <w:lvlText w:val="(%1)"/>
      <w:numFmt w:val="decimal"/>
      <w:start w:val="2"/>
    </w:lvl>
  </w:abstractNum>
  <w:abstractNum w:abstractNumId="94">
    <w:nsid w:val="7C58FD05"/>
    <w:multiLevelType w:val="hybridMultilevel"/>
    <w:lvl w:ilvl="0">
      <w:lvlJc w:val="left"/>
      <w:lvlText w:val="(%1)"/>
      <w:numFmt w:val="decimal"/>
      <w:start w:val="2"/>
    </w:lvl>
  </w:abstractNum>
  <w:abstractNum w:abstractNumId="95">
    <w:nsid w:val="23D86AAC"/>
    <w:multiLevelType w:val="hybridMultilevel"/>
    <w:lvl w:ilvl="0">
      <w:lvlJc w:val="left"/>
      <w:lvlText w:val="(%1)"/>
      <w:numFmt w:val="decimal"/>
      <w:start w:val="2"/>
    </w:lvl>
  </w:abstractNum>
  <w:abstractNum w:abstractNumId="96">
    <w:nsid w:val="45E6D486"/>
    <w:multiLevelType w:val="hybridMultilevel"/>
    <w:lvl w:ilvl="0">
      <w:lvlJc w:val="left"/>
      <w:lvlText w:val="(%1)"/>
      <w:numFmt w:val="decimal"/>
      <w:start w:val="4"/>
    </w:lvl>
  </w:abstractNum>
  <w:abstractNum w:abstractNumId="97">
    <w:nsid w:val="5C10FE21"/>
    <w:multiLevelType w:val="hybridMultilevel"/>
    <w:lvl w:ilvl="0">
      <w:lvlJc w:val="left"/>
      <w:lvlText w:val="(%1)"/>
      <w:numFmt w:val="decimal"/>
      <w:start w:val="4"/>
    </w:lvl>
  </w:abstractNum>
  <w:abstractNum w:abstractNumId="98">
    <w:nsid w:val="E7FFA2B"/>
    <w:multiLevelType w:val="hybridMultilevel"/>
    <w:lvl w:ilvl="0">
      <w:lvlJc w:val="left"/>
      <w:lvlText w:val="(%1)"/>
      <w:numFmt w:val="decimal"/>
      <w:start w:val="2"/>
    </w:lvl>
  </w:abstractNum>
  <w:abstractNum w:abstractNumId="99">
    <w:nsid w:val="3C5991AA"/>
    <w:multiLevelType w:val="hybridMultilevel"/>
    <w:lvl w:ilvl="0">
      <w:lvlJc w:val="left"/>
      <w:lvlText w:val="(%1)"/>
      <w:numFmt w:val="decimal"/>
      <w:start w:val="8"/>
    </w:lvl>
  </w:abstractNum>
  <w:abstractNum w:abstractNumId="100">
    <w:nsid w:val="4BD8591A"/>
    <w:multiLevelType w:val="hybridMultilevel"/>
    <w:lvl w:ilvl="0">
      <w:lvlJc w:val="left"/>
      <w:lvlText w:val="(%1)"/>
      <w:numFmt w:val="decimal"/>
      <w:start w:val="2"/>
    </w:lvl>
  </w:abstractNum>
  <w:abstractNum w:abstractNumId="101">
    <w:nsid w:val="78DF6A55"/>
    <w:multiLevelType w:val="hybridMultilevel"/>
    <w:lvl w:ilvl="0">
      <w:lvlJc w:val="left"/>
      <w:lvlText w:val="(%1)"/>
      <w:numFmt w:val="decimal"/>
      <w:start w:val="3"/>
    </w:lvl>
  </w:abstractNum>
  <w:abstractNum w:abstractNumId="102">
    <w:nsid w:val="39B7AAA2"/>
    <w:multiLevelType w:val="hybridMultilevel"/>
    <w:lvl w:ilvl="0">
      <w:lvlJc w:val="left"/>
      <w:lvlText w:val="(%1)"/>
      <w:numFmt w:val="decimal"/>
      <w:start w:val="20"/>
    </w:lvl>
  </w:abstractNum>
  <w:abstractNum w:abstractNumId="103">
    <w:nsid w:val="2B0D8DBE"/>
    <w:multiLevelType w:val="hybridMultilevel"/>
    <w:lvl w:ilvl="0">
      <w:lvlJc w:val="left"/>
      <w:lvlText w:val="(%1)"/>
      <w:numFmt w:val="decimal"/>
      <w:start w:val="2"/>
    </w:lvl>
  </w:abstractNum>
  <w:abstractNum w:abstractNumId="104">
    <w:nsid w:val="6C80EC70"/>
    <w:multiLevelType w:val="hybridMultilevel"/>
    <w:lvl w:ilvl="0">
      <w:lvlJc w:val="left"/>
      <w:lvlText w:val="(%1)"/>
      <w:numFmt w:val="decimal"/>
      <w:start w:val="2"/>
    </w:lvl>
  </w:abstractNum>
  <w:abstractNum w:abstractNumId="105">
    <w:nsid w:val="379E21B5"/>
    <w:multiLevelType w:val="hybridMultilevel"/>
    <w:lvl w:ilvl="0">
      <w:lvlJc w:val="left"/>
      <w:lvlText w:val="(%1)"/>
      <w:numFmt w:val="decimal"/>
      <w:start w:val="6"/>
    </w:lvl>
  </w:abstractNum>
  <w:abstractNum w:abstractNumId="106">
    <w:nsid w:val="69E373"/>
    <w:multiLevelType w:val="hybridMultilevel"/>
    <w:lvl w:ilvl="0">
      <w:lvlJc w:val="left"/>
      <w:lvlText w:val="(%1)"/>
      <w:numFmt w:val="decimal"/>
      <w:start w:val="1"/>
    </w:lvl>
  </w:abstractNum>
  <w:abstractNum w:abstractNumId="107">
    <w:nsid w:val="2C27173B"/>
    <w:multiLevelType w:val="hybridMultilevel"/>
    <w:lvl w:ilvl="0">
      <w:lvlJc w:val="left"/>
      <w:lvlText w:val="(%1)"/>
      <w:numFmt w:val="decimal"/>
      <w:start w:val="2"/>
    </w:lvl>
  </w:abstractNum>
  <w:abstractNum w:abstractNumId="108">
    <w:nsid w:val="4C9B0904"/>
    <w:multiLevelType w:val="hybridMultilevel"/>
    <w:lvl w:ilvl="0">
      <w:lvlJc w:val="left"/>
      <w:lvlText w:val="(%1)"/>
      <w:numFmt w:val="decimal"/>
      <w:start w:val="2"/>
    </w:lvl>
  </w:abstractNum>
  <w:abstractNum w:abstractNumId="109">
    <w:nsid w:val="6AA7B75C"/>
    <w:multiLevelType w:val="hybridMultilevel"/>
    <w:lvl w:ilvl="0">
      <w:lvlJc w:val="left"/>
      <w:lvlText w:val="(%1)"/>
      <w:numFmt w:val="decimal"/>
      <w:start w:val="4"/>
    </w:lvl>
  </w:abstractNum>
  <w:abstractNum w:abstractNumId="110">
    <w:nsid w:val="1DF029D3"/>
    <w:multiLevelType w:val="hybridMultilevel"/>
    <w:lvl w:ilvl="0">
      <w:lvlJc w:val="left"/>
      <w:lvlText w:val="(%1)"/>
      <w:numFmt w:val="decimal"/>
      <w:start w:val="3"/>
    </w:lvl>
  </w:abstractNum>
  <w:abstractNum w:abstractNumId="111">
    <w:nsid w:val="5675FF36"/>
    <w:multiLevelType w:val="hybridMultilevel"/>
    <w:lvl w:ilvl="0">
      <w:lvlJc w:val="left"/>
      <w:lvlText w:val="(%1)"/>
      <w:numFmt w:val="decimal"/>
      <w:start w:val="5"/>
    </w:lvl>
  </w:abstractNum>
  <w:abstractNum w:abstractNumId="112">
    <w:nsid w:val="3DD15094"/>
    <w:multiLevelType w:val="hybridMultilevel"/>
    <w:lvl w:ilvl="0">
      <w:lvlJc w:val="left"/>
      <w:lvlText w:val="(%1)"/>
      <w:numFmt w:val="decimal"/>
      <w:start w:val="2"/>
    </w:lvl>
  </w:abstractNum>
  <w:abstractNum w:abstractNumId="113">
    <w:nsid w:val="3DB012B3"/>
    <w:multiLevelType w:val="hybridMultilevel"/>
    <w:lvl w:ilvl="0">
      <w:lvlJc w:val="left"/>
      <w:lvlText w:val="(%1)"/>
      <w:numFmt w:val="decimal"/>
      <w:start w:val="6"/>
    </w:lvl>
  </w:abstractNum>
  <w:abstractNum w:abstractNumId="114">
    <w:nsid w:val="2708C9AF"/>
    <w:multiLevelType w:val="hybridMultilevel"/>
    <w:lvl w:ilvl="0">
      <w:lvlJc w:val="left"/>
      <w:lvlText w:val="(%1)"/>
      <w:numFmt w:val="decimal"/>
      <w:start w:val="2"/>
    </w:lvl>
  </w:abstractNum>
  <w:abstractNum w:abstractNumId="115">
    <w:nsid w:val="5B25ACE2"/>
    <w:multiLevelType w:val="hybridMultilevel"/>
    <w:lvl w:ilvl="0">
      <w:lvlJc w:val="left"/>
      <w:lvlText w:val="(%1)"/>
      <w:numFmt w:val="decimal"/>
      <w:start w:val="3"/>
    </w:lvl>
  </w:abstractNum>
  <w:abstractNum w:abstractNumId="116">
    <w:nsid w:val="175DFCF0"/>
    <w:multiLevelType w:val="hybridMultilevel"/>
    <w:lvl w:ilvl="0">
      <w:lvlJc w:val="left"/>
      <w:lvlText w:val="(%1)"/>
      <w:numFmt w:val="decimal"/>
      <w:start w:val="2"/>
    </w:lvl>
  </w:abstractNum>
  <w:abstractNum w:abstractNumId="117">
    <w:nsid w:val="4F97E3E4"/>
    <w:multiLevelType w:val="hybridMultilevel"/>
    <w:lvl w:ilvl="0">
      <w:lvlJc w:val="left"/>
      <w:lvlText w:val="(%1)"/>
      <w:numFmt w:val="decimal"/>
      <w:start w:val="2"/>
    </w:lvl>
  </w:abstractNum>
  <w:abstractNum w:abstractNumId="118">
    <w:nsid w:val="53B0A9E"/>
    <w:multiLevelType w:val="hybridMultilevel"/>
    <w:lvl w:ilvl="0">
      <w:lvlJc w:val="left"/>
      <w:lvlText w:val="(%1)"/>
      <w:numFmt w:val="decimal"/>
      <w:start w:val="2"/>
    </w:lvl>
  </w:abstractNum>
  <w:abstractNum w:abstractNumId="119">
    <w:nsid w:val="34FD6B4F"/>
    <w:multiLevelType w:val="hybridMultilevel"/>
    <w:lvl w:ilvl="0">
      <w:lvlJc w:val="left"/>
      <w:lvlText w:val="(%1)"/>
      <w:numFmt w:val="decimal"/>
      <w:start w:val="2"/>
    </w:lvl>
  </w:abstractNum>
  <w:abstractNum w:abstractNumId="120">
    <w:nsid w:val="5915FF32"/>
    <w:multiLevelType w:val="hybridMultilevel"/>
    <w:lvl w:ilvl="0">
      <w:lvlJc w:val="left"/>
      <w:lvlText w:val="(%1)"/>
      <w:numFmt w:val="decimal"/>
      <w:start w:val="10"/>
    </w:lvl>
  </w:abstractNum>
  <w:abstractNum w:abstractNumId="121">
    <w:nsid w:val="56438D15"/>
    <w:multiLevelType w:val="hybridMultilevel"/>
    <w:lvl w:ilvl="0">
      <w:lvlJc w:val="left"/>
      <w:lvlText w:val="(%1)"/>
      <w:numFmt w:val="decimal"/>
      <w:start w:val="3"/>
    </w:lvl>
  </w:abstractNum>
  <w:abstractNum w:abstractNumId="122">
    <w:nsid w:val="519E3149"/>
    <w:multiLevelType w:val="hybridMultilevel"/>
    <w:lvl w:ilvl="0">
      <w:lvlJc w:val="left"/>
      <w:lvlText w:val="%1."/>
      <w:numFmt w:val="decimal"/>
      <w:start w:val="1"/>
    </w:lvl>
  </w:abstractNum>
  <w:abstractNum w:abstractNumId="123">
    <w:nsid w:val="2C6E4AFD"/>
    <w:multiLevelType w:val="hybridMultilevel"/>
    <w:lvl w:ilvl="0">
      <w:lvlJc w:val="left"/>
      <w:lvlText w:val="%1."/>
      <w:numFmt w:val="decimal"/>
      <w:start w:val="3"/>
    </w:lvl>
  </w:abstractNum>
  <w:abstractNum w:abstractNumId="124">
    <w:nsid w:val="17A1B582"/>
    <w:multiLevelType w:val="hybridMultilevel"/>
    <w:lvl w:ilvl="0">
      <w:lvlJc w:val="left"/>
      <w:lvlText w:val="%1."/>
      <w:numFmt w:val="decimal"/>
      <w:start w:val="6"/>
    </w:lvl>
  </w:abstractNum>
  <w:abstractNum w:abstractNumId="125">
    <w:nsid w:val="4DF72E4E"/>
    <w:multiLevelType w:val="hybridMultilevel"/>
    <w:lvl w:ilvl="0">
      <w:lvlJc w:val="left"/>
      <w:lvlText w:val="%1."/>
      <w:numFmt w:val="decimal"/>
      <w:start w:val="7"/>
    </w:lvl>
  </w:abstractNum>
  <w:abstractNum w:abstractNumId="126">
    <w:nsid w:val="5046B5A9"/>
    <w:multiLevelType w:val="hybridMultilevel"/>
    <w:lvl w:ilvl="0">
      <w:lvlJc w:val="left"/>
      <w:lvlText w:val="%1."/>
      <w:numFmt w:val="decimal"/>
      <w:start w:val="1"/>
    </w:lvl>
    <w:lvl w:ilvl="1">
      <w:lvlJc w:val="left"/>
      <w:lvlText w:val="(%2)"/>
      <w:numFmt w:val="lowerLetter"/>
      <w:start w:val="1"/>
    </w:lvl>
  </w:abstractNum>
  <w:abstractNum w:abstractNumId="127">
    <w:nsid w:val="5D888A08"/>
    <w:multiLevelType w:val="hybridMultilevel"/>
    <w:lvl w:ilvl="0">
      <w:lvlJc w:val="left"/>
      <w:lvlText w:val="%1."/>
      <w:numFmt w:val="decimal"/>
      <w:start w:val="1"/>
    </w:lvl>
  </w:abstractNum>
  <w:abstractNum w:abstractNumId="128">
    <w:nsid w:val="2A082C70"/>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2019-12-29T07:42:33Z</dcterms:created>
  <dcterms:modified xsi:type="dcterms:W3CDTF">2019-12-29T07:42:33Z</dcterms:modified>
</cp:coreProperties>
</file>