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206375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222885</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74930</wp:posOffset>
            </wp:positionV>
            <wp:extent cx="1433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93980</wp:posOffset>
            </wp:positionV>
            <wp:extent cx="1433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93" w:lineRule="exact"/>
        <w:rPr>
          <w:sz w:val="24"/>
          <w:szCs w:val="24"/>
          <w:color w:val="auto"/>
        </w:rPr>
      </w:pPr>
    </w:p>
    <w:p>
      <w:pPr>
        <w:ind w:left="500" w:right="480" w:hanging="494"/>
        <w:spacing w:after="0" w:line="268" w:lineRule="auto"/>
        <w:tabs>
          <w:tab w:leader="none" w:pos="5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8" w:lineRule="exact"/>
        <w:rPr>
          <w:sz w:val="24"/>
          <w:szCs w:val="24"/>
          <w:color w:val="auto"/>
        </w:rPr>
      </w:pPr>
    </w:p>
    <w:p>
      <w:pPr>
        <w:ind w:left="500" w:right="460" w:hanging="494"/>
        <w:spacing w:after="0" w:line="268" w:lineRule="auto"/>
        <w:tabs>
          <w:tab w:leader="none" w:pos="5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4" w:lineRule="exact"/>
        <w:rPr>
          <w:sz w:val="24"/>
          <w:szCs w:val="24"/>
          <w:color w:val="auto"/>
        </w:rPr>
      </w:pPr>
    </w:p>
    <w:p>
      <w:pPr>
        <w:ind w:left="3620"/>
        <w:spacing w:after="0"/>
        <w:tabs>
          <w:tab w:leader="none" w:pos="6660" w:val="left"/>
          <w:tab w:leader="none" w:pos="75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3771900</wp:posOffset>
            </wp:positionH>
            <wp:positionV relativeFrom="paragraph">
              <wp:posOffset>-10160</wp:posOffset>
            </wp:positionV>
            <wp:extent cx="1042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89535</wp:posOffset>
            </wp:positionV>
            <wp:extent cx="1433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MannKind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68580</wp:posOffset>
            </wp:positionV>
            <wp:extent cx="1433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000" w:type="dxa"/>
            <w:vAlign w:val="bottom"/>
          </w:tcPr>
          <w:p>
            <w:pPr>
              <w:jc w:val="center"/>
              <w:ind w:left="1558"/>
              <w:spacing w:after="0"/>
              <w:rPr>
                <w:sz w:val="20"/>
                <w:szCs w:val="20"/>
                <w:color w:val="auto"/>
              </w:rPr>
            </w:pPr>
            <w:r>
              <w:rPr>
                <w:rFonts w:ascii="Arial" w:cs="Arial" w:eastAsia="Arial" w:hAnsi="Arial"/>
                <w:sz w:val="18"/>
                <w:szCs w:val="18"/>
                <w:b w:val="1"/>
                <w:bCs w:val="1"/>
                <w:color w:val="auto"/>
                <w:w w:val="91"/>
              </w:rPr>
              <w:t>Delaware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right"/>
              <w:ind w:right="2298"/>
              <w:spacing w:after="0"/>
              <w:rPr>
                <w:sz w:val="20"/>
                <w:szCs w:val="20"/>
                <w:color w:val="auto"/>
              </w:rPr>
            </w:pPr>
            <w:r>
              <w:rPr>
                <w:rFonts w:ascii="Arial" w:cs="Arial" w:eastAsia="Arial" w:hAnsi="Arial"/>
                <w:sz w:val="18"/>
                <w:szCs w:val="18"/>
                <w:b w:val="1"/>
                <w:bCs w:val="1"/>
                <w:color w:val="auto"/>
              </w:rPr>
              <w:t>13-3607736</w:t>
            </w:r>
          </w:p>
        </w:tc>
        <w:tc>
          <w:tcPr>
            <w:tcW w:w="0" w:type="dxa"/>
            <w:vAlign w:val="bottom"/>
          </w:tcPr>
          <w:p>
            <w:pPr>
              <w:spacing w:after="0"/>
              <w:rPr>
                <w:sz w:val="1"/>
                <w:szCs w:val="1"/>
                <w:color w:val="auto"/>
              </w:rPr>
            </w:pPr>
          </w:p>
        </w:tc>
      </w:tr>
      <w:tr>
        <w:trPr>
          <w:trHeight w:val="211"/>
        </w:trPr>
        <w:tc>
          <w:tcPr>
            <w:tcW w:w="4000" w:type="dxa"/>
            <w:vAlign w:val="bottom"/>
          </w:tcPr>
          <w:p>
            <w:pPr>
              <w:jc w:val="center"/>
              <w:ind w:left="1558"/>
              <w:spacing w:after="0"/>
              <w:rPr>
                <w:sz w:val="20"/>
                <w:szCs w:val="20"/>
                <w:color w:val="auto"/>
              </w:rPr>
            </w:pPr>
            <w:r>
              <w:rPr>
                <w:rFonts w:ascii="Arial" w:cs="Arial" w:eastAsia="Arial" w:hAnsi="Arial"/>
                <w:sz w:val="18"/>
                <w:szCs w:val="18"/>
                <w:b w:val="1"/>
                <w:bCs w:val="1"/>
                <w:color w:val="auto"/>
                <w:w w:val="89"/>
              </w:rPr>
              <w:t>(State or other jurisdiction of</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878"/>
              <w:spacing w:after="0"/>
              <w:rPr>
                <w:sz w:val="20"/>
                <w:szCs w:val="20"/>
                <w:color w:val="auto"/>
              </w:rPr>
            </w:pPr>
            <w:r>
              <w:rPr>
                <w:rFonts w:ascii="Arial" w:cs="Arial" w:eastAsia="Arial" w:hAnsi="Arial"/>
                <w:sz w:val="18"/>
                <w:szCs w:val="18"/>
                <w:b w:val="1"/>
                <w:bCs w:val="1"/>
                <w:color w:val="auto"/>
                <w:w w:val="92"/>
              </w:rPr>
              <w:t>(I.R.S. Employer</w:t>
            </w:r>
          </w:p>
        </w:tc>
        <w:tc>
          <w:tcPr>
            <w:tcW w:w="0" w:type="dxa"/>
            <w:vAlign w:val="bottom"/>
          </w:tcPr>
          <w:p>
            <w:pPr>
              <w:spacing w:after="0"/>
              <w:rPr>
                <w:sz w:val="1"/>
                <w:szCs w:val="1"/>
                <w:color w:val="auto"/>
              </w:rPr>
            </w:pPr>
          </w:p>
        </w:tc>
      </w:tr>
      <w:tr>
        <w:trPr>
          <w:trHeight w:val="229"/>
        </w:trPr>
        <w:tc>
          <w:tcPr>
            <w:tcW w:w="4000" w:type="dxa"/>
            <w:vAlign w:val="bottom"/>
          </w:tcPr>
          <w:p>
            <w:pPr>
              <w:jc w:val="center"/>
              <w:ind w:left="1538"/>
              <w:spacing w:after="0"/>
              <w:rPr>
                <w:sz w:val="20"/>
                <w:szCs w:val="20"/>
                <w:color w:val="auto"/>
              </w:rPr>
            </w:pPr>
            <w:r>
              <w:rPr>
                <w:rFonts w:ascii="Arial" w:cs="Arial" w:eastAsia="Arial" w:hAnsi="Arial"/>
                <w:sz w:val="18"/>
                <w:szCs w:val="18"/>
                <w:b w:val="1"/>
                <w:bCs w:val="1"/>
                <w:color w:val="auto"/>
                <w:w w:val="89"/>
              </w:rPr>
              <w:t>incorporation or organization)</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0"/>
              </w:rPr>
              <w:t>Identification No.)</w:t>
            </w:r>
          </w:p>
        </w:tc>
        <w:tc>
          <w:tcPr>
            <w:tcW w:w="0" w:type="dxa"/>
            <w:vAlign w:val="bottom"/>
          </w:tcPr>
          <w:p>
            <w:pPr>
              <w:spacing w:after="0"/>
              <w:rPr>
                <w:sz w:val="1"/>
                <w:szCs w:val="1"/>
                <w:color w:val="auto"/>
              </w:rPr>
            </w:pPr>
          </w:p>
        </w:tc>
      </w:tr>
      <w:tr>
        <w:trPr>
          <w:trHeight w:val="313"/>
        </w:trPr>
        <w:tc>
          <w:tcPr>
            <w:tcW w:w="4000" w:type="dxa"/>
            <w:vAlign w:val="bottom"/>
          </w:tcPr>
          <w:p>
            <w:pPr>
              <w:ind w:left="2220"/>
              <w:spacing w:after="0"/>
              <w:rPr>
                <w:sz w:val="20"/>
                <w:szCs w:val="20"/>
                <w:color w:val="auto"/>
              </w:rPr>
            </w:pPr>
            <w:r>
              <w:rPr>
                <w:rFonts w:ascii="Arial" w:cs="Arial" w:eastAsia="Arial" w:hAnsi="Arial"/>
                <w:sz w:val="18"/>
                <w:szCs w:val="18"/>
                <w:b w:val="1"/>
                <w:bCs w:val="1"/>
                <w:color w:val="auto"/>
              </w:rPr>
              <w:t>1 Casper Street</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00" w:type="dxa"/>
            <w:vAlign w:val="bottom"/>
          </w:tcPr>
          <w:p>
            <w:pPr>
              <w:jc w:val="center"/>
              <w:ind w:left="1538"/>
              <w:spacing w:after="0"/>
              <w:rPr>
                <w:sz w:val="20"/>
                <w:szCs w:val="20"/>
                <w:color w:val="auto"/>
              </w:rPr>
            </w:pPr>
            <w:r>
              <w:rPr>
                <w:rFonts w:ascii="Arial" w:cs="Arial" w:eastAsia="Arial" w:hAnsi="Arial"/>
                <w:sz w:val="18"/>
                <w:szCs w:val="18"/>
                <w:b w:val="1"/>
                <w:bCs w:val="1"/>
                <w:color w:val="auto"/>
                <w:w w:val="88"/>
              </w:rPr>
              <w:t>Danbury, Connecticut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98"/>
              <w:spacing w:after="0"/>
              <w:rPr>
                <w:sz w:val="20"/>
                <w:szCs w:val="20"/>
                <w:color w:val="auto"/>
              </w:rPr>
            </w:pPr>
            <w:r>
              <w:rPr>
                <w:rFonts w:ascii="Arial" w:cs="Arial" w:eastAsia="Arial" w:hAnsi="Arial"/>
                <w:sz w:val="18"/>
                <w:szCs w:val="18"/>
                <w:b w:val="1"/>
                <w:bCs w:val="1"/>
                <w:color w:val="auto"/>
              </w:rPr>
              <w:t>06810</w:t>
            </w:r>
          </w:p>
        </w:tc>
        <w:tc>
          <w:tcPr>
            <w:tcW w:w="0" w:type="dxa"/>
            <w:vAlign w:val="bottom"/>
          </w:tcPr>
          <w:p>
            <w:pPr>
              <w:spacing w:after="0"/>
              <w:rPr>
                <w:sz w:val="1"/>
                <w:szCs w:val="1"/>
                <w:color w:val="auto"/>
              </w:rPr>
            </w:pPr>
          </w:p>
        </w:tc>
      </w:tr>
      <w:tr>
        <w:trPr>
          <w:trHeight w:val="183"/>
        </w:trPr>
        <w:tc>
          <w:tcPr>
            <w:tcW w:w="4000" w:type="dxa"/>
            <w:vAlign w:val="bottom"/>
          </w:tcPr>
          <w:p>
            <w:pPr>
              <w:jc w:val="center"/>
              <w:ind w:left="1558"/>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40" w:type="dxa"/>
            <w:vAlign w:val="bottom"/>
          </w:tcPr>
          <w:p>
            <w:pPr>
              <w:jc w:val="center"/>
              <w:ind w:right="1878"/>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1"/>
                <w:szCs w:val="21"/>
                <w:color w:val="auto"/>
              </w:rPr>
            </w:pPr>
          </w:p>
        </w:tc>
        <w:tc>
          <w:tcPr>
            <w:tcW w:w="2760" w:type="dxa"/>
            <w:vAlign w:val="bottom"/>
            <w:gridSpan w:val="4"/>
          </w:tcPr>
          <w:p>
            <w:pPr>
              <w:jc w:val="center"/>
              <w:ind w:left="421"/>
              <w:spacing w:after="0"/>
              <w:rPr>
                <w:sz w:val="20"/>
                <w:szCs w:val="20"/>
                <w:color w:val="auto"/>
              </w:rPr>
            </w:pPr>
            <w:r>
              <w:rPr>
                <w:rFonts w:ascii="Arial" w:cs="Arial" w:eastAsia="Arial" w:hAnsi="Arial"/>
                <w:sz w:val="18"/>
                <w:szCs w:val="18"/>
                <w:b w:val="1"/>
                <w:bCs w:val="1"/>
                <w:color w:val="auto"/>
                <w:w w:val="89"/>
              </w:rPr>
              <w:t>(818) 661-5000</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00" w:type="dxa"/>
            <w:vAlign w:val="bottom"/>
          </w:tcPr>
          <w:p>
            <w:pPr>
              <w:spacing w:after="0"/>
              <w:rPr>
                <w:sz w:val="15"/>
                <w:szCs w:val="15"/>
                <w:color w:val="auto"/>
              </w:rPr>
            </w:pPr>
          </w:p>
        </w:tc>
        <w:tc>
          <w:tcPr>
            <w:tcW w:w="36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4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60" w:type="dxa"/>
            <w:vAlign w:val="bottom"/>
            <w:gridSpan w:val="2"/>
          </w:tcPr>
          <w:p>
            <w:pPr>
              <w:spacing w:after="0"/>
              <w:rPr>
                <w:sz w:val="6"/>
                <w:szCs w:val="6"/>
                <w:color w:val="auto"/>
              </w:rPr>
            </w:pPr>
          </w:p>
        </w:tc>
        <w:tc>
          <w:tcPr>
            <w:tcW w:w="6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1240" w:type="dxa"/>
            <w:vAlign w:val="bottom"/>
            <w:gridSpan w:val="8"/>
          </w:tcPr>
          <w:p>
            <w:pPr>
              <w:jc w:val="center"/>
              <w:spacing w:after="0"/>
              <w:rPr>
                <w:sz w:val="20"/>
                <w:szCs w:val="20"/>
                <w:color w:val="auto"/>
              </w:rPr>
            </w:pPr>
            <w:r>
              <w:rPr>
                <w:rFonts w:ascii="Arial" w:cs="Arial" w:eastAsia="Arial" w:hAnsi="Arial"/>
                <w:sz w:val="16"/>
                <w:szCs w:val="16"/>
                <w:color w:val="auto"/>
                <w:w w:val="89"/>
              </w:rPr>
              <w:t>(Former name, former address and former fiscal year, if changed since last report)</w:t>
            </w:r>
          </w:p>
        </w:tc>
        <w:tc>
          <w:tcPr>
            <w:tcW w:w="0" w:type="dxa"/>
            <w:vAlign w:val="bottom"/>
          </w:tcPr>
          <w:p>
            <w:pPr>
              <w:spacing w:after="0"/>
              <w:rPr>
                <w:sz w:val="1"/>
                <w:szCs w:val="1"/>
                <w:color w:val="auto"/>
              </w:rPr>
            </w:pPr>
          </w:p>
        </w:tc>
      </w:tr>
      <w:tr>
        <w:trPr>
          <w:trHeight w:val="251"/>
        </w:trPr>
        <w:tc>
          <w:tcPr>
            <w:tcW w:w="7600" w:type="dxa"/>
            <w:vAlign w:val="bottom"/>
            <w:gridSpan w:val="7"/>
          </w:tcPr>
          <w:p>
            <w:pPr>
              <w:jc w:val="center"/>
              <w:ind w:left="3578"/>
              <w:spacing w:after="0"/>
              <w:rPr>
                <w:sz w:val="20"/>
                <w:szCs w:val="20"/>
                <w:color w:val="auto"/>
              </w:rPr>
            </w:pPr>
            <w:r>
              <w:rPr>
                <w:rFonts w:ascii="Arial" w:cs="Arial" w:eastAsia="Arial" w:hAnsi="Arial"/>
                <w:sz w:val="16"/>
                <w:szCs w:val="16"/>
                <w:color w:val="auto"/>
                <w:w w:val="90"/>
              </w:rPr>
              <w:t>Securities registered pursuant to Section 12(b) of the Act:</w:t>
            </w: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00" w:type="dxa"/>
            <w:vAlign w:val="bottom"/>
            <w:vMerge w:val="restart"/>
          </w:tcPr>
          <w:p>
            <w:pPr>
              <w:jc w:val="center"/>
              <w:ind w:left="218"/>
              <w:spacing w:after="0"/>
              <w:rPr>
                <w:sz w:val="20"/>
                <w:szCs w:val="20"/>
                <w:color w:val="auto"/>
              </w:rPr>
            </w:pPr>
            <w:r>
              <w:rPr>
                <w:rFonts w:ascii="Arial" w:cs="Arial" w:eastAsia="Arial" w:hAnsi="Arial"/>
                <w:sz w:val="14"/>
                <w:szCs w:val="14"/>
                <w:b w:val="1"/>
                <w:bCs w:val="1"/>
                <w:color w:val="auto"/>
                <w:w w:val="87"/>
              </w:rPr>
              <w:t>Title of each class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7"/>
              </w:rPr>
              <w:t>Trading</w:t>
            </w:r>
          </w:p>
        </w:tc>
        <w:tc>
          <w:tcPr>
            <w:tcW w:w="3640" w:type="dxa"/>
            <w:vAlign w:val="bottom"/>
            <w:vMerge w:val="restart"/>
          </w:tcPr>
          <w:p>
            <w:pPr>
              <w:jc w:val="center"/>
              <w:ind w:right="538"/>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168"/>
        </w:trPr>
        <w:tc>
          <w:tcPr>
            <w:tcW w:w="40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tcBorders>
              <w:top w:val="single" w:sz="8" w:color="auto"/>
            </w:tcBorders>
          </w:tcPr>
          <w:p>
            <w:pPr>
              <w:jc w:val="center"/>
              <w:ind w:left="218"/>
              <w:spacing w:after="0"/>
              <w:rPr>
                <w:sz w:val="20"/>
                <w:szCs w:val="20"/>
                <w:color w:val="auto"/>
              </w:rPr>
            </w:pPr>
            <w:r>
              <w:rPr>
                <w:rFonts w:ascii="Arial" w:cs="Arial" w:eastAsia="Arial" w:hAnsi="Arial"/>
                <w:sz w:val="16"/>
                <w:szCs w:val="16"/>
                <w:color w:val="auto"/>
                <w:w w:val="88"/>
              </w:rPr>
              <w:t>Common Stock, par value $0.01 per share</w:t>
            </w: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MNKD</w:t>
            </w:r>
          </w:p>
        </w:tc>
        <w:tc>
          <w:tcPr>
            <w:tcW w:w="2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640" w:type="dxa"/>
            <w:vAlign w:val="bottom"/>
            <w:tcBorders>
              <w:top w:val="single" w:sz="8" w:color="auto"/>
            </w:tcBorders>
          </w:tcPr>
          <w:p>
            <w:pPr>
              <w:jc w:val="center"/>
              <w:ind w:right="538"/>
              <w:spacing w:after="0"/>
              <w:rPr>
                <w:sz w:val="20"/>
                <w:szCs w:val="20"/>
                <w:color w:val="auto"/>
              </w:rPr>
            </w:pPr>
            <w:r>
              <w:rPr>
                <w:rFonts w:ascii="Arial" w:cs="Arial" w:eastAsia="Arial" w:hAnsi="Arial"/>
                <w:sz w:val="16"/>
                <w:szCs w:val="16"/>
                <w:color w:val="auto"/>
                <w:w w:val="90"/>
              </w:rPr>
              <w:t>The Nasdaq Stock Market LLC</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right="4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0"/>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2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7"/>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17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80" w:type="dxa"/>
            <w:vAlign w:val="bottom"/>
          </w:tcPr>
          <w:p>
            <w:pPr>
              <w:ind w:left="31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880"/>
        <w:spacing w:after="0" w:line="25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29, 2022, there were 252,565,400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135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wp:posOffset>
            </wp:positionV>
            <wp:extent cx="713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483235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2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40" w:type="dxa"/>
            <w:vAlign w:val="bottom"/>
            <w:gridSpan w:val="10"/>
            <w:vMerge w:val="restart"/>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PART I: FINANCIAL INFORMATION</w:t>
              </w:r>
            </w:hyperlink>
          </w:p>
        </w:tc>
        <w:tc>
          <w:tcPr>
            <w:tcW w:w="7920" w:type="dxa"/>
            <w:vAlign w:val="bottom"/>
            <w:gridSpan w:val="11"/>
            <w:vMerge w:val="restart"/>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0"/>
        </w:trPr>
        <w:tc>
          <w:tcPr>
            <w:tcW w:w="2840" w:type="dxa"/>
            <w:vAlign w:val="bottom"/>
            <w:tcBorders>
              <w:bottom w:val="single" w:sz="8" w:color="0000EE"/>
            </w:tcBorders>
            <w:gridSpan w:val="10"/>
            <w:vMerge w:val="continue"/>
          </w:tcPr>
          <w:p>
            <w:pPr>
              <w:spacing w:after="0"/>
              <w:rPr>
                <w:sz w:val="14"/>
                <w:szCs w:val="14"/>
                <w:color w:val="auto"/>
              </w:rPr>
            </w:pPr>
          </w:p>
        </w:tc>
        <w:tc>
          <w:tcPr>
            <w:tcW w:w="7920" w:type="dxa"/>
            <w:vAlign w:val="bottom"/>
            <w:gridSpan w:val="11"/>
            <w:vMerge w:val="continue"/>
          </w:tcPr>
          <w:p>
            <w:pPr>
              <w:spacing w:after="0"/>
              <w:rPr>
                <w:sz w:val="14"/>
                <w:szCs w:val="14"/>
                <w:color w:val="auto"/>
              </w:rPr>
            </w:pPr>
          </w:p>
        </w:tc>
        <w:tc>
          <w:tcPr>
            <w:tcW w:w="48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9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Financial Statements (Unaudited)</w:t>
              </w:r>
            </w:hyperlink>
          </w:p>
        </w:tc>
        <w:tc>
          <w:tcPr>
            <w:tcW w:w="7840" w:type="dxa"/>
            <w:vAlign w:val="bottom"/>
            <w:gridSpan w:val="10"/>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1"/>
        </w:trPr>
        <w:tc>
          <w:tcPr>
            <w:tcW w:w="5820" w:type="dxa"/>
            <w:vAlign w:val="bottom"/>
            <w:tcBorders>
              <w:bottom w:val="single" w:sz="8" w:color="0000EE"/>
            </w:tcBorders>
            <w:gridSpan w:val="15"/>
          </w:tcPr>
          <w:p>
            <w:pPr>
              <w:spacing w:after="0" w:line="191"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March 31, 2022 and December 31, 2021</w:t>
              </w:r>
            </w:hyperlink>
          </w:p>
        </w:tc>
        <w:tc>
          <w:tcPr>
            <w:tcW w:w="4940" w:type="dxa"/>
            <w:vAlign w:val="bottom"/>
            <w:gridSpan w:val="6"/>
          </w:tcPr>
          <w:p>
            <w:pPr>
              <w:spacing w:after="0"/>
              <w:rPr>
                <w:sz w:val="16"/>
                <w:szCs w:val="16"/>
                <w:color w:val="auto"/>
              </w:rPr>
            </w:pPr>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1"/>
        </w:trPr>
        <w:tc>
          <w:tcPr>
            <w:tcW w:w="6980" w:type="dxa"/>
            <w:vAlign w:val="bottom"/>
            <w:tcBorders>
              <w:bottom w:val="single" w:sz="8" w:color="0000EE"/>
            </w:tcBorders>
            <w:gridSpan w:val="17"/>
          </w:tcPr>
          <w:p>
            <w:pPr>
              <w:spacing w:after="0" w:line="191"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Three months ended March 31, 2022 and 2021</w:t>
              </w:r>
            </w:hyperlink>
          </w:p>
        </w:tc>
        <w:tc>
          <w:tcPr>
            <w:tcW w:w="3780" w:type="dxa"/>
            <w:vAlign w:val="bottom"/>
            <w:gridSpan w:val="4"/>
          </w:tcPr>
          <w:p>
            <w:pPr>
              <w:spacing w:after="0"/>
              <w:rPr>
                <w:sz w:val="16"/>
                <w:szCs w:val="16"/>
                <w:color w:val="auto"/>
              </w:rPr>
            </w:pPr>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1"/>
        </w:trPr>
        <w:tc>
          <w:tcPr>
            <w:tcW w:w="7680" w:type="dxa"/>
            <w:vAlign w:val="bottom"/>
            <w:tcBorders>
              <w:bottom w:val="single" w:sz="8" w:color="0000EE"/>
            </w:tcBorders>
            <w:gridSpan w:val="19"/>
          </w:tcPr>
          <w:p>
            <w:pPr>
              <w:spacing w:after="0" w:line="191"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Comprehensive Loss: Three months ended March 31, 2022 and 2021</w:t>
              </w:r>
            </w:hyperlink>
          </w:p>
        </w:tc>
        <w:tc>
          <w:tcPr>
            <w:tcW w:w="3080" w:type="dxa"/>
            <w:vAlign w:val="bottom"/>
            <w:gridSpan w:val="2"/>
          </w:tcPr>
          <w:p>
            <w:pPr>
              <w:spacing w:after="0"/>
              <w:rPr>
                <w:sz w:val="16"/>
                <w:szCs w:val="16"/>
                <w:color w:val="auto"/>
              </w:rPr>
            </w:pPr>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1"/>
        </w:trPr>
        <w:tc>
          <w:tcPr>
            <w:tcW w:w="10760" w:type="dxa"/>
            <w:vAlign w:val="bottom"/>
            <w:gridSpan w:val="21"/>
          </w:tcPr>
          <w:p>
            <w:pPr>
              <w:spacing w:after="0" w:line="191"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Deficit: Three months ended March 31, 2022 and 2021</w:t>
              </w:r>
            </w:hyperlink>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1"/>
        </w:trPr>
        <w:tc>
          <w:tcPr>
            <w:tcW w:w="7700" w:type="dxa"/>
            <w:vAlign w:val="bottom"/>
            <w:tcBorders>
              <w:top w:val="single" w:sz="8" w:color="0000EE"/>
            </w:tcBorders>
            <w:gridSpan w:val="20"/>
          </w:tcPr>
          <w:p>
            <w:pPr>
              <w:spacing w:after="0" w:line="191"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Consolidated Statements of Cash Flows: Three months ended March 31, 2022 and 2021</w:t>
              </w:r>
            </w:hyperlink>
          </w:p>
        </w:tc>
        <w:tc>
          <w:tcPr>
            <w:tcW w:w="3060" w:type="dxa"/>
            <w:vAlign w:val="bottom"/>
          </w:tcPr>
          <w:p>
            <w:pPr>
              <w:spacing w:after="0"/>
              <w:rPr>
                <w:sz w:val="16"/>
                <w:szCs w:val="16"/>
                <w:color w:val="auto"/>
              </w:rPr>
            </w:pPr>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1"/>
        </w:trPr>
        <w:tc>
          <w:tcPr>
            <w:tcW w:w="3920" w:type="dxa"/>
            <w:vAlign w:val="bottom"/>
            <w:tcBorders>
              <w:top w:val="single" w:sz="8" w:color="0000EE"/>
              <w:bottom w:val="single" w:sz="8" w:color="0000EE"/>
            </w:tcBorders>
            <w:gridSpan w:val="12"/>
          </w:tcPr>
          <w:p>
            <w:pPr>
              <w:spacing w:after="0" w:line="191"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Condensed Consolidated Financial Statements</w:t>
              </w:r>
            </w:hyperlink>
          </w:p>
        </w:tc>
        <w:tc>
          <w:tcPr>
            <w:tcW w:w="3100" w:type="dxa"/>
            <w:vAlign w:val="bottom"/>
            <w:tcBorders>
              <w:top w:val="single" w:sz="8" w:color="0000EE"/>
            </w:tcBorders>
            <w:gridSpan w:val="6"/>
          </w:tcPr>
          <w:p>
            <w:pPr>
              <w:spacing w:after="0"/>
              <w:rPr>
                <w:sz w:val="16"/>
                <w:szCs w:val="16"/>
                <w:color w:val="auto"/>
              </w:rPr>
            </w:pPr>
          </w:p>
        </w:tc>
        <w:tc>
          <w:tcPr>
            <w:tcW w:w="3740" w:type="dxa"/>
            <w:vAlign w:val="bottom"/>
            <w:gridSpan w:val="3"/>
          </w:tcPr>
          <w:p>
            <w:pPr>
              <w:spacing w:after="0"/>
              <w:rPr>
                <w:sz w:val="16"/>
                <w:szCs w:val="16"/>
                <w:color w:val="auto"/>
              </w:rPr>
            </w:pPr>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1"/>
        </w:trPr>
        <w:tc>
          <w:tcPr>
            <w:tcW w:w="10760" w:type="dxa"/>
            <w:vAlign w:val="bottom"/>
            <w:gridSpan w:val="21"/>
          </w:tcPr>
          <w:p>
            <w:pPr>
              <w:spacing w:after="0" w:line="191" w:lineRule="exact"/>
              <w:rPr>
                <w:rFonts w:ascii="Arial" w:cs="Arial" w:eastAsia="Arial" w:hAnsi="Arial"/>
                <w:sz w:val="18"/>
                <w:szCs w:val="18"/>
                <w:color w:val="0000EE"/>
              </w:rPr>
            </w:pPr>
            <w:hyperlink w:anchor="page32">
              <w:r>
                <w:rPr>
                  <w:rFonts w:ascii="Arial" w:cs="Arial" w:eastAsia="Arial" w:hAnsi="Arial"/>
                  <w:sz w:val="18"/>
                  <w:szCs w:val="18"/>
                  <w:color w:val="0000EE"/>
                </w:rPr>
                <w:t>Item 2. Management’s Discussion and Analysis of Financial Condition and Results of Operations</w:t>
              </w:r>
            </w:hyperlink>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1"/>
        </w:trPr>
        <w:tc>
          <w:tcPr>
            <w:tcW w:w="4820" w:type="dxa"/>
            <w:vAlign w:val="bottom"/>
            <w:tcBorders>
              <w:top w:val="single" w:sz="8" w:color="0000EE"/>
              <w:bottom w:val="single" w:sz="8" w:color="0000EE"/>
            </w:tcBorders>
            <w:gridSpan w:val="14"/>
          </w:tcPr>
          <w:p>
            <w:pPr>
              <w:spacing w:after="0" w:line="191"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3. Quantitative and Qualitative Disclosures About Market Risk</w:t>
              </w:r>
            </w:hyperlink>
          </w:p>
        </w:tc>
        <w:tc>
          <w:tcPr>
            <w:tcW w:w="2040" w:type="dxa"/>
            <w:vAlign w:val="bottom"/>
            <w:tcBorders>
              <w:top w:val="single" w:sz="8" w:color="0000EE"/>
            </w:tcBorders>
            <w:gridSpan w:val="2"/>
          </w:tcPr>
          <w:p>
            <w:pPr>
              <w:spacing w:after="0"/>
              <w:rPr>
                <w:sz w:val="16"/>
                <w:szCs w:val="16"/>
                <w:color w:val="auto"/>
              </w:rPr>
            </w:pPr>
          </w:p>
        </w:tc>
        <w:tc>
          <w:tcPr>
            <w:tcW w:w="3900" w:type="dxa"/>
            <w:vAlign w:val="bottom"/>
            <w:gridSpan w:val="5"/>
          </w:tcPr>
          <w:p>
            <w:pPr>
              <w:spacing w:after="0"/>
              <w:rPr>
                <w:sz w:val="16"/>
                <w:szCs w:val="16"/>
                <w:color w:val="auto"/>
              </w:rPr>
            </w:pPr>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1"/>
        </w:trPr>
        <w:tc>
          <w:tcPr>
            <w:tcW w:w="2300" w:type="dxa"/>
            <w:vAlign w:val="bottom"/>
            <w:tcBorders>
              <w:bottom w:val="single" w:sz="8" w:color="0000EE"/>
            </w:tcBorders>
            <w:gridSpan w:val="7"/>
          </w:tcPr>
          <w:p>
            <w:pPr>
              <w:spacing w:after="0" w:line="191"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Item 4. Controls and Procedures</w:t>
              </w:r>
            </w:hyperlink>
          </w:p>
        </w:tc>
        <w:tc>
          <w:tcPr>
            <w:tcW w:w="8460" w:type="dxa"/>
            <w:vAlign w:val="bottom"/>
            <w:gridSpan w:val="14"/>
          </w:tcPr>
          <w:p>
            <w:pPr>
              <w:spacing w:after="0"/>
              <w:rPr>
                <w:sz w:val="16"/>
                <w:szCs w:val="16"/>
                <w:color w:val="auto"/>
              </w:rPr>
            </w:pPr>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0"/>
        </w:trPr>
        <w:tc>
          <w:tcPr>
            <w:tcW w:w="10760" w:type="dxa"/>
            <w:vAlign w:val="bottom"/>
            <w:gridSpan w:val="2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0"/>
        </w:trPr>
        <w:tc>
          <w:tcPr>
            <w:tcW w:w="18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1. Legal Proceedings</w:t>
              </w:r>
            </w:hyperlink>
          </w:p>
        </w:tc>
        <w:tc>
          <w:tcPr>
            <w:tcW w:w="660" w:type="dxa"/>
            <w:vAlign w:val="bottom"/>
            <w:tcBorders>
              <w:top w:val="single" w:sz="8" w:color="0000EE"/>
            </w:tcBorders>
            <w:gridSpan w:val="3"/>
          </w:tcPr>
          <w:p>
            <w:pPr>
              <w:spacing w:after="0"/>
              <w:rPr>
                <w:sz w:val="24"/>
                <w:szCs w:val="24"/>
                <w:color w:val="auto"/>
              </w:rPr>
            </w:pPr>
          </w:p>
        </w:tc>
        <w:tc>
          <w:tcPr>
            <w:tcW w:w="8240" w:type="dxa"/>
            <w:vAlign w:val="bottom"/>
            <w:gridSpan w:val="13"/>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1"/>
        </w:trPr>
        <w:tc>
          <w:tcPr>
            <w:tcW w:w="1560" w:type="dxa"/>
            <w:vAlign w:val="bottom"/>
            <w:tcBorders>
              <w:bottom w:val="single" w:sz="8" w:color="0000EE"/>
            </w:tcBorders>
            <w:gridSpan w:val="3"/>
          </w:tcPr>
          <w:p>
            <w:pPr>
              <w:spacing w:after="0" w:line="191"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1A. Risk Factors</w:t>
              </w:r>
            </w:hyperlink>
          </w:p>
        </w:tc>
        <w:tc>
          <w:tcPr>
            <w:tcW w:w="9200" w:type="dxa"/>
            <w:vAlign w:val="bottom"/>
            <w:gridSpan w:val="18"/>
          </w:tcPr>
          <w:p>
            <w:pPr>
              <w:spacing w:after="0"/>
              <w:rPr>
                <w:sz w:val="16"/>
                <w:szCs w:val="16"/>
                <w:color w:val="auto"/>
              </w:rPr>
            </w:pPr>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1"/>
        </w:trPr>
        <w:tc>
          <w:tcPr>
            <w:tcW w:w="4800" w:type="dxa"/>
            <w:vAlign w:val="bottom"/>
            <w:tcBorders>
              <w:bottom w:val="single" w:sz="8" w:color="0000EE"/>
            </w:tcBorders>
            <w:gridSpan w:val="13"/>
          </w:tcPr>
          <w:p>
            <w:pPr>
              <w:spacing w:after="0" w:line="191"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Item 2. Unregistered Sales of Equity Securities and Use of Proceeds</w:t>
              </w:r>
            </w:hyperlink>
          </w:p>
        </w:tc>
        <w:tc>
          <w:tcPr>
            <w:tcW w:w="5960" w:type="dxa"/>
            <w:vAlign w:val="bottom"/>
            <w:gridSpan w:val="8"/>
          </w:tcPr>
          <w:p>
            <w:pPr>
              <w:spacing w:after="0"/>
              <w:rPr>
                <w:sz w:val="16"/>
                <w:szCs w:val="16"/>
                <w:color w:val="auto"/>
              </w:rPr>
            </w:pPr>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1"/>
        </w:trPr>
        <w:tc>
          <w:tcPr>
            <w:tcW w:w="10760" w:type="dxa"/>
            <w:vAlign w:val="bottom"/>
            <w:gridSpan w:val="21"/>
          </w:tcPr>
          <w:p>
            <w:pPr>
              <w:spacing w:after="0" w:line="191" w:lineRule="exact"/>
              <w:rPr>
                <w:rFonts w:ascii="Arial" w:cs="Arial" w:eastAsia="Arial" w:hAnsi="Arial"/>
                <w:sz w:val="18"/>
                <w:szCs w:val="18"/>
                <w:color w:val="0000EE"/>
              </w:rPr>
            </w:pPr>
            <w:hyperlink w:anchor="page66">
              <w:r>
                <w:rPr>
                  <w:rFonts w:ascii="Arial" w:cs="Arial" w:eastAsia="Arial" w:hAnsi="Arial"/>
                  <w:sz w:val="18"/>
                  <w:szCs w:val="18"/>
                  <w:color w:val="0000EE"/>
                </w:rPr>
                <w:t>Item 3. Defaults Upon Senior Securities</w:t>
              </w:r>
            </w:hyperlink>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1"/>
        </w:trPr>
        <w:tc>
          <w:tcPr>
            <w:tcW w:w="2280" w:type="dxa"/>
            <w:vAlign w:val="bottom"/>
            <w:tcBorders>
              <w:top w:val="single" w:sz="8" w:color="0000EE"/>
              <w:bottom w:val="single" w:sz="8" w:color="0000EE"/>
            </w:tcBorders>
            <w:gridSpan w:val="6"/>
          </w:tcPr>
          <w:p>
            <w:pPr>
              <w:spacing w:after="0" w:line="191"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Item 4. Mine Safety Disclosures</w:t>
              </w:r>
            </w:hyperlink>
          </w:p>
        </w:tc>
        <w:tc>
          <w:tcPr>
            <w:tcW w:w="540" w:type="dxa"/>
            <w:vAlign w:val="bottom"/>
            <w:tcBorders>
              <w:top w:val="single" w:sz="8" w:color="0000EE"/>
            </w:tcBorders>
            <w:gridSpan w:val="3"/>
          </w:tcPr>
          <w:p>
            <w:pPr>
              <w:spacing w:after="0"/>
              <w:rPr>
                <w:sz w:val="16"/>
                <w:szCs w:val="16"/>
                <w:color w:val="auto"/>
              </w:rPr>
            </w:pPr>
          </w:p>
        </w:tc>
        <w:tc>
          <w:tcPr>
            <w:tcW w:w="7940" w:type="dxa"/>
            <w:vAlign w:val="bottom"/>
            <w:gridSpan w:val="12"/>
          </w:tcPr>
          <w:p>
            <w:pPr>
              <w:spacing w:after="0"/>
              <w:rPr>
                <w:sz w:val="16"/>
                <w:szCs w:val="16"/>
                <w:color w:val="auto"/>
              </w:rPr>
            </w:pPr>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1"/>
        </w:trPr>
        <w:tc>
          <w:tcPr>
            <w:tcW w:w="1840" w:type="dxa"/>
            <w:vAlign w:val="bottom"/>
            <w:tcBorders>
              <w:bottom w:val="single" w:sz="8" w:color="0000EE"/>
            </w:tcBorders>
            <w:gridSpan w:val="4"/>
          </w:tcPr>
          <w:p>
            <w:pPr>
              <w:spacing w:after="0" w:line="191"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Item 5. Other Information</w:t>
              </w:r>
            </w:hyperlink>
          </w:p>
        </w:tc>
        <w:tc>
          <w:tcPr>
            <w:tcW w:w="8920" w:type="dxa"/>
            <w:vAlign w:val="bottom"/>
            <w:gridSpan w:val="17"/>
          </w:tcPr>
          <w:p>
            <w:pPr>
              <w:spacing w:after="0"/>
              <w:rPr>
                <w:sz w:val="16"/>
                <w:szCs w:val="16"/>
                <w:color w:val="auto"/>
              </w:rPr>
            </w:pPr>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0000EE"/>
            </w:tcBorders>
            <w:gridSpan w:val="2"/>
          </w:tcPr>
          <w:p>
            <w:pPr>
              <w:spacing w:after="0" w:line="191"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Item 6. Exhibits</w:t>
              </w:r>
            </w:hyperlink>
          </w:p>
        </w:tc>
        <w:tc>
          <w:tcPr>
            <w:tcW w:w="9620" w:type="dxa"/>
            <w:vAlign w:val="bottom"/>
            <w:gridSpan w:val="19"/>
          </w:tcPr>
          <w:p>
            <w:pPr>
              <w:spacing w:after="0"/>
              <w:rPr>
                <w:sz w:val="16"/>
                <w:szCs w:val="16"/>
                <w:color w:val="auto"/>
              </w:rPr>
            </w:pPr>
          </w:p>
        </w:tc>
        <w:tc>
          <w:tcPr>
            <w:tcW w:w="500" w:type="dxa"/>
            <w:vAlign w:val="bottom"/>
            <w:gridSpan w:val="2"/>
          </w:tcPr>
          <w:p>
            <w:pPr>
              <w:jc w:val="right"/>
              <w:ind w:right="20"/>
              <w:spacing w:after="0" w:line="191"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0"/>
        </w:trPr>
        <w:tc>
          <w:tcPr>
            <w:tcW w:w="1076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SIGNATURES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 w:name="page3"/>
    <w:bookmarkEnd w:id="2"/>
    <w:p>
      <w:pPr>
        <w:ind w:left="4100"/>
        <w:spacing w:after="0"/>
        <w:rPr>
          <w:sz w:val="20"/>
          <w:szCs w:val="20"/>
          <w:color w:val="auto"/>
        </w:rPr>
      </w:pPr>
      <w:r>
        <w:rPr>
          <w:rFonts w:ascii="Arial" w:cs="Arial" w:eastAsia="Arial" w:hAnsi="Arial"/>
          <w:sz w:val="18"/>
          <w:szCs w:val="18"/>
          <w:b w:val="1"/>
          <w:bCs w:val="1"/>
          <w:color w:val="auto"/>
        </w:rPr>
        <w:t>PART 1: FINANCIAL INFORMATION</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ITEM 1.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18"/>
        </w:trPr>
        <w:tc>
          <w:tcPr>
            <w:tcW w:w="6700" w:type="dxa"/>
            <w:vAlign w:val="bottom"/>
            <w:tcBorders>
              <w:top w:val="single" w:sz="8" w:color="CFF0FC"/>
            </w:tcBorders>
            <w:shd w:val="clear" w:color="auto" w:fill="CFF0FC"/>
          </w:tcPr>
          <w:p>
            <w:pPr>
              <w:ind w:left="3480"/>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67,243</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95,203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184,265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219,489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Long-term investments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70,542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308,318</w:t>
            </w:r>
          </w:p>
        </w:tc>
        <w:tc>
          <w:tcPr>
            <w:tcW w:w="16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321,161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7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1880"/>
              <w:spacing w:after="0"/>
              <w:rPr>
                <w:sz w:val="20"/>
                <w:szCs w:val="20"/>
                <w:color w:val="auto"/>
              </w:rPr>
            </w:pPr>
            <w:r>
              <w:rPr>
                <w:rFonts w:ascii="Arial" w:cs="Arial" w:eastAsia="Arial" w:hAnsi="Arial"/>
                <w:sz w:val="18"/>
                <w:szCs w:val="18"/>
                <w:b w:val="1"/>
                <w:bCs w:val="1"/>
                <w:color w:val="auto"/>
              </w:rPr>
              <w:t>LIABILITIES AND STOCKHOLDERS' DEFICIT</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8,702</w:t>
            </w:r>
          </w:p>
        </w:tc>
        <w:tc>
          <w:tcPr>
            <w:tcW w:w="16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ind w:left="240"/>
              <w:spacing w:after="0"/>
              <w:rPr>
                <w:sz w:val="20"/>
                <w:szCs w:val="20"/>
                <w:color w:val="auto"/>
              </w:rPr>
            </w:pPr>
            <w:r>
              <w:rPr>
                <w:rFonts w:ascii="Arial" w:cs="Arial" w:eastAsia="Arial" w:hAnsi="Arial"/>
                <w:sz w:val="18"/>
                <w:szCs w:val="18"/>
                <w:color w:val="auto"/>
              </w:rPr>
              <w:t>Financing liability — current</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 — current</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Recognized loss on purchase commitments — current</w:t>
            </w:r>
          </w:p>
        </w:tc>
        <w:tc>
          <w:tcPr>
            <w:tcW w:w="9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224,307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223,944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Promissory notes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 promissory notes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Financing liability — long term</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93,463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Recognized loss on purchase commitments — long term</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 long term</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Milestone rights liability</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Deposits from customer</w:t>
            </w:r>
          </w:p>
        </w:tc>
        <w:tc>
          <w:tcPr>
            <w:tcW w:w="9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540,382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530,510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Stockholders' deficit:</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 shares issued or outstanding as of March 31, 2022 and December 31, 2021</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700" w:type="dxa"/>
            <w:vAlign w:val="bottom"/>
          </w:tcPr>
          <w:p>
            <w:pPr>
              <w:spacing w:after="0"/>
              <w:rPr>
                <w:sz w:val="20"/>
                <w:szCs w:val="20"/>
                <w:color w:val="auto"/>
              </w:rPr>
            </w:pPr>
            <w:r>
              <w:rPr>
                <w:rFonts w:ascii="Arial" w:cs="Arial" w:eastAsia="Arial" w:hAnsi="Arial"/>
                <w:sz w:val="18"/>
                <w:szCs w:val="18"/>
                <w:color w:val="auto"/>
              </w:rPr>
              <w:t>Common stock, $0.01 par value - 400,000,000 shares authorized,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tcPr>
          <w:p>
            <w:pPr>
              <w:ind w:left="140"/>
              <w:spacing w:after="0"/>
              <w:rPr>
                <w:sz w:val="20"/>
                <w:szCs w:val="20"/>
                <w:color w:val="auto"/>
              </w:rPr>
            </w:pPr>
            <w:r>
              <w:rPr>
                <w:rFonts w:ascii="Arial" w:cs="Arial" w:eastAsia="Arial" w:hAnsi="Arial"/>
                <w:sz w:val="18"/>
                <w:szCs w:val="18"/>
                <w:color w:val="auto"/>
              </w:rPr>
              <w:t>252,413,434 and 251,477,562 shares issued and outstanding</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140"/>
              <w:spacing w:after="0"/>
              <w:rPr>
                <w:sz w:val="20"/>
                <w:szCs w:val="20"/>
                <w:color w:val="auto"/>
              </w:rPr>
            </w:pPr>
            <w:r>
              <w:rPr>
                <w:rFonts w:ascii="Arial" w:cs="Arial" w:eastAsia="Arial" w:hAnsi="Arial"/>
                <w:sz w:val="18"/>
                <w:szCs w:val="18"/>
                <w:color w:val="auto"/>
              </w:rPr>
              <w:t>at March 31, 2022 and December 31, 2021, respectively</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2,922,555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2,918,205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(3,156,067)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(3,130,069)</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Total stockholders' deficit</w:t>
            </w: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(232,064)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(209,349)</w:t>
            </w: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liabilities and stockholders' deficit</w:t>
            </w:r>
          </w:p>
        </w:tc>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00" w:type="dxa"/>
            <w:vAlign w:val="bottom"/>
            <w:vMerge w:val="continue"/>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308,318</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Three Months Ended</w:t>
      </w:r>
    </w:p>
    <w:p>
      <w:pPr>
        <w:jc w:val="center"/>
        <w:ind w:left="7160"/>
        <w:spacing w:after="0" w:line="22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2"/>
        </w:trPr>
        <w:tc>
          <w:tcPr>
            <w:tcW w:w="73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
              <w:spacing w:after="0" w:line="152" w:lineRule="exact"/>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3"/>
              <w:spacing w:after="0" w:line="15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0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1080" w:type="dxa"/>
            <w:vAlign w:val="bottom"/>
          </w:tcPr>
          <w:p>
            <w:pPr>
              <w:jc w:val="right"/>
              <w:ind w:right="9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9,826</w:t>
            </w:r>
          </w:p>
        </w:tc>
        <w:tc>
          <w:tcPr>
            <w:tcW w:w="3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Revenue — collaborations and services</w:t>
            </w:r>
          </w:p>
        </w:tc>
        <w:tc>
          <w:tcPr>
            <w:tcW w:w="10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300" w:type="dxa"/>
            <w:vAlign w:val="bottom"/>
            <w:tcBorders>
              <w:bottom w:val="single" w:sz="8" w:color="CFF0FC"/>
            </w:tcBorders>
          </w:tcPr>
          <w:p>
            <w:pPr>
              <w:ind w:left="480"/>
              <w:spacing w:after="0" w:line="204" w:lineRule="exact"/>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11,992</w:t>
            </w:r>
          </w:p>
        </w:tc>
        <w:tc>
          <w:tcPr>
            <w:tcW w:w="3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0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2,284</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 — collaborations and services</w:t>
            </w: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8,714</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3,536</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20,697</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00" w:type="dxa"/>
            <w:vAlign w:val="bottom"/>
          </w:tcPr>
          <w:p>
            <w:pPr>
              <w:ind w:left="240"/>
              <w:spacing w:after="0"/>
              <w:rPr>
                <w:sz w:val="20"/>
                <w:szCs w:val="20"/>
                <w:color w:val="auto"/>
              </w:rPr>
            </w:pPr>
            <w:r>
              <w:rPr>
                <w:rFonts w:ascii="Arial" w:cs="Arial" w:eastAsia="Arial" w:hAnsi="Arial"/>
                <w:sz w:val="18"/>
                <w:szCs w:val="18"/>
                <w:color w:val="auto"/>
              </w:rPr>
              <w:t>Gain on foreign currency translation</w:t>
            </w:r>
          </w:p>
        </w:tc>
        <w:tc>
          <w:tcPr>
            <w:tcW w:w="10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(1,983)</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18"/>
        </w:trPr>
        <w:tc>
          <w:tcPr>
            <w:tcW w:w="7300" w:type="dxa"/>
            <w:vAlign w:val="bottom"/>
            <w:tcBorders>
              <w:top w:val="single" w:sz="8" w:color="CFF0FC"/>
            </w:tcBorders>
            <w:shd w:val="clear" w:color="auto" w:fill="CFF0FC"/>
          </w:tcPr>
          <w:p>
            <w:pPr>
              <w:ind w:left="480"/>
              <w:spacing w:after="0" w:line="204" w:lineRule="exact"/>
              <w:rPr>
                <w:sz w:val="20"/>
                <w:szCs w:val="20"/>
                <w:color w:val="auto"/>
              </w:rPr>
            </w:pPr>
            <w:r>
              <w:rPr>
                <w:rFonts w:ascii="Arial" w:cs="Arial" w:eastAsia="Arial" w:hAnsi="Arial"/>
                <w:sz w:val="18"/>
                <w:szCs w:val="18"/>
                <w:color w:val="auto"/>
              </w:rPr>
              <w:t>Total expenses</w:t>
            </w: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33,248</w:t>
            </w:r>
          </w:p>
        </w:tc>
        <w:tc>
          <w:tcPr>
            <w:tcW w:w="3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23,627</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(21,256)</w:t>
            </w:r>
          </w:p>
        </w:tc>
        <w:tc>
          <w:tcPr>
            <w:tcW w:w="4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18"/>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0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0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on financing liability</w:t>
            </w:r>
          </w:p>
        </w:tc>
        <w:tc>
          <w:tcPr>
            <w:tcW w:w="10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(2,371)</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300" w:type="dxa"/>
            <w:vAlign w:val="bottom"/>
          </w:tcPr>
          <w:p>
            <w:pPr>
              <w:ind w:left="240"/>
              <w:spacing w:after="0"/>
              <w:rPr>
                <w:sz w:val="20"/>
                <w:szCs w:val="20"/>
                <w:color w:val="auto"/>
              </w:rPr>
            </w:pPr>
            <w:r>
              <w:rPr>
                <w:rFonts w:ascii="Arial" w:cs="Arial" w:eastAsia="Arial" w:hAnsi="Arial"/>
                <w:sz w:val="18"/>
                <w:szCs w:val="18"/>
                <w:color w:val="auto"/>
              </w:rPr>
              <w:t>Interest expense on notes</w:t>
            </w:r>
          </w:p>
        </w:tc>
        <w:tc>
          <w:tcPr>
            <w:tcW w:w="10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(2,748)</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25"/>
        </w:trPr>
        <w:tc>
          <w:tcPr>
            <w:tcW w:w="7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w:t>
            </w: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480"/>
              <w:spacing w:after="0"/>
              <w:rPr>
                <w:sz w:val="20"/>
                <w:szCs w:val="20"/>
                <w:color w:val="auto"/>
              </w:rPr>
            </w:pPr>
            <w:r>
              <w:rPr>
                <w:rFonts w:ascii="Arial" w:cs="Arial" w:eastAsia="Arial" w:hAnsi="Arial"/>
                <w:sz w:val="18"/>
                <w:szCs w:val="18"/>
                <w:color w:val="auto"/>
              </w:rPr>
              <w:t>Total other expense</w:t>
            </w: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(4,742)</w:t>
            </w:r>
          </w:p>
        </w:tc>
        <w:tc>
          <w:tcPr>
            <w:tcW w:w="4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0"/>
        </w:trPr>
        <w:tc>
          <w:tcPr>
            <w:tcW w:w="73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30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(25,998)</w:t>
            </w:r>
          </w:p>
        </w:tc>
        <w:tc>
          <w:tcPr>
            <w:tcW w:w="4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24"/>
        </w:trPr>
        <w:tc>
          <w:tcPr>
            <w:tcW w:w="7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(25,998)</w:t>
            </w:r>
          </w:p>
        </w:tc>
        <w:tc>
          <w:tcPr>
            <w:tcW w:w="420" w:type="dxa"/>
            <w:vAlign w:val="bottom"/>
            <w:shd w:val="clear" w:color="auto" w:fill="CFF0FC"/>
          </w:tcPr>
          <w:p>
            <w:pPr>
              <w:jc w:val="right"/>
              <w:ind w:right="232"/>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0"/>
        </w:trPr>
        <w:tc>
          <w:tcPr>
            <w:tcW w:w="7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300" w:type="dxa"/>
            <w:vAlign w:val="bottom"/>
            <w:vMerge w:val="continue"/>
          </w:tcPr>
          <w:p>
            <w:pPr>
              <w:spacing w:after="0"/>
              <w:rPr>
                <w:sz w:val="21"/>
                <w:szCs w:val="21"/>
                <w:color w:val="auto"/>
              </w:rPr>
            </w:pPr>
          </w:p>
        </w:tc>
        <w:tc>
          <w:tcPr>
            <w:tcW w:w="1080" w:type="dxa"/>
            <w:vAlign w:val="bottom"/>
          </w:tcPr>
          <w:p>
            <w:pPr>
              <w:jc w:val="right"/>
              <w:ind w:right="9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line="204" w:lineRule="exact"/>
              <w:rPr>
                <w:sz w:val="20"/>
                <w:szCs w:val="20"/>
                <w:color w:val="auto"/>
              </w:rPr>
            </w:pPr>
            <w:r>
              <w:rPr>
                <w:rFonts w:ascii="Arial" w:cs="Arial" w:eastAsia="Arial" w:hAnsi="Arial"/>
                <w:sz w:val="18"/>
                <w:szCs w:val="18"/>
                <w:color w:val="auto"/>
              </w:rPr>
              <w:t>(0.10)</w:t>
            </w:r>
          </w:p>
        </w:tc>
        <w:tc>
          <w:tcPr>
            <w:tcW w:w="420" w:type="dxa"/>
            <w:vAlign w:val="bottom"/>
          </w:tcPr>
          <w:p>
            <w:pPr>
              <w:jc w:val="right"/>
              <w:ind w:right="232"/>
              <w:spacing w:after="0" w:line="204"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0"/>
              <w:spacing w:after="0" w:line="204"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4"/>
        </w:trPr>
        <w:tc>
          <w:tcPr>
            <w:tcW w:w="7300" w:type="dxa"/>
            <w:vAlign w:val="bottom"/>
            <w:tcBorders>
              <w:top w:val="single" w:sz="8" w:color="CFF0FC"/>
              <w:bottom w:val="single" w:sz="8" w:color="CFF0FC"/>
            </w:tcBorders>
            <w:shd w:val="clear" w:color="auto" w:fill="CFF0FC"/>
          </w:tcPr>
          <w:p>
            <w:pPr>
              <w:spacing w:after="0" w:line="204" w:lineRule="exact"/>
              <w:rPr>
                <w:sz w:val="20"/>
                <w:szCs w:val="20"/>
                <w:color w:val="auto"/>
              </w:rPr>
            </w:pPr>
            <w:r>
              <w:rPr>
                <w:rFonts w:ascii="Arial" w:cs="Arial" w:eastAsia="Arial" w:hAnsi="Arial"/>
                <w:sz w:val="18"/>
                <w:szCs w:val="18"/>
                <w:color w:val="auto"/>
              </w:rPr>
              <w:t>Shares used to compute net loss per share - basic and diluted</w:t>
            </w:r>
          </w:p>
        </w:tc>
        <w:tc>
          <w:tcPr>
            <w:tcW w:w="108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line="204" w:lineRule="exact"/>
              <w:rPr>
                <w:sz w:val="20"/>
                <w:szCs w:val="20"/>
                <w:color w:val="auto"/>
              </w:rPr>
            </w:pPr>
            <w:r>
              <w:rPr>
                <w:rFonts w:ascii="Arial" w:cs="Arial" w:eastAsia="Arial" w:hAnsi="Arial"/>
                <w:sz w:val="18"/>
                <w:szCs w:val="18"/>
                <w:color w:val="auto"/>
                <w:w w:val="98"/>
              </w:rPr>
              <w:t>251,887</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204" w:lineRule="exact"/>
              <w:rPr>
                <w:sz w:val="20"/>
                <w:szCs w:val="20"/>
                <w:color w:val="auto"/>
              </w:rPr>
            </w:pPr>
            <w:r>
              <w:rPr>
                <w:rFonts w:ascii="Arial" w:cs="Arial" w:eastAsia="Arial" w:hAnsi="Arial"/>
                <w:sz w:val="18"/>
                <w:szCs w:val="18"/>
                <w:color w:val="auto"/>
              </w:rPr>
              <w:t>246,631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Three Months Ended</w:t>
      </w:r>
    </w:p>
    <w:p>
      <w:pPr>
        <w:jc w:val="center"/>
        <w:ind w:left="7520"/>
        <w:spacing w:after="0" w:line="22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2"/>
        </w:trPr>
        <w:tc>
          <w:tcPr>
            <w:tcW w:w="5600" w:type="dxa"/>
            <w:vAlign w:val="bottom"/>
            <w:tcBorders>
              <w:bottom w:val="single" w:sz="8" w:color="CFF0FC"/>
            </w:tcBorders>
          </w:tcPr>
          <w:p>
            <w:pPr>
              <w:spacing w:after="0"/>
              <w:rPr>
                <w:sz w:val="13"/>
                <w:szCs w:val="13"/>
                <w:color w:val="auto"/>
              </w:rPr>
            </w:pPr>
          </w:p>
        </w:tc>
        <w:tc>
          <w:tcPr>
            <w:tcW w:w="208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6"/>
              <w:spacing w:after="0" w:line="15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04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5"/>
              </w:rPr>
              <w:t>(25,998)</w:t>
            </w:r>
          </w:p>
        </w:tc>
        <w:tc>
          <w:tcPr>
            <w:tcW w:w="360" w:type="dxa"/>
            <w:vAlign w:val="bottom"/>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24"/>
        </w:trPr>
        <w:tc>
          <w:tcPr>
            <w:tcW w:w="56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loss on available-for-sale securities</w:t>
            </w:r>
          </w:p>
        </w:tc>
        <w:tc>
          <w:tcPr>
            <w:tcW w:w="20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(1,076)</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2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vMerge w:val="continue"/>
          </w:tcPr>
          <w:p>
            <w:pPr>
              <w:spacing w:after="0"/>
              <w:rPr>
                <w:sz w:val="18"/>
                <w:szCs w:val="18"/>
                <w:color w:val="auto"/>
              </w:rPr>
            </w:pPr>
          </w:p>
        </w:tc>
        <w:tc>
          <w:tcPr>
            <w:tcW w:w="30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(27,074)</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3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9"/>
              </w:rPr>
              <w:t>Paid-In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9"/>
              </w:rPr>
              <w:t>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0"/>
        </w:trPr>
        <w:tc>
          <w:tcPr>
            <w:tcW w:w="3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ind w:right="360"/>
              <w:spacing w:after="0" w:line="121" w:lineRule="exact"/>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0"/>
        </w:trPr>
        <w:tc>
          <w:tcPr>
            <w:tcW w:w="3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ind w:right="338"/>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85"/>
              </w:rPr>
              <w:t>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8"/>
              </w:rPr>
              <w:t>Deficit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2"/>
                <w:szCs w:val="12"/>
                <w:b w:val="1"/>
                <w:bCs w:val="1"/>
                <w:color w:val="auto"/>
              </w:rPr>
              <w:t>Total</w:t>
            </w:r>
          </w:p>
        </w:tc>
      </w:tr>
      <w:tr>
        <w:trPr>
          <w:trHeight w:val="138"/>
        </w:trPr>
        <w:tc>
          <w:tcPr>
            <w:tcW w:w="3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2"/>
                <w:szCs w:val="12"/>
                <w:color w:val="auto"/>
              </w:rPr>
              <w:t>BALANCE, JANUARY 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242,118</w:t>
            </w: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2,421</w:t>
            </w: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2,866,303</w:t>
            </w:r>
          </w:p>
        </w:tc>
        <w:tc>
          <w:tcPr>
            <w:tcW w:w="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(3,049,143)</w:t>
            </w: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(180,419)</w:t>
            </w:r>
          </w:p>
        </w:tc>
        <w:tc>
          <w:tcPr>
            <w:tcW w:w="100" w:type="dxa"/>
            <w:vAlign w:val="bottom"/>
            <w:tcBorders>
              <w:top w:val="single" w:sz="8" w:color="CFF0FC"/>
            </w:tcBorders>
            <w:shd w:val="clear" w:color="auto" w:fill="CFF0FC"/>
          </w:tcPr>
          <w:p>
            <w:pPr>
              <w:spacing w:after="0"/>
              <w:rPr>
                <w:sz w:val="12"/>
                <w:szCs w:val="12"/>
                <w:color w:val="auto"/>
              </w:rPr>
            </w:pPr>
          </w:p>
        </w:tc>
      </w:tr>
      <w:tr>
        <w:trPr>
          <w:trHeight w:val="131"/>
        </w:trPr>
        <w:tc>
          <w:tcPr>
            <w:tcW w:w="308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Net issuance of common stock associated</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3080" w:type="dxa"/>
            <w:vAlign w:val="bottom"/>
            <w:gridSpan w:val="2"/>
          </w:tcPr>
          <w:p>
            <w:pPr>
              <w:ind w:left="340"/>
              <w:spacing w:after="0" w:line="132" w:lineRule="exact"/>
              <w:rPr>
                <w:sz w:val="20"/>
                <w:szCs w:val="20"/>
                <w:color w:val="auto"/>
              </w:rPr>
            </w:pPr>
            <w:r>
              <w:rPr>
                <w:rFonts w:ascii="Arial" w:cs="Arial" w:eastAsia="Arial" w:hAnsi="Arial"/>
                <w:sz w:val="12"/>
                <w:szCs w:val="12"/>
                <w:color w:val="auto"/>
              </w:rPr>
              <w:t>with stock options and restricted stock</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6"/>
        </w:trPr>
        <w:tc>
          <w:tcPr>
            <w:tcW w:w="3080" w:type="dxa"/>
            <w:vAlign w:val="bottom"/>
            <w:gridSpan w:val="2"/>
          </w:tcPr>
          <w:p>
            <w:pPr>
              <w:ind w:left="340"/>
              <w:spacing w:after="0"/>
              <w:rPr>
                <w:sz w:val="20"/>
                <w:szCs w:val="20"/>
                <w:color w:val="auto"/>
              </w:rPr>
            </w:pPr>
            <w:r>
              <w:rPr>
                <w:rFonts w:ascii="Arial" w:cs="Arial" w:eastAsia="Arial" w:hAnsi="Arial"/>
                <w:sz w:val="12"/>
                <w:szCs w:val="12"/>
                <w:color w:val="auto"/>
              </w:rPr>
              <w:t>units</w:t>
            </w:r>
          </w:p>
        </w:tc>
        <w:tc>
          <w:tcPr>
            <w:tcW w:w="1120" w:type="dxa"/>
            <w:vAlign w:val="bottom"/>
          </w:tcPr>
          <w:p>
            <w:pPr>
              <w:jc w:val="right"/>
              <w:spacing w:after="0"/>
              <w:rPr>
                <w:sz w:val="20"/>
                <w:szCs w:val="20"/>
                <w:color w:val="auto"/>
              </w:rPr>
            </w:pPr>
            <w:r>
              <w:rPr>
                <w:rFonts w:ascii="Arial" w:cs="Arial" w:eastAsia="Arial" w:hAnsi="Arial"/>
                <w:sz w:val="12"/>
                <w:szCs w:val="12"/>
                <w:color w:val="auto"/>
              </w:rPr>
              <w:t>390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393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397</w:t>
            </w:r>
          </w:p>
        </w:tc>
        <w:tc>
          <w:tcPr>
            <w:tcW w:w="100" w:type="dxa"/>
            <w:vAlign w:val="bottom"/>
          </w:tcPr>
          <w:p>
            <w:pPr>
              <w:spacing w:after="0"/>
              <w:rPr>
                <w:sz w:val="12"/>
                <w:szCs w:val="12"/>
                <w:color w:val="auto"/>
              </w:rPr>
            </w:pPr>
          </w:p>
        </w:tc>
      </w:tr>
      <w:tr>
        <w:trPr>
          <w:trHeight w:val="131"/>
        </w:trPr>
        <w:tc>
          <w:tcPr>
            <w:tcW w:w="3080" w:type="dxa"/>
            <w:vAlign w:val="bottom"/>
            <w:gridSpan w:val="2"/>
            <w:shd w:val="clear" w:color="auto" w:fill="CFF0FC"/>
          </w:tcPr>
          <w:p>
            <w:pPr>
              <w:ind w:left="240"/>
              <w:spacing w:after="0" w:line="132" w:lineRule="exact"/>
              <w:rPr>
                <w:sz w:val="20"/>
                <w:szCs w:val="20"/>
                <w:color w:val="auto"/>
              </w:rPr>
            </w:pPr>
            <w:r>
              <w:rPr>
                <w:rFonts w:ascii="Arial" w:cs="Arial" w:eastAsia="Arial" w:hAnsi="Arial"/>
                <w:sz w:val="12"/>
                <w:szCs w:val="12"/>
                <w:color w:val="auto"/>
              </w:rPr>
              <w:t>Issuance of common stock under Employee</w:t>
            </w: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6"/>
        </w:trPr>
        <w:tc>
          <w:tcPr>
            <w:tcW w:w="3080" w:type="dxa"/>
            <w:vAlign w:val="bottom"/>
            <w:gridSpan w:val="2"/>
            <w:shd w:val="clear" w:color="auto" w:fill="CFF0FC"/>
          </w:tcPr>
          <w:p>
            <w:pPr>
              <w:ind w:left="340"/>
              <w:spacing w:after="0"/>
              <w:rPr>
                <w:sz w:val="20"/>
                <w:szCs w:val="20"/>
                <w:color w:val="auto"/>
              </w:rPr>
            </w:pPr>
            <w:r>
              <w:rPr>
                <w:rFonts w:ascii="Arial" w:cs="Arial" w:eastAsia="Arial" w:hAnsi="Arial"/>
                <w:sz w:val="12"/>
                <w:szCs w:val="12"/>
                <w:color w:val="auto"/>
              </w:rPr>
              <w:t>Stock Purchase Plan</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293</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387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390</w:t>
            </w:r>
          </w:p>
        </w:tc>
        <w:tc>
          <w:tcPr>
            <w:tcW w:w="100" w:type="dxa"/>
            <w:vAlign w:val="bottom"/>
            <w:shd w:val="clear" w:color="auto" w:fill="CFF0FC"/>
          </w:tcPr>
          <w:p>
            <w:pPr>
              <w:spacing w:after="0"/>
              <w:rPr>
                <w:sz w:val="12"/>
                <w:szCs w:val="12"/>
                <w:color w:val="auto"/>
              </w:rPr>
            </w:pPr>
          </w:p>
        </w:tc>
      </w:tr>
      <w:tr>
        <w:trPr>
          <w:trHeight w:val="145"/>
        </w:trPr>
        <w:tc>
          <w:tcPr>
            <w:tcW w:w="3080" w:type="dxa"/>
            <w:vAlign w:val="bottom"/>
            <w:gridSpan w:val="2"/>
          </w:tcPr>
          <w:p>
            <w:pPr>
              <w:ind w:left="240"/>
              <w:spacing w:after="0"/>
              <w:rPr>
                <w:sz w:val="20"/>
                <w:szCs w:val="20"/>
                <w:color w:val="auto"/>
              </w:rPr>
            </w:pPr>
            <w:r>
              <w:rPr>
                <w:rFonts w:ascii="Arial" w:cs="Arial" w:eastAsia="Arial" w:hAnsi="Arial"/>
                <w:sz w:val="12"/>
                <w:szCs w:val="12"/>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1,935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1,935</w:t>
            </w:r>
          </w:p>
        </w:tc>
        <w:tc>
          <w:tcPr>
            <w:tcW w:w="100" w:type="dxa"/>
            <w:vAlign w:val="bottom"/>
          </w:tcPr>
          <w:p>
            <w:pPr>
              <w:spacing w:after="0"/>
              <w:rPr>
                <w:sz w:val="12"/>
                <w:szCs w:val="12"/>
                <w:color w:val="auto"/>
              </w:rPr>
            </w:pPr>
          </w:p>
        </w:tc>
      </w:tr>
      <w:tr>
        <w:trPr>
          <w:trHeight w:val="131"/>
        </w:trPr>
        <w:tc>
          <w:tcPr>
            <w:tcW w:w="3080" w:type="dxa"/>
            <w:vAlign w:val="bottom"/>
            <w:gridSpan w:val="2"/>
            <w:shd w:val="clear" w:color="auto" w:fill="CFF0FC"/>
          </w:tcPr>
          <w:p>
            <w:pPr>
              <w:ind w:left="240"/>
              <w:spacing w:after="0" w:line="132" w:lineRule="exact"/>
              <w:rPr>
                <w:sz w:val="20"/>
                <w:szCs w:val="20"/>
                <w:color w:val="auto"/>
              </w:rPr>
            </w:pPr>
            <w:r>
              <w:rPr>
                <w:rFonts w:ascii="Arial" w:cs="Arial" w:eastAsia="Arial" w:hAnsi="Arial"/>
                <w:sz w:val="12"/>
                <w:szCs w:val="12"/>
                <w:color w:val="auto"/>
              </w:rPr>
              <w:t>Issuance of common stock pursuant to</w:t>
            </w: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2"/>
        </w:trPr>
        <w:tc>
          <w:tcPr>
            <w:tcW w:w="3080" w:type="dxa"/>
            <w:vAlign w:val="bottom"/>
            <w:gridSpan w:val="2"/>
            <w:shd w:val="clear" w:color="auto" w:fill="CFF0FC"/>
          </w:tcPr>
          <w:p>
            <w:pPr>
              <w:ind w:left="340"/>
              <w:spacing w:after="0" w:line="132" w:lineRule="exact"/>
              <w:rPr>
                <w:sz w:val="20"/>
                <w:szCs w:val="20"/>
                <w:color w:val="auto"/>
              </w:rPr>
            </w:pPr>
            <w:r>
              <w:rPr>
                <w:rFonts w:ascii="Arial" w:cs="Arial" w:eastAsia="Arial" w:hAnsi="Arial"/>
                <w:sz w:val="12"/>
                <w:szCs w:val="12"/>
                <w:color w:val="auto"/>
              </w:rPr>
              <w:t>conversion of the Mann Group</w:t>
            </w: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6"/>
        </w:trPr>
        <w:tc>
          <w:tcPr>
            <w:tcW w:w="3080" w:type="dxa"/>
            <w:vAlign w:val="bottom"/>
            <w:gridSpan w:val="2"/>
            <w:shd w:val="clear" w:color="auto" w:fill="CFF0FC"/>
          </w:tcPr>
          <w:p>
            <w:pPr>
              <w:ind w:left="340"/>
              <w:spacing w:after="0"/>
              <w:rPr>
                <w:sz w:val="20"/>
                <w:szCs w:val="20"/>
                <w:color w:val="auto"/>
              </w:rPr>
            </w:pPr>
            <w:r>
              <w:rPr>
                <w:rFonts w:ascii="Arial" w:cs="Arial" w:eastAsia="Arial" w:hAnsi="Arial"/>
                <w:sz w:val="12"/>
                <w:szCs w:val="12"/>
                <w:color w:val="auto"/>
              </w:rPr>
              <w:t>convertible note</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3,830</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38</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9,535</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9,573</w:t>
            </w:r>
          </w:p>
        </w:tc>
        <w:tc>
          <w:tcPr>
            <w:tcW w:w="100" w:type="dxa"/>
            <w:vAlign w:val="bottom"/>
            <w:shd w:val="clear" w:color="auto" w:fill="CFF0FC"/>
          </w:tcPr>
          <w:p>
            <w:pPr>
              <w:spacing w:after="0"/>
              <w:rPr>
                <w:sz w:val="12"/>
                <w:szCs w:val="12"/>
                <w:color w:val="auto"/>
              </w:rPr>
            </w:pPr>
          </w:p>
        </w:tc>
      </w:tr>
      <w:tr>
        <w:trPr>
          <w:trHeight w:val="131"/>
        </w:trPr>
        <w:tc>
          <w:tcPr>
            <w:tcW w:w="308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Issuance of common stock pursuant to</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3080" w:type="dxa"/>
            <w:vAlign w:val="bottom"/>
            <w:gridSpan w:val="2"/>
          </w:tcPr>
          <w:p>
            <w:pPr>
              <w:ind w:left="340"/>
              <w:spacing w:after="0" w:line="132" w:lineRule="exact"/>
              <w:rPr>
                <w:sz w:val="20"/>
                <w:szCs w:val="20"/>
                <w:color w:val="auto"/>
              </w:rPr>
            </w:pPr>
            <w:r>
              <w:rPr>
                <w:rFonts w:ascii="Arial" w:cs="Arial" w:eastAsia="Arial" w:hAnsi="Arial"/>
                <w:sz w:val="12"/>
                <w:szCs w:val="12"/>
                <w:color w:val="auto"/>
              </w:rPr>
              <w:t>conversion of the Mann Group</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6"/>
        </w:trPr>
        <w:tc>
          <w:tcPr>
            <w:tcW w:w="3080" w:type="dxa"/>
            <w:vAlign w:val="bottom"/>
            <w:gridSpan w:val="2"/>
          </w:tcPr>
          <w:p>
            <w:pPr>
              <w:ind w:left="340"/>
              <w:spacing w:after="0"/>
              <w:rPr>
                <w:sz w:val="20"/>
                <w:szCs w:val="20"/>
                <w:color w:val="auto"/>
              </w:rPr>
            </w:pPr>
            <w:r>
              <w:rPr>
                <w:rFonts w:ascii="Arial" w:cs="Arial" w:eastAsia="Arial" w:hAnsi="Arial"/>
                <w:sz w:val="12"/>
                <w:szCs w:val="12"/>
                <w:color w:val="auto"/>
              </w:rPr>
              <w:t>convertible note interest</w:t>
            </w:r>
          </w:p>
        </w:tc>
        <w:tc>
          <w:tcPr>
            <w:tcW w:w="1120" w:type="dxa"/>
            <w:vAlign w:val="bottom"/>
          </w:tcPr>
          <w:p>
            <w:pPr>
              <w:jc w:val="right"/>
              <w:spacing w:after="0"/>
              <w:rPr>
                <w:sz w:val="20"/>
                <w:szCs w:val="20"/>
                <w:color w:val="auto"/>
              </w:rPr>
            </w:pPr>
            <w:r>
              <w:rPr>
                <w:rFonts w:ascii="Arial" w:cs="Arial" w:eastAsia="Arial" w:hAnsi="Arial"/>
                <w:sz w:val="12"/>
                <w:szCs w:val="12"/>
                <w:color w:val="auto"/>
              </w:rPr>
              <w:t>170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425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427</w:t>
            </w:r>
          </w:p>
        </w:tc>
        <w:tc>
          <w:tcPr>
            <w:tcW w:w="100" w:type="dxa"/>
            <w:vAlign w:val="bottom"/>
          </w:tcPr>
          <w:p>
            <w:pPr>
              <w:spacing w:after="0"/>
              <w:rPr>
                <w:sz w:val="12"/>
                <w:szCs w:val="12"/>
                <w:color w:val="auto"/>
              </w:rPr>
            </w:pPr>
          </w:p>
        </w:tc>
      </w:tr>
      <w:tr>
        <w:trPr>
          <w:trHeight w:val="131"/>
        </w:trPr>
        <w:tc>
          <w:tcPr>
            <w:tcW w:w="3080" w:type="dxa"/>
            <w:vAlign w:val="bottom"/>
            <w:gridSpan w:val="2"/>
            <w:shd w:val="clear" w:color="auto" w:fill="CFF0FC"/>
          </w:tcPr>
          <w:p>
            <w:pPr>
              <w:ind w:left="240"/>
              <w:spacing w:after="0" w:line="132" w:lineRule="exact"/>
              <w:rPr>
                <w:sz w:val="20"/>
                <w:szCs w:val="20"/>
                <w:color w:val="auto"/>
              </w:rPr>
            </w:pPr>
            <w:r>
              <w:rPr>
                <w:rFonts w:ascii="Arial" w:cs="Arial" w:eastAsia="Arial" w:hAnsi="Arial"/>
                <w:sz w:val="12"/>
                <w:szCs w:val="12"/>
                <w:color w:val="auto"/>
              </w:rPr>
              <w:t>Issuance of common stock pursuant to</w:t>
            </w: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6"/>
        </w:trPr>
        <w:tc>
          <w:tcPr>
            <w:tcW w:w="3080" w:type="dxa"/>
            <w:vAlign w:val="bottom"/>
            <w:gridSpan w:val="2"/>
            <w:shd w:val="clear" w:color="auto" w:fill="CFF0FC"/>
          </w:tcPr>
          <w:p>
            <w:pPr>
              <w:ind w:left="340"/>
              <w:spacing w:after="0"/>
              <w:rPr>
                <w:sz w:val="20"/>
                <w:szCs w:val="20"/>
                <w:color w:val="auto"/>
              </w:rPr>
            </w:pPr>
            <w:r>
              <w:rPr>
                <w:rFonts w:ascii="Arial" w:cs="Arial" w:eastAsia="Arial" w:hAnsi="Arial"/>
                <w:sz w:val="12"/>
                <w:szCs w:val="12"/>
                <w:color w:val="auto"/>
              </w:rPr>
              <w:t>conversion of the 2024 convertible notes</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1,667</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17</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4,983</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5,000</w:t>
            </w:r>
          </w:p>
        </w:tc>
        <w:tc>
          <w:tcPr>
            <w:tcW w:w="100" w:type="dxa"/>
            <w:vAlign w:val="bottom"/>
            <w:shd w:val="clear" w:color="auto" w:fill="CFF0FC"/>
          </w:tcPr>
          <w:p>
            <w:pPr>
              <w:spacing w:after="0"/>
              <w:rPr>
                <w:sz w:val="12"/>
                <w:szCs w:val="12"/>
                <w:color w:val="auto"/>
              </w:rPr>
            </w:pPr>
          </w:p>
        </w:tc>
      </w:tr>
      <w:tr>
        <w:trPr>
          <w:trHeight w:val="131"/>
        </w:trPr>
        <w:tc>
          <w:tcPr>
            <w:tcW w:w="308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Issuance of common stock pursuant to</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3080" w:type="dxa"/>
            <w:vAlign w:val="bottom"/>
            <w:gridSpan w:val="2"/>
          </w:tcPr>
          <w:p>
            <w:pPr>
              <w:ind w:left="340"/>
              <w:spacing w:after="0" w:line="132" w:lineRule="exact"/>
              <w:rPr>
                <w:sz w:val="20"/>
                <w:szCs w:val="20"/>
                <w:color w:val="auto"/>
              </w:rPr>
            </w:pPr>
            <w:r>
              <w:rPr>
                <w:rFonts w:ascii="Arial" w:cs="Arial" w:eastAsia="Arial" w:hAnsi="Arial"/>
                <w:sz w:val="12"/>
                <w:szCs w:val="12"/>
                <w:color w:val="auto"/>
              </w:rPr>
              <w:t>payoff of the 2024 convertible note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6"/>
        </w:trPr>
        <w:tc>
          <w:tcPr>
            <w:tcW w:w="3080" w:type="dxa"/>
            <w:vAlign w:val="bottom"/>
            <w:gridSpan w:val="2"/>
          </w:tcPr>
          <w:p>
            <w:pPr>
              <w:ind w:left="340"/>
              <w:spacing w:after="0"/>
              <w:rPr>
                <w:sz w:val="20"/>
                <w:szCs w:val="20"/>
                <w:color w:val="auto"/>
              </w:rPr>
            </w:pPr>
            <w:r>
              <w:rPr>
                <w:rFonts w:ascii="Arial" w:cs="Arial" w:eastAsia="Arial" w:hAnsi="Arial"/>
                <w:sz w:val="12"/>
                <w:szCs w:val="12"/>
                <w:color w:val="auto"/>
              </w:rPr>
              <w:t>interest</w:t>
            </w:r>
          </w:p>
        </w:tc>
        <w:tc>
          <w:tcPr>
            <w:tcW w:w="1120" w:type="dxa"/>
            <w:vAlign w:val="bottom"/>
          </w:tcPr>
          <w:p>
            <w:pPr>
              <w:jc w:val="right"/>
              <w:spacing w:after="0"/>
              <w:rPr>
                <w:sz w:val="20"/>
                <w:szCs w:val="20"/>
                <w:color w:val="auto"/>
              </w:rPr>
            </w:pPr>
            <w:r>
              <w:rPr>
                <w:rFonts w:ascii="Arial" w:cs="Arial" w:eastAsia="Arial" w:hAnsi="Arial"/>
                <w:sz w:val="12"/>
                <w:szCs w:val="12"/>
                <w:color w:val="auto"/>
              </w:rPr>
              <w:t>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143</w:t>
            </w:r>
          </w:p>
        </w:tc>
        <w:tc>
          <w:tcPr>
            <w:tcW w:w="100" w:type="dxa"/>
            <w:vAlign w:val="bottom"/>
          </w:tcPr>
          <w:p>
            <w:pPr>
              <w:spacing w:after="0"/>
              <w:rPr>
                <w:sz w:val="12"/>
                <w:szCs w:val="12"/>
                <w:color w:val="auto"/>
              </w:rPr>
            </w:pPr>
          </w:p>
        </w:tc>
      </w:tr>
      <w:tr>
        <w:trPr>
          <w:trHeight w:val="145"/>
        </w:trPr>
        <w:tc>
          <w:tcPr>
            <w:tcW w:w="30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Issuance of at-the-market placement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578</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1,880</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1,886</w:t>
            </w:r>
          </w:p>
        </w:tc>
        <w:tc>
          <w:tcPr>
            <w:tcW w:w="100" w:type="dxa"/>
            <w:vAlign w:val="bottom"/>
            <w:shd w:val="clear" w:color="auto" w:fill="CFF0FC"/>
          </w:tcPr>
          <w:p>
            <w:pPr>
              <w:spacing w:after="0"/>
              <w:rPr>
                <w:sz w:val="12"/>
                <w:szCs w:val="12"/>
                <w:color w:val="auto"/>
              </w:rPr>
            </w:pPr>
          </w:p>
        </w:tc>
      </w:tr>
      <w:tr>
        <w:trPr>
          <w:trHeight w:val="131"/>
        </w:trPr>
        <w:tc>
          <w:tcPr>
            <w:tcW w:w="308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Issuance costs associated with at-the-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6"/>
        </w:trPr>
        <w:tc>
          <w:tcPr>
            <w:tcW w:w="3080" w:type="dxa"/>
            <w:vAlign w:val="bottom"/>
            <w:gridSpan w:val="2"/>
          </w:tcPr>
          <w:p>
            <w:pPr>
              <w:ind w:left="340"/>
              <w:spacing w:after="0"/>
              <w:rPr>
                <w:sz w:val="20"/>
                <w:szCs w:val="20"/>
                <w:color w:val="auto"/>
              </w:rPr>
            </w:pPr>
            <w:r>
              <w:rPr>
                <w:rFonts w:ascii="Arial" w:cs="Arial" w:eastAsia="Arial" w:hAnsi="Arial"/>
                <w:sz w:val="12"/>
                <w:szCs w:val="12"/>
                <w:color w:val="auto"/>
              </w:rPr>
              <w:t>market placement</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2"/>
                <w:szCs w:val="12"/>
                <w:color w:val="auto"/>
              </w:rPr>
              <w:t>(38)</w:t>
            </w:r>
          </w:p>
        </w:tc>
      </w:tr>
      <w:tr>
        <w:trPr>
          <w:trHeight w:val="145"/>
        </w:trPr>
        <w:tc>
          <w:tcPr>
            <w:tcW w:w="30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(12,916)</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(12,916)</w:t>
            </w:r>
          </w:p>
        </w:tc>
      </w:tr>
      <w:tr>
        <w:trPr>
          <w:trHeight w:val="138"/>
        </w:trPr>
        <w:tc>
          <w:tcPr>
            <w:tcW w:w="3080" w:type="dxa"/>
            <w:vAlign w:val="bottom"/>
            <w:gridSpan w:val="2"/>
          </w:tcPr>
          <w:p>
            <w:pPr>
              <w:spacing w:after="0"/>
              <w:rPr>
                <w:sz w:val="20"/>
                <w:szCs w:val="20"/>
                <w:color w:val="auto"/>
              </w:rPr>
            </w:pPr>
            <w:r>
              <w:rPr>
                <w:rFonts w:ascii="Arial" w:cs="Arial" w:eastAsia="Arial" w:hAnsi="Arial"/>
                <w:sz w:val="12"/>
                <w:szCs w:val="12"/>
                <w:color w:val="auto"/>
              </w:rPr>
              <w:t>BALANCE, MARCH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249,073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2,491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2,885,946</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(3,062,059)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(173,622)</w:t>
            </w:r>
          </w:p>
        </w:tc>
        <w:tc>
          <w:tcPr>
            <w:tcW w:w="100" w:type="dxa"/>
            <w:vAlign w:val="bottom"/>
          </w:tcPr>
          <w:p>
            <w:pPr>
              <w:spacing w:after="0"/>
              <w:rPr>
                <w:sz w:val="12"/>
                <w:szCs w:val="12"/>
                <w:color w:val="auto"/>
              </w:rPr>
            </w:pPr>
          </w:p>
        </w:tc>
      </w:tr>
      <w:tr>
        <w:trPr>
          <w:trHeight w:val="20"/>
        </w:trPr>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75"/>
        </w:trPr>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0"/>
        </w:trPr>
        <w:tc>
          <w:tcPr>
            <w:tcW w:w="3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9"/>
              </w:rPr>
              <w:t>Paid-In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9"/>
              </w:rPr>
              <w:t>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0"/>
        </w:trPr>
        <w:tc>
          <w:tcPr>
            <w:tcW w:w="3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ind w:right="360"/>
              <w:spacing w:after="0" w:line="121" w:lineRule="exact"/>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0"/>
        </w:trPr>
        <w:tc>
          <w:tcPr>
            <w:tcW w:w="3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jc w:val="right"/>
              <w:ind w:right="338"/>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6"/>
              </w:rPr>
              <w:t>Amount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85"/>
              </w:rPr>
              <w:t>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2"/>
              </w:rPr>
              <w:t>Deficit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rPr>
              <w:t>Total</w:t>
            </w:r>
          </w:p>
        </w:tc>
      </w:tr>
      <w:tr>
        <w:trPr>
          <w:trHeight w:val="138"/>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JANUARY 1, 2022</w:t>
            </w:r>
          </w:p>
        </w:tc>
        <w:tc>
          <w:tcPr>
            <w:tcW w:w="2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251,478</w:t>
            </w:r>
          </w:p>
        </w:tc>
        <w:tc>
          <w:tcPr>
            <w:tcW w:w="2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gridSpan w:val="2"/>
            <w:shd w:val="clear" w:color="auto" w:fill="CFF0FC"/>
          </w:tcPr>
          <w:p>
            <w:pPr>
              <w:jc w:val="right"/>
              <w:ind w:right="189"/>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2,515</w:t>
            </w:r>
          </w:p>
        </w:tc>
        <w:tc>
          <w:tcPr>
            <w:tcW w:w="2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gridSpan w:val="2"/>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2,918,205</w:t>
            </w:r>
          </w:p>
        </w:tc>
        <w:tc>
          <w:tcPr>
            <w:tcW w:w="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gridSpan w:val="2"/>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FF0FC"/>
            </w:tcBorders>
            <w:gridSpan w:val="2"/>
            <w:shd w:val="clear" w:color="auto" w:fill="CFF0FC"/>
          </w:tcPr>
          <w:p>
            <w:pPr>
              <w:spacing w:after="0"/>
              <w:rPr>
                <w:sz w:val="12"/>
                <w:szCs w:val="12"/>
                <w:color w:val="auto"/>
              </w:rPr>
            </w:pPr>
          </w:p>
        </w:tc>
        <w:tc>
          <w:tcPr>
            <w:tcW w:w="140" w:type="dxa"/>
            <w:vAlign w:val="bottom"/>
            <w:tcBorders>
              <w:top w:val="single" w:sz="8" w:color="auto"/>
            </w:tcBorders>
            <w:gridSpan w:val="2"/>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(3,130,069)</w:t>
            </w:r>
          </w:p>
        </w:tc>
        <w:tc>
          <w:tcPr>
            <w:tcW w:w="220" w:type="dxa"/>
            <w:vAlign w:val="bottom"/>
            <w:tcBorders>
              <w:top w:val="single" w:sz="8" w:color="CFF0FC"/>
            </w:tcBorders>
            <w:gridSpan w:val="2"/>
            <w:shd w:val="clear" w:color="auto" w:fill="CFF0FC"/>
          </w:tcPr>
          <w:p>
            <w:pPr>
              <w:spacing w:after="0"/>
              <w:rPr>
                <w:sz w:val="12"/>
                <w:szCs w:val="12"/>
                <w:color w:val="auto"/>
              </w:rPr>
            </w:pPr>
          </w:p>
        </w:tc>
        <w:tc>
          <w:tcPr>
            <w:tcW w:w="260" w:type="dxa"/>
            <w:vAlign w:val="bottom"/>
            <w:tcBorders>
              <w:top w:val="single" w:sz="8" w:color="auto"/>
            </w:tcBorders>
            <w:gridSpan w:val="2"/>
            <w:shd w:val="clear" w:color="auto" w:fill="CFF0FC"/>
          </w:tcPr>
          <w:p>
            <w:pPr>
              <w:jc w:val="right"/>
              <w:ind w:right="129"/>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(209,349)</w:t>
            </w:r>
          </w:p>
        </w:tc>
        <w:tc>
          <w:tcPr>
            <w:tcW w:w="120" w:type="dxa"/>
            <w:vAlign w:val="bottom"/>
            <w:tcBorders>
              <w:top w:val="single" w:sz="8" w:color="CFF0FC"/>
            </w:tcBorders>
            <w:gridSpan w:val="2"/>
            <w:shd w:val="clear" w:color="auto" w:fill="CFF0FC"/>
          </w:tcPr>
          <w:p>
            <w:pPr>
              <w:spacing w:after="0"/>
              <w:rPr>
                <w:sz w:val="12"/>
                <w:szCs w:val="12"/>
                <w:color w:val="auto"/>
              </w:rPr>
            </w:pPr>
          </w:p>
        </w:tc>
      </w:tr>
      <w:tr>
        <w:trPr>
          <w:trHeight w:val="131"/>
        </w:trPr>
        <w:tc>
          <w:tcPr>
            <w:tcW w:w="3080" w:type="dxa"/>
            <w:vAlign w:val="bottom"/>
            <w:gridSpan w:val="2"/>
          </w:tcPr>
          <w:p>
            <w:pPr>
              <w:ind w:left="240"/>
              <w:spacing w:after="0" w:line="132" w:lineRule="exact"/>
              <w:rPr>
                <w:sz w:val="20"/>
                <w:szCs w:val="20"/>
                <w:color w:val="auto"/>
              </w:rPr>
            </w:pPr>
            <w:r>
              <w:rPr>
                <w:rFonts w:ascii="Arial" w:cs="Arial" w:eastAsia="Arial" w:hAnsi="Arial"/>
                <w:sz w:val="12"/>
                <w:szCs w:val="12"/>
                <w:color w:val="auto"/>
              </w:rPr>
              <w:t>Net issuance of common stock associated</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2"/>
        </w:trPr>
        <w:tc>
          <w:tcPr>
            <w:tcW w:w="3080" w:type="dxa"/>
            <w:vAlign w:val="bottom"/>
            <w:gridSpan w:val="2"/>
          </w:tcPr>
          <w:p>
            <w:pPr>
              <w:ind w:left="340"/>
              <w:spacing w:after="0" w:line="132" w:lineRule="exact"/>
              <w:rPr>
                <w:sz w:val="20"/>
                <w:szCs w:val="20"/>
                <w:color w:val="auto"/>
              </w:rPr>
            </w:pPr>
            <w:r>
              <w:rPr>
                <w:rFonts w:ascii="Arial" w:cs="Arial" w:eastAsia="Arial" w:hAnsi="Arial"/>
                <w:sz w:val="12"/>
                <w:szCs w:val="12"/>
                <w:color w:val="auto"/>
              </w:rPr>
              <w:t>with stock options and restricted stock</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6"/>
        </w:trPr>
        <w:tc>
          <w:tcPr>
            <w:tcW w:w="3080" w:type="dxa"/>
            <w:vAlign w:val="bottom"/>
            <w:gridSpan w:val="2"/>
          </w:tcPr>
          <w:p>
            <w:pPr>
              <w:ind w:left="340"/>
              <w:spacing w:after="0"/>
              <w:rPr>
                <w:sz w:val="20"/>
                <w:szCs w:val="20"/>
                <w:color w:val="auto"/>
              </w:rPr>
            </w:pPr>
            <w:r>
              <w:rPr>
                <w:rFonts w:ascii="Arial" w:cs="Arial" w:eastAsia="Arial" w:hAnsi="Arial"/>
                <w:sz w:val="12"/>
                <w:szCs w:val="12"/>
                <w:color w:val="auto"/>
              </w:rPr>
              <w:t>units</w:t>
            </w:r>
          </w:p>
        </w:tc>
        <w:tc>
          <w:tcPr>
            <w:tcW w:w="1120" w:type="dxa"/>
            <w:vAlign w:val="bottom"/>
          </w:tcPr>
          <w:p>
            <w:pPr>
              <w:jc w:val="right"/>
              <w:spacing w:after="0"/>
              <w:rPr>
                <w:sz w:val="20"/>
                <w:szCs w:val="20"/>
                <w:color w:val="auto"/>
              </w:rPr>
            </w:pPr>
            <w:r>
              <w:rPr>
                <w:rFonts w:ascii="Arial" w:cs="Arial" w:eastAsia="Arial" w:hAnsi="Arial"/>
                <w:sz w:val="12"/>
                <w:szCs w:val="12"/>
                <w:color w:val="auto"/>
              </w:rPr>
              <w:t>450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1"/>
        </w:trPr>
        <w:tc>
          <w:tcPr>
            <w:tcW w:w="3080" w:type="dxa"/>
            <w:vAlign w:val="bottom"/>
            <w:gridSpan w:val="2"/>
            <w:shd w:val="clear" w:color="auto" w:fill="CFF0FC"/>
          </w:tcPr>
          <w:p>
            <w:pPr>
              <w:ind w:left="240"/>
              <w:spacing w:after="0" w:line="132" w:lineRule="exact"/>
              <w:rPr>
                <w:sz w:val="20"/>
                <w:szCs w:val="20"/>
                <w:color w:val="auto"/>
              </w:rPr>
            </w:pPr>
            <w:r>
              <w:rPr>
                <w:rFonts w:ascii="Arial" w:cs="Arial" w:eastAsia="Arial" w:hAnsi="Arial"/>
                <w:sz w:val="12"/>
                <w:szCs w:val="12"/>
                <w:color w:val="auto"/>
              </w:rPr>
              <w:t>Issuance of common stock under Employee</w:t>
            </w: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6"/>
        </w:trPr>
        <w:tc>
          <w:tcPr>
            <w:tcW w:w="3080" w:type="dxa"/>
            <w:vAlign w:val="bottom"/>
            <w:gridSpan w:val="2"/>
            <w:shd w:val="clear" w:color="auto" w:fill="CFF0FC"/>
          </w:tcPr>
          <w:p>
            <w:pPr>
              <w:ind w:left="340"/>
              <w:spacing w:after="0"/>
              <w:rPr>
                <w:sz w:val="20"/>
                <w:szCs w:val="20"/>
                <w:color w:val="auto"/>
              </w:rPr>
            </w:pPr>
            <w:r>
              <w:rPr>
                <w:rFonts w:ascii="Arial" w:cs="Arial" w:eastAsia="Arial" w:hAnsi="Arial"/>
                <w:sz w:val="12"/>
                <w:szCs w:val="12"/>
                <w:color w:val="auto"/>
              </w:rPr>
              <w:t>Stock Purchase Plan</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738</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740</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3080" w:type="dxa"/>
            <w:vAlign w:val="bottom"/>
            <w:gridSpan w:val="2"/>
          </w:tcPr>
          <w:p>
            <w:pPr>
              <w:ind w:left="240"/>
              <w:spacing w:after="0"/>
              <w:rPr>
                <w:sz w:val="20"/>
                <w:szCs w:val="20"/>
                <w:color w:val="auto"/>
              </w:rPr>
            </w:pPr>
            <w:r>
              <w:rPr>
                <w:rFonts w:ascii="Arial" w:cs="Arial" w:eastAsia="Arial" w:hAnsi="Arial"/>
                <w:sz w:val="12"/>
                <w:szCs w:val="12"/>
                <w:color w:val="auto"/>
              </w:rPr>
              <w:t>Stock-based compensation expense</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2,806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2,806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1"/>
        </w:trPr>
        <w:tc>
          <w:tcPr>
            <w:tcW w:w="3080" w:type="dxa"/>
            <w:vAlign w:val="bottom"/>
            <w:gridSpan w:val="2"/>
            <w:shd w:val="clear" w:color="auto" w:fill="CFF0FC"/>
          </w:tcPr>
          <w:p>
            <w:pPr>
              <w:ind w:left="240"/>
              <w:spacing w:after="0" w:line="132" w:lineRule="exact"/>
              <w:rPr>
                <w:sz w:val="20"/>
                <w:szCs w:val="20"/>
                <w:color w:val="auto"/>
              </w:rPr>
            </w:pPr>
            <w:r>
              <w:rPr>
                <w:rFonts w:ascii="Arial" w:cs="Arial" w:eastAsia="Arial" w:hAnsi="Arial"/>
                <w:sz w:val="12"/>
                <w:szCs w:val="12"/>
                <w:color w:val="auto"/>
              </w:rPr>
              <w:t>Issuance of common stock from market</w:t>
            </w:r>
          </w:p>
        </w:tc>
        <w:tc>
          <w:tcPr>
            <w:tcW w:w="1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6"/>
        </w:trPr>
        <w:tc>
          <w:tcPr>
            <w:tcW w:w="3080" w:type="dxa"/>
            <w:vAlign w:val="bottom"/>
            <w:gridSpan w:val="2"/>
            <w:shd w:val="clear" w:color="auto" w:fill="CFF0FC"/>
          </w:tcPr>
          <w:p>
            <w:pPr>
              <w:ind w:left="340"/>
              <w:spacing w:after="0"/>
              <w:rPr>
                <w:sz w:val="20"/>
                <w:szCs w:val="20"/>
                <w:color w:val="auto"/>
              </w:rPr>
            </w:pPr>
            <w:r>
              <w:rPr>
                <w:rFonts w:ascii="Arial" w:cs="Arial" w:eastAsia="Arial" w:hAnsi="Arial"/>
                <w:sz w:val="12"/>
                <w:szCs w:val="12"/>
                <w:color w:val="auto"/>
              </w:rPr>
              <w:t>price stock purchase plan</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252</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681</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684</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3080" w:type="dxa"/>
            <w:vAlign w:val="bottom"/>
            <w:gridSpan w:val="2"/>
          </w:tcPr>
          <w:p>
            <w:pPr>
              <w:ind w:left="240"/>
              <w:spacing w:after="0"/>
              <w:rPr>
                <w:sz w:val="20"/>
                <w:szCs w:val="20"/>
                <w:color w:val="auto"/>
              </w:rPr>
            </w:pPr>
            <w:r>
              <w:rPr>
                <w:rFonts w:ascii="Arial" w:cs="Arial" w:eastAsia="Arial" w:hAnsi="Arial"/>
                <w:sz w:val="12"/>
                <w:szCs w:val="12"/>
                <w:color w:val="auto"/>
              </w:rPr>
              <w:t>Cumulative loss on available-for-sale securities</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2"/>
                <w:szCs w:val="12"/>
                <w:color w:val="auto"/>
              </w:rPr>
              <w:t>(1,076)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(1,076)</w:t>
            </w:r>
          </w:p>
        </w:tc>
      </w:tr>
      <w:tr>
        <w:trPr>
          <w:trHeight w:val="145"/>
        </w:trPr>
        <w:tc>
          <w:tcPr>
            <w:tcW w:w="3080" w:type="dxa"/>
            <w:vAlign w:val="bottom"/>
            <w:gridSpan w:val="2"/>
            <w:shd w:val="clear" w:color="auto" w:fill="CFF0FC"/>
          </w:tcPr>
          <w:p>
            <w:pPr>
              <w:ind w:left="240"/>
              <w:spacing w:after="0"/>
              <w:rPr>
                <w:sz w:val="20"/>
                <w:szCs w:val="20"/>
                <w:color w:val="auto"/>
              </w:rPr>
            </w:pPr>
            <w:r>
              <w:rPr>
                <w:rFonts w:ascii="Arial" w:cs="Arial" w:eastAsia="Arial" w:hAnsi="Arial"/>
                <w:sz w:val="12"/>
                <w:szCs w:val="12"/>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(25,998)</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(25,998)</w:t>
            </w:r>
          </w:p>
        </w:tc>
      </w:tr>
      <w:tr>
        <w:trPr>
          <w:trHeight w:val="138"/>
        </w:trPr>
        <w:tc>
          <w:tcPr>
            <w:tcW w:w="3060" w:type="dxa"/>
            <w:vAlign w:val="bottom"/>
          </w:tcPr>
          <w:p>
            <w:pPr>
              <w:spacing w:after="0"/>
              <w:rPr>
                <w:sz w:val="20"/>
                <w:szCs w:val="20"/>
                <w:color w:val="auto"/>
              </w:rPr>
            </w:pPr>
            <w:r>
              <w:rPr>
                <w:rFonts w:ascii="Arial" w:cs="Arial" w:eastAsia="Arial" w:hAnsi="Arial"/>
                <w:sz w:val="12"/>
                <w:szCs w:val="12"/>
                <w:color w:val="auto"/>
              </w:rPr>
              <w:t>BALANCE, MARCH 31, 2022</w:t>
            </w:r>
          </w:p>
        </w:tc>
        <w:tc>
          <w:tcPr>
            <w:tcW w:w="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252,413</w:t>
            </w:r>
          </w:p>
        </w:tc>
        <w:tc>
          <w:tcPr>
            <w:tcW w:w="220" w:type="dxa"/>
            <w:vAlign w:val="bottom"/>
          </w:tcPr>
          <w:p>
            <w:pPr>
              <w:spacing w:after="0"/>
              <w:rPr>
                <w:sz w:val="12"/>
                <w:szCs w:val="12"/>
                <w:color w:val="auto"/>
              </w:rPr>
            </w:pPr>
          </w:p>
        </w:tc>
        <w:tc>
          <w:tcPr>
            <w:tcW w:w="320" w:type="dxa"/>
            <w:vAlign w:val="bottom"/>
            <w:tcBorders>
              <w:top w:val="single" w:sz="8" w:color="auto"/>
              <w:bottom w:val="single" w:sz="8" w:color="auto"/>
            </w:tcBorders>
            <w:gridSpan w:val="2"/>
          </w:tcPr>
          <w:p>
            <w:pPr>
              <w:jc w:val="right"/>
              <w:ind w:right="189"/>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2,524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2,922,555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(1,076)</w:t>
            </w:r>
          </w:p>
        </w:tc>
        <w:tc>
          <w:tcPr>
            <w:tcW w:w="240" w:type="dxa"/>
            <w:vAlign w:val="bottom"/>
            <w:gridSpan w:val="2"/>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(3,156,067)</w:t>
            </w:r>
          </w:p>
        </w:tc>
        <w:tc>
          <w:tcPr>
            <w:tcW w:w="220" w:type="dxa"/>
            <w:vAlign w:val="bottom"/>
            <w:gridSpan w:val="2"/>
          </w:tcPr>
          <w:p>
            <w:pPr>
              <w:spacing w:after="0"/>
              <w:rPr>
                <w:sz w:val="12"/>
                <w:szCs w:val="12"/>
                <w:color w:val="auto"/>
              </w:rPr>
            </w:pPr>
          </w:p>
        </w:tc>
        <w:tc>
          <w:tcPr>
            <w:tcW w:w="260" w:type="dxa"/>
            <w:vAlign w:val="bottom"/>
            <w:tcBorders>
              <w:top w:val="single" w:sz="8" w:color="auto"/>
              <w:bottom w:val="single" w:sz="8" w:color="auto"/>
            </w:tcBorders>
            <w:gridSpan w:val="2"/>
          </w:tcPr>
          <w:p>
            <w:pPr>
              <w:jc w:val="right"/>
              <w:ind w:right="129"/>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(232,064)</w:t>
            </w:r>
          </w:p>
        </w:tc>
        <w:tc>
          <w:tcPr>
            <w:tcW w:w="120" w:type="dxa"/>
            <w:vAlign w:val="bottom"/>
            <w:gridSpan w:val="2"/>
          </w:tcPr>
          <w:p>
            <w:pPr>
              <w:spacing w:after="0"/>
              <w:rPr>
                <w:sz w:val="12"/>
                <w:szCs w:val="12"/>
                <w:color w:val="auto"/>
              </w:rPr>
            </w:pPr>
          </w:p>
        </w:tc>
      </w:tr>
      <w:tr>
        <w:trPr>
          <w:trHeight w:val="20"/>
        </w:trPr>
        <w:tc>
          <w:tcPr>
            <w:tcW w:w="3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40" w:type="dxa"/>
            <w:vAlign w:val="bottom"/>
            <w:tcBorders>
              <w:bottom w:val="single" w:sz="8" w:color="auto"/>
            </w:tcBorders>
            <w:gridSpan w:val="5"/>
          </w:tcPr>
          <w:p>
            <w:pPr>
              <w:jc w:val="right"/>
              <w:ind w:right="269"/>
              <w:spacing w:after="0"/>
              <w:rPr>
                <w:sz w:val="20"/>
                <w:szCs w:val="20"/>
                <w:color w:val="auto"/>
              </w:rPr>
            </w:pPr>
            <w:r>
              <w:rPr>
                <w:rFonts w:ascii="Arial" w:cs="Arial" w:eastAsia="Arial" w:hAnsi="Arial"/>
                <w:sz w:val="12"/>
                <w:szCs w:val="12"/>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8"/>
        </w:trPr>
        <w:tc>
          <w:tcPr>
            <w:tcW w:w="6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0" w:type="dxa"/>
            <w:vAlign w:val="bottom"/>
          </w:tcPr>
          <w:p>
            <w:pPr>
              <w:jc w:val="right"/>
              <w:ind w:right="62"/>
              <w:spacing w:after="0"/>
              <w:rPr>
                <w:sz w:val="20"/>
                <w:szCs w:val="20"/>
                <w:color w:val="auto"/>
              </w:rPr>
            </w:pPr>
            <w:r>
              <w:rPr>
                <w:rFonts w:ascii="Arial" w:cs="Arial" w:eastAsia="Arial" w:hAnsi="Arial"/>
                <w:sz w:val="12"/>
                <w:szCs w:val="12"/>
                <w:b w:val="1"/>
                <w:bCs w:val="1"/>
                <w:color w:val="auto"/>
              </w:rPr>
              <w:t>2022</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69"/>
              <w:spacing w:after="0"/>
              <w:rPr>
                <w:sz w:val="20"/>
                <w:szCs w:val="20"/>
                <w:color w:val="auto"/>
              </w:rPr>
            </w:pPr>
            <w:r>
              <w:rPr>
                <w:rFonts w:ascii="Arial" w:cs="Arial" w:eastAsia="Arial" w:hAnsi="Arial"/>
                <w:sz w:val="12"/>
                <w:szCs w:val="12"/>
                <w:b w:val="1"/>
                <w:bCs w:val="1"/>
                <w:color w:val="auto"/>
              </w:rPr>
              <w:t>2021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CASH FLOWS FROM OPERATING ACTIVITIES:</w:t>
            </w:r>
          </w:p>
        </w:tc>
        <w:tc>
          <w:tcPr>
            <w:tcW w:w="12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5"/>
        </w:trPr>
        <w:tc>
          <w:tcPr>
            <w:tcW w:w="6540" w:type="dxa"/>
            <w:vAlign w:val="bottom"/>
          </w:tcPr>
          <w:p>
            <w:pPr>
              <w:ind w:left="240"/>
              <w:spacing w:after="0"/>
              <w:rPr>
                <w:sz w:val="20"/>
                <w:szCs w:val="20"/>
                <w:color w:val="auto"/>
              </w:rPr>
            </w:pPr>
            <w:r>
              <w:rPr>
                <w:rFonts w:ascii="Arial" w:cs="Arial" w:eastAsia="Arial" w:hAnsi="Arial"/>
                <w:sz w:val="12"/>
                <w:szCs w:val="12"/>
                <w:color w:val="auto"/>
              </w:rPr>
              <w:t>Net loss</w:t>
            </w:r>
          </w:p>
        </w:tc>
        <w:tc>
          <w:tcPr>
            <w:tcW w:w="2220" w:type="dxa"/>
            <w:vAlign w:val="bottom"/>
            <w:gridSpan w:val="2"/>
          </w:tcPr>
          <w:p>
            <w:pPr>
              <w:jc w:val="right"/>
              <w:ind w:right="882"/>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(25,998)</w:t>
            </w:r>
          </w:p>
        </w:tc>
        <w:tc>
          <w:tcPr>
            <w:tcW w:w="1140" w:type="dxa"/>
            <w:vAlign w:val="bottom"/>
            <w:gridSpan w:val="2"/>
          </w:tcPr>
          <w:p>
            <w:pPr>
              <w:jc w:val="right"/>
              <w:ind w:right="889"/>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(12,916)</w:t>
            </w:r>
          </w:p>
        </w:tc>
      </w:tr>
      <w:tr>
        <w:trPr>
          <w:trHeight w:val="145"/>
        </w:trPr>
        <w:tc>
          <w:tcPr>
            <w:tcW w:w="65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6540" w:type="dxa"/>
            <w:vAlign w:val="bottom"/>
          </w:tcPr>
          <w:p>
            <w:pPr>
              <w:ind w:left="480"/>
              <w:spacing w:after="0"/>
              <w:rPr>
                <w:sz w:val="20"/>
                <w:szCs w:val="20"/>
                <w:color w:val="auto"/>
              </w:rPr>
            </w:pPr>
            <w:r>
              <w:rPr>
                <w:rFonts w:ascii="Arial" w:cs="Arial" w:eastAsia="Arial" w:hAnsi="Arial"/>
                <w:sz w:val="12"/>
                <w:szCs w:val="12"/>
                <w:color w:val="auto"/>
              </w:rPr>
              <w:t>Stock-based compensation expense</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2,806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1,935</w:t>
            </w:r>
          </w:p>
        </w:tc>
        <w:tc>
          <w:tcPr>
            <w:tcW w:w="100" w:type="dxa"/>
            <w:vAlign w:val="bottom"/>
          </w:tcPr>
          <w:p>
            <w:pPr>
              <w:spacing w:after="0"/>
              <w:rPr>
                <w:sz w:val="12"/>
                <w:szCs w:val="12"/>
                <w:color w:val="auto"/>
              </w:rPr>
            </w:pPr>
          </w:p>
        </w:tc>
      </w:tr>
      <w:tr>
        <w:trPr>
          <w:trHeight w:val="145"/>
        </w:trPr>
        <w:tc>
          <w:tcPr>
            <w:tcW w:w="6540" w:type="dxa"/>
            <w:vAlign w:val="bottom"/>
            <w:shd w:val="clear" w:color="auto" w:fill="CFF0FC"/>
          </w:tcPr>
          <w:p>
            <w:pPr>
              <w:ind w:left="480"/>
              <w:spacing w:after="0"/>
              <w:rPr>
                <w:sz w:val="20"/>
                <w:szCs w:val="20"/>
                <w:color w:val="auto"/>
              </w:rPr>
            </w:pPr>
            <w:r>
              <w:rPr>
                <w:rFonts w:ascii="Arial" w:cs="Arial" w:eastAsia="Arial" w:hAnsi="Arial"/>
                <w:sz w:val="12"/>
                <w:szCs w:val="12"/>
                <w:color w:val="auto"/>
              </w:rPr>
              <w:t>Interest expense on financing liability</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5"/>
        </w:trPr>
        <w:tc>
          <w:tcPr>
            <w:tcW w:w="6540" w:type="dxa"/>
            <w:vAlign w:val="bottom"/>
          </w:tcPr>
          <w:p>
            <w:pPr>
              <w:ind w:left="480"/>
              <w:spacing w:after="0"/>
              <w:rPr>
                <w:sz w:val="20"/>
                <w:szCs w:val="20"/>
                <w:color w:val="auto"/>
              </w:rPr>
            </w:pPr>
            <w:r>
              <w:rPr>
                <w:rFonts w:ascii="Arial" w:cs="Arial" w:eastAsia="Arial" w:hAnsi="Arial"/>
                <w:sz w:val="12"/>
                <w:szCs w:val="12"/>
                <w:color w:val="auto"/>
              </w:rPr>
              <w:t>Depreciation and amortization</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655</w:t>
            </w:r>
          </w:p>
        </w:tc>
        <w:tc>
          <w:tcPr>
            <w:tcW w:w="100" w:type="dxa"/>
            <w:vAlign w:val="bottom"/>
          </w:tcPr>
          <w:p>
            <w:pPr>
              <w:spacing w:after="0"/>
              <w:rPr>
                <w:sz w:val="12"/>
                <w:szCs w:val="12"/>
                <w:color w:val="auto"/>
              </w:rPr>
            </w:pPr>
          </w:p>
        </w:tc>
      </w:tr>
      <w:tr>
        <w:trPr>
          <w:trHeight w:val="145"/>
        </w:trPr>
        <w:tc>
          <w:tcPr>
            <w:tcW w:w="6540" w:type="dxa"/>
            <w:vAlign w:val="bottom"/>
            <w:shd w:val="clear" w:color="auto" w:fill="CFF0FC"/>
          </w:tcPr>
          <w:p>
            <w:pPr>
              <w:ind w:left="480"/>
              <w:spacing w:after="0"/>
              <w:rPr>
                <w:sz w:val="20"/>
                <w:szCs w:val="20"/>
                <w:color w:val="auto"/>
              </w:rPr>
            </w:pPr>
            <w:r>
              <w:rPr>
                <w:rFonts w:ascii="Arial" w:cs="Arial" w:eastAsia="Arial" w:hAnsi="Arial"/>
                <w:sz w:val="12"/>
                <w:szCs w:val="12"/>
                <w:color w:val="auto"/>
              </w:rPr>
              <w:t>Amortization of right-of-use assets</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289</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309</w:t>
            </w:r>
          </w:p>
        </w:tc>
        <w:tc>
          <w:tcPr>
            <w:tcW w:w="100" w:type="dxa"/>
            <w:vAlign w:val="bottom"/>
            <w:shd w:val="clear" w:color="auto" w:fill="CFF0FC"/>
          </w:tcPr>
          <w:p>
            <w:pPr>
              <w:spacing w:after="0"/>
              <w:rPr>
                <w:sz w:val="12"/>
                <w:szCs w:val="12"/>
                <w:color w:val="auto"/>
              </w:rPr>
            </w:pPr>
          </w:p>
        </w:tc>
      </w:tr>
      <w:tr>
        <w:trPr>
          <w:trHeight w:val="145"/>
        </w:trPr>
        <w:tc>
          <w:tcPr>
            <w:tcW w:w="6540" w:type="dxa"/>
            <w:vAlign w:val="bottom"/>
          </w:tcPr>
          <w:p>
            <w:pPr>
              <w:ind w:left="480"/>
              <w:spacing w:after="0"/>
              <w:rPr>
                <w:sz w:val="20"/>
                <w:szCs w:val="20"/>
                <w:color w:val="auto"/>
              </w:rPr>
            </w:pPr>
            <w:r>
              <w:rPr>
                <w:rFonts w:ascii="Arial" w:cs="Arial" w:eastAsia="Arial" w:hAnsi="Arial"/>
                <w:sz w:val="12"/>
                <w:szCs w:val="12"/>
                <w:color w:val="auto"/>
              </w:rPr>
              <w:t>Interest expense on promissory notes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1,028</w:t>
            </w:r>
          </w:p>
        </w:tc>
        <w:tc>
          <w:tcPr>
            <w:tcW w:w="100" w:type="dxa"/>
            <w:vAlign w:val="bottom"/>
          </w:tcPr>
          <w:p>
            <w:pPr>
              <w:spacing w:after="0"/>
              <w:rPr>
                <w:sz w:val="12"/>
                <w:szCs w:val="12"/>
                <w:color w:val="auto"/>
              </w:rPr>
            </w:pPr>
          </w:p>
        </w:tc>
      </w:tr>
      <w:tr>
        <w:trPr>
          <w:trHeight w:val="145"/>
        </w:trPr>
        <w:tc>
          <w:tcPr>
            <w:tcW w:w="6540" w:type="dxa"/>
            <w:vAlign w:val="bottom"/>
            <w:shd w:val="clear" w:color="auto" w:fill="CFF0FC"/>
          </w:tcPr>
          <w:p>
            <w:pPr>
              <w:ind w:left="480"/>
              <w:spacing w:after="0"/>
              <w:rPr>
                <w:sz w:val="20"/>
                <w:szCs w:val="20"/>
                <w:color w:val="auto"/>
              </w:rPr>
            </w:pPr>
            <w:r>
              <w:rPr>
                <w:rFonts w:ascii="Arial" w:cs="Arial" w:eastAsia="Arial" w:hAnsi="Arial"/>
                <w:sz w:val="12"/>
                <w:szCs w:val="12"/>
                <w:color w:val="auto"/>
              </w:rPr>
              <w:t>Gain on foreign currency translation</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(1,983)</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(3,838)</w:t>
            </w:r>
          </w:p>
        </w:tc>
      </w:tr>
      <w:tr>
        <w:trPr>
          <w:trHeight w:val="145"/>
        </w:trPr>
        <w:tc>
          <w:tcPr>
            <w:tcW w:w="6540" w:type="dxa"/>
            <w:vAlign w:val="bottom"/>
          </w:tcPr>
          <w:p>
            <w:pPr>
              <w:ind w:left="480"/>
              <w:spacing w:after="0"/>
              <w:rPr>
                <w:sz w:val="20"/>
                <w:szCs w:val="20"/>
                <w:color w:val="auto"/>
              </w:rPr>
            </w:pPr>
            <w:r>
              <w:rPr>
                <w:rFonts w:ascii="Arial" w:cs="Arial" w:eastAsia="Arial" w:hAnsi="Arial"/>
                <w:sz w:val="12"/>
                <w:szCs w:val="12"/>
                <w:color w:val="auto"/>
              </w:rPr>
              <w:t>Changes in operating assets and liabilities: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6540" w:type="dxa"/>
            <w:vAlign w:val="bottom"/>
            <w:shd w:val="clear" w:color="auto" w:fill="CFF0FC"/>
          </w:tcPr>
          <w:p>
            <w:pPr>
              <w:ind w:left="720"/>
              <w:spacing w:after="0"/>
              <w:rPr>
                <w:sz w:val="20"/>
                <w:szCs w:val="20"/>
                <w:color w:val="auto"/>
              </w:rPr>
            </w:pPr>
            <w:r>
              <w:rPr>
                <w:rFonts w:ascii="Arial" w:cs="Arial" w:eastAsia="Arial" w:hAnsi="Arial"/>
                <w:sz w:val="12"/>
                <w:szCs w:val="12"/>
                <w:color w:val="auto"/>
              </w:rPr>
              <w:t>Accounts receivable, net</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(4,829)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645</w:t>
            </w:r>
          </w:p>
        </w:tc>
        <w:tc>
          <w:tcPr>
            <w:tcW w:w="100" w:type="dxa"/>
            <w:vAlign w:val="bottom"/>
            <w:shd w:val="clear" w:color="auto" w:fill="CFF0FC"/>
          </w:tcPr>
          <w:p>
            <w:pPr>
              <w:spacing w:after="0"/>
              <w:rPr>
                <w:sz w:val="12"/>
                <w:szCs w:val="12"/>
                <w:color w:val="auto"/>
              </w:rPr>
            </w:pPr>
          </w:p>
        </w:tc>
      </w:tr>
      <w:tr>
        <w:trPr>
          <w:trHeight w:val="145"/>
        </w:trPr>
        <w:tc>
          <w:tcPr>
            <w:tcW w:w="6540" w:type="dxa"/>
            <w:vAlign w:val="bottom"/>
          </w:tcPr>
          <w:p>
            <w:pPr>
              <w:ind w:left="720"/>
              <w:spacing w:after="0"/>
              <w:rPr>
                <w:sz w:val="20"/>
                <w:szCs w:val="20"/>
                <w:color w:val="auto"/>
              </w:rPr>
            </w:pPr>
            <w:r>
              <w:rPr>
                <w:rFonts w:ascii="Arial" w:cs="Arial" w:eastAsia="Arial" w:hAnsi="Arial"/>
                <w:sz w:val="12"/>
                <w:szCs w:val="12"/>
                <w:color w:val="auto"/>
              </w:rPr>
              <w:t>Inventory</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(892)</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(77)</w:t>
            </w:r>
          </w:p>
        </w:tc>
      </w:tr>
      <w:tr>
        <w:trPr>
          <w:trHeight w:val="145"/>
        </w:trPr>
        <w:tc>
          <w:tcPr>
            <w:tcW w:w="6540" w:type="dxa"/>
            <w:vAlign w:val="bottom"/>
            <w:shd w:val="clear" w:color="auto" w:fill="CFF0FC"/>
          </w:tcPr>
          <w:p>
            <w:pPr>
              <w:ind w:left="720"/>
              <w:spacing w:after="0"/>
              <w:rPr>
                <w:sz w:val="20"/>
                <w:szCs w:val="20"/>
                <w:color w:val="auto"/>
              </w:rPr>
            </w:pPr>
            <w:r>
              <w:rPr>
                <w:rFonts w:ascii="Arial" w:cs="Arial" w:eastAsia="Arial" w:hAnsi="Arial"/>
                <w:sz w:val="12"/>
                <w:szCs w:val="12"/>
                <w:color w:val="auto"/>
              </w:rPr>
              <w:t>Prepaid expenses and other current assets</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(470)</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356</w:t>
            </w:r>
          </w:p>
        </w:tc>
        <w:tc>
          <w:tcPr>
            <w:tcW w:w="100" w:type="dxa"/>
            <w:vAlign w:val="bottom"/>
            <w:shd w:val="clear" w:color="auto" w:fill="CFF0FC"/>
          </w:tcPr>
          <w:p>
            <w:pPr>
              <w:spacing w:after="0"/>
              <w:rPr>
                <w:sz w:val="12"/>
                <w:szCs w:val="12"/>
                <w:color w:val="auto"/>
              </w:rPr>
            </w:pPr>
          </w:p>
        </w:tc>
      </w:tr>
      <w:tr>
        <w:trPr>
          <w:trHeight w:val="145"/>
        </w:trPr>
        <w:tc>
          <w:tcPr>
            <w:tcW w:w="6540" w:type="dxa"/>
            <w:vAlign w:val="bottom"/>
          </w:tcPr>
          <w:p>
            <w:pPr>
              <w:ind w:left="720"/>
              <w:spacing w:after="0"/>
              <w:rPr>
                <w:sz w:val="20"/>
                <w:szCs w:val="20"/>
                <w:color w:val="auto"/>
              </w:rPr>
            </w:pPr>
            <w:r>
              <w:rPr>
                <w:rFonts w:ascii="Arial" w:cs="Arial" w:eastAsia="Arial" w:hAnsi="Arial"/>
                <w:sz w:val="12"/>
                <w:szCs w:val="12"/>
                <w:color w:val="auto"/>
              </w:rPr>
              <w:t>Other assets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(320)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(97)</w:t>
            </w:r>
          </w:p>
        </w:tc>
      </w:tr>
      <w:tr>
        <w:trPr>
          <w:trHeight w:val="145"/>
        </w:trPr>
        <w:tc>
          <w:tcPr>
            <w:tcW w:w="6540" w:type="dxa"/>
            <w:vAlign w:val="bottom"/>
            <w:shd w:val="clear" w:color="auto" w:fill="CFF0FC"/>
          </w:tcPr>
          <w:p>
            <w:pPr>
              <w:ind w:left="720"/>
              <w:spacing w:after="0"/>
              <w:rPr>
                <w:sz w:val="20"/>
                <w:szCs w:val="20"/>
                <w:color w:val="auto"/>
              </w:rPr>
            </w:pPr>
            <w:r>
              <w:rPr>
                <w:rFonts w:ascii="Arial" w:cs="Arial" w:eastAsia="Arial" w:hAnsi="Arial"/>
                <w:sz w:val="12"/>
                <w:szCs w:val="12"/>
                <w:color w:val="auto"/>
              </w:rPr>
              <w:t>Accounts payable</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1,745</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1,124</w:t>
            </w:r>
          </w:p>
        </w:tc>
        <w:tc>
          <w:tcPr>
            <w:tcW w:w="100" w:type="dxa"/>
            <w:vAlign w:val="bottom"/>
            <w:shd w:val="clear" w:color="auto" w:fill="CFF0FC"/>
          </w:tcPr>
          <w:p>
            <w:pPr>
              <w:spacing w:after="0"/>
              <w:rPr>
                <w:sz w:val="12"/>
                <w:szCs w:val="12"/>
                <w:color w:val="auto"/>
              </w:rPr>
            </w:pPr>
          </w:p>
        </w:tc>
      </w:tr>
      <w:tr>
        <w:trPr>
          <w:trHeight w:val="145"/>
        </w:trPr>
        <w:tc>
          <w:tcPr>
            <w:tcW w:w="6540" w:type="dxa"/>
            <w:vAlign w:val="bottom"/>
          </w:tcPr>
          <w:p>
            <w:pPr>
              <w:ind w:left="720"/>
              <w:spacing w:after="0"/>
              <w:rPr>
                <w:sz w:val="20"/>
                <w:szCs w:val="20"/>
                <w:color w:val="auto"/>
              </w:rPr>
            </w:pPr>
            <w:r>
              <w:rPr>
                <w:rFonts w:ascii="Arial" w:cs="Arial" w:eastAsia="Arial" w:hAnsi="Arial"/>
                <w:sz w:val="12"/>
                <w:szCs w:val="12"/>
                <w:color w:val="auto"/>
              </w:rPr>
              <w:t>Accrued expenses and other current liabilities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8,288</w:t>
            </w:r>
          </w:p>
        </w:tc>
        <w:tc>
          <w:tcPr>
            <w:tcW w:w="100" w:type="dxa"/>
            <w:vAlign w:val="bottom"/>
          </w:tcPr>
          <w:p>
            <w:pPr>
              <w:spacing w:after="0"/>
              <w:rPr>
                <w:sz w:val="12"/>
                <w:szCs w:val="12"/>
                <w:color w:val="auto"/>
              </w:rPr>
            </w:pPr>
          </w:p>
        </w:tc>
      </w:tr>
      <w:tr>
        <w:trPr>
          <w:trHeight w:val="145"/>
        </w:trPr>
        <w:tc>
          <w:tcPr>
            <w:tcW w:w="6540" w:type="dxa"/>
            <w:vAlign w:val="bottom"/>
            <w:shd w:val="clear" w:color="auto" w:fill="CFF0FC"/>
          </w:tcPr>
          <w:p>
            <w:pPr>
              <w:ind w:left="720"/>
              <w:spacing w:after="0"/>
              <w:rPr>
                <w:sz w:val="20"/>
                <w:szCs w:val="20"/>
                <w:color w:val="auto"/>
              </w:rPr>
            </w:pPr>
            <w:r>
              <w:rPr>
                <w:rFonts w:ascii="Arial" w:cs="Arial" w:eastAsia="Arial" w:hAnsi="Arial"/>
                <w:sz w:val="12"/>
                <w:szCs w:val="12"/>
                <w:color w:val="auto"/>
              </w:rPr>
              <w:t>Deferred revenue</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7,053</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(7,431)</w:t>
            </w:r>
          </w:p>
        </w:tc>
      </w:tr>
      <w:tr>
        <w:trPr>
          <w:trHeight w:val="145"/>
        </w:trPr>
        <w:tc>
          <w:tcPr>
            <w:tcW w:w="6540" w:type="dxa"/>
            <w:vAlign w:val="bottom"/>
          </w:tcPr>
          <w:p>
            <w:pPr>
              <w:ind w:left="720"/>
              <w:spacing w:after="0"/>
              <w:rPr>
                <w:sz w:val="20"/>
                <w:szCs w:val="20"/>
                <w:color w:val="auto"/>
              </w:rPr>
            </w:pPr>
            <w:r>
              <w:rPr>
                <w:rFonts w:ascii="Arial" w:cs="Arial" w:eastAsia="Arial" w:hAnsi="Arial"/>
                <w:sz w:val="12"/>
                <w:szCs w:val="12"/>
                <w:color w:val="auto"/>
              </w:rPr>
              <w:t>Operating lease liabilities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(572)</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(333)</w:t>
            </w:r>
          </w:p>
        </w:tc>
      </w:tr>
      <w:tr>
        <w:trPr>
          <w:trHeight w:val="145"/>
        </w:trPr>
        <w:tc>
          <w:tcPr>
            <w:tcW w:w="6540" w:type="dxa"/>
            <w:vAlign w:val="bottom"/>
            <w:shd w:val="clear" w:color="auto" w:fill="CFF0FC"/>
          </w:tcPr>
          <w:p>
            <w:pPr>
              <w:ind w:left="720"/>
              <w:spacing w:after="0"/>
              <w:rPr>
                <w:sz w:val="20"/>
                <w:szCs w:val="20"/>
                <w:color w:val="auto"/>
              </w:rPr>
            </w:pPr>
            <w:r>
              <w:rPr>
                <w:rFonts w:ascii="Arial" w:cs="Arial" w:eastAsia="Arial" w:hAnsi="Arial"/>
                <w:sz w:val="12"/>
                <w:szCs w:val="12"/>
                <w:color w:val="auto"/>
              </w:rPr>
              <w:t>Recognized loss on purchase commitments</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(1,502)</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(2,379)</w:t>
            </w:r>
          </w:p>
        </w:tc>
      </w:tr>
      <w:tr>
        <w:trPr>
          <w:trHeight w:val="145"/>
        </w:trPr>
        <w:tc>
          <w:tcPr>
            <w:tcW w:w="6540" w:type="dxa"/>
            <w:vAlign w:val="bottom"/>
          </w:tcPr>
          <w:p>
            <w:pPr>
              <w:ind w:left="720"/>
              <w:spacing w:after="0"/>
              <w:rPr>
                <w:sz w:val="20"/>
                <w:szCs w:val="20"/>
                <w:color w:val="auto"/>
              </w:rPr>
            </w:pPr>
            <w:r>
              <w:rPr>
                <w:rFonts w:ascii="Arial" w:cs="Arial" w:eastAsia="Arial" w:hAnsi="Arial"/>
                <w:sz w:val="12"/>
                <w:szCs w:val="12"/>
                <w:color w:val="auto"/>
              </w:rPr>
              <w:t>Customer deposits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2,104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38"/>
        </w:trPr>
        <w:tc>
          <w:tcPr>
            <w:tcW w:w="6540" w:type="dxa"/>
            <w:vAlign w:val="bottom"/>
            <w:tcBorders>
              <w:top w:val="single" w:sz="8" w:color="CFF0FC"/>
            </w:tcBorders>
            <w:shd w:val="clear" w:color="auto" w:fill="CFF0FC"/>
          </w:tcPr>
          <w:p>
            <w:pPr>
              <w:ind w:left="960"/>
              <w:spacing w:after="0"/>
              <w:rPr>
                <w:sz w:val="20"/>
                <w:szCs w:val="20"/>
                <w:color w:val="auto"/>
              </w:rPr>
            </w:pPr>
            <w:r>
              <w:rPr>
                <w:rFonts w:ascii="Arial" w:cs="Arial" w:eastAsia="Arial" w:hAnsi="Arial"/>
                <w:sz w:val="12"/>
                <w:szCs w:val="12"/>
                <w:color w:val="auto"/>
              </w:rPr>
              <w:t>Net cash used in operating activities</w:t>
            </w:r>
          </w:p>
        </w:tc>
        <w:tc>
          <w:tcPr>
            <w:tcW w:w="12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(18,248)</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(12,731)</w:t>
            </w:r>
          </w:p>
        </w:tc>
        <w:tc>
          <w:tcPr>
            <w:tcW w:w="100" w:type="dxa"/>
            <w:vAlign w:val="bottom"/>
            <w:tcBorders>
              <w:top w:val="single" w:sz="8" w:color="CFF0FC"/>
            </w:tcBorders>
            <w:shd w:val="clear" w:color="auto" w:fill="CFF0FC"/>
          </w:tcPr>
          <w:p>
            <w:pPr>
              <w:spacing w:after="0"/>
              <w:rPr>
                <w:sz w:val="12"/>
                <w:szCs w:val="12"/>
                <w:color w:val="auto"/>
              </w:rPr>
            </w:pPr>
          </w:p>
        </w:tc>
      </w:tr>
      <w:tr>
        <w:trPr>
          <w:trHeight w:val="138"/>
        </w:trPr>
        <w:tc>
          <w:tcPr>
            <w:tcW w:w="654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65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Purchase of debt securities</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(55,988)</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(30,442)</w:t>
            </w:r>
          </w:p>
        </w:tc>
      </w:tr>
      <w:tr>
        <w:trPr>
          <w:trHeight w:val="145"/>
        </w:trPr>
        <w:tc>
          <w:tcPr>
            <w:tcW w:w="6540" w:type="dxa"/>
            <w:vAlign w:val="bottom"/>
          </w:tcPr>
          <w:p>
            <w:pPr>
              <w:ind w:left="240"/>
              <w:spacing w:after="0"/>
              <w:rPr>
                <w:sz w:val="20"/>
                <w:szCs w:val="20"/>
                <w:color w:val="auto"/>
              </w:rPr>
            </w:pPr>
            <w:r>
              <w:rPr>
                <w:rFonts w:ascii="Arial" w:cs="Arial" w:eastAsia="Arial" w:hAnsi="Arial"/>
                <w:sz w:val="12"/>
                <w:szCs w:val="12"/>
                <w:color w:val="auto"/>
              </w:rPr>
              <w:t>Proceeds from maturity of debt securities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26,538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5"/>
        </w:trPr>
        <w:tc>
          <w:tcPr>
            <w:tcW w:w="65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Purchase of property and equipment</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(5,056)</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(976)</w:t>
            </w:r>
          </w:p>
        </w:tc>
      </w:tr>
      <w:tr>
        <w:trPr>
          <w:trHeight w:val="145"/>
        </w:trPr>
        <w:tc>
          <w:tcPr>
            <w:tcW w:w="6540" w:type="dxa"/>
            <w:vAlign w:val="bottom"/>
          </w:tcPr>
          <w:p>
            <w:pPr>
              <w:ind w:left="240"/>
              <w:spacing w:after="0"/>
              <w:rPr>
                <w:sz w:val="20"/>
                <w:szCs w:val="20"/>
                <w:color w:val="auto"/>
              </w:rPr>
            </w:pPr>
            <w:r>
              <w:rPr>
                <w:rFonts w:ascii="Arial" w:cs="Arial" w:eastAsia="Arial" w:hAnsi="Arial"/>
                <w:sz w:val="12"/>
                <w:szCs w:val="12"/>
                <w:color w:val="auto"/>
              </w:rPr>
              <w:t>Purchase of available-for-sale securities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(5,000)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38"/>
        </w:trPr>
        <w:tc>
          <w:tcPr>
            <w:tcW w:w="6540" w:type="dxa"/>
            <w:vAlign w:val="bottom"/>
            <w:tcBorders>
              <w:top w:val="single" w:sz="8" w:color="CFF0FC"/>
            </w:tcBorders>
            <w:shd w:val="clear" w:color="auto" w:fill="CFF0FC"/>
          </w:tcPr>
          <w:p>
            <w:pPr>
              <w:ind w:left="960"/>
              <w:spacing w:after="0"/>
              <w:rPr>
                <w:sz w:val="20"/>
                <w:szCs w:val="20"/>
                <w:color w:val="auto"/>
              </w:rPr>
            </w:pPr>
            <w:r>
              <w:rPr>
                <w:rFonts w:ascii="Arial" w:cs="Arial" w:eastAsia="Arial" w:hAnsi="Arial"/>
                <w:sz w:val="12"/>
                <w:szCs w:val="12"/>
                <w:color w:val="auto"/>
              </w:rPr>
              <w:t>Net cash used in investing activities</w:t>
            </w:r>
          </w:p>
        </w:tc>
        <w:tc>
          <w:tcPr>
            <w:tcW w:w="12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(39,506)</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(31,418)</w:t>
            </w:r>
          </w:p>
        </w:tc>
        <w:tc>
          <w:tcPr>
            <w:tcW w:w="100" w:type="dxa"/>
            <w:vAlign w:val="bottom"/>
            <w:tcBorders>
              <w:top w:val="single" w:sz="8" w:color="CFF0FC"/>
            </w:tcBorders>
            <w:shd w:val="clear" w:color="auto" w:fill="CFF0FC"/>
          </w:tcPr>
          <w:p>
            <w:pPr>
              <w:spacing w:after="0"/>
              <w:rPr>
                <w:sz w:val="12"/>
                <w:szCs w:val="12"/>
                <w:color w:val="auto"/>
              </w:rPr>
            </w:pPr>
          </w:p>
        </w:tc>
      </w:tr>
      <w:tr>
        <w:trPr>
          <w:trHeight w:val="138"/>
        </w:trPr>
        <w:tc>
          <w:tcPr>
            <w:tcW w:w="654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65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Proceeds from the Senior convertible notes</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230,000</w:t>
            </w:r>
          </w:p>
        </w:tc>
        <w:tc>
          <w:tcPr>
            <w:tcW w:w="100" w:type="dxa"/>
            <w:vAlign w:val="bottom"/>
            <w:shd w:val="clear" w:color="auto" w:fill="CFF0FC"/>
          </w:tcPr>
          <w:p>
            <w:pPr>
              <w:spacing w:after="0"/>
              <w:rPr>
                <w:sz w:val="12"/>
                <w:szCs w:val="12"/>
                <w:color w:val="auto"/>
              </w:rPr>
            </w:pPr>
          </w:p>
        </w:tc>
      </w:tr>
      <w:tr>
        <w:trPr>
          <w:trHeight w:val="145"/>
        </w:trPr>
        <w:tc>
          <w:tcPr>
            <w:tcW w:w="6540" w:type="dxa"/>
            <w:vAlign w:val="bottom"/>
          </w:tcPr>
          <w:p>
            <w:pPr>
              <w:ind w:left="240"/>
              <w:spacing w:after="0"/>
              <w:rPr>
                <w:sz w:val="20"/>
                <w:szCs w:val="20"/>
                <w:color w:val="auto"/>
              </w:rPr>
            </w:pPr>
            <w:r>
              <w:rPr>
                <w:rFonts w:ascii="Arial" w:cs="Arial" w:eastAsia="Arial" w:hAnsi="Arial"/>
                <w:sz w:val="12"/>
                <w:szCs w:val="12"/>
                <w:color w:val="auto"/>
              </w:rPr>
              <w:t>Issuance costs associated with Senior convertible notes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(7,268)</w:t>
            </w:r>
          </w:p>
        </w:tc>
      </w:tr>
      <w:tr>
        <w:trPr>
          <w:trHeight w:val="145"/>
        </w:trPr>
        <w:tc>
          <w:tcPr>
            <w:tcW w:w="65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Proceeds from at-the-market offering</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1,886</w:t>
            </w:r>
          </w:p>
        </w:tc>
        <w:tc>
          <w:tcPr>
            <w:tcW w:w="100" w:type="dxa"/>
            <w:vAlign w:val="bottom"/>
            <w:shd w:val="clear" w:color="auto" w:fill="CFF0FC"/>
          </w:tcPr>
          <w:p>
            <w:pPr>
              <w:spacing w:after="0"/>
              <w:rPr>
                <w:sz w:val="12"/>
                <w:szCs w:val="12"/>
                <w:color w:val="auto"/>
              </w:rPr>
            </w:pPr>
          </w:p>
        </w:tc>
      </w:tr>
      <w:tr>
        <w:trPr>
          <w:trHeight w:val="145"/>
        </w:trPr>
        <w:tc>
          <w:tcPr>
            <w:tcW w:w="6540" w:type="dxa"/>
            <w:vAlign w:val="bottom"/>
          </w:tcPr>
          <w:p>
            <w:pPr>
              <w:ind w:left="240"/>
              <w:spacing w:after="0"/>
              <w:rPr>
                <w:sz w:val="20"/>
                <w:szCs w:val="20"/>
                <w:color w:val="auto"/>
              </w:rPr>
            </w:pPr>
            <w:r>
              <w:rPr>
                <w:rFonts w:ascii="Arial" w:cs="Arial" w:eastAsia="Arial" w:hAnsi="Arial"/>
                <w:sz w:val="12"/>
                <w:szCs w:val="12"/>
                <w:color w:val="auto"/>
              </w:rPr>
              <w:t>Issuance costs associated with at-the-market offering</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(38)</w:t>
            </w:r>
          </w:p>
        </w:tc>
      </w:tr>
      <w:tr>
        <w:trPr>
          <w:trHeight w:val="131"/>
        </w:trPr>
        <w:tc>
          <w:tcPr>
            <w:tcW w:w="6540" w:type="dxa"/>
            <w:vAlign w:val="bottom"/>
            <w:shd w:val="clear" w:color="auto" w:fill="CFF0FC"/>
          </w:tcPr>
          <w:p>
            <w:pPr>
              <w:ind w:left="240"/>
              <w:spacing w:after="0" w:line="132" w:lineRule="exact"/>
              <w:rPr>
                <w:sz w:val="20"/>
                <w:szCs w:val="20"/>
                <w:color w:val="auto"/>
              </w:rPr>
            </w:pPr>
            <w:r>
              <w:rPr>
                <w:rFonts w:ascii="Arial" w:cs="Arial" w:eastAsia="Arial" w:hAnsi="Arial"/>
                <w:sz w:val="12"/>
                <w:szCs w:val="12"/>
                <w:color w:val="auto"/>
              </w:rPr>
              <w:t>Payment of employment taxes related to vested restricted stock units</w:t>
            </w:r>
          </w:p>
        </w:tc>
        <w:tc>
          <w:tcPr>
            <w:tcW w:w="1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6"/>
        </w:trPr>
        <w:tc>
          <w:tcPr>
            <w:tcW w:w="6540" w:type="dxa"/>
            <w:vAlign w:val="bottom"/>
            <w:shd w:val="clear" w:color="auto" w:fill="CFF0FC"/>
          </w:tcPr>
          <w:p>
            <w:pPr>
              <w:ind w:left="340"/>
              <w:spacing w:after="0"/>
              <w:rPr>
                <w:sz w:val="20"/>
                <w:szCs w:val="20"/>
                <w:color w:val="auto"/>
              </w:rPr>
            </w:pPr>
            <w:r>
              <w:rPr>
                <w:rFonts w:ascii="Arial" w:cs="Arial" w:eastAsia="Arial" w:hAnsi="Arial"/>
                <w:sz w:val="12"/>
                <w:szCs w:val="12"/>
                <w:color w:val="auto"/>
              </w:rPr>
              <w:t>and exercise of stock options</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397</w:t>
            </w:r>
          </w:p>
        </w:tc>
        <w:tc>
          <w:tcPr>
            <w:tcW w:w="100" w:type="dxa"/>
            <w:vAlign w:val="bottom"/>
            <w:shd w:val="clear" w:color="auto" w:fill="CFF0FC"/>
          </w:tcPr>
          <w:p>
            <w:pPr>
              <w:spacing w:after="0"/>
              <w:rPr>
                <w:sz w:val="12"/>
                <w:szCs w:val="12"/>
                <w:color w:val="auto"/>
              </w:rPr>
            </w:pPr>
          </w:p>
        </w:tc>
      </w:tr>
      <w:tr>
        <w:trPr>
          <w:trHeight w:val="145"/>
        </w:trPr>
        <w:tc>
          <w:tcPr>
            <w:tcW w:w="6540" w:type="dxa"/>
            <w:vAlign w:val="bottom"/>
          </w:tcPr>
          <w:p>
            <w:pPr>
              <w:ind w:left="240"/>
              <w:spacing w:after="0"/>
              <w:rPr>
                <w:sz w:val="20"/>
                <w:szCs w:val="20"/>
                <w:color w:val="auto"/>
              </w:rPr>
            </w:pPr>
            <w:r>
              <w:rPr>
                <w:rFonts w:ascii="Arial" w:cs="Arial" w:eastAsia="Arial" w:hAnsi="Arial"/>
                <w:sz w:val="12"/>
                <w:szCs w:val="12"/>
                <w:color w:val="auto"/>
              </w:rPr>
              <w:t>Proceeds from market price stock purchase plan</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684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38"/>
        </w:trPr>
        <w:tc>
          <w:tcPr>
            <w:tcW w:w="6540" w:type="dxa"/>
            <w:vAlign w:val="bottom"/>
            <w:tcBorders>
              <w:top w:val="single" w:sz="8" w:color="CFF0FC"/>
            </w:tcBorders>
            <w:shd w:val="clear" w:color="auto" w:fill="CFF0FC"/>
          </w:tcPr>
          <w:p>
            <w:pPr>
              <w:ind w:left="960"/>
              <w:spacing w:after="0" w:line="136" w:lineRule="exact"/>
              <w:rPr>
                <w:sz w:val="20"/>
                <w:szCs w:val="20"/>
                <w:color w:val="auto"/>
              </w:rPr>
            </w:pPr>
            <w:r>
              <w:rPr>
                <w:rFonts w:ascii="Arial" w:cs="Arial" w:eastAsia="Arial" w:hAnsi="Arial"/>
                <w:sz w:val="12"/>
                <w:szCs w:val="12"/>
                <w:color w:val="auto"/>
              </w:rPr>
              <w:t>Net cash provided by financing activities</w:t>
            </w:r>
          </w:p>
        </w:tc>
        <w:tc>
          <w:tcPr>
            <w:tcW w:w="12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813</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224,977</w:t>
            </w:r>
          </w:p>
        </w:tc>
        <w:tc>
          <w:tcPr>
            <w:tcW w:w="100" w:type="dxa"/>
            <w:vAlign w:val="bottom"/>
            <w:tcBorders>
              <w:top w:val="single" w:sz="8" w:color="CFF0FC"/>
            </w:tcBorders>
            <w:shd w:val="clear" w:color="auto" w:fill="CFF0FC"/>
          </w:tcPr>
          <w:p>
            <w:pPr>
              <w:spacing w:after="0"/>
              <w:rPr>
                <w:sz w:val="12"/>
                <w:szCs w:val="12"/>
                <w:color w:val="auto"/>
              </w:rPr>
            </w:pPr>
          </w:p>
        </w:tc>
      </w:tr>
      <w:tr>
        <w:trPr>
          <w:trHeight w:val="138"/>
        </w:trPr>
        <w:tc>
          <w:tcPr>
            <w:tcW w:w="654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NET (DECREASE) INCREASE IN CASH AND CASH EQUIVALENTS AND RESTRICTED CASH</w:t>
            </w:r>
          </w:p>
        </w:tc>
        <w:tc>
          <w:tcPr>
            <w:tcW w:w="12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(56,941)</w:t>
            </w: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180,828</w:t>
            </w:r>
          </w:p>
        </w:tc>
        <w:tc>
          <w:tcPr>
            <w:tcW w:w="100" w:type="dxa"/>
            <w:vAlign w:val="bottom"/>
            <w:tcBorders>
              <w:bottom w:val="single" w:sz="8" w:color="CFF0FC"/>
            </w:tcBorders>
          </w:tcPr>
          <w:p>
            <w:pPr>
              <w:spacing w:after="0"/>
              <w:rPr>
                <w:sz w:val="12"/>
                <w:szCs w:val="12"/>
                <w:color w:val="auto"/>
              </w:rPr>
            </w:pPr>
          </w:p>
        </w:tc>
      </w:tr>
      <w:tr>
        <w:trPr>
          <w:trHeight w:val="138"/>
        </w:trPr>
        <w:tc>
          <w:tcPr>
            <w:tcW w:w="65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CASH AND CASH EQUIVALENTS AND RESTRICTED CASH, BEGINNING OF PERIOD</w:t>
            </w:r>
          </w:p>
        </w:tc>
        <w:tc>
          <w:tcPr>
            <w:tcW w:w="122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124,184</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67,163</w:t>
            </w:r>
          </w:p>
        </w:tc>
        <w:tc>
          <w:tcPr>
            <w:tcW w:w="100" w:type="dxa"/>
            <w:vAlign w:val="bottom"/>
            <w:shd w:val="clear" w:color="auto" w:fill="CFF0FC"/>
          </w:tcPr>
          <w:p>
            <w:pPr>
              <w:spacing w:after="0"/>
              <w:rPr>
                <w:sz w:val="12"/>
                <w:szCs w:val="12"/>
                <w:color w:val="auto"/>
              </w:rPr>
            </w:pPr>
          </w:p>
        </w:tc>
      </w:tr>
      <w:tr>
        <w:trPr>
          <w:trHeight w:val="178"/>
        </w:trPr>
        <w:tc>
          <w:tcPr>
            <w:tcW w:w="654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CASH AND CASH EQUIVALENTS AND RESTRICTED CASH, END OF PERIOD</w:t>
            </w:r>
          </w:p>
        </w:tc>
        <w:tc>
          <w:tcPr>
            <w:tcW w:w="1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88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67,243</w:t>
            </w: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88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247,991</w:t>
            </w:r>
          </w:p>
        </w:tc>
        <w:tc>
          <w:tcPr>
            <w:tcW w:w="100" w:type="dxa"/>
            <w:vAlign w:val="bottom"/>
            <w:tcBorders>
              <w:bottom w:val="single" w:sz="8" w:color="CFF0FC"/>
            </w:tcBorders>
          </w:tcPr>
          <w:p>
            <w:pPr>
              <w:spacing w:after="0"/>
              <w:rPr>
                <w:sz w:val="15"/>
                <w:szCs w:val="15"/>
                <w:color w:val="auto"/>
              </w:rPr>
            </w:pPr>
          </w:p>
        </w:tc>
      </w:tr>
      <w:tr>
        <w:trPr>
          <w:trHeight w:val="125"/>
        </w:trPr>
        <w:tc>
          <w:tcPr>
            <w:tcW w:w="6540" w:type="dxa"/>
            <w:vAlign w:val="bottom"/>
            <w:shd w:val="clear" w:color="auto" w:fill="CFF0FC"/>
          </w:tcPr>
          <w:p>
            <w:pPr>
              <w:spacing w:after="0" w:line="125" w:lineRule="exact"/>
              <w:rPr>
                <w:sz w:val="20"/>
                <w:szCs w:val="20"/>
                <w:color w:val="auto"/>
              </w:rPr>
            </w:pPr>
            <w:r>
              <w:rPr>
                <w:rFonts w:ascii="Arial" w:cs="Arial" w:eastAsia="Arial" w:hAnsi="Arial"/>
                <w:sz w:val="12"/>
                <w:szCs w:val="12"/>
                <w:b w:val="1"/>
                <w:bCs w:val="1"/>
                <w:color w:val="auto"/>
              </w:rPr>
              <w:t>SUPPLEMENTAL CASH FLOWS DISCLOSURES:</w:t>
            </w:r>
          </w:p>
        </w:tc>
        <w:tc>
          <w:tcPr>
            <w:tcW w:w="12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5"/>
        </w:trPr>
        <w:tc>
          <w:tcPr>
            <w:tcW w:w="6540" w:type="dxa"/>
            <w:vAlign w:val="bottom"/>
          </w:tcPr>
          <w:p>
            <w:pPr>
              <w:ind w:left="240"/>
              <w:spacing w:after="0"/>
              <w:rPr>
                <w:sz w:val="20"/>
                <w:szCs w:val="20"/>
                <w:color w:val="auto"/>
              </w:rPr>
            </w:pPr>
            <w:r>
              <w:rPr>
                <w:rFonts w:ascii="Arial" w:cs="Arial" w:eastAsia="Arial" w:hAnsi="Arial"/>
                <w:sz w:val="12"/>
                <w:szCs w:val="12"/>
                <w:color w:val="auto"/>
              </w:rPr>
              <w:t>Interest paid in cash</w:t>
            </w:r>
          </w:p>
        </w:tc>
        <w:tc>
          <w:tcPr>
            <w:tcW w:w="2220" w:type="dxa"/>
            <w:vAlign w:val="bottom"/>
            <w:gridSpan w:val="2"/>
          </w:tcPr>
          <w:p>
            <w:pPr>
              <w:jc w:val="right"/>
              <w:ind w:right="882"/>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3,600</w:t>
            </w:r>
          </w:p>
        </w:tc>
        <w:tc>
          <w:tcPr>
            <w:tcW w:w="160" w:type="dxa"/>
            <w:vAlign w:val="bottom"/>
          </w:tcPr>
          <w:p>
            <w:pPr>
              <w:spacing w:after="0"/>
              <w:rPr>
                <w:sz w:val="12"/>
                <w:szCs w:val="12"/>
                <w:color w:val="auto"/>
              </w:rPr>
            </w:pPr>
          </w:p>
        </w:tc>
        <w:tc>
          <w:tcPr>
            <w:tcW w:w="1140" w:type="dxa"/>
            <w:vAlign w:val="bottom"/>
            <w:gridSpan w:val="2"/>
          </w:tcPr>
          <w:p>
            <w:pPr>
              <w:jc w:val="right"/>
              <w:ind w:right="889"/>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1,094</w:t>
            </w:r>
          </w:p>
        </w:tc>
        <w:tc>
          <w:tcPr>
            <w:tcW w:w="100" w:type="dxa"/>
            <w:vAlign w:val="bottom"/>
          </w:tcPr>
          <w:p>
            <w:pPr>
              <w:spacing w:after="0"/>
              <w:rPr>
                <w:sz w:val="12"/>
                <w:szCs w:val="12"/>
                <w:color w:val="auto"/>
              </w:rPr>
            </w:pPr>
          </w:p>
        </w:tc>
      </w:tr>
      <w:tr>
        <w:trPr>
          <w:trHeight w:val="145"/>
        </w:trPr>
        <w:tc>
          <w:tcPr>
            <w:tcW w:w="65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NON-CASH INVESTING AND FINANCING ACTIVITIES:</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5"/>
        </w:trPr>
        <w:tc>
          <w:tcPr>
            <w:tcW w:w="6540" w:type="dxa"/>
            <w:vAlign w:val="bottom"/>
          </w:tcPr>
          <w:p>
            <w:pPr>
              <w:ind w:left="240"/>
              <w:spacing w:after="0"/>
              <w:rPr>
                <w:sz w:val="20"/>
                <w:szCs w:val="20"/>
                <w:color w:val="auto"/>
              </w:rPr>
            </w:pPr>
            <w:r>
              <w:rPr>
                <w:rFonts w:ascii="Arial" w:cs="Arial" w:eastAsia="Arial" w:hAnsi="Arial"/>
                <w:sz w:val="12"/>
                <w:szCs w:val="12"/>
                <w:color w:val="auto"/>
              </w:rPr>
              <w:t>Reclassification of investments from long-term to current</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14,813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5"/>
        </w:trPr>
        <w:tc>
          <w:tcPr>
            <w:tcW w:w="65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Common stock issuance to settle employee stock purchase plan liability</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740</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390</w:t>
            </w:r>
          </w:p>
        </w:tc>
        <w:tc>
          <w:tcPr>
            <w:tcW w:w="100" w:type="dxa"/>
            <w:vAlign w:val="bottom"/>
            <w:shd w:val="clear" w:color="auto" w:fill="CFF0FC"/>
          </w:tcPr>
          <w:p>
            <w:pPr>
              <w:spacing w:after="0"/>
              <w:rPr>
                <w:sz w:val="12"/>
                <w:szCs w:val="12"/>
                <w:color w:val="auto"/>
              </w:rPr>
            </w:pPr>
          </w:p>
        </w:tc>
      </w:tr>
      <w:tr>
        <w:trPr>
          <w:trHeight w:val="145"/>
        </w:trPr>
        <w:tc>
          <w:tcPr>
            <w:tcW w:w="6540" w:type="dxa"/>
            <w:vAlign w:val="bottom"/>
          </w:tcPr>
          <w:p>
            <w:pPr>
              <w:ind w:left="240"/>
              <w:spacing w:after="0"/>
              <w:rPr>
                <w:sz w:val="20"/>
                <w:szCs w:val="20"/>
                <w:color w:val="auto"/>
              </w:rPr>
            </w:pPr>
            <w:r>
              <w:rPr>
                <w:rFonts w:ascii="Arial" w:cs="Arial" w:eastAsia="Arial" w:hAnsi="Arial"/>
                <w:sz w:val="12"/>
                <w:szCs w:val="12"/>
                <w:color w:val="auto"/>
              </w:rPr>
              <w:t>Non-cash construction in progress and property and equipment</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383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124</w:t>
            </w:r>
          </w:p>
        </w:tc>
        <w:tc>
          <w:tcPr>
            <w:tcW w:w="100" w:type="dxa"/>
            <w:vAlign w:val="bottom"/>
          </w:tcPr>
          <w:p>
            <w:pPr>
              <w:spacing w:after="0"/>
              <w:rPr>
                <w:sz w:val="12"/>
                <w:szCs w:val="12"/>
                <w:color w:val="auto"/>
              </w:rPr>
            </w:pPr>
          </w:p>
        </w:tc>
      </w:tr>
      <w:tr>
        <w:trPr>
          <w:trHeight w:val="145"/>
        </w:trPr>
        <w:tc>
          <w:tcPr>
            <w:tcW w:w="65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Payment on Mann Group convertible note through issuance of common stock</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9,573</w:t>
            </w:r>
          </w:p>
        </w:tc>
        <w:tc>
          <w:tcPr>
            <w:tcW w:w="100" w:type="dxa"/>
            <w:vAlign w:val="bottom"/>
            <w:shd w:val="clear" w:color="auto" w:fill="CFF0FC"/>
          </w:tcPr>
          <w:p>
            <w:pPr>
              <w:spacing w:after="0"/>
              <w:rPr>
                <w:sz w:val="12"/>
                <w:szCs w:val="12"/>
                <w:color w:val="auto"/>
              </w:rPr>
            </w:pPr>
          </w:p>
        </w:tc>
      </w:tr>
      <w:tr>
        <w:trPr>
          <w:trHeight w:val="145"/>
        </w:trPr>
        <w:tc>
          <w:tcPr>
            <w:tcW w:w="6540" w:type="dxa"/>
            <w:vAlign w:val="bottom"/>
          </w:tcPr>
          <w:p>
            <w:pPr>
              <w:ind w:left="240"/>
              <w:spacing w:after="0"/>
              <w:rPr>
                <w:sz w:val="20"/>
                <w:szCs w:val="20"/>
                <w:color w:val="auto"/>
              </w:rPr>
            </w:pPr>
            <w:r>
              <w:rPr>
                <w:rFonts w:ascii="Arial" w:cs="Arial" w:eastAsia="Arial" w:hAnsi="Arial"/>
                <w:sz w:val="12"/>
                <w:szCs w:val="12"/>
                <w:color w:val="auto"/>
              </w:rPr>
              <w:t>Payment of 2024 convertible notes through common stock issuance</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5,000</w:t>
            </w:r>
          </w:p>
        </w:tc>
        <w:tc>
          <w:tcPr>
            <w:tcW w:w="100" w:type="dxa"/>
            <w:vAlign w:val="bottom"/>
          </w:tcPr>
          <w:p>
            <w:pPr>
              <w:spacing w:after="0"/>
              <w:rPr>
                <w:sz w:val="12"/>
                <w:szCs w:val="12"/>
                <w:color w:val="auto"/>
              </w:rPr>
            </w:pPr>
          </w:p>
        </w:tc>
      </w:tr>
      <w:tr>
        <w:trPr>
          <w:trHeight w:val="145"/>
        </w:trPr>
        <w:tc>
          <w:tcPr>
            <w:tcW w:w="65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Reclassification of the PPP Loan from current to long-term</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609</w:t>
            </w:r>
          </w:p>
        </w:tc>
        <w:tc>
          <w:tcPr>
            <w:tcW w:w="100" w:type="dxa"/>
            <w:vAlign w:val="bottom"/>
            <w:shd w:val="clear" w:color="auto" w:fill="CFF0FC"/>
          </w:tcPr>
          <w:p>
            <w:pPr>
              <w:spacing w:after="0"/>
              <w:rPr>
                <w:sz w:val="12"/>
                <w:szCs w:val="12"/>
                <w:color w:val="auto"/>
              </w:rPr>
            </w:pPr>
          </w:p>
        </w:tc>
      </w:tr>
      <w:tr>
        <w:trPr>
          <w:trHeight w:val="145"/>
        </w:trPr>
        <w:tc>
          <w:tcPr>
            <w:tcW w:w="6540" w:type="dxa"/>
            <w:vAlign w:val="bottom"/>
          </w:tcPr>
          <w:p>
            <w:pPr>
              <w:ind w:left="240"/>
              <w:spacing w:after="0"/>
              <w:rPr>
                <w:sz w:val="20"/>
                <w:szCs w:val="20"/>
                <w:color w:val="auto"/>
              </w:rPr>
            </w:pPr>
            <w:r>
              <w:rPr>
                <w:rFonts w:ascii="Arial" w:cs="Arial" w:eastAsia="Arial" w:hAnsi="Arial"/>
                <w:sz w:val="12"/>
                <w:szCs w:val="12"/>
                <w:color w:val="auto"/>
              </w:rPr>
              <w:t>Payment of Mann Group convertible note interest through issuance of common stock</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427</w:t>
            </w:r>
          </w:p>
        </w:tc>
        <w:tc>
          <w:tcPr>
            <w:tcW w:w="100" w:type="dxa"/>
            <w:vAlign w:val="bottom"/>
          </w:tcPr>
          <w:p>
            <w:pPr>
              <w:spacing w:after="0"/>
              <w:rPr>
                <w:sz w:val="12"/>
                <w:szCs w:val="12"/>
                <w:color w:val="auto"/>
              </w:rPr>
            </w:pPr>
          </w:p>
        </w:tc>
      </w:tr>
      <w:tr>
        <w:trPr>
          <w:trHeight w:val="145"/>
        </w:trPr>
        <w:tc>
          <w:tcPr>
            <w:tcW w:w="65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Payment of interest on 2024 convertible notes through common stock issuance</w:t>
            </w:r>
          </w:p>
        </w:tc>
        <w:tc>
          <w:tcPr>
            <w:tcW w:w="1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w:t>
            </w:r>
          </w:p>
        </w:tc>
        <w:tc>
          <w:tcPr>
            <w:tcW w:w="10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left="340" w:right="2720"/>
        <w:spacing w:after="0" w:line="257" w:lineRule="auto"/>
        <w:rPr>
          <w:sz w:val="20"/>
          <w:szCs w:val="20"/>
          <w:color w:val="auto"/>
        </w:rPr>
      </w:pPr>
      <w:r>
        <w:rPr>
          <w:rFonts w:ascii="Arial" w:cs="Arial" w:eastAsia="Arial" w:hAnsi="Arial"/>
          <w:sz w:val="18"/>
          <w:szCs w:val="18"/>
          <w:b w:val="1"/>
          <w:bCs w:val="1"/>
          <w:color w:val="auto"/>
        </w:rPr>
        <w:t>MANNKIND CORPORATION AND SUBSIDIARIES NOTES TO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16"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color w:val="auto"/>
        </w:rPr>
        <w:t>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2021, filed with the SEC on February 24, 2022 (the “Annual Report”).</w:t>
      </w:r>
    </w:p>
    <w:p>
      <w:pPr>
        <w:spacing w:after="0" w:line="1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2022 may not be indicative of the results that may be expected for the full year.</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5"/>
          <w:szCs w:val="15"/>
          <w:i w:val="1"/>
          <w:iCs w:val="1"/>
          <w:color w:val="auto"/>
        </w:rPr>
        <w:t xml:space="preserve">Financial Statement Estimates </w:t>
      </w:r>
      <w:r>
        <w:rPr>
          <w:rFonts w:ascii="Arial" w:cs="Arial" w:eastAsia="Arial" w:hAnsi="Arial"/>
          <w:sz w:val="15"/>
          <w:szCs w:val="15"/>
          <w:color w:val="auto"/>
        </w:rPr>
        <w:t>— The preparation of financial statements in conformity with GAAP requires management to make estimates and assumptions</w:t>
      </w:r>
      <w:r>
        <w:rPr>
          <w:rFonts w:ascii="Arial" w:cs="Arial" w:eastAsia="Arial" w:hAnsi="Arial"/>
          <w:sz w:val="15"/>
          <w:szCs w:val="15"/>
          <w:i w:val="1"/>
          <w:iCs w:val="1"/>
          <w:color w:val="auto"/>
        </w:rPr>
        <w:t xml:space="preserve"> </w:t>
      </w:r>
      <w:r>
        <w:rPr>
          <w:rFonts w:ascii="Arial" w:cs="Arial" w:eastAsia="Arial" w:hAnsi="Arial"/>
          <w:sz w:val="15"/>
          <w:szCs w:val="15"/>
          <w:color w:val="auto"/>
        </w:rPr>
        <w:t>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and the COVID-19 pandemic has increased the level of judgment used by management in developing these estimates and assumptions. The COVID-19 pandemic continues to evolve and the ultimate impact of the COVID-19 pandemic is uncertain and subject to change. These effects could have a material impact on the estimates and assumptions used in the preparation of the condensed consolidated financial statements. The more significant estimates include revenue recognition, including gross-to-net adjustments, stand-alone selling price considerations for recognition of collaboration revenue,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61"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 MannKind is a biopharmaceutical company focused on the development and commercialization of inhaled therapeutic products for patients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endocrine and orphan lung diseases. The Company’s lead product is Afrezza (insulin human) Inhalation Powder, an ultra rapid-acting inhaled insulin indicated to improve glycemic control in adults with diabetes, which was approved by the U.S. Food and Drug Administration (“FDA”) in June 2014. The Company collaborates with a number of third parties to formulate their drugs on the Company’s Technosphere drug delivery platform. Since September 2018, the Company has been collaborating with United Therapeutics Corporation (“United Therapeutics” or “UT”) to develop an inhaled formulation of treprostinil, known as Tyvaso DPI. In April 2021, United Therapeutics submitted a new drug application (“NDA”) to the FDA seeking approval of Tyvaso DPI for the treatment of pulmonary arterial hypertension (PAH) and pulmonary hypertension associated with interstitial lung disease (PH-ILD). The NDA was resubmitted in December 2021 following a complete response letter in October 2021. The FDA is expected to complete its review of the NDA for Tyvaso DPI in May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condensed consolidated financial statements have been prepared in accordance with GAAP.</w:t>
      </w:r>
    </w:p>
    <w:p>
      <w:pPr>
        <w:spacing w:after="0" w:line="21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Company is not currently profitable and has rarely generated positive net cash flow from operations. In addition, the Company expects to continue to incur significant expenditures for the foreseeable future in support of its manufacturing operations, sales and marketing costs for Afrezza, and development of other product candidates in the Company’s pipeline. As of March 31, 2022, the Company had capital resources of $67.2 million in cash and cash equivalents, $95.2 million in short-term investments, $70.5 million in long-term investments, an accumulated deficit of $3.2 billion and $288.4 million of total principal amount of outstanding borrowings.</w:t>
      </w:r>
    </w:p>
    <w:p>
      <w:pPr>
        <w:spacing w:after="0" w:line="194"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 xml:space="preserve">In August 2019, MannKind and its wholly owned subsidiary, MannKind LLC, entered into a credit and security agreement with MidCap Financial Trust (as amended, the “MidCap Credit Facility”). The MidCap Credit Facility currently provides a secured term loan facility with a potential aggregate principal amount of up to $100.0 million, with a balance of $40.0 million outstanding as of March 31, 2022. See Note 7 – </w:t>
      </w:r>
      <w:r>
        <w:rPr>
          <w:rFonts w:ascii="Arial" w:cs="Arial" w:eastAsia="Arial" w:hAnsi="Arial"/>
          <w:sz w:val="18"/>
          <w:szCs w:val="18"/>
          <w:i w:val="1"/>
          <w:iCs w:val="1"/>
          <w:color w:val="auto"/>
        </w:rPr>
        <w:t>Borrowings</w:t>
      </w:r>
      <w:r>
        <w:rPr>
          <w:rFonts w:ascii="Arial" w:cs="Arial" w:eastAsia="Arial" w:hAnsi="Arial"/>
          <w:sz w:val="18"/>
          <w:szCs w:val="18"/>
          <w:color w:val="auto"/>
        </w:rPr>
        <w:t>. In March 2021, the Company issued $230.0 million of 2.50% convertible senior notes due 2026 (the “Senior convertible notes”) to provide additional operating capital and pay down higher cost debt.</w:t>
      </w:r>
    </w:p>
    <w:p>
      <w:pPr>
        <w:spacing w:after="0" w:line="194"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color w:val="auto"/>
        </w:rPr>
        <w:t>The Company believes its resources will be sufficient to fund its operations for the next twelve months from the date of issuance of these condensed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8" w:name="page9"/>
    <w:bookmarkEnd w:id="8"/>
    <w:p>
      <w:pPr>
        <w:ind w:right="340"/>
        <w:spacing w:after="0" w:line="24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condensed consolidated financial statements include the accounts of the Company and its wholly-owned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balances and transactions have been eliminated. Certain prior year amounts have been reclassified for consistency with the current year presentation. Changes were made to the condensed consolidated statement of operations to disclose a single caption for interest expense on all outstanding notes. Changes were made to the condensed consolidated balance sheets to reclassify interest receivable from investments from accounts receivable, net to other assets.</w:t>
      </w:r>
    </w:p>
    <w:p>
      <w:pPr>
        <w:spacing w:after="0" w:line="1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its customers obtain control of promised goods or services, in an amount that reflects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which the Company expects to be entitled in exchange for those goods or services. The Company recognizes revenue on product sales to a retail pharmacy as the product is dispensed to patients.</w:t>
      </w:r>
    </w:p>
    <w:p>
      <w:pPr>
        <w:spacing w:after="0" w:line="18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 xml:space="preserve">To determine revenue recognition for arrangements that are within the scope of Accounting Standards Codification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 the Company performs the following five steps: (i) identify the contract(s) with a customer, (ii) identify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it is entitled to in exchange for the goods or services it transfers to the customer.</w:t>
      </w:r>
    </w:p>
    <w:p>
      <w:pPr>
        <w:spacing w:after="0" w:line="196"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color w:val="auto"/>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(ii) collaboration arrangements.</w:t>
      </w:r>
    </w:p>
    <w:p>
      <w:pPr>
        <w:spacing w:after="0" w:line="190"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 specialty and</w:t>
      </w:r>
      <w:r>
        <w:rPr>
          <w:rFonts w:ascii="Arial" w:cs="Arial" w:eastAsia="Arial" w:hAnsi="Arial"/>
          <w:sz w:val="18"/>
          <w:szCs w:val="18"/>
          <w:i w:val="1"/>
          <w:iCs w:val="1"/>
          <w:color w:val="auto"/>
        </w:rPr>
        <w:t xml:space="preserve"> </w:t>
      </w:r>
      <w:r>
        <w:rPr>
          <w:rFonts w:ascii="Arial" w:cs="Arial" w:eastAsia="Arial" w:hAnsi="Arial"/>
          <w:sz w:val="18"/>
          <w:szCs w:val="18"/>
          <w:color w:val="auto"/>
        </w:rPr>
        <w:t>retail pharmacies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94"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color w:val="auto"/>
        </w:rPr>
        <w:t xml:space="preserve">The Company recognizes revenue on product sales when the Customer obtains control of the Company's product, which occurs at delivery for wholesale distributors and generally at delivery for specialty pharmacies. The Company recognizes revenue on product sales to a retail pharmacy as the product is dispensed to patients. Product revenues are recorded net of applicable reserves, including discounts, allowances, rebates, returns and other incentives. See </w:t>
      </w:r>
      <w:r>
        <w:rPr>
          <w:rFonts w:ascii="Arial" w:cs="Arial" w:eastAsia="Arial" w:hAnsi="Arial"/>
          <w:sz w:val="18"/>
          <w:szCs w:val="18"/>
          <w:i w:val="1"/>
          <w:iCs w:val="1"/>
          <w:color w:val="auto"/>
        </w:rPr>
        <w:t xml:space="preserve">Reserves for Variable Consideration </w:t>
      </w:r>
      <w:r>
        <w:rPr>
          <w:rFonts w:ascii="Arial" w:cs="Arial" w:eastAsia="Arial" w:hAnsi="Arial"/>
          <w:sz w:val="18"/>
          <w:szCs w:val="18"/>
          <w:color w:val="auto"/>
        </w:rPr>
        <w:t>below.</w:t>
      </w:r>
    </w:p>
    <w:p>
      <w:pPr>
        <w:spacing w:after="0" w:line="1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Free Goods Program – </w:t>
      </w:r>
      <w:r>
        <w:rPr>
          <w:rFonts w:ascii="Arial" w:cs="Arial" w:eastAsia="Arial" w:hAnsi="Arial"/>
          <w:sz w:val="17"/>
          <w:szCs w:val="17"/>
          <w:color w:val="auto"/>
        </w:rPr>
        <w:t>From time to time, the Company offers programs to potential new patients that allow them to obtain free goods (prescription fills) from</w:t>
      </w:r>
      <w:r>
        <w:rPr>
          <w:rFonts w:ascii="Arial" w:cs="Arial" w:eastAsia="Arial" w:hAnsi="Arial"/>
          <w:sz w:val="17"/>
          <w:szCs w:val="17"/>
          <w:i w:val="1"/>
          <w:iCs w:val="1"/>
          <w:color w:val="auto"/>
        </w:rPr>
        <w:t xml:space="preserve"> </w:t>
      </w:r>
      <w:r>
        <w:rPr>
          <w:rFonts w:ascii="Arial" w:cs="Arial" w:eastAsia="Arial" w:hAnsi="Arial"/>
          <w:sz w:val="17"/>
          <w:szCs w:val="17"/>
          <w:color w:val="auto"/>
        </w:rPr>
        <w:t>a pharmacy. The Company excludes such amounts related to these programs from both gross and net revenue. The cost of product associated with the free goods program is recognized as cost of goods sold in the condensed consolidated statements of operations.</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 xml:space="preserve">Reserves for Variable Consideration </w:t>
      </w:r>
      <w:r>
        <w:rPr>
          <w:rFonts w:ascii="Arial" w:cs="Arial" w:eastAsia="Arial" w:hAnsi="Arial"/>
          <w:sz w:val="17"/>
          <w:szCs w:val="17"/>
          <w:color w:val="auto"/>
        </w:rPr>
        <w:t>— Revenues from product sales are recorded at the net sales price (transaction price), which includes estimates of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judgments are required in making these estimates.</w:t>
      </w:r>
    </w:p>
    <w:p>
      <w:pPr>
        <w:spacing w:after="0" w:line="1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 w:name="page10"/>
    <w:bookmarkEnd w:id="9"/>
    <w:p>
      <w:pPr>
        <w:ind w:right="60"/>
        <w:spacing w:after="0" w:line="264"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March 31, 2022 and, therefore, the transaction price was not reduced further during the three months ended March 31, 2022.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Significant judgment is required in estimating gross-to-net adjustments considering legal interpretations of applicable laws and regulations, historical experience, payer channel mix, current contract prices under applicable programs, unbilled claims, processing time lags and inventory levels in the distribution channel.</w:t>
      </w:r>
    </w:p>
    <w:p>
      <w:pPr>
        <w:spacing w:after="0" w:line="188" w:lineRule="exact"/>
        <w:rPr>
          <w:sz w:val="20"/>
          <w:szCs w:val="20"/>
          <w:color w:val="auto"/>
        </w:rPr>
      </w:pPr>
    </w:p>
    <w:p>
      <w:pPr>
        <w:ind w:right="60"/>
        <w:spacing w:after="0" w:line="311" w:lineRule="auto"/>
        <w:rPr>
          <w:sz w:val="20"/>
          <w:szCs w:val="20"/>
          <w:color w:val="auto"/>
        </w:rPr>
      </w:pPr>
      <w:r>
        <w:rPr>
          <w:rFonts w:ascii="Arial" w:cs="Arial" w:eastAsia="Arial" w:hAnsi="Arial"/>
          <w:sz w:val="15"/>
          <w:szCs w:val="15"/>
          <w:i w:val="1"/>
          <w:iCs w:val="1"/>
          <w:color w:val="auto"/>
        </w:rPr>
        <w:t xml:space="preserve">Trade Discounts and Allowances </w:t>
      </w:r>
      <w:r>
        <w:rPr>
          <w:rFonts w:ascii="Arial" w:cs="Arial" w:eastAsia="Arial" w:hAnsi="Arial"/>
          <w:sz w:val="15"/>
          <w:szCs w:val="15"/>
          <w:color w:val="auto"/>
        </w:rPr>
        <w:t>— The Company generally provides Customers with discounts which include incentives, such as prompt pay discounts, that</w:t>
      </w:r>
      <w:r>
        <w:rPr>
          <w:rFonts w:ascii="Arial" w:cs="Arial" w:eastAsia="Arial" w:hAnsi="Arial"/>
          <w:sz w:val="15"/>
          <w:szCs w:val="15"/>
          <w:i w:val="1"/>
          <w:iCs w:val="1"/>
          <w:color w:val="auto"/>
        </w:rPr>
        <w:t xml:space="preserve"> </w:t>
      </w:r>
      <w:r>
        <w:rPr>
          <w:rFonts w:ascii="Arial" w:cs="Arial" w:eastAsia="Arial" w:hAnsi="Arial"/>
          <w:sz w:val="15"/>
          <w:szCs w:val="15"/>
          <w:color w:val="auto"/>
        </w:rPr>
        <w:t>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 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50"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Consistent with industry practice, the Company generally offers Customers a right of return for unopened product that has been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 digits. Adjustments to the returns reserve have been made in the past and may be necessary in the future based on revised estimates to the Company’s assumptions.</w:t>
      </w:r>
    </w:p>
    <w:p>
      <w:pPr>
        <w:spacing w:after="0" w:line="185" w:lineRule="exact"/>
        <w:rPr>
          <w:sz w:val="20"/>
          <w:szCs w:val="20"/>
          <w:color w:val="auto"/>
        </w:rPr>
      </w:pPr>
    </w:p>
    <w:p>
      <w:pPr>
        <w:spacing w:after="0" w:line="303" w:lineRule="auto"/>
        <w:rPr>
          <w:sz w:val="20"/>
          <w:szCs w:val="20"/>
          <w:color w:val="auto"/>
        </w:rPr>
      </w:pPr>
      <w:r>
        <w:rPr>
          <w:rFonts w:ascii="Arial" w:cs="Arial" w:eastAsia="Arial" w:hAnsi="Arial"/>
          <w:sz w:val="15"/>
          <w:szCs w:val="15"/>
          <w:i w:val="1"/>
          <w:iCs w:val="1"/>
          <w:color w:val="auto"/>
        </w:rPr>
        <w:t xml:space="preserve">Provider Chargebacks and Discounts </w:t>
      </w:r>
      <w:r>
        <w:rPr>
          <w:rFonts w:ascii="Arial" w:cs="Arial" w:eastAsia="Arial" w:hAnsi="Arial"/>
          <w:sz w:val="15"/>
          <w:szCs w:val="15"/>
          <w:color w:val="auto"/>
        </w:rPr>
        <w:t>— Chargebacks for fees and discounts to providers represent the estimated obligations resulting from contractual</w:t>
      </w:r>
      <w:r>
        <w:rPr>
          <w:rFonts w:ascii="Arial" w:cs="Arial" w:eastAsia="Arial" w:hAnsi="Arial"/>
          <w:sz w:val="15"/>
          <w:szCs w:val="15"/>
          <w:i w:val="1"/>
          <w:iCs w:val="1"/>
          <w:color w:val="auto"/>
        </w:rPr>
        <w:t xml:space="preserve"> </w:t>
      </w:r>
      <w:r>
        <w:rPr>
          <w:rFonts w:ascii="Arial" w:cs="Arial" w:eastAsia="Arial" w:hAnsi="Arial"/>
          <w:sz w:val="15"/>
          <w:szCs w:val="15"/>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371"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 xml:space="preserve">Government Rebates </w:t>
      </w:r>
      <w:r>
        <w:rPr>
          <w:rFonts w:ascii="Arial" w:cs="Arial" w:eastAsia="Arial" w:hAnsi="Arial"/>
          <w:sz w:val="17"/>
          <w:szCs w:val="17"/>
          <w:color w:val="auto"/>
        </w:rPr>
        <w:t>— The Company is subject to discount obligations under Medicare and state Medicaid programs. These reserves are recorded in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 The Company’s estimates include consideration of historical claims experience, payer channel mix, current contract prices, unbilled claims, claim submission time lags and inventory in the distribution channel.</w:t>
      </w:r>
    </w:p>
    <w:p>
      <w:pPr>
        <w:spacing w:after="0" w:line="185" w:lineRule="exact"/>
        <w:rPr>
          <w:sz w:val="20"/>
          <w:szCs w:val="20"/>
          <w:color w:val="auto"/>
        </w:rPr>
      </w:pPr>
    </w:p>
    <w:p>
      <w:pPr>
        <w:spacing w:after="0" w:line="248" w:lineRule="auto"/>
        <w:rPr>
          <w:sz w:val="20"/>
          <w:szCs w:val="20"/>
          <w:color w:val="auto"/>
        </w:rPr>
      </w:pPr>
      <w:r>
        <w:rPr>
          <w:rFonts w:ascii="Arial" w:cs="Arial" w:eastAsia="Arial" w:hAnsi="Arial"/>
          <w:sz w:val="18"/>
          <w:szCs w:val="18"/>
          <w:i w:val="1"/>
          <w:iCs w:val="1"/>
          <w:color w:val="auto"/>
        </w:rPr>
        <w:t xml:space="preserve">Payer Rebates </w:t>
      </w:r>
      <w:r>
        <w:rPr>
          <w:rFonts w:ascii="Arial" w:cs="Arial" w:eastAsia="Arial" w:hAnsi="Arial"/>
          <w:sz w:val="18"/>
          <w:szCs w:val="18"/>
          <w:color w:val="auto"/>
        </w:rPr>
        <w:t>— The Company contracts with certain private payer organizations, primarily insurance companies and pharmacy benefit managers,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10" w:name="page11"/>
    <w:bookmarkEnd w:id="10"/>
    <w:p>
      <w:pPr>
        <w:spacing w:after="0" w:line="266"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 Other incentives which the Company offers include voluntary patient support programs, such as the Company's co-pay assistance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79"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i w:val="1"/>
          <w:iCs w:val="1"/>
          <w:color w:val="auto"/>
        </w:rPr>
        <w:t xml:space="preserve">Revenue Recognition — Revenue — Collaborations and Services </w:t>
      </w:r>
      <w:r>
        <w:rPr>
          <w:rFonts w:ascii="Arial" w:cs="Arial" w:eastAsia="Arial" w:hAnsi="Arial"/>
          <w:sz w:val="15"/>
          <w:szCs w:val="15"/>
          <w:color w:val="auto"/>
        </w:rPr>
        <w:t>— The Company enters into licensing, research or other agreements under which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our significant collaboration and service agreement with UT that includes a long-term commercial supply agreement (“CSA”), we have identified three distinct performance obligations: (1) the license, supply of product to be used in clinical development, and continued development and approval support for Tyvaso DPI (“R&amp;D Services and License”); (2) development activities for the next generation of Next-Gen R&amp;D Services; and (3) a material right associated with future commercial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See Note 8 – Collaboration, Licensing and Other Arrangements.</w:t>
      </w:r>
    </w:p>
    <w:p>
      <w:pPr>
        <w:spacing w:after="0" w:line="37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8 – Collaboration, Licensing and Other Arrangements.</w:t>
      </w:r>
    </w:p>
    <w:p>
      <w:pPr>
        <w:spacing w:after="0" w:line="185"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 If the revenue for a sales-based or usage-based royalty is promised in exchange for an intellectual property license, the Company recognizes revenue as the latter of the subsequent sale or usage occurs or the performance obligation to which the royalty has been allocated has been satisfied or partially satisfied.</w:t>
      </w:r>
    </w:p>
    <w:p>
      <w:pPr>
        <w:spacing w:after="0" w:line="159"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1" w:name="page12"/>
    <w:bookmarkEnd w:id="11"/>
    <w:p>
      <w:pPr>
        <w:ind w:right="60"/>
        <w:spacing w:after="0" w:line="317" w:lineRule="auto"/>
        <w:rPr>
          <w:sz w:val="20"/>
          <w:szCs w:val="20"/>
          <w:color w:val="auto"/>
        </w:rPr>
      </w:pPr>
      <w:r>
        <w:rPr>
          <w:rFonts w:ascii="Arial" w:cs="Arial" w:eastAsia="Arial" w:hAnsi="Arial"/>
          <w:sz w:val="15"/>
          <w:szCs w:val="15"/>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collaborative agreements must generally be accounted for pursuant to ASC 606.</w:t>
      </w:r>
    </w:p>
    <w:p>
      <w:pPr>
        <w:spacing w:after="0" w:line="145"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CSA agreement with UT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w:t>
      </w:r>
    </w:p>
    <w:p>
      <w:pPr>
        <w:spacing w:after="0" w:line="159"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55"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 milestones</w:t>
      </w:r>
      <w:r>
        <w:rPr>
          <w:rFonts w:ascii="Arial" w:cs="Arial" w:eastAsia="Arial" w:hAnsi="Arial"/>
          <w:sz w:val="17"/>
          <w:szCs w:val="17"/>
          <w:i w:val="1"/>
          <w:iCs w:val="1"/>
          <w:color w:val="auto"/>
        </w:rPr>
        <w:t xml:space="preserve"> </w:t>
      </w:r>
      <w:r>
        <w:rPr>
          <w:rFonts w:ascii="Arial" w:cs="Arial" w:eastAsia="Arial" w:hAnsi="Arial"/>
          <w:sz w:val="17"/>
          <w:szCs w:val="17"/>
          <w:color w:val="auto"/>
        </w:rPr>
        <w:t>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5"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i w:val="1"/>
          <w:iCs w:val="1"/>
          <w:color w:val="auto"/>
        </w:rPr>
        <w:t xml:space="preserve">Cost of Goods Sold </w:t>
      </w:r>
      <w:r>
        <w:rPr>
          <w:rFonts w:ascii="Arial" w:cs="Arial" w:eastAsia="Arial" w:hAnsi="Arial"/>
          <w:sz w:val="15"/>
          <w:szCs w:val="15"/>
          <w:color w:val="auto"/>
        </w:rPr>
        <w:t>— Cost of goods sold includes material, labor costs and manufacturing overhead. Cost of goods sold also includes a component of current</w:t>
      </w:r>
      <w:r>
        <w:rPr>
          <w:rFonts w:ascii="Arial" w:cs="Arial" w:eastAsia="Arial" w:hAnsi="Arial"/>
          <w:sz w:val="15"/>
          <w:szCs w:val="15"/>
          <w:i w:val="1"/>
          <w:iCs w:val="1"/>
          <w:color w:val="auto"/>
        </w:rPr>
        <w:t xml:space="preserve"> </w:t>
      </w:r>
      <w:r>
        <w:rPr>
          <w:rFonts w:ascii="Arial" w:cs="Arial" w:eastAsia="Arial" w:hAnsi="Arial"/>
          <w:sz w:val="15"/>
          <w:szCs w:val="15"/>
          <w:color w:val="auto"/>
        </w:rPr>
        <w:t>period manufacturing costs in excess of costs capitalized into inventory (“excess capacity costs”). These costs, in addition to the impact of the revaluation of inventory for standard costing, and write-offs of inventory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All insulin inventory on hand was written off and the full purchase commitment contract to purchase future insulin was accrued as a recognized loss on purchase commitments as of the end of 2015.</w:t>
      </w:r>
    </w:p>
    <w:p>
      <w:pPr>
        <w:spacing w:after="0" w:line="155"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i w:val="1"/>
          <w:iCs w:val="1"/>
          <w:color w:val="auto"/>
        </w:rPr>
        <w:t xml:space="preserve">Cost of Revenues – Collaborations and Services </w:t>
      </w:r>
      <w:r>
        <w:rPr>
          <w:rFonts w:ascii="Arial" w:cs="Arial" w:eastAsia="Arial" w:hAnsi="Arial"/>
          <w:sz w:val="17"/>
          <w:szCs w:val="17"/>
          <w:color w:val="auto"/>
        </w:rPr>
        <w:t>— Cost of revenues – collaborations and services includes material, labor costs, manufacturing overhead, and</w:t>
      </w:r>
      <w:r>
        <w:rPr>
          <w:rFonts w:ascii="Arial" w:cs="Arial" w:eastAsia="Arial" w:hAnsi="Arial"/>
          <w:sz w:val="17"/>
          <w:szCs w:val="17"/>
          <w:i w:val="1"/>
          <w:iCs w:val="1"/>
          <w:color w:val="auto"/>
        </w:rPr>
        <w:t xml:space="preserve"> </w:t>
      </w:r>
      <w:r>
        <w:rPr>
          <w:rFonts w:ascii="Arial" w:cs="Arial" w:eastAsia="Arial" w:hAnsi="Arial"/>
          <w:sz w:val="17"/>
          <w:szCs w:val="17"/>
          <w:color w:val="auto"/>
        </w:rPr>
        <w:t>excess capacity costs. These costs, in addition to the write-offs of inventory are recorded as expenses in the period in which they are incurred, rather than as a portion of inventory costs. Cost of revenues – collaborations and services also includes the cost of product development.</w:t>
      </w:r>
    </w:p>
    <w:p>
      <w:pPr>
        <w:spacing w:after="0" w:line="162"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i w:val="1"/>
          <w:iCs w:val="1"/>
          <w:color w:val="auto"/>
        </w:rPr>
        <w:t xml:space="preserve">Cash and Cash Equivalents and Restricted Cash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21"/>
          <w:szCs w:val="21"/>
          <w:color w:val="auto"/>
        </w:rPr>
        <w:t>The Company considers all highly liquid investments with original or remaining</w:t>
      </w:r>
      <w:r>
        <w:rPr>
          <w:rFonts w:ascii="Arial" w:cs="Arial" w:eastAsia="Arial" w:hAnsi="Arial"/>
          <w:sz w:val="18"/>
          <w:szCs w:val="18"/>
          <w:i w:val="1"/>
          <w:iCs w:val="1"/>
          <w:color w:val="auto"/>
        </w:rPr>
        <w:t xml:space="preserve"> </w:t>
      </w:r>
      <w:r>
        <w:rPr>
          <w:rFonts w:ascii="Arial" w:cs="Arial" w:eastAsia="Arial" w:hAnsi="Arial"/>
          <w:sz w:val="21"/>
          <w:szCs w:val="21"/>
          <w:color w:val="auto"/>
        </w:rPr>
        <w:t>maturities of 90 days or less at the time of purchase, that are readily convertible into cash to be cash equivalents. As of March 31, 2022 and December 31, 2021, cash equivalents were comprised of money market, corporate bonds and commercial paper accounts with original maturities less than 90 days from the date of purchase.</w:t>
      </w:r>
    </w:p>
    <w:p>
      <w:pPr>
        <w:spacing w:after="0" w:line="18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records restricted cash when cash and cash equivalents are restricted as to withdrawal or usage. The Company presents amounts of restricted cash that will be available for use within 12 months of the reporting date as restricted cash in current assets.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2" w:name="page13"/>
    <w:bookmarkEnd w:id="12"/>
    <w:p>
      <w:pPr>
        <w:ind w:right="200"/>
        <w:spacing w:after="0" w:line="315" w:lineRule="auto"/>
        <w:rPr>
          <w:sz w:val="20"/>
          <w:szCs w:val="20"/>
          <w:color w:val="auto"/>
        </w:rPr>
      </w:pPr>
      <w:r>
        <w:rPr>
          <w:rFonts w:ascii="Arial" w:cs="Arial" w:eastAsia="Arial" w:hAnsi="Arial"/>
          <w:sz w:val="19"/>
          <w:szCs w:val="19"/>
          <w:color w:val="auto"/>
        </w:rPr>
        <w:t>The following table provides a reconciliation of cash, cash equivalents, and restricted cash reported on the condensed consolidated balance sheets that sum to amounts reported on the condensed consolidated statements of cash flows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4"/>
                <w:szCs w:val="14"/>
                <w:color w:val="auto"/>
              </w:rPr>
            </w:pPr>
          </w:p>
        </w:tc>
        <w:tc>
          <w:tcPr>
            <w:tcW w:w="18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r>
      <w:tr>
        <w:trPr>
          <w:trHeight w:val="218"/>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67,243</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124,184</w:t>
            </w: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247,833</w:t>
            </w: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r>
      <w:tr>
        <w:trPr>
          <w:trHeight w:val="218"/>
        </w:trPr>
        <w:tc>
          <w:tcPr>
            <w:tcW w:w="54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67,243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124,184</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i w:val="1"/>
          <w:iCs w:val="1"/>
          <w:color w:val="auto"/>
        </w:rPr>
        <w:t xml:space="preserve">Held-to-Maturity Investments </w:t>
      </w:r>
      <w:r>
        <w:rPr>
          <w:rFonts w:ascii="Arial" w:cs="Arial" w:eastAsia="Arial" w:hAnsi="Arial"/>
          <w:sz w:val="15"/>
          <w:szCs w:val="15"/>
          <w:color w:val="auto"/>
        </w:rPr>
        <w:t>— The Company’s investments generally consist of commercial paper, corporate notes or bonds and U.S. Treasury securities. As</w:t>
      </w:r>
      <w:r>
        <w:rPr>
          <w:rFonts w:ascii="Arial" w:cs="Arial" w:eastAsia="Arial" w:hAnsi="Arial"/>
          <w:sz w:val="15"/>
          <w:szCs w:val="15"/>
          <w:i w:val="1"/>
          <w:iCs w:val="1"/>
          <w:color w:val="auto"/>
        </w:rPr>
        <w:t xml:space="preserve"> </w:t>
      </w:r>
      <w:r>
        <w:rPr>
          <w:rFonts w:ascii="Arial" w:cs="Arial" w:eastAsia="Arial" w:hAnsi="Arial"/>
          <w:sz w:val="15"/>
          <w:szCs w:val="15"/>
          <w:color w:val="auto"/>
        </w:rPr>
        <w:t>of March 31, 2022, the Company held short-term and long-term investments of debt securities, including commercial paper and bonds. The Company assesses whether it has any intention to sell the investment before maturity, whether any declines in fair value are the result of credit losses, as well as whether there were other-than-temporary impairments associated with the available for sale investment. The Company intends to hold its investments until maturity; therefore, these investments are stated at amortized cost. The investments with maturities less than 12 months are included in short-term investments and investments with maturities in excess of twelve months are included in long-term investments in the condensed consolidated balance sheets. The amortization or accretion of the Company’s investments is recognized as interest income in the condensed consolidated statements of operations.</w:t>
      </w:r>
    </w:p>
    <w:p>
      <w:pPr>
        <w:spacing w:after="0" w:line="15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i w:val="1"/>
          <w:iCs w:val="1"/>
          <w:color w:val="auto"/>
        </w:rPr>
        <w:t xml:space="preserve">Available-for-Sale Investment </w:t>
      </w:r>
      <w:r>
        <w:rPr>
          <w:rFonts w:ascii="Arial" w:cs="Arial" w:eastAsia="Arial" w:hAnsi="Arial"/>
          <w:sz w:val="17"/>
          <w:szCs w:val="17"/>
          <w:color w:val="auto"/>
        </w:rPr>
        <w:t>— In June 2021, the Company invested $3.0 million in Thirona Bio, Inc. (“Thirona”) and received a $3.0 million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promissory note, the “Thirona convertible note”). In January 2022, the Company invested an additional $5.0 million in Thirona and received a $5.0 million convertible promissory note. Unless earlier converted into conversion shares pursuant to the note purchase agreement, the principal and accrued interest shall be due and payable by Thirona on demand by the Company at any time after the maturity date of December 31, 2023. Interest accrues at a rate of 6% per annum. The Thirona convertible note is a general unsecured obligation of Thirona. The Thirona convertible note is classified as an available-for-sale security and is included in other assets in the condensed consolidated balance sheet. Available-for-sale investments are subsequently measured at fair value. Unrealized holding gains and losses are excluded from earnings and reported in other comprehensive income until realized. The Company assesses whether it has any intention to sell the investment, determines fair value of its available-for-sale investments using level 3 inputs as well as assesses whether there were other-than-temporary impairments associated with the available-for-sale investment. In June 2021, the Company and Thirona also entered into a collaboration agreement to develop a compound for the treatment of fibrotic lung diseases. See Note 8 – </w:t>
      </w:r>
      <w:r>
        <w:rPr>
          <w:rFonts w:ascii="Arial" w:cs="Arial" w:eastAsia="Arial" w:hAnsi="Arial"/>
          <w:sz w:val="17"/>
          <w:szCs w:val="17"/>
          <w:i w:val="1"/>
          <w:iCs w:val="1"/>
          <w:color w:val="auto"/>
        </w:rPr>
        <w:t>Collaboration, Licensing and Other Arrangements</w:t>
      </w:r>
      <w:r>
        <w:rPr>
          <w:rFonts w:ascii="Arial" w:cs="Arial" w:eastAsia="Arial" w:hAnsi="Arial"/>
          <w:sz w:val="17"/>
          <w:szCs w:val="17"/>
          <w:color w:val="auto"/>
        </w:rPr>
        <w:t xml:space="preserve"> for additional information.</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 Financial instruments that potentially subject the Company to concentration of credit risk consist of cash and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investments. Cash and cash equivalents are held in high credit quality institutions. Cash equivalents consist of interest-bearing money market accounts and U.S. Treasury securities with maturities less than 90 days. Investments generally consist of commercial paper, corporate notes or bonds and U.S. Treasury securities. The cash equivalents and investments are regularly monitored by management.</w:t>
      </w:r>
    </w:p>
    <w:p>
      <w:pPr>
        <w:spacing w:after="0" w:line="177"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i w:val="1"/>
          <w:iCs w:val="1"/>
          <w:color w:val="auto"/>
        </w:rPr>
        <w:t xml:space="preserve">Accounts Receivable and Allowance for Credit Losses </w:t>
      </w:r>
      <w:r>
        <w:rPr>
          <w:rFonts w:ascii="Arial" w:cs="Arial" w:eastAsia="Arial" w:hAnsi="Arial"/>
          <w:sz w:val="15"/>
          <w:szCs w:val="15"/>
          <w:color w:val="auto"/>
        </w:rPr>
        <w:t>— Accounts receivable are recorded at the invoiced amount and are not interest bearing. Accounts</w:t>
      </w:r>
      <w:r>
        <w:rPr>
          <w:rFonts w:ascii="Arial" w:cs="Arial" w:eastAsia="Arial" w:hAnsi="Arial"/>
          <w:sz w:val="15"/>
          <w:szCs w:val="15"/>
          <w:i w:val="1"/>
          <w:iCs w:val="1"/>
          <w:color w:val="auto"/>
        </w:rPr>
        <w:t xml:space="preserve"> </w:t>
      </w:r>
      <w:r>
        <w:rPr>
          <w:rFonts w:ascii="Arial" w:cs="Arial" w:eastAsia="Arial" w:hAnsi="Arial"/>
          <w:sz w:val="15"/>
          <w:szCs w:val="15"/>
          <w:color w:val="auto"/>
        </w:rPr>
        <w:t>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spacing w:after="0" w:line="156"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i w:val="1"/>
          <w:iCs w:val="1"/>
          <w:color w:val="auto"/>
        </w:rPr>
        <w:t xml:space="preserve">Pre-Launch Inventory </w:t>
      </w:r>
      <w:r>
        <w:rPr>
          <w:rFonts w:ascii="Arial" w:cs="Arial" w:eastAsia="Arial" w:hAnsi="Arial"/>
          <w:sz w:val="17"/>
          <w:szCs w:val="17"/>
          <w:color w:val="auto"/>
        </w:rPr>
        <w:t>— An improvement to the manufacturing process for the Company’s primary excipient, fumaryl diketopiperazine (“FDKP”) was</w:t>
      </w:r>
      <w:r>
        <w:rPr>
          <w:rFonts w:ascii="Arial" w:cs="Arial" w:eastAsia="Arial" w:hAnsi="Arial"/>
          <w:sz w:val="17"/>
          <w:szCs w:val="17"/>
          <w:i w:val="1"/>
          <w:iCs w:val="1"/>
          <w:color w:val="auto"/>
        </w:rPr>
        <w:t xml:space="preserve"> </w:t>
      </w:r>
      <w:r>
        <w:rPr>
          <w:rFonts w:ascii="Arial" w:cs="Arial" w:eastAsia="Arial" w:hAnsi="Arial"/>
          <w:sz w:val="17"/>
          <w:szCs w:val="17"/>
          <w:color w:val="auto"/>
        </w:rPr>
        <w:t>demonstrated to be viable and 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3" w:name="page14"/>
    <w:bookmarkEnd w:id="13"/>
    <w:p>
      <w:pPr>
        <w:ind w:right="160"/>
        <w:spacing w:after="0" w:line="305" w:lineRule="auto"/>
        <w:rPr>
          <w:sz w:val="20"/>
          <w:szCs w:val="20"/>
          <w:color w:val="auto"/>
        </w:rPr>
      </w:pPr>
      <w:r>
        <w:rPr>
          <w:rFonts w:ascii="Arial" w:cs="Arial" w:eastAsia="Arial" w:hAnsi="Arial"/>
          <w:sz w:val="15"/>
          <w:szCs w:val="15"/>
          <w:i w:val="1"/>
          <w:iCs w:val="1"/>
          <w:color w:val="auto"/>
        </w:rPr>
        <w:t xml:space="preserve">Inventories </w:t>
      </w:r>
      <w:r>
        <w:rPr>
          <w:rFonts w:ascii="Arial" w:cs="Arial" w:eastAsia="Arial" w:hAnsi="Arial"/>
          <w:sz w:val="15"/>
          <w:szCs w:val="15"/>
          <w:color w:val="auto"/>
        </w:rPr>
        <w:t>— Inventories are stated at the lower of cost or net realizable value. The Company determines the cost of inventory using the first-in, first-out, or</w:t>
      </w:r>
      <w:r>
        <w:rPr>
          <w:rFonts w:ascii="Arial" w:cs="Arial" w:eastAsia="Arial" w:hAnsi="Arial"/>
          <w:sz w:val="15"/>
          <w:szCs w:val="15"/>
          <w:i w:val="1"/>
          <w:iCs w:val="1"/>
          <w:color w:val="auto"/>
        </w:rPr>
        <w:t xml:space="preserve"> </w:t>
      </w:r>
      <w:r>
        <w:rPr>
          <w:rFonts w:ascii="Arial" w:cs="Arial" w:eastAsia="Arial" w:hAnsi="Arial"/>
          <w:sz w:val="15"/>
          <w:szCs w:val="15"/>
          <w:color w:val="auto"/>
        </w:rPr>
        <w:t>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56"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8" w:lineRule="exact"/>
        <w:rPr>
          <w:sz w:val="20"/>
          <w:szCs w:val="20"/>
          <w:color w:val="auto"/>
        </w:rPr>
      </w:pPr>
    </w:p>
    <w:p>
      <w:pPr>
        <w:ind w:right="160"/>
        <w:spacing w:after="0" w:line="364" w:lineRule="auto"/>
        <w:rPr>
          <w:sz w:val="20"/>
          <w:szCs w:val="20"/>
          <w:color w:val="auto"/>
        </w:rPr>
      </w:pPr>
      <w:r>
        <w:rPr>
          <w:rFonts w:ascii="Arial" w:cs="Arial" w:eastAsia="Arial" w:hAnsi="Arial"/>
          <w:sz w:val="15"/>
          <w:szCs w:val="15"/>
          <w:i w:val="1"/>
          <w:iCs w:val="1"/>
          <w:color w:val="auto"/>
        </w:rPr>
        <w:t xml:space="preserve">Impairment of Long-Lived Assets </w:t>
      </w:r>
      <w:r>
        <w:rPr>
          <w:rFonts w:ascii="Arial" w:cs="Arial" w:eastAsia="Arial" w:hAnsi="Arial"/>
          <w:sz w:val="15"/>
          <w:szCs w:val="15"/>
          <w:color w:val="auto"/>
        </w:rPr>
        <w:t>— The Company evaluates long-lived assets for impairment whenever events or changes in circumstances indicate that the</w:t>
      </w:r>
      <w:r>
        <w:rPr>
          <w:rFonts w:ascii="Arial" w:cs="Arial" w:eastAsia="Arial" w:hAnsi="Arial"/>
          <w:sz w:val="15"/>
          <w:szCs w:val="15"/>
          <w:i w:val="1"/>
          <w:iCs w:val="1"/>
          <w:color w:val="auto"/>
        </w:rPr>
        <w:t xml:space="preserve"> </w:t>
      </w:r>
      <w:r>
        <w:rPr>
          <w:rFonts w:ascii="Arial" w:cs="Arial" w:eastAsia="Arial" w:hAnsi="Arial"/>
          <w:sz w:val="15"/>
          <w:szCs w:val="15"/>
          <w:color w:val="auto"/>
        </w:rPr>
        <w:t>carrying value of an asset may not be recoverable. Assets are considered to be impaired if the carrying value is considered to be unrecoverable.</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i w:val="1"/>
          <w:iCs w:val="1"/>
          <w:color w:val="auto"/>
        </w:rPr>
        <w:t xml:space="preserve">Recognized Loss on Purchase Commitments </w:t>
      </w:r>
      <w:r>
        <w:rPr>
          <w:rFonts w:ascii="Arial" w:cs="Arial" w:eastAsia="Arial" w:hAnsi="Arial"/>
          <w:sz w:val="17"/>
          <w:szCs w:val="17"/>
          <w:color w:val="auto"/>
        </w:rPr>
        <w:t>— The Company assesses whether losses on long-term purchase commitments should be accrued. Losses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statements of operations. The liability balance of the recognized loss on insulin purchase commitments as of March 31, 2022 and December 31, 2021 was $79.3 million and $82.8 million, respectively. No new contracts were identified in 2021 or in the first three months of 2022 that required a new loss on purchase commitment accrual.</w:t>
      </w:r>
    </w:p>
    <w:p>
      <w:pPr>
        <w:spacing w:after="0" w:line="185"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i w:val="1"/>
          <w:iCs w:val="1"/>
          <w:color w:val="auto"/>
        </w:rPr>
        <w:t xml:space="preserve">Milestone Rights Liability </w:t>
      </w:r>
      <w:r>
        <w:rPr>
          <w:rFonts w:ascii="Arial" w:cs="Arial" w:eastAsia="Arial" w:hAnsi="Arial"/>
          <w:sz w:val="15"/>
          <w:szCs w:val="15"/>
          <w:color w:val="auto"/>
        </w:rPr>
        <w:t>— In July 2013, in conjunction with the execution of a (now repaid) loan agreement with Deerfield Private Design Fund II, L.P. and</w:t>
      </w:r>
      <w:r>
        <w:rPr>
          <w:rFonts w:ascii="Arial" w:cs="Arial" w:eastAsia="Arial" w:hAnsi="Arial"/>
          <w:sz w:val="15"/>
          <w:szCs w:val="15"/>
          <w:i w:val="1"/>
          <w:iCs w:val="1"/>
          <w:color w:val="auto"/>
        </w:rPr>
        <w:t xml:space="preserve"> </w:t>
      </w:r>
      <w:r>
        <w:rPr>
          <w:rFonts w:ascii="Arial" w:cs="Arial" w:eastAsia="Arial" w:hAnsi="Arial"/>
          <w:sz w:val="15"/>
          <w:szCs w:val="15"/>
          <w:color w:val="auto"/>
        </w:rPr>
        <w:t>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SÁRL (the “Original Milestone Purchasers”). The foregoing milestone rights provided the Original Milestone Purchasers certain rights to receive payments of up to $90.0 million upon the occurrence of specified strategic and sales milestones, $65.0 million of which remains payable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is now entitled to all rights under the Milestone Rights Agreement. As of March 31, 2022, $65.0 million remained payable pursuant to the Milestone Rights Agreement upon achievement of Afrezza net sales milestones.</w:t>
      </w:r>
    </w:p>
    <w:p>
      <w:pPr>
        <w:spacing w:after="0" w:line="159"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condensed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7 – </w:t>
      </w:r>
      <w:r>
        <w:rPr>
          <w:rFonts w:ascii="Arial" w:cs="Arial" w:eastAsia="Arial" w:hAnsi="Arial"/>
          <w:sz w:val="15"/>
          <w:szCs w:val="15"/>
          <w:i w:val="1"/>
          <w:iCs w:val="1"/>
          <w:color w:val="auto"/>
        </w:rPr>
        <w:t>Borrowings</w:t>
      </w:r>
      <w:r>
        <w:rPr>
          <w:rFonts w:ascii="Arial" w:cs="Arial" w:eastAsia="Arial" w:hAnsi="Arial"/>
          <w:sz w:val="15"/>
          <w:szCs w:val="15"/>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14" w:name="page15"/>
    <w:bookmarkEnd w:id="14"/>
    <w:p>
      <w:pPr>
        <w:ind w:right="80"/>
        <w:spacing w:after="0" w:line="266"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 The Company applies various valuation approaches in determining the fair value of its financial assets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0" w:lineRule="exact"/>
        <w:rPr>
          <w:sz w:val="20"/>
          <w:szCs w:val="20"/>
          <w:color w:val="auto"/>
        </w:rPr>
      </w:pPr>
    </w:p>
    <w:p>
      <w:pPr>
        <w:ind w:left="520" w:right="100"/>
        <w:spacing w:after="0" w:line="263"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16"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 The provisions for federal, foreign, state and local income taxes are calculated on pre-tax income based on current tax law and include the</w:t>
      </w:r>
      <w:r>
        <w:rPr>
          <w:rFonts w:ascii="Arial" w:cs="Arial" w:eastAsia="Arial" w:hAnsi="Arial"/>
          <w:sz w:val="15"/>
          <w:szCs w:val="15"/>
          <w:i w:val="1"/>
          <w:iCs w:val="1"/>
          <w:color w:val="auto"/>
        </w:rPr>
        <w:t xml:space="preserve"> </w:t>
      </w:r>
      <w:r>
        <w:rPr>
          <w:rFonts w:ascii="Arial" w:cs="Arial" w:eastAsia="Arial" w:hAnsi="Arial"/>
          <w:sz w:val="15"/>
          <w:szCs w:val="15"/>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45"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94"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 loss</w:t>
      </w:r>
      <w:r>
        <w:rPr>
          <w:rFonts w:ascii="Arial" w:cs="Arial" w:eastAsia="Arial" w:hAnsi="Arial"/>
          <w:sz w:val="17"/>
          <w:szCs w:val="17"/>
          <w:i w:val="1"/>
          <w:iCs w:val="1"/>
          <w:color w:val="auto"/>
        </w:rPr>
        <w:t xml:space="preserve"> </w:t>
      </w:r>
      <w:r>
        <w:rPr>
          <w:rFonts w:ascii="Arial" w:cs="Arial" w:eastAsia="Arial" w:hAnsi="Arial"/>
          <w:sz w:val="17"/>
          <w:szCs w:val="17"/>
          <w:color w:val="auto"/>
        </w:rPr>
        <w:t>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85" w:lineRule="exact"/>
        <w:rPr>
          <w:sz w:val="20"/>
          <w:szCs w:val="20"/>
          <w:color w:val="auto"/>
        </w:rPr>
      </w:pPr>
    </w:p>
    <w:p>
      <w:pPr>
        <w:ind w:right="180"/>
        <w:spacing w:after="0" w:line="305" w:lineRule="auto"/>
        <w:rPr>
          <w:sz w:val="20"/>
          <w:szCs w:val="20"/>
          <w:color w:val="auto"/>
        </w:rPr>
      </w:pPr>
      <w:r>
        <w:rPr>
          <w:rFonts w:ascii="Arial" w:cs="Arial" w:eastAsia="Arial" w:hAnsi="Arial"/>
          <w:sz w:val="15"/>
          <w:szCs w:val="15"/>
          <w:i w:val="1"/>
          <w:iCs w:val="1"/>
          <w:color w:val="auto"/>
        </w:rPr>
        <w:t xml:space="preserve">Stock-Based Compensation </w:t>
      </w:r>
      <w:r>
        <w:rPr>
          <w:rFonts w:ascii="Arial" w:cs="Arial" w:eastAsia="Arial" w:hAnsi="Arial"/>
          <w:sz w:val="15"/>
          <w:szCs w:val="15"/>
          <w:color w:val="auto"/>
        </w:rPr>
        <w:t>— Share-based payments to employees, including grants of stock options, RSUs, performance-based non-qualified stock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awards (“PNQs”), restricted stock units with market conditions (“Market RSUs”) and the compensatory elements of employee stock purchase plans, are recognized in the condensed consolidated statements of operations based upon the fair value of the awards at the grant date. The Company uses the Black-Scholes option valuation model to estimate the grant date fair value of employee stock options and the compensatory elements of employee stock purchase plans.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w:t>
      </w:r>
    </w:p>
    <w:p>
      <w:pPr>
        <w:spacing w:after="0" w:line="15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result from obligations under contracts with vendors, consultants and clinical site agreements in addition to internal costs associated with conducting clinical trials.</w:t>
      </w:r>
    </w:p>
    <w:p>
      <w:pPr>
        <w:spacing w:after="0" w:line="188" w:lineRule="exact"/>
        <w:rPr>
          <w:sz w:val="20"/>
          <w:szCs w:val="20"/>
          <w:color w:val="auto"/>
        </w:rPr>
      </w:pPr>
    </w:p>
    <w:p>
      <w:pPr>
        <w:spacing w:after="0" w:line="249"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 computed by</w:t>
      </w:r>
      <w:r>
        <w:rPr>
          <w:rFonts w:ascii="Arial" w:cs="Arial" w:eastAsia="Arial" w:hAnsi="Arial"/>
          <w:sz w:val="18"/>
          <w:szCs w:val="18"/>
          <w:i w:val="1"/>
          <w:iCs w:val="1"/>
          <w:color w:val="auto"/>
        </w:rPr>
        <w:t xml:space="preserve"> </w:t>
      </w:r>
      <w:r>
        <w:rPr>
          <w:rFonts w:ascii="Arial" w:cs="Arial" w:eastAsia="Arial" w:hAnsi="Arial"/>
          <w:sz w:val="18"/>
          <w:szCs w:val="18"/>
          <w:color w:val="auto"/>
        </w:rPr>
        <w:t>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 (FASB)</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 Investments</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Held-to-Maturity Investments </w:t>
      </w:r>
      <w:r>
        <w:rPr>
          <w:rFonts w:ascii="Arial" w:cs="Arial" w:eastAsia="Arial" w:hAnsi="Arial"/>
          <w:sz w:val="15"/>
          <w:szCs w:val="15"/>
          <w:color w:val="auto"/>
        </w:rPr>
        <w:t>— Investments consist of highly liquid investments that are intended to facilitate liquidity and capital preservation. As of March</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31, 2022, the Company held $95.2 million of short-term investments and $70.5 million of long-term investments. As of December 31, 2021, the Company held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$79.9 million of short-term investments and $56.6 million of long-term investments. For the three months ended March 31, 2022, the Company recognized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$0.4 million of interest income on investments and $0.3 million of amortization on certain investments. The interest income net of amortization on investments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is reflected as interest income, net on the condensed consolidated statement of operations. For the three months ended March 31, 2021, the Company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recognized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amount of interest income on investments. No allowance for credit losses on held-to-maturity securities was required as of March 31,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4"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i w:val="1"/>
          <w:iCs w:val="1"/>
          <w:color w:val="auto"/>
        </w:rPr>
        <w:t xml:space="preserve">Available-for-Sale Investment </w:t>
      </w:r>
      <w:r>
        <w:rPr>
          <w:rFonts w:ascii="Arial" w:cs="Arial" w:eastAsia="Arial" w:hAnsi="Arial"/>
          <w:sz w:val="15"/>
          <w:szCs w:val="15"/>
          <w:color w:val="auto"/>
        </w:rPr>
        <w:t>— The Thirona convertible notes are classified as available-for-sale securities and are included in other assets in the condensed</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consolidated balance sheet. Available-for-sale investments are subsequently measured at fair value. Unrealized holding gains and losses are excluded from earnings and reported in other comprehensive income until realized. The Company determines fair value of its available-for-sale investments using level 3 inputs. The Company evaluated the fair value of its investment in Thirona as of March 31, 2022 by applying a Monte Carlo simulation and determined that the fair value was $6.9 million. The fair value of the investment in Thirona as of December 31, 2021 was $3.0 million, which approximated carrying value. For the three months ended March 31, 2022, an unrealized holding loss of $1.1 million was recognized as other comprehensive loss in our condensed consolidated statements of comprehensive loss and condensed consolidated statements of stockholders’ deficit.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cash equivalents, long- and short-term investments are disclosed below (amounts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left="58"/>
              <w:spacing w:after="0"/>
              <w:rPr>
                <w:sz w:val="20"/>
                <w:szCs w:val="20"/>
                <w:color w:val="auto"/>
              </w:rPr>
            </w:pPr>
            <w:r>
              <w:rPr>
                <w:rFonts w:ascii="Arial" w:cs="Arial" w:eastAsia="Arial" w:hAnsi="Arial"/>
                <w:sz w:val="14"/>
                <w:szCs w:val="14"/>
                <w:b w:val="1"/>
                <w:bCs w:val="1"/>
                <w:color w:val="auto"/>
                <w:w w:val="92"/>
              </w:rPr>
              <w:t>March 31, 2022</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Amortized Cost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left="210"/>
              <w:spacing w:after="0" w:line="129"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5"/>
        </w:trPr>
        <w:tc>
          <w:tcPr>
            <w:tcW w:w="51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 Level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6"/>
              </w:rPr>
              <w:t>(Carrying</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12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Value)</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Holding Losses</w:t>
            </w:r>
          </w:p>
        </w:tc>
        <w:tc>
          <w:tcPr>
            <w:tcW w:w="3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Commercial bonds and paper</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Borders>
              <w:left w:val="single" w:sz="8" w:color="CFF0FC"/>
            </w:tcBorders>
            <w:shd w:val="clear" w:color="auto" w:fill="CFF0FC"/>
          </w:tcPr>
          <w:p>
            <w:pPr>
              <w:spacing w:after="0"/>
              <w:rPr>
                <w:sz w:val="18"/>
                <w:szCs w:val="18"/>
                <w:color w:val="auto"/>
              </w:rPr>
            </w:pPr>
          </w:p>
        </w:tc>
        <w:tc>
          <w:tcPr>
            <w:tcW w:w="8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5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20" w:type="dxa"/>
            <w:vAlign w:val="bottom"/>
          </w:tcPr>
          <w:p>
            <w:pPr>
              <w:spacing w:after="0"/>
              <w:rPr>
                <w:sz w:val="20"/>
                <w:szCs w:val="20"/>
                <w:color w:val="auto"/>
              </w:rPr>
            </w:pPr>
            <w:r>
              <w:rPr>
                <w:rFonts w:ascii="Arial" w:cs="Arial" w:eastAsia="Arial" w:hAnsi="Arial"/>
                <w:sz w:val="18"/>
                <w:szCs w:val="18"/>
                <w:color w:val="auto"/>
              </w:rPr>
              <w:t>Money market funds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U.S. Treasuries</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480"/>
              <w:spacing w:after="0"/>
              <w:rPr>
                <w:sz w:val="20"/>
                <w:szCs w:val="20"/>
                <w:color w:val="auto"/>
              </w:rPr>
            </w:pPr>
            <w:r>
              <w:rPr>
                <w:rFonts w:ascii="Arial" w:cs="Arial" w:eastAsia="Arial" w:hAnsi="Arial"/>
                <w:sz w:val="18"/>
                <w:szCs w:val="18"/>
                <w:color w:val="auto"/>
              </w:rPr>
              <w:t>Total cash equivalents and investments</w:t>
            </w:r>
          </w:p>
        </w:tc>
        <w:tc>
          <w:tcPr>
            <w:tcW w:w="16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219.5</w:t>
            </w:r>
          </w:p>
        </w:tc>
        <w:tc>
          <w:tcPr>
            <w:tcW w:w="200" w:type="dxa"/>
            <w:vAlign w:val="bottom"/>
          </w:tcPr>
          <w:p>
            <w:pPr>
              <w:spacing w:after="0"/>
              <w:rPr>
                <w:sz w:val="18"/>
                <w:szCs w:val="18"/>
                <w:color w:val="auto"/>
              </w:rPr>
            </w:pPr>
          </w:p>
        </w:tc>
        <w:tc>
          <w:tcPr>
            <w:tcW w:w="8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Less cash equivalents</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80"/>
              <w:spacing w:after="0"/>
              <w:rPr>
                <w:sz w:val="20"/>
                <w:szCs w:val="20"/>
                <w:color w:val="auto"/>
              </w:rPr>
            </w:pPr>
            <w:r>
              <w:rPr>
                <w:rFonts w:ascii="Arial" w:cs="Arial" w:eastAsia="Arial" w:hAnsi="Arial"/>
                <w:sz w:val="18"/>
                <w:szCs w:val="18"/>
                <w:color w:val="auto"/>
              </w:rPr>
              <w:t>Total Investments</w:t>
            </w: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2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165.7</w:t>
            </w:r>
          </w:p>
        </w:tc>
        <w:tc>
          <w:tcPr>
            <w:tcW w:w="200" w:type="dxa"/>
            <w:vAlign w:val="bottom"/>
          </w:tcPr>
          <w:p>
            <w:pPr>
              <w:spacing w:after="0"/>
              <w:rPr>
                <w:sz w:val="18"/>
                <w:szCs w:val="18"/>
                <w:color w:val="auto"/>
              </w:rPr>
            </w:pPr>
          </w:p>
        </w:tc>
        <w:tc>
          <w:tcPr>
            <w:tcW w:w="8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51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center"/>
              <w:ind w:left="58"/>
              <w:spacing w:after="0"/>
              <w:rPr>
                <w:sz w:val="20"/>
                <w:szCs w:val="20"/>
                <w:color w:val="auto"/>
              </w:rPr>
            </w:pPr>
            <w:r>
              <w:rPr>
                <w:rFonts w:ascii="Arial" w:cs="Arial" w:eastAsia="Arial" w:hAnsi="Arial"/>
                <w:sz w:val="14"/>
                <w:szCs w:val="14"/>
                <w:b w:val="1"/>
                <w:bCs w:val="1"/>
                <w:color w:val="auto"/>
                <w:w w:val="88"/>
              </w:rPr>
              <w:t>December 31, 2021</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Gross Unrealized</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5"/>
        </w:trPr>
        <w:tc>
          <w:tcPr>
            <w:tcW w:w="51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 Level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6"/>
              </w:rPr>
              <w:t>(Carrying</w:t>
            </w: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12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Holding Losses</w:t>
            </w:r>
          </w:p>
        </w:tc>
        <w:tc>
          <w:tcPr>
            <w:tcW w:w="3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Commercial bonds and paper</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200" w:type="dxa"/>
            <w:vAlign w:val="bottom"/>
            <w:tcBorders>
              <w:left w:val="single" w:sz="8" w:color="CFF0FC"/>
            </w:tcBorders>
            <w:shd w:val="clear" w:color="auto" w:fill="CFF0FC"/>
          </w:tcPr>
          <w:p>
            <w:pPr>
              <w:spacing w:after="0"/>
              <w:rPr>
                <w:sz w:val="18"/>
                <w:szCs w:val="18"/>
                <w:color w:val="auto"/>
              </w:rPr>
            </w:pPr>
          </w:p>
        </w:tc>
        <w:tc>
          <w:tcPr>
            <w:tcW w:w="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5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20" w:type="dxa"/>
            <w:vAlign w:val="bottom"/>
          </w:tcPr>
          <w:p>
            <w:pPr>
              <w:spacing w:after="0"/>
              <w:rPr>
                <w:sz w:val="20"/>
                <w:szCs w:val="20"/>
                <w:color w:val="auto"/>
              </w:rPr>
            </w:pPr>
            <w:r>
              <w:rPr>
                <w:rFonts w:ascii="Arial" w:cs="Arial" w:eastAsia="Arial" w:hAnsi="Arial"/>
                <w:sz w:val="18"/>
                <w:szCs w:val="18"/>
                <w:color w:val="auto"/>
              </w:rPr>
              <w:t>Money market funds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U.S. Treasuries</w:t>
            </w: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Level 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0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480"/>
              <w:spacing w:after="0"/>
              <w:rPr>
                <w:sz w:val="20"/>
                <w:szCs w:val="20"/>
                <w:color w:val="auto"/>
              </w:rPr>
            </w:pPr>
            <w:r>
              <w:rPr>
                <w:rFonts w:ascii="Arial" w:cs="Arial" w:eastAsia="Arial" w:hAnsi="Arial"/>
                <w:sz w:val="18"/>
                <w:szCs w:val="18"/>
                <w:color w:val="auto"/>
              </w:rPr>
              <w:t>Total cash equivalents and investments</w:t>
            </w:r>
          </w:p>
        </w:tc>
        <w:tc>
          <w:tcPr>
            <w:tcW w:w="16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160.4</w:t>
            </w:r>
          </w:p>
        </w:tc>
        <w:tc>
          <w:tcPr>
            <w:tcW w:w="200" w:type="dxa"/>
            <w:vAlign w:val="bottom"/>
          </w:tcPr>
          <w:p>
            <w:pPr>
              <w:spacing w:after="0"/>
              <w:rPr>
                <w:sz w:val="18"/>
                <w:szCs w:val="18"/>
                <w:color w:val="auto"/>
              </w:rPr>
            </w:pPr>
          </w:p>
        </w:tc>
        <w:tc>
          <w:tcPr>
            <w:tcW w:w="8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0.3</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Less cash equivalents</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480"/>
              <w:spacing w:after="0"/>
              <w:rPr>
                <w:sz w:val="20"/>
                <w:szCs w:val="20"/>
                <w:color w:val="auto"/>
              </w:rPr>
            </w:pPr>
            <w:r>
              <w:rPr>
                <w:rFonts w:ascii="Arial" w:cs="Arial" w:eastAsia="Arial" w:hAnsi="Arial"/>
                <w:sz w:val="18"/>
                <w:szCs w:val="18"/>
                <w:color w:val="auto"/>
              </w:rPr>
              <w:t>Total Investments</w:t>
            </w: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2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136.6</w:t>
            </w:r>
          </w:p>
        </w:tc>
        <w:tc>
          <w:tcPr>
            <w:tcW w:w="200" w:type="dxa"/>
            <w:vAlign w:val="bottom"/>
          </w:tcPr>
          <w:p>
            <w:pPr>
              <w:spacing w:after="0"/>
              <w:rPr>
                <w:sz w:val="18"/>
                <w:szCs w:val="18"/>
                <w:color w:val="auto"/>
              </w:rPr>
            </w:pPr>
          </w:p>
        </w:tc>
        <w:tc>
          <w:tcPr>
            <w:tcW w:w="8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0.3</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700"/>
        <w:spacing w:after="0" w:line="263" w:lineRule="auto"/>
        <w:rPr>
          <w:sz w:val="20"/>
          <w:szCs w:val="20"/>
          <w:color w:val="auto"/>
        </w:rPr>
      </w:pPr>
      <w:r>
        <w:rPr>
          <w:rFonts w:ascii="Arial" w:cs="Arial" w:eastAsia="Arial" w:hAnsi="Arial"/>
          <w:sz w:val="18"/>
          <w:szCs w:val="18"/>
          <w:color w:val="auto"/>
        </w:rPr>
        <w:t>As of March 31, 2022 and December 31, 2021, there was $0.5 million and $0.3 million, respectively, of interest receivable included in our condensed consolidated balance sheets as prepaid expenses and other current assets.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3. Accounts Receivable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4"/>
                <w:szCs w:val="14"/>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 2021</w:t>
            </w:r>
          </w:p>
        </w:tc>
      </w:tr>
      <w:tr>
        <w:trPr>
          <w:trHeight w:val="218"/>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 commercial</w:t>
            </w:r>
          </w:p>
        </w:tc>
        <w:tc>
          <w:tcPr>
            <w:tcW w:w="2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7380" w:type="dxa"/>
            <w:vAlign w:val="bottom"/>
          </w:tcPr>
          <w:p>
            <w:pPr>
              <w:ind w:left="240"/>
              <w:spacing w:after="0"/>
              <w:rPr>
                <w:sz w:val="20"/>
                <w:szCs w:val="20"/>
                <w:color w:val="auto"/>
              </w:rPr>
            </w:pPr>
            <w:r>
              <w:rPr>
                <w:rFonts w:ascii="Arial" w:cs="Arial" w:eastAsia="Arial" w:hAnsi="Arial"/>
                <w:sz w:val="18"/>
                <w:szCs w:val="18"/>
                <w:color w:val="auto"/>
              </w:rPr>
              <w:t>Accounts receivable, gross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8,656</w:t>
            </w:r>
          </w:p>
        </w:tc>
        <w:tc>
          <w:tcPr>
            <w:tcW w:w="2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7,939</w:t>
            </w:r>
          </w:p>
        </w:tc>
        <w:tc>
          <w:tcPr>
            <w:tcW w:w="120" w:type="dxa"/>
            <w:vAlign w:val="bottom"/>
          </w:tcPr>
          <w:p>
            <w:pPr>
              <w:spacing w:after="0"/>
              <w:rPr>
                <w:sz w:val="19"/>
                <w:szCs w:val="19"/>
                <w:color w:val="auto"/>
              </w:rPr>
            </w:pPr>
          </w:p>
        </w:tc>
      </w:tr>
      <w:tr>
        <w:trPr>
          <w:trHeight w:val="225"/>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Wholesaler distribution fees and prompt pay discounts</w:t>
            </w: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(1,201)</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(1,696)</w:t>
            </w:r>
          </w:p>
        </w:tc>
      </w:tr>
      <w:tr>
        <w:trPr>
          <w:trHeight w:val="224"/>
        </w:trPr>
        <w:tc>
          <w:tcPr>
            <w:tcW w:w="7380" w:type="dxa"/>
            <w:vAlign w:val="bottom"/>
          </w:tcPr>
          <w:p>
            <w:pPr>
              <w:ind w:left="240"/>
              <w:spacing w:after="0"/>
              <w:rPr>
                <w:sz w:val="20"/>
                <w:szCs w:val="20"/>
                <w:color w:val="auto"/>
              </w:rPr>
            </w:pPr>
            <w:r>
              <w:rPr>
                <w:rFonts w:ascii="Arial" w:cs="Arial" w:eastAsia="Arial" w:hAnsi="Arial"/>
                <w:sz w:val="18"/>
                <w:szCs w:val="18"/>
                <w:color w:val="auto"/>
              </w:rPr>
              <w:t>Reserve for returns</w:t>
            </w:r>
          </w:p>
        </w:tc>
        <w:tc>
          <w:tcPr>
            <w:tcW w:w="24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(3,089)</w:t>
            </w:r>
          </w:p>
        </w:tc>
        <w:tc>
          <w:tcPr>
            <w:tcW w:w="1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(2,797)</w:t>
            </w:r>
          </w:p>
        </w:tc>
      </w:tr>
      <w:tr>
        <w:trPr>
          <w:trHeight w:val="218"/>
        </w:trPr>
        <w:tc>
          <w:tcPr>
            <w:tcW w:w="73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accounts receivable – commercial, net</w:t>
            </w:r>
          </w:p>
        </w:tc>
        <w:tc>
          <w:tcPr>
            <w:tcW w:w="2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7380" w:type="dxa"/>
            <w:vAlign w:val="bottom"/>
          </w:tcPr>
          <w:p>
            <w:pPr>
              <w:spacing w:after="0"/>
              <w:rPr>
                <w:sz w:val="20"/>
                <w:szCs w:val="20"/>
                <w:color w:val="auto"/>
              </w:rPr>
            </w:pPr>
            <w:r>
              <w:rPr>
                <w:rFonts w:ascii="Arial" w:cs="Arial" w:eastAsia="Arial" w:hAnsi="Arial"/>
                <w:sz w:val="18"/>
                <w:szCs w:val="18"/>
                <w:color w:val="auto"/>
              </w:rPr>
              <w:t>Accounts receivable – collaborations and services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gross</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FF0FC"/>
          </w:tcPr>
          <w:p>
            <w:pPr>
              <w:spacing w:after="0"/>
              <w:rPr>
                <w:sz w:val="19"/>
                <w:szCs w:val="19"/>
                <w:color w:val="auto"/>
              </w:rPr>
            </w:pPr>
          </w:p>
        </w:tc>
      </w:tr>
      <w:tr>
        <w:trPr>
          <w:trHeight w:val="224"/>
        </w:trPr>
        <w:tc>
          <w:tcPr>
            <w:tcW w:w="738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(767)</w:t>
            </w:r>
          </w:p>
        </w:tc>
        <w:tc>
          <w:tcPr>
            <w:tcW w:w="1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(767)</w:t>
            </w:r>
          </w:p>
        </w:tc>
      </w:tr>
      <w:tr>
        <w:trPr>
          <w:trHeight w:val="218"/>
        </w:trPr>
        <w:tc>
          <w:tcPr>
            <w:tcW w:w="73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accounts receivable – collaborations and services, net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5,457</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7"/>
        </w:trPr>
        <w:tc>
          <w:tcPr>
            <w:tcW w:w="7380" w:type="dxa"/>
            <w:vAlign w:val="bottom"/>
          </w:tcPr>
          <w:p>
            <w:pPr>
              <w:ind w:left="720"/>
              <w:spacing w:after="0"/>
              <w:rPr>
                <w:sz w:val="20"/>
                <w:szCs w:val="20"/>
                <w:color w:val="auto"/>
              </w:rPr>
            </w:pPr>
            <w:r>
              <w:rPr>
                <w:rFonts w:ascii="Arial" w:cs="Arial" w:eastAsia="Arial" w:hAnsi="Arial"/>
                <w:sz w:val="18"/>
                <w:szCs w:val="18"/>
                <w:color w:val="auto"/>
              </w:rPr>
              <w:t>Total accounts receivable, net</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9,823</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4,739</w:t>
            </w:r>
          </w:p>
        </w:tc>
        <w:tc>
          <w:tcPr>
            <w:tcW w:w="12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 xml:space="preserve">As of March 31, 2022 and December 31, 2021, the allowance for doubtful accounts for accounts receivable – commercial was </w:t>
      </w:r>
      <w:r>
        <w:rPr>
          <w:rFonts w:ascii="Arial" w:cs="Arial" w:eastAsia="Arial" w:hAnsi="Arial"/>
          <w:sz w:val="18"/>
          <w:szCs w:val="18"/>
          <w:i w:val="1"/>
          <w:iCs w:val="1"/>
          <w:color w:val="auto"/>
        </w:rPr>
        <w:t>de minimis</w:t>
      </w:r>
      <w:r>
        <w:rPr>
          <w:rFonts w:ascii="Arial" w:cs="Arial" w:eastAsia="Arial" w:hAnsi="Arial"/>
          <w:sz w:val="18"/>
          <w:szCs w:val="18"/>
          <w:color w:val="auto"/>
        </w:rPr>
        <w:t>. The Company had three wholesale distributors representing approximately 74% of commercial accounts receivable as of March 31, 2022 and approximately 69% of gross sales for the three months ended March 31, 2022.</w:t>
      </w:r>
    </w:p>
    <w:p>
      <w:pPr>
        <w:spacing w:after="0" w:line="25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As of March 31, 2022, the allowance for credit losses for accounts receivable – collaborations and services of $0.8 million was related to $0.8 million of accounts receivable for Vertice Pharma for the co-promotion of Thyquidity. The Company had one collaboration partner, United Therapeutics, that comprised 100% of the collaboration and services net accounts receivable as of March 31, 2022 and approximately 94% of gross revenue from collaborations and services for the three months ended March 31,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r>
      <w:tr>
        <w:trPr>
          <w:trHeight w:val="218"/>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3,201</w:t>
            </w:r>
          </w:p>
        </w:tc>
        <w:tc>
          <w:tcPr>
            <w:tcW w:w="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748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3,276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r>
      <w:tr>
        <w:trPr>
          <w:trHeight w:val="225"/>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FF0FC"/>
          </w:tcPr>
          <w:p>
            <w:pPr>
              <w:spacing w:after="0"/>
              <w:rPr>
                <w:sz w:val="19"/>
                <w:szCs w:val="19"/>
                <w:color w:val="auto"/>
              </w:rPr>
            </w:pPr>
          </w:p>
        </w:tc>
      </w:tr>
      <w:tr>
        <w:trPr>
          <w:trHeight w:val="217"/>
        </w:trPr>
        <w:tc>
          <w:tcPr>
            <w:tcW w:w="7480" w:type="dxa"/>
            <w:vAlign w:val="bottom"/>
          </w:tcPr>
          <w:p>
            <w:pPr>
              <w:ind w:left="240"/>
              <w:spacing w:after="0"/>
              <w:rPr>
                <w:sz w:val="20"/>
                <w:szCs w:val="20"/>
                <w:color w:val="auto"/>
              </w:rPr>
            </w:pPr>
            <w:r>
              <w:rPr>
                <w:rFonts w:ascii="Arial" w:cs="Arial" w:eastAsia="Arial" w:hAnsi="Arial"/>
                <w:sz w:val="18"/>
                <w:szCs w:val="18"/>
                <w:color w:val="auto"/>
              </w:rPr>
              <w:t>Total inventory</w:t>
            </w: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8,044</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10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Work-in-process and finished goods as of March 31, 2022 and December 31, 2021 include conversion costs and exclude the cost of insulin. All insulin inventory on hand was written off and the projected loss on the purchase commitment contract to purchase future insulin was accrued as of the end of 2015. Raw materials inventory included $0.8 million of pre-launch inventory as of March 31, 2022 and December 31, 2021, which consisted of FDKP received in November 2019. The Company expects to receive FDA approval of the new source of FDKP in 2023.</w:t>
      </w:r>
    </w:p>
    <w:p>
      <w:pPr>
        <w:spacing w:after="0" w:line="17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at March 31, 2022 and December 31, 2021. Inventory that was forecasted to become obsolete due to expiration as well as inventory that does not meet acceptable standards is recorded in costs of goods sold in the condensed consolidated statements of operations. There were no inventory write-offs for the three months ended March 31, 2022 or 2021.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5.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00" w:type="dxa"/>
            <w:vAlign w:val="bottom"/>
          </w:tcPr>
          <w:p>
            <w:pPr>
              <w:spacing w:after="0"/>
              <w:rPr>
                <w:sz w:val="15"/>
                <w:szCs w:val="15"/>
                <w:color w:val="auto"/>
              </w:rPr>
            </w:pPr>
          </w:p>
        </w:tc>
        <w:tc>
          <w:tcPr>
            <w:tcW w:w="1580" w:type="dxa"/>
            <w:vAlign w:val="bottom"/>
          </w:tcPr>
          <w:p>
            <w:pPr>
              <w:jc w:val="right"/>
              <w:ind w:right="196"/>
              <w:spacing w:after="0"/>
              <w:rPr>
                <w:sz w:val="20"/>
                <w:szCs w:val="20"/>
                <w:color w:val="auto"/>
              </w:rPr>
            </w:pPr>
            <w:r>
              <w:rPr>
                <w:rFonts w:ascii="Arial" w:cs="Arial" w:eastAsia="Arial" w:hAnsi="Arial"/>
                <w:sz w:val="14"/>
                <w:szCs w:val="14"/>
                <w:b w:val="1"/>
                <w:bCs w:val="1"/>
                <w:color w:val="auto"/>
              </w:rPr>
              <w:t>Estimated Useful</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tcPr>
          <w:p>
            <w:pPr>
              <w:spacing w:after="0"/>
              <w:rPr>
                <w:sz w:val="18"/>
                <w:szCs w:val="18"/>
                <w:color w:val="auto"/>
              </w:rPr>
            </w:pPr>
          </w:p>
        </w:tc>
        <w:tc>
          <w:tcPr>
            <w:tcW w:w="15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Life (Years)</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December 31, 2021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00" w:type="dxa"/>
            <w:vAlign w:val="bottom"/>
          </w:tcPr>
          <w:p>
            <w:pPr>
              <w:spacing w:after="0"/>
              <w:rPr>
                <w:sz w:val="20"/>
                <w:szCs w:val="20"/>
                <w:color w:val="auto"/>
              </w:rPr>
            </w:pPr>
            <w:r>
              <w:rPr>
                <w:rFonts w:ascii="Arial" w:cs="Arial" w:eastAsia="Arial" w:hAnsi="Arial"/>
                <w:sz w:val="18"/>
                <w:szCs w:val="18"/>
                <w:color w:val="auto"/>
              </w:rPr>
              <w:t>Buildings</w:t>
            </w:r>
          </w:p>
        </w:tc>
        <w:tc>
          <w:tcPr>
            <w:tcW w:w="1580" w:type="dxa"/>
            <w:vAlign w:val="bottom"/>
          </w:tcPr>
          <w:p>
            <w:pPr>
              <w:jc w:val="right"/>
              <w:spacing w:after="0"/>
              <w:rPr>
                <w:sz w:val="20"/>
                <w:szCs w:val="20"/>
                <w:color w:val="auto"/>
              </w:rPr>
            </w:pPr>
            <w:r>
              <w:rPr>
                <w:rFonts w:ascii="Arial" w:cs="Arial" w:eastAsia="Arial" w:hAnsi="Arial"/>
                <w:sz w:val="18"/>
                <w:szCs w:val="18"/>
                <w:color w:val="auto"/>
              </w:rPr>
              <w:t>39-40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38,651</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58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55,294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6"/>
              <w:spacing w:after="0"/>
              <w:rPr>
                <w:sz w:val="20"/>
                <w:szCs w:val="20"/>
                <w:color w:val="auto"/>
              </w:rPr>
            </w:pPr>
            <w:r>
              <w:rPr>
                <w:rFonts w:ascii="Arial" w:cs="Arial" w:eastAsia="Arial" w:hAnsi="Arial"/>
                <w:sz w:val="15"/>
                <w:szCs w:val="15"/>
                <w:color w:val="auto"/>
                <w:w w:val="87"/>
              </w:rPr>
              <w:t>(1)</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139,362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(97,909)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(97,661)</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40"/>
              <w:spacing w:after="0"/>
              <w:rPr>
                <w:sz w:val="20"/>
                <w:szCs w:val="20"/>
                <w:color w:val="auto"/>
              </w:rPr>
            </w:pPr>
            <w:r>
              <w:rPr>
                <w:rFonts w:ascii="Arial" w:cs="Arial" w:eastAsia="Arial" w:hAnsi="Arial"/>
                <w:sz w:val="18"/>
                <w:szCs w:val="18"/>
                <w:color w:val="auto"/>
              </w:rPr>
              <w:t>Total property and equipment, net</w:t>
            </w: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41,453</w:t>
            </w:r>
          </w:p>
        </w:tc>
        <w:tc>
          <w:tcPr>
            <w:tcW w:w="1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36,612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7" w:lineRule="exact"/>
        <w:rPr>
          <w:sz w:val="20"/>
          <w:szCs w:val="20"/>
          <w:color w:val="auto"/>
        </w:rPr>
      </w:pPr>
    </w:p>
    <w:p>
      <w:pPr>
        <w:jc w:val="both"/>
        <w:ind w:left="380" w:right="300" w:hanging="374"/>
        <w:spacing w:after="0" w:line="251" w:lineRule="auto"/>
        <w:tabs>
          <w:tab w:leader="none" w:pos="38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 xml:space="preserve">Construction in progress includes $7.7 million of equipment under construction for the manufacturing expansion for UT (the “UT Equipment”). The Company acts as agent on behalf of UT for the procurement of the UT Equipment. The Company has received $7.1 million in deposit for this service, which was recognized as deposits from customer in the condensed consolidated balance sheet as of March 31, 2022. See Note 8 – </w:t>
      </w:r>
      <w:r>
        <w:rPr>
          <w:rFonts w:ascii="Arial" w:cs="Arial" w:eastAsia="Arial" w:hAnsi="Arial"/>
          <w:sz w:val="14"/>
          <w:szCs w:val="14"/>
          <w:i w:val="1"/>
          <w:iCs w:val="1"/>
          <w:color w:val="auto"/>
        </w:rPr>
        <w:t>Collaboration, Licensing and Other Arrangements</w:t>
      </w:r>
      <w:r>
        <w:rPr>
          <w:rFonts w:ascii="Arial" w:cs="Arial" w:eastAsia="Arial" w:hAnsi="Arial"/>
          <w:sz w:val="14"/>
          <w:szCs w:val="14"/>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related to property and equipment for the three months ended March 31, 2022 and 2021 was as follows (in thousands):</w:t>
      </w:r>
    </w:p>
    <w:p>
      <w:pPr>
        <w:spacing w:after="0" w:line="230"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Three Months Ended</w:t>
      </w:r>
    </w:p>
    <w:p>
      <w:pPr>
        <w:jc w:val="center"/>
        <w:ind w:left="6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-5080</wp:posOffset>
            </wp:positionV>
            <wp:extent cx="2691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90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18"/>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460" w:type="dxa"/>
            <w:vAlign w:val="bottom"/>
            <w:shd w:val="clear" w:color="auto" w:fill="CFF0FC"/>
          </w:tcPr>
          <w:p>
            <w:pPr>
              <w:jc w:val="right"/>
              <w:ind w:right="303"/>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8"/>
                <w:szCs w:val="18"/>
                <w:color w:val="auto"/>
              </w:rPr>
            </w:pPr>
          </w:p>
        </w:tc>
      </w:tr>
    </w:tbl>
    <w:p>
      <w:pPr>
        <w:spacing w:after="0" w:line="199"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 xml:space="preserve">On November 8, 2021, the Company sold certain land, building and improvements located in Danbury, CT (the “Property”) to an affiliate of Creative Manufacturing Properties (the “Purchaser”) for a sales price of $102.3 million, subject to terms and the conditions contained in a purchase and sale agreement. Effective with the closing of this transaction, the Company entered into a 20-year lease agreement with the Purchaser (the “Sale-Leaseback Transaction”). The sale of the Property and subsequent lease did not result in the transfer of control of the Property to the Purchaser; therefore, the Sale-Leaseback Transaction qualified as a failed sale leaseback transaction whereby the lease is accounted for as a finance lease and the Property remains as a long-lived asset of the Company and is depreciated at its remaining useful life of 20 years or less. See Note 13 –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were comprised of the following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40" w:type="dxa"/>
            <w:vAlign w:val="bottom"/>
            <w:tcBorders>
              <w:bottom w:val="single" w:sz="8" w:color="CFF0FC"/>
            </w:tcBorders>
          </w:tcPr>
          <w:p>
            <w:pPr>
              <w:spacing w:after="0"/>
              <w:rPr>
                <w:sz w:val="14"/>
                <w:szCs w:val="14"/>
                <w:color w:val="auto"/>
              </w:rPr>
            </w:pPr>
          </w:p>
        </w:tc>
        <w:tc>
          <w:tcPr>
            <w:tcW w:w="28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31, 2022</w:t>
            </w:r>
          </w:p>
        </w:tc>
        <w:tc>
          <w:tcPr>
            <w:tcW w:w="3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3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15,083</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4,191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Danbury facility buildout</w:t>
            </w:r>
          </w:p>
        </w:tc>
        <w:tc>
          <w:tcPr>
            <w:tcW w:w="2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Deferred lease liability</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milestone rights liability</w:t>
            </w:r>
          </w:p>
        </w:tc>
        <w:tc>
          <w:tcPr>
            <w:tcW w:w="2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Professional fees</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Retail inventory purchase</w:t>
            </w:r>
          </w:p>
        </w:tc>
        <w:tc>
          <w:tcPr>
            <w:tcW w:w="2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27,131</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60" w:type="dxa"/>
            <w:vAlign w:val="bottom"/>
            <w:vMerge w:val="restart"/>
          </w:tcPr>
          <w:p>
            <w:pPr>
              <w:jc w:val="right"/>
              <w:ind w:right="1792"/>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7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74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Borrowings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 of borrowings consist of the following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00" w:type="dxa"/>
            <w:vAlign w:val="bottom"/>
            <w:tcBorders>
              <w:bottom w:val="single" w:sz="8" w:color="CFF0FC"/>
            </w:tcBorders>
          </w:tcPr>
          <w:p>
            <w:pPr>
              <w:spacing w:after="0"/>
              <w:rPr>
                <w:sz w:val="14"/>
                <w:szCs w:val="14"/>
                <w:color w:val="auto"/>
              </w:rPr>
            </w:pPr>
          </w:p>
        </w:tc>
        <w:tc>
          <w:tcPr>
            <w:tcW w:w="2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6"/>
              </w:rPr>
              <w:t>December 31, 2021</w:t>
            </w:r>
          </w:p>
        </w:tc>
        <w:tc>
          <w:tcPr>
            <w:tcW w:w="120" w:type="dxa"/>
            <w:vAlign w:val="bottom"/>
            <w:tcBorders>
              <w:bottom w:val="single" w:sz="8" w:color="CFF0FC"/>
            </w:tcBorders>
          </w:tcPr>
          <w:p>
            <w:pPr>
              <w:spacing w:after="0"/>
              <w:rPr>
                <w:sz w:val="14"/>
                <w:szCs w:val="14"/>
                <w:color w:val="auto"/>
              </w:rPr>
            </w:pPr>
          </w:p>
        </w:tc>
      </w:tr>
      <w:tr>
        <w:trPr>
          <w:trHeight w:val="218"/>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2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224,307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223,944</w:t>
            </w:r>
          </w:p>
        </w:tc>
        <w:tc>
          <w:tcPr>
            <w:tcW w:w="120" w:type="dxa"/>
            <w:vAlign w:val="bottom"/>
            <w:shd w:val="clear" w:color="auto" w:fill="CFF0FC"/>
          </w:tcPr>
          <w:p>
            <w:pPr>
              <w:spacing w:after="0"/>
              <w:rPr>
                <w:sz w:val="18"/>
                <w:szCs w:val="18"/>
                <w:color w:val="auto"/>
              </w:rPr>
            </w:pPr>
          </w:p>
        </w:tc>
      </w:tr>
      <w:tr>
        <w:trPr>
          <w:trHeight w:val="224"/>
        </w:trPr>
        <w:tc>
          <w:tcPr>
            <w:tcW w:w="4900" w:type="dxa"/>
            <w:vAlign w:val="bottom"/>
          </w:tcPr>
          <w:p>
            <w:pPr>
              <w:spacing w:after="0"/>
              <w:rPr>
                <w:sz w:val="20"/>
                <w:szCs w:val="20"/>
                <w:color w:val="auto"/>
              </w:rPr>
            </w:pPr>
            <w:r>
              <w:rPr>
                <w:rFonts w:ascii="Arial" w:cs="Arial" w:eastAsia="Arial" w:hAnsi="Arial"/>
                <w:sz w:val="18"/>
                <w:szCs w:val="18"/>
                <w:color w:val="auto"/>
              </w:rPr>
              <w:t>MidCap credit facility</w:t>
            </w: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38,939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38,833</w:t>
            </w:r>
          </w:p>
        </w:tc>
        <w:tc>
          <w:tcPr>
            <w:tcW w:w="120" w:type="dxa"/>
            <w:vAlign w:val="bottom"/>
          </w:tcPr>
          <w:p>
            <w:pPr>
              <w:spacing w:after="0"/>
              <w:rPr>
                <w:sz w:val="19"/>
                <w:szCs w:val="19"/>
                <w:color w:val="auto"/>
              </w:rPr>
            </w:pPr>
          </w:p>
        </w:tc>
      </w:tr>
      <w:tr>
        <w:trPr>
          <w:trHeight w:val="225"/>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2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120" w:type="dxa"/>
            <w:vAlign w:val="bottom"/>
            <w:shd w:val="clear" w:color="auto" w:fill="CFF0FC"/>
          </w:tcPr>
          <w:p>
            <w:pPr>
              <w:spacing w:after="0"/>
              <w:rPr>
                <w:sz w:val="19"/>
                <w:szCs w:val="19"/>
                <w:color w:val="auto"/>
              </w:rPr>
            </w:pPr>
          </w:p>
        </w:tc>
      </w:tr>
      <w:tr>
        <w:trPr>
          <w:trHeight w:val="217"/>
        </w:trPr>
        <w:tc>
          <w:tcPr>
            <w:tcW w:w="4900" w:type="dxa"/>
            <w:vAlign w:val="bottom"/>
          </w:tcPr>
          <w:p>
            <w:pPr>
              <w:ind w:left="240"/>
              <w:spacing w:after="0"/>
              <w:rPr>
                <w:sz w:val="20"/>
                <w:szCs w:val="20"/>
                <w:color w:val="auto"/>
              </w:rPr>
            </w:pPr>
            <w:r>
              <w:rPr>
                <w:rFonts w:ascii="Arial" w:cs="Arial" w:eastAsia="Arial" w:hAnsi="Arial"/>
                <w:sz w:val="18"/>
                <w:szCs w:val="18"/>
                <w:color w:val="auto"/>
              </w:rPr>
              <w:t>Total debt — net carrying amount</w:t>
            </w:r>
          </w:p>
        </w:tc>
        <w:tc>
          <w:tcPr>
            <w:tcW w:w="2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281,671</w:t>
            </w:r>
          </w:p>
        </w:tc>
        <w:tc>
          <w:tcPr>
            <w:tcW w:w="2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281,202</w:t>
            </w:r>
          </w:p>
        </w:tc>
        <w:tc>
          <w:tcPr>
            <w:tcW w:w="12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debt and key terms: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80" w:type="dxa"/>
            <w:vAlign w:val="bottom"/>
          </w:tcPr>
          <w:p>
            <w:pPr>
              <w:spacing w:after="0"/>
              <w:rPr>
                <w:sz w:val="14"/>
                <w:szCs w:val="14"/>
                <w:color w:val="auto"/>
              </w:rPr>
            </w:pPr>
          </w:p>
        </w:tc>
        <w:tc>
          <w:tcPr>
            <w:tcW w:w="3400" w:type="dxa"/>
            <w:vAlign w:val="bottom"/>
            <w:gridSpan w:val="4"/>
          </w:tcPr>
          <w:p>
            <w:pPr>
              <w:ind w:left="1220"/>
              <w:spacing w:after="0"/>
              <w:rPr>
                <w:sz w:val="20"/>
                <w:szCs w:val="20"/>
                <w:color w:val="auto"/>
              </w:rPr>
            </w:pPr>
            <w:r>
              <w:rPr>
                <w:rFonts w:ascii="Arial" w:cs="Arial" w:eastAsia="Arial" w:hAnsi="Arial"/>
                <w:sz w:val="14"/>
                <w:szCs w:val="14"/>
                <w:b w:val="1"/>
                <w:bCs w:val="1"/>
                <w:color w:val="auto"/>
              </w:rPr>
              <w:t>Amount Due</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ind w:left="360"/>
              <w:spacing w:after="0"/>
              <w:rPr>
                <w:sz w:val="20"/>
                <w:szCs w:val="20"/>
                <w:color w:val="auto"/>
              </w:rPr>
            </w:pPr>
            <w:r>
              <w:rPr>
                <w:rFonts w:ascii="Arial" w:cs="Arial" w:eastAsia="Arial" w:hAnsi="Arial"/>
                <w:sz w:val="14"/>
                <w:szCs w:val="14"/>
                <w:b w:val="1"/>
                <w:bCs w:val="1"/>
                <w:color w:val="auto"/>
              </w:rPr>
              <w:t>Terms</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52"/>
        </w:trPr>
        <w:tc>
          <w:tcPr>
            <w:tcW w:w="2780" w:type="dxa"/>
            <w:vAlign w:val="bottom"/>
            <w:tcBorders>
              <w:bottom w:val="single" w:sz="8" w:color="CFF0FC"/>
            </w:tcBorders>
          </w:tcPr>
          <w:p>
            <w:pPr>
              <w:spacing w:after="0"/>
              <w:rPr>
                <w:sz w:val="13"/>
                <w:szCs w:val="13"/>
                <w:color w:val="auto"/>
              </w:rPr>
            </w:pPr>
          </w:p>
        </w:tc>
        <w:tc>
          <w:tcPr>
            <w:tcW w:w="1520" w:type="dxa"/>
            <w:vAlign w:val="bottom"/>
            <w:tcBorders>
              <w:top w:val="single" w:sz="8" w:color="auto"/>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4"/>
              </w:rPr>
              <w:t>March 31, 2022</w:t>
            </w:r>
          </w:p>
        </w:tc>
        <w:tc>
          <w:tcPr>
            <w:tcW w:w="180" w:type="dxa"/>
            <w:vAlign w:val="bottom"/>
            <w:tcBorders>
              <w:top w:val="single" w:sz="8" w:color="auto"/>
              <w:bottom w:val="single" w:sz="8" w:color="CFF0FC"/>
            </w:tcBorders>
          </w:tcPr>
          <w:p>
            <w:pPr>
              <w:spacing w:after="0"/>
              <w:rPr>
                <w:sz w:val="13"/>
                <w:szCs w:val="13"/>
                <w:color w:val="auto"/>
              </w:rPr>
            </w:pPr>
          </w:p>
        </w:tc>
        <w:tc>
          <w:tcPr>
            <w:tcW w:w="1520" w:type="dxa"/>
            <w:vAlign w:val="bottom"/>
            <w:tcBorders>
              <w:top w:val="single" w:sz="8" w:color="auto"/>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0"/>
              </w:rPr>
              <w:t>December 31, 2021</w:t>
            </w:r>
          </w:p>
        </w:tc>
        <w:tc>
          <w:tcPr>
            <w:tcW w:w="180" w:type="dxa"/>
            <w:vAlign w:val="bottom"/>
            <w:tcBorders>
              <w:bottom w:val="single" w:sz="8" w:color="CFF0FC"/>
            </w:tcBorders>
          </w:tcPr>
          <w:p>
            <w:pPr>
              <w:spacing w:after="0"/>
              <w:rPr>
                <w:sz w:val="13"/>
                <w:szCs w:val="13"/>
                <w:color w:val="auto"/>
              </w:rPr>
            </w:pPr>
          </w:p>
        </w:tc>
        <w:tc>
          <w:tcPr>
            <w:tcW w:w="1520" w:type="dxa"/>
            <w:vAlign w:val="bottom"/>
            <w:tcBorders>
              <w:top w:val="single" w:sz="8" w:color="auto"/>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2"/>
              </w:rPr>
              <w:t>Annual Interest Rate</w:t>
            </w:r>
          </w:p>
        </w:tc>
        <w:tc>
          <w:tcPr>
            <w:tcW w:w="46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Maturity Date</w:t>
            </w:r>
          </w:p>
        </w:tc>
        <w:tc>
          <w:tcPr>
            <w:tcW w:w="340" w:type="dxa"/>
            <w:vAlign w:val="bottom"/>
            <w:tcBorders>
              <w:top w:val="single" w:sz="8" w:color="auto"/>
              <w:bottom w:val="single" w:sz="8" w:color="CFF0FC"/>
            </w:tcBorders>
          </w:tcPr>
          <w:p>
            <w:pPr>
              <w:spacing w:after="0"/>
              <w:rPr>
                <w:sz w:val="13"/>
                <w:szCs w:val="13"/>
                <w:color w:val="auto"/>
              </w:rPr>
            </w:pPr>
          </w:p>
        </w:tc>
        <w:tc>
          <w:tcPr>
            <w:tcW w:w="1460" w:type="dxa"/>
            <w:vAlign w:val="bottom"/>
            <w:tcBorders>
              <w:top w:val="single" w:sz="8" w:color="auto"/>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88"/>
              </w:rPr>
              <w:t>Conversion Price</w:t>
            </w:r>
          </w:p>
        </w:tc>
      </w:tr>
      <w:tr>
        <w:trPr>
          <w:trHeight w:val="205"/>
        </w:trPr>
        <w:tc>
          <w:tcPr>
            <w:tcW w:w="2780" w:type="dxa"/>
            <w:vAlign w:val="bottom"/>
            <w:shd w:val="clear" w:color="auto" w:fill="CFF0FC"/>
          </w:tcPr>
          <w:p>
            <w:pPr>
              <w:spacing w:after="0" w:line="206" w:lineRule="exact"/>
              <w:rPr>
                <w:sz w:val="20"/>
                <w:szCs w:val="20"/>
                <w:color w:val="auto"/>
              </w:rPr>
            </w:pPr>
            <w:r>
              <w:rPr>
                <w:rFonts w:ascii="Arial" w:cs="Arial" w:eastAsia="Arial" w:hAnsi="Arial"/>
                <w:sz w:val="18"/>
                <w:szCs w:val="18"/>
                <w:color w:val="auto"/>
              </w:rPr>
              <w:t>Senior convertible notes</w:t>
            </w:r>
          </w:p>
        </w:tc>
        <w:tc>
          <w:tcPr>
            <w:tcW w:w="1700" w:type="dxa"/>
            <w:vAlign w:val="bottom"/>
            <w:gridSpan w:val="2"/>
            <w:shd w:val="clear" w:color="auto" w:fill="CFF0FC"/>
          </w:tcPr>
          <w:p>
            <w:pPr>
              <w:jc w:val="center"/>
              <w:ind w:right="200"/>
              <w:spacing w:after="0" w:line="206" w:lineRule="exact"/>
              <w:rPr>
                <w:sz w:val="20"/>
                <w:szCs w:val="20"/>
                <w:color w:val="auto"/>
              </w:rPr>
            </w:pPr>
            <w:r>
              <w:rPr>
                <w:rFonts w:ascii="Arial" w:cs="Arial" w:eastAsia="Arial" w:hAnsi="Arial"/>
                <w:sz w:val="18"/>
                <w:szCs w:val="18"/>
                <w:color w:val="auto"/>
                <w:w w:val="91"/>
              </w:rPr>
              <w:t>$230.0 million</w:t>
            </w:r>
          </w:p>
        </w:tc>
        <w:tc>
          <w:tcPr>
            <w:tcW w:w="1700" w:type="dxa"/>
            <w:vAlign w:val="bottom"/>
            <w:gridSpan w:val="2"/>
            <w:shd w:val="clear" w:color="auto" w:fill="CFF0FC"/>
          </w:tcPr>
          <w:p>
            <w:pPr>
              <w:jc w:val="center"/>
              <w:ind w:right="180"/>
              <w:spacing w:after="0" w:line="206" w:lineRule="exact"/>
              <w:rPr>
                <w:sz w:val="20"/>
                <w:szCs w:val="20"/>
                <w:color w:val="auto"/>
              </w:rPr>
            </w:pPr>
            <w:r>
              <w:rPr>
                <w:rFonts w:ascii="Arial" w:cs="Arial" w:eastAsia="Arial" w:hAnsi="Arial"/>
                <w:sz w:val="18"/>
                <w:szCs w:val="18"/>
                <w:color w:val="auto"/>
                <w:w w:val="93"/>
              </w:rPr>
              <w:t>$230.0 million</w:t>
            </w:r>
          </w:p>
        </w:tc>
        <w:tc>
          <w:tcPr>
            <w:tcW w:w="1520" w:type="dxa"/>
            <w:vAlign w:val="bottom"/>
            <w:shd w:val="clear" w:color="auto" w:fill="CFF0FC"/>
          </w:tcPr>
          <w:p>
            <w:pPr>
              <w:jc w:val="center"/>
              <w:spacing w:after="0" w:line="206" w:lineRule="exact"/>
              <w:rPr>
                <w:sz w:val="20"/>
                <w:szCs w:val="20"/>
                <w:color w:val="auto"/>
              </w:rPr>
            </w:pPr>
            <w:r>
              <w:rPr>
                <w:rFonts w:ascii="Arial" w:cs="Arial" w:eastAsia="Arial" w:hAnsi="Arial"/>
                <w:sz w:val="18"/>
                <w:szCs w:val="18"/>
                <w:color w:val="auto"/>
                <w:w w:val="90"/>
              </w:rPr>
              <w:t>2.50%</w:t>
            </w:r>
          </w:p>
        </w:tc>
        <w:tc>
          <w:tcPr>
            <w:tcW w:w="460" w:type="dxa"/>
            <w:vAlign w:val="bottom"/>
            <w:shd w:val="clear" w:color="auto" w:fill="CFF0FC"/>
          </w:tcPr>
          <w:p>
            <w:pPr>
              <w:spacing w:after="0"/>
              <w:rPr>
                <w:sz w:val="17"/>
                <w:szCs w:val="17"/>
                <w:color w:val="auto"/>
              </w:rPr>
            </w:pPr>
          </w:p>
        </w:tc>
        <w:tc>
          <w:tcPr>
            <w:tcW w:w="1280" w:type="dxa"/>
            <w:vAlign w:val="bottom"/>
            <w:shd w:val="clear" w:color="auto" w:fill="CFF0FC"/>
          </w:tcPr>
          <w:p>
            <w:pPr>
              <w:jc w:val="center"/>
              <w:spacing w:after="0" w:line="206" w:lineRule="exact"/>
              <w:rPr>
                <w:sz w:val="20"/>
                <w:szCs w:val="20"/>
                <w:color w:val="auto"/>
              </w:rPr>
            </w:pPr>
            <w:r>
              <w:rPr>
                <w:rFonts w:ascii="Arial" w:cs="Arial" w:eastAsia="Arial" w:hAnsi="Arial"/>
                <w:sz w:val="18"/>
                <w:szCs w:val="18"/>
                <w:color w:val="auto"/>
                <w:w w:val="90"/>
              </w:rPr>
              <w:t>March 2026</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center"/>
              <w:spacing w:after="0" w:line="206" w:lineRule="exact"/>
              <w:rPr>
                <w:sz w:val="20"/>
                <w:szCs w:val="20"/>
                <w:color w:val="auto"/>
              </w:rPr>
            </w:pPr>
            <w:r>
              <w:rPr>
                <w:rFonts w:ascii="Arial" w:cs="Arial" w:eastAsia="Arial" w:hAnsi="Arial"/>
                <w:sz w:val="18"/>
                <w:szCs w:val="18"/>
                <w:color w:val="auto"/>
                <w:w w:val="84"/>
              </w:rPr>
              <w:t>$5.21</w:t>
            </w:r>
          </w:p>
        </w:tc>
      </w:tr>
      <w:tr>
        <w:trPr>
          <w:trHeight w:val="224"/>
        </w:trPr>
        <w:tc>
          <w:tcPr>
            <w:tcW w:w="27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per share</w:t>
            </w:r>
          </w:p>
        </w:tc>
      </w:tr>
      <w:tr>
        <w:trPr>
          <w:trHeight w:val="212"/>
        </w:trPr>
        <w:tc>
          <w:tcPr>
            <w:tcW w:w="2780" w:type="dxa"/>
            <w:vAlign w:val="bottom"/>
          </w:tcPr>
          <w:p>
            <w:pPr>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4"/>
                <w:szCs w:val="14"/>
                <w:color w:val="auto"/>
              </w:rPr>
              <w:t>(1)</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$40.0 million</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$40.0 million</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one-month</w:t>
            </w: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August 2025</w:t>
            </w: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11"/>
        </w:trPr>
        <w:tc>
          <w:tcPr>
            <w:tcW w:w="2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LIBOR (1% floor)</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3"/>
        </w:trPr>
        <w:tc>
          <w:tcPr>
            <w:tcW w:w="2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plus 6.25%</w:t>
            </w: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3"/>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Mann Group convertible note</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2"/>
              </w:rPr>
              <w:t>$18.4 million (plus</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2"/>
              </w:rPr>
              <w:t>$18.4 million (plus</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2.50%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December 2025</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$2.50</w:t>
            </w:r>
          </w:p>
        </w:tc>
      </w:tr>
      <w:tr>
        <w:trPr>
          <w:trHeight w:val="211"/>
        </w:trPr>
        <w:tc>
          <w:tcPr>
            <w:tcW w:w="27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$0.5 million accrued</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$0.4 million accrued</w:t>
            </w:r>
          </w:p>
        </w:tc>
        <w:tc>
          <w:tcPr>
            <w:tcW w:w="15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per share</w:t>
            </w:r>
          </w:p>
        </w:tc>
      </w:tr>
      <w:tr>
        <w:trPr>
          <w:trHeight w:val="224"/>
        </w:trPr>
        <w:tc>
          <w:tcPr>
            <w:tcW w:w="27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interest paid-in-kind)</w:t>
            </w:r>
          </w:p>
        </w:tc>
        <w:tc>
          <w:tcPr>
            <w:tcW w:w="17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interest paid-in-kind)</w:t>
            </w:r>
          </w:p>
        </w:tc>
        <w:tc>
          <w:tcPr>
            <w:tcW w:w="1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______________________________________________</w:t>
      </w:r>
    </w:p>
    <w:p>
      <w:pPr>
        <w:ind w:left="380" w:right="340" w:hanging="374"/>
        <w:spacing w:after="0" w:line="200" w:lineRule="auto"/>
        <w:tabs>
          <w:tab w:leader="none" w:pos="38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In April 2021, the Company prepaid $10.0 million principal balance and amended the MidCap credit facility. The interest rate prior to the amendment was one-month LIBOR (2% floor) plus 6.75% and the maturity date was in August 2024.</w:t>
      </w:r>
    </w:p>
    <w:p>
      <w:pPr>
        <w:ind w:left="380" w:hanging="374"/>
        <w:spacing w:after="0" w:line="187" w:lineRule="auto"/>
        <w:tabs>
          <w:tab w:leader="none" w:pos="38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 April 2021, the Mann Group convertible note was amended. The interest rate prior to the amendment was 7.00% and the maturity date was in November 2024.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the Company’s borrowings as of March 31, 2022 are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Amounts</w:t>
            </w:r>
          </w:p>
        </w:tc>
      </w:tr>
      <w:tr>
        <w:trPr>
          <w:trHeight w:val="24"/>
        </w:trPr>
        <w:tc>
          <w:tcPr>
            <w:tcW w:w="92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18"/>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4"/>
        </w:trPr>
        <w:tc>
          <w:tcPr>
            <w:tcW w:w="924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6,667</w:t>
            </w:r>
          </w:p>
        </w:tc>
        <w:tc>
          <w:tcPr>
            <w:tcW w:w="120" w:type="dxa"/>
            <w:vAlign w:val="bottom"/>
          </w:tcPr>
          <w:p>
            <w:pPr>
              <w:spacing w:after="0"/>
              <w:rPr>
                <w:sz w:val="19"/>
                <w:szCs w:val="19"/>
                <w:color w:val="auto"/>
              </w:rPr>
            </w:pPr>
          </w:p>
        </w:tc>
      </w:tr>
      <w:tr>
        <w:trPr>
          <w:trHeight w:val="225"/>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FF0FC"/>
          </w:tcPr>
          <w:p>
            <w:pPr>
              <w:spacing w:after="0"/>
              <w:rPr>
                <w:sz w:val="19"/>
                <w:szCs w:val="19"/>
                <w:color w:val="auto"/>
              </w:rPr>
            </w:pPr>
          </w:p>
        </w:tc>
      </w:tr>
      <w:tr>
        <w:trPr>
          <w:trHeight w:val="224"/>
        </w:trPr>
        <w:tc>
          <w:tcPr>
            <w:tcW w:w="9240" w:type="dxa"/>
            <w:vAlign w:val="bottom"/>
          </w:tcPr>
          <w:p>
            <w:pPr>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31,758</w:t>
            </w:r>
          </w:p>
        </w:tc>
        <w:tc>
          <w:tcPr>
            <w:tcW w:w="120" w:type="dxa"/>
            <w:vAlign w:val="bottom"/>
          </w:tcPr>
          <w:p>
            <w:pPr>
              <w:spacing w:after="0"/>
              <w:rPr>
                <w:sz w:val="19"/>
                <w:szCs w:val="19"/>
                <w:color w:val="auto"/>
              </w:rPr>
            </w:pPr>
          </w:p>
        </w:tc>
      </w:tr>
      <w:tr>
        <w:trPr>
          <w:trHeight w:val="225"/>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FF0FC"/>
          </w:tcPr>
          <w:p>
            <w:pPr>
              <w:spacing w:after="0"/>
              <w:rPr>
                <w:sz w:val="19"/>
                <w:szCs w:val="19"/>
                <w:color w:val="auto"/>
              </w:rPr>
            </w:pPr>
          </w:p>
        </w:tc>
      </w:tr>
      <w:tr>
        <w:trPr>
          <w:trHeight w:val="217"/>
        </w:trPr>
        <w:tc>
          <w:tcPr>
            <w:tcW w:w="9240" w:type="dxa"/>
            <w:vAlign w:val="bottom"/>
          </w:tcPr>
          <w:p>
            <w:pPr>
              <w:ind w:left="240"/>
              <w:spacing w:after="0"/>
              <w:rPr>
                <w:sz w:val="20"/>
                <w:szCs w:val="20"/>
                <w:color w:val="auto"/>
              </w:rPr>
            </w:pPr>
            <w:r>
              <w:rPr>
                <w:rFonts w:ascii="Arial" w:cs="Arial" w:eastAsia="Arial" w:hAnsi="Arial"/>
                <w:sz w:val="18"/>
                <w:szCs w:val="18"/>
                <w:color w:val="auto"/>
              </w:rPr>
              <w:t>Total principal payments</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288,425</w:t>
            </w:r>
          </w:p>
        </w:tc>
        <w:tc>
          <w:tcPr>
            <w:tcW w:w="120" w:type="dxa"/>
            <w:vAlign w:val="bottom"/>
          </w:tcPr>
          <w:p>
            <w:pPr>
              <w:spacing w:after="0"/>
              <w:rPr>
                <w:sz w:val="18"/>
                <w:szCs w:val="18"/>
                <w:color w:val="auto"/>
              </w:rPr>
            </w:pPr>
          </w:p>
        </w:tc>
      </w:tr>
      <w:tr>
        <w:trPr>
          <w:trHeight w:val="225"/>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w:t>
            </w: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(1,061)</w:t>
            </w:r>
          </w:p>
        </w:tc>
      </w:tr>
      <w:tr>
        <w:trPr>
          <w:trHeight w:val="224"/>
        </w:trPr>
        <w:tc>
          <w:tcPr>
            <w:tcW w:w="9240" w:type="dxa"/>
            <w:vAlign w:val="bottom"/>
          </w:tcPr>
          <w:p>
            <w:pPr>
              <w:spacing w:after="0"/>
              <w:rPr>
                <w:sz w:val="20"/>
                <w:szCs w:val="20"/>
                <w:color w:val="auto"/>
              </w:rPr>
            </w:pPr>
            <w:r>
              <w:rPr>
                <w:rFonts w:ascii="Arial" w:cs="Arial" w:eastAsia="Arial" w:hAnsi="Arial"/>
                <w:sz w:val="18"/>
                <w:szCs w:val="18"/>
                <w:color w:val="auto"/>
              </w:rPr>
              <w:t>Debt issuance costs</w:t>
            </w:r>
          </w:p>
        </w:tc>
        <w:tc>
          <w:tcPr>
            <w:tcW w:w="38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(5,693)</w:t>
            </w:r>
          </w:p>
        </w:tc>
      </w:tr>
      <w:tr>
        <w:trPr>
          <w:trHeight w:val="218"/>
        </w:trPr>
        <w:tc>
          <w:tcPr>
            <w:tcW w:w="9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debt — net carrying amount</w:t>
            </w:r>
          </w:p>
        </w:tc>
        <w:tc>
          <w:tcPr>
            <w:tcW w:w="380" w:type="dxa"/>
            <w:vAlign w:val="bottom"/>
            <w:tcBorders>
              <w:top w:val="single" w:sz="8" w:color="auto"/>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281,671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i w:val="1"/>
          <w:iCs w:val="1"/>
          <w:color w:val="auto"/>
        </w:rPr>
        <w:t xml:space="preserve">Senior convertible notes </w:t>
      </w:r>
      <w:r>
        <w:rPr>
          <w:rFonts w:ascii="Arial" w:cs="Arial" w:eastAsia="Arial" w:hAnsi="Arial"/>
          <w:sz w:val="18"/>
          <w:szCs w:val="18"/>
          <w:color w:val="auto"/>
        </w:rPr>
        <w:t>– On March 4, 2021, the Company issued $200.0 million aggregate principal amount of Senior convertible notes in a private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an option to purchase additional senior convertible notes in the purchase agreement between the Company and the initial purchasers of the Senior convertible notes, the Company issued an additional $30.0 million aggregate principal amount of Senior convertible notes on March 15, 2021. The Senior convertible notes were issued pursuant to an indenture, dated March 4, 2021 (the “Indenture”), between the Company and U.S. Bank National Association, as trustee.</w:t>
      </w:r>
    </w:p>
    <w:p>
      <w:pPr>
        <w:spacing w:after="0" w:line="194"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The Senior convertible notes are general unsecured obligations of the Company and will mature on March 1, 2026, unless earlier converted, redeemed or repurchased. The Senior convertible notes will bear cash interest from March 4, 2021 at an annual rate of 2.50% payable semi-annually in arrears on March 1 and September 1 of each year, beginning on September 1, 2021. 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9" w:name="page20"/>
    <w:bookmarkEnd w:id="19"/>
    <w:p>
      <w:pPr>
        <w:ind w:right="20"/>
        <w:spacing w:after="0" w:line="305" w:lineRule="auto"/>
        <w:rPr>
          <w:sz w:val="20"/>
          <w:szCs w:val="20"/>
          <w:color w:val="auto"/>
        </w:rPr>
      </w:pPr>
      <w:r>
        <w:rPr>
          <w:rFonts w:ascii="Arial" w:cs="Arial" w:eastAsia="Arial" w:hAnsi="Arial"/>
          <w:sz w:val="15"/>
          <w:szCs w:val="15"/>
          <w:color w:val="auto"/>
        </w:rPr>
        <w:t>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spacing w:after="0" w:line="36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initial conversion rate is 191.8281 shares of common stock per $1,000 principal amount of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 for a holder who elects to convert its Senior convertible notes in connection with such a corporate event or convert its Notes called for redemption during the related redemption period (as defined in the Indenture), as the case may be.</w:t>
      </w:r>
    </w:p>
    <w:p>
      <w:pPr>
        <w:spacing w:after="0" w:line="181"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The Company may not redeem the Senior convertible notes prior to March 6, 2024. 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59"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Senior convertible notes to be repurchased, plus accrued and unpaid interest to, but excluding, the fundamental change repurchase date.</w:t>
      </w:r>
    </w:p>
    <w:p>
      <w:pPr>
        <w:spacing w:after="0" w:line="1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Indenture includes customary covenants and sets forth certain events of default after which the Senior convertible notes may be declared immediately due and payable.</w:t>
      </w:r>
    </w:p>
    <w:p>
      <w:pPr>
        <w:spacing w:after="0" w:line="180"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5" w:lineRule="exact"/>
        <w:rPr>
          <w:sz w:val="20"/>
          <w:szCs w:val="20"/>
          <w:color w:val="auto"/>
        </w:rPr>
      </w:pPr>
    </w:p>
    <w:p>
      <w:pPr>
        <w:ind w:right="140"/>
        <w:spacing w:after="0" w:line="307" w:lineRule="auto"/>
        <w:rPr>
          <w:sz w:val="20"/>
          <w:szCs w:val="20"/>
          <w:color w:val="auto"/>
        </w:rPr>
      </w:pPr>
      <w:r>
        <w:rPr>
          <w:rFonts w:ascii="Arial" w:cs="Arial" w:eastAsia="Arial" w:hAnsi="Arial"/>
          <w:sz w:val="15"/>
          <w:szCs w:val="15"/>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0" w:name="page21"/>
    <w:bookmarkEnd w:id="20"/>
    <w:p>
      <w:pPr>
        <w:ind w:right="160"/>
        <w:spacing w:after="0" w:line="364" w:lineRule="auto"/>
        <w:rPr>
          <w:sz w:val="20"/>
          <w:szCs w:val="20"/>
          <w:color w:val="auto"/>
        </w:rPr>
      </w:pPr>
      <w:r>
        <w:rPr>
          <w:rFonts w:ascii="Arial" w:cs="Arial" w:eastAsia="Arial" w:hAnsi="Arial"/>
          <w:sz w:val="15"/>
          <w:szCs w:val="15"/>
          <w:color w:val="auto"/>
        </w:rPr>
        <w:t>The Company’s net proceeds from the offering were approximately $222.7 million, after deducting the initial purchasers’ discounts and commissions and the estimated offering expenses payable by the Company. As of March 31, 2022, the unamortized debt issuance cost was $5.7 million.</w:t>
      </w:r>
    </w:p>
    <w:p>
      <w:pPr>
        <w:spacing w:after="0" w:line="111"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i w:val="1"/>
          <w:iCs w:val="1"/>
          <w:color w:val="auto"/>
        </w:rPr>
        <w:t xml:space="preserve">MidCap credit facility </w:t>
      </w:r>
      <w:r>
        <w:rPr>
          <w:rFonts w:ascii="Arial" w:cs="Arial" w:eastAsia="Arial" w:hAnsi="Arial"/>
          <w:sz w:val="18"/>
          <w:szCs w:val="18"/>
          <w:color w:val="auto"/>
        </w:rPr>
        <w:t>— In August 2019, the Company entered into the MidCap credit facility and borrowed the first advance of $40.0 million (“Tranche 1”)</w:t>
      </w:r>
      <w:r>
        <w:rPr>
          <w:rFonts w:ascii="Arial" w:cs="Arial" w:eastAsia="Arial" w:hAnsi="Arial"/>
          <w:sz w:val="18"/>
          <w:szCs w:val="18"/>
          <w:i w:val="1"/>
          <w:iCs w:val="1"/>
          <w:color w:val="auto"/>
        </w:rPr>
        <w:t xml:space="preserve"> </w:t>
      </w:r>
      <w:r>
        <w:rPr>
          <w:rFonts w:ascii="Arial" w:cs="Arial" w:eastAsia="Arial" w:hAnsi="Arial"/>
          <w:sz w:val="18"/>
          <w:szCs w:val="18"/>
          <w:color w:val="auto"/>
        </w:rPr>
        <w:t>in August 2019 and the second advance of $10.0 million (“Tranche 2”) in December 2020. In April 2021, $10.0 million was prepaid. Under the terms of the MidCap credit facility, a third advance of $60.0 million (“Tranche 3”) will be available to the Company between January 1, 2022 and June 30, 2022, subject to the satisfaction of certain milestone conditions associated with Tyvaso DPI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through the Company’s collaboration with United Therapeutics (see Note 8 – </w:t>
      </w:r>
      <w:r>
        <w:rPr>
          <w:rFonts w:ascii="Arial" w:cs="Arial" w:eastAsia="Arial" w:hAnsi="Arial"/>
          <w:sz w:val="18"/>
          <w:szCs w:val="18"/>
          <w:i w:val="1"/>
          <w:iCs w:val="1"/>
          <w:color w:val="auto"/>
        </w:rPr>
        <w:t>Collaboration, Licensing and Other Arrangements</w:t>
      </w:r>
      <w:r>
        <w:rPr>
          <w:rFonts w:ascii="Arial" w:cs="Arial" w:eastAsia="Arial" w:hAnsi="Arial"/>
          <w:sz w:val="18"/>
          <w:szCs w:val="18"/>
          <w:color w:val="auto"/>
        </w:rPr>
        <w:t>).</w:t>
      </w:r>
    </w:p>
    <w:p>
      <w:pPr>
        <w:spacing w:after="0" w:line="4" w:lineRule="exact"/>
        <w:rPr>
          <w:sz w:val="20"/>
          <w:szCs w:val="20"/>
          <w:color w:val="auto"/>
        </w:rPr>
      </w:pPr>
    </w:p>
    <w:p>
      <w:pPr>
        <w:ind w:right="60"/>
        <w:spacing w:after="0" w:line="299" w:lineRule="auto"/>
        <w:rPr>
          <w:sz w:val="20"/>
          <w:szCs w:val="20"/>
          <w:color w:val="auto"/>
        </w:rPr>
      </w:pPr>
      <w:r>
        <w:rPr>
          <w:rFonts w:ascii="Arial" w:cs="Arial" w:eastAsia="Arial" w:hAnsi="Arial"/>
          <w:sz w:val="15"/>
          <w:szCs w:val="15"/>
          <w:color w:val="auto"/>
        </w:rPr>
        <w:t>The MidCap credit facility has been amended several times, most recently in April 2021, pursuant to which the parties agreed to, among other things, (i) increase the amount available under the third advance from $25.0 million to $60.0 million and extend the date through which the third advance is available to June 30, 2022, (ii) amend the conditions to the third advance of $60.0 million being available to draw, including certain milestone conditions associated with Tyvaso DPI, (iii) remove the Company’s obligation to issue a warrant to purchase shares of the Company’s common stock upon drawing down the third advance, (iv) extend the interest-only period until September 1, 2023 and extend the maturity date until August 1, 2025, (v) amend the financial covenant relating to trailing 12 month minimum Afrezza net revenue, (vi) decrease the minimum cash covenant, (vii) decrease the interest rate on any amounts outstanding, now or in the future, under the MidCap credit facility, (viii) permit the Company to make certain acquisitions, subject to requirements, and (ix) permit the Company to make investments of up to an additional $9.0 million so long as the Company has $90.0 million or more of unrestricted cash and short-term investments following such investment. Concurrent with entering into this amendment, the Company made a $10.0 million principal prepayment against outstanding term loans under the MidCap credit facility and paid a related $1.0 million exit fee in lieu of the unaccrued portion of the original exit fee and prepayment penalties that would otherwise have been due with respect to the partial prepayment.</w:t>
      </w:r>
    </w:p>
    <w:p>
      <w:pPr>
        <w:spacing w:after="0" w:line="175"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prepayment penalty of $1.0 million related to the payment of $10.0 million was capitalized and will be amortized over the remaining life of the debt. As of March 31, 2022, the unamortized debt discount was $0.3 million and the unamortized prepayment penalty was $0.7 million.</w:t>
      </w:r>
    </w:p>
    <w:p>
      <w:pPr>
        <w:spacing w:after="0" w:line="193"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Tranche 1, Tranche 2 and, if borrowed, Tranche 3, each accrue interest at an annual rate equal to the lesser of (i) 8.25% and (ii) the one-month LIBOR (subject to a one-month LIBOR floor of 1.00%) plus 6.25%. Interest on each term loan advance is due and payable monthly in arrears. Principal on each term loan advance under Tranche 1, Tranche 2 and, if applicable, Tranche 3 is payable in 24 equal monthly installments beginning September 1, 2023, until paid in full on August 1, 2025. The Company has the option to prepay its existing term loans, in whole or in part, subject to early termination fees in an amount equal to 3.00% of principal prepaid if prepayment occurs on or prior to April 22, 2022; 2.00% of principal prepaid if prepayment occurs on or after April 23, 2022 through and including April 22, 2023; and 1.00% of principal prepaid if prepayment occurs on or after April 23, 2023 through the maturity date. Tranche 3 will be subject to a similar scheme of early termination fees measured from the anniversary of the funding date for such tranche, if ever.</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The Company’s obligations under the MidCap credit facility are secured by a security interest on substantially all of its assets, including intellectual property.</w:t>
      </w:r>
    </w:p>
    <w:p>
      <w:pPr>
        <w:spacing w:after="0" w:line="250"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The MidCap credit facility, as amended, contains customary affirmative covenants and customary negative covenants limiting the Company’s ability and the ability of the Company’s subsidiaries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unless the Company has $90.0 million or more of unrestricted cash and short-term investments. The Company is also subject to a minimum cash covenant of $10.0 million at all times; however, this covenant will be eliminated in the event that Tyvaso DPI is approved by the FDA. As of March 31, 2022, the Company was in compliance with the financial and minimum cash covenants.</w:t>
      </w:r>
    </w:p>
    <w:p>
      <w:pPr>
        <w:spacing w:after="0" w:line="18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1" w:name="page22"/>
    <w:bookmarkEnd w:id="21"/>
    <w:p>
      <w:pPr>
        <w:jc w:val="both"/>
        <w:ind w:right="80"/>
        <w:spacing w:after="0" w:line="251" w:lineRule="auto"/>
        <w:rPr>
          <w:sz w:val="20"/>
          <w:szCs w:val="20"/>
          <w:color w:val="auto"/>
        </w:rPr>
      </w:pPr>
      <w:r>
        <w:rPr>
          <w:rFonts w:ascii="Arial" w:cs="Arial" w:eastAsia="Arial" w:hAnsi="Arial"/>
          <w:sz w:val="18"/>
          <w:szCs w:val="18"/>
          <w:i w:val="1"/>
          <w:iCs w:val="1"/>
          <w:color w:val="auto"/>
        </w:rPr>
        <w:t xml:space="preserve">Mann Group promissory notes </w:t>
      </w:r>
      <w:r>
        <w:rPr>
          <w:rFonts w:ascii="Arial" w:cs="Arial" w:eastAsia="Arial" w:hAnsi="Arial"/>
          <w:sz w:val="18"/>
          <w:szCs w:val="18"/>
          <w:color w:val="auto"/>
        </w:rPr>
        <w:t>— In August 2019, the Company issued a $35.0 million note that is convertible into shares of the Company’s common stock at</w:t>
      </w:r>
      <w:r>
        <w:rPr>
          <w:rFonts w:ascii="Arial" w:cs="Arial" w:eastAsia="Arial" w:hAnsi="Arial"/>
          <w:sz w:val="18"/>
          <w:szCs w:val="18"/>
          <w:i w:val="1"/>
          <w:iCs w:val="1"/>
          <w:color w:val="auto"/>
        </w:rPr>
        <w:t xml:space="preserve"> </w:t>
      </w:r>
      <w:r>
        <w:rPr>
          <w:rFonts w:ascii="Arial" w:cs="Arial" w:eastAsia="Arial" w:hAnsi="Arial"/>
          <w:sz w:val="18"/>
          <w:szCs w:val="18"/>
          <w:color w:val="auto"/>
        </w:rPr>
        <w:t>$2.50 per share (the “Mann Group convertible note”) and issued a non-convertible note to Mann Group in an aggregate principal amount of $35.1 million (the “Mann Group non-convertible note” and, together with the Mann Group convertible note, the “Mann Group promissory notes”) as part of a restructuring of its then existing indebtedness to Mann Group.</w:t>
      </w:r>
    </w:p>
    <w:p>
      <w:pPr>
        <w:spacing w:after="0" w:line="1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Mann Group promissory notes originally accrued interest at the rate of 7.00% per year on the principal amount, payable quarterly in arrears on the first day of each calendar quarter beginning October 1, 2019. In April 2021, the Company repaid the entire principal amount of $35.1 million outstanding under the Mann Group non-convertible note, together with all accrued and unpaid interest thereon. On the same date, the Company and Mann Group amended the Mann Group convertible note, pursuant to which the parties agreed to (i) reduce the interest rate from 7.0% to 2.5% effective on April 22, 2021, and (ii) extend the maturity date from November 3, 2024 to December 31, 2025.</w:t>
      </w:r>
    </w:p>
    <w:p>
      <w:pPr>
        <w:spacing w:after="0" w:line="186"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auto"/>
        </w:rPr>
        <w:t xml:space="preserve">The amendment to the Mann Group convertible note resulted in a debt extinguishment with a substantial premium based on the fair value post extinguishment. The fair value in excess of the face amount of $18.4 million contributed to a loss on extinguishment of $22.1 million in the consolidated statement of operations for the year ended December 31, 2021 and resulted in a corresponding debt premium of $22.1 million which was recognized as additional paid-in capital in the consolidated balance sheet as of December 31, 2021. The accounting for the $22.1 million loss on extinguishment did not result in a change in the financial position of the Company. The Company wrote off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amount of debt issuance cost.</w:t>
      </w:r>
    </w:p>
    <w:p>
      <w:pPr>
        <w:spacing w:after="0" w:line="150"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The principal and any accrued and unpaid interest under the Mann Group convertible note may be converted, at the option of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5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During the year ended December 31, 2021, Mann Group converted $0.4 million of interest and $9.6 million of principal into 4,000,000 shares of common stock.</w:t>
      </w:r>
    </w:p>
    <w:p>
      <w:pPr>
        <w:spacing w:after="0" w:line="180"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Amortization of debt discount and debt issuance cost related to all borrowings for the three months ended March 31, 2022 and 2021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72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722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21"/>
              <w:spacing w:after="0" w:line="152" w:lineRule="exact"/>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38"/>
              <w:spacing w:after="0" w:line="15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18"/>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discount</w:t>
            </w:r>
          </w:p>
        </w:tc>
        <w:tc>
          <w:tcPr>
            <w:tcW w:w="1200" w:type="dxa"/>
            <w:vAlign w:val="bottom"/>
            <w:shd w:val="clear" w:color="auto" w:fill="CFF0FC"/>
          </w:tcPr>
          <w:p>
            <w:pPr>
              <w:jc w:val="right"/>
              <w:ind w:right="102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8"/>
                <w:szCs w:val="18"/>
                <w:color w:val="auto"/>
              </w:rPr>
            </w:pPr>
          </w:p>
        </w:tc>
      </w:tr>
      <w:tr>
        <w:trPr>
          <w:trHeight w:val="224"/>
        </w:trPr>
        <w:tc>
          <w:tcPr>
            <w:tcW w:w="7220" w:type="dxa"/>
            <w:vAlign w:val="bottom"/>
          </w:tcPr>
          <w:p>
            <w:pPr>
              <w:spacing w:after="0"/>
              <w:rPr>
                <w:sz w:val="20"/>
                <w:szCs w:val="20"/>
                <w:color w:val="auto"/>
              </w:rPr>
            </w:pPr>
            <w:r>
              <w:rPr>
                <w:rFonts w:ascii="Arial" w:cs="Arial" w:eastAsia="Arial" w:hAnsi="Arial"/>
                <w:sz w:val="18"/>
                <w:szCs w:val="18"/>
                <w:color w:val="auto"/>
              </w:rPr>
              <w:t>Amortization of debt issuance cost</w:t>
            </w:r>
          </w:p>
        </w:tc>
        <w:tc>
          <w:tcPr>
            <w:tcW w:w="1200" w:type="dxa"/>
            <w:vAlign w:val="bottom"/>
          </w:tcPr>
          <w:p>
            <w:pPr>
              <w:spacing w:after="0"/>
              <w:rPr>
                <w:sz w:val="19"/>
                <w:szCs w:val="19"/>
                <w:color w:val="auto"/>
              </w:rPr>
            </w:pPr>
          </w:p>
        </w:tc>
        <w:tc>
          <w:tcPr>
            <w:tcW w:w="820" w:type="dxa"/>
            <w:vAlign w:val="bottom"/>
          </w:tcPr>
          <w:p>
            <w:pPr>
              <w:ind w:left="440"/>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bl>
    <w:p>
      <w:pPr>
        <w:spacing w:after="0" w:line="2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Milestone Rights </w:t>
      </w:r>
      <w:r>
        <w:rPr>
          <w:rFonts w:ascii="Arial" w:cs="Arial" w:eastAsia="Arial" w:hAnsi="Arial"/>
          <w:sz w:val="17"/>
          <w:szCs w:val="17"/>
          <w:color w:val="auto"/>
        </w:rPr>
        <w:t>— As of March 31, 2022 and December 31, 2021, the remaining Milestone Rights liability balance was $5.9 million, which was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fair value estimates calculated using the income approach and reduced by milestone achievement payments made. For each period, the $5.9 million liability consisted of a $1.1 million current liability which was presented as accrued expenses and other current liabilities and a $4.8 million long-term liability which was presented as milestone rights liability in our condensed consolidated balance sheets.</w:t>
      </w:r>
    </w:p>
    <w:p>
      <w:pPr>
        <w:spacing w:after="0" w:line="1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8. Collaboration, Licensing and Other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Revenue from collaborations and services for the three months ended March 31, 2022 and 2021 are as follows (in thousands):</w:t>
      </w:r>
    </w:p>
    <w:p>
      <w:pPr>
        <w:spacing w:after="0" w:line="219"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Three Months Ended</w:t>
      </w:r>
    </w:p>
    <w:p>
      <w:pPr>
        <w:jc w:val="center"/>
        <w:ind w:left="7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-5080</wp:posOffset>
            </wp:positionV>
            <wp:extent cx="23393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3934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18"/>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UT License Agreement</w:t>
            </w:r>
            <w:r>
              <w:rPr>
                <w:rFonts w:ascii="Arial" w:cs="Arial" w:eastAsia="Arial" w:hAnsi="Arial"/>
                <w:sz w:val="14"/>
                <w:szCs w:val="14"/>
                <w:color w:val="auto"/>
              </w:rPr>
              <w:t>(1)</w:t>
            </w:r>
          </w:p>
        </w:tc>
        <w:tc>
          <w:tcPr>
            <w:tcW w:w="1120" w:type="dxa"/>
            <w:vAlign w:val="bottom"/>
            <w:shd w:val="clear" w:color="auto" w:fill="CFF0FC"/>
          </w:tcPr>
          <w:p>
            <w:pPr>
              <w:jc w:val="right"/>
              <w:ind w:right="9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8,999</w:t>
            </w:r>
          </w:p>
        </w:tc>
        <w:tc>
          <w:tcPr>
            <w:tcW w:w="100" w:type="dxa"/>
            <w:vAlign w:val="bottom"/>
            <w:shd w:val="clear" w:color="auto" w:fill="CFF0FC"/>
          </w:tcPr>
          <w:p>
            <w:pPr>
              <w:spacing w:after="0"/>
              <w:rPr>
                <w:sz w:val="18"/>
                <w:szCs w:val="18"/>
                <w:color w:val="auto"/>
              </w:rPr>
            </w:pPr>
          </w:p>
        </w:tc>
      </w:tr>
      <w:tr>
        <w:trPr>
          <w:trHeight w:val="224"/>
        </w:trPr>
        <w:tc>
          <w:tcPr>
            <w:tcW w:w="7460" w:type="dxa"/>
            <w:vAlign w:val="bottom"/>
          </w:tcPr>
          <w:p>
            <w:pPr>
              <w:spacing w:after="0"/>
              <w:rPr>
                <w:sz w:val="20"/>
                <w:szCs w:val="20"/>
                <w:color w:val="auto"/>
              </w:rPr>
            </w:pPr>
            <w:r>
              <w:rPr>
                <w:rFonts w:ascii="Arial" w:cs="Arial" w:eastAsia="Arial" w:hAnsi="Arial"/>
                <w:sz w:val="18"/>
                <w:szCs w:val="18"/>
                <w:color w:val="auto"/>
              </w:rPr>
              <w:t>UT CSA Agreement</w:t>
            </w:r>
            <w:r>
              <w:rPr>
                <w:rFonts w:ascii="Arial" w:cs="Arial" w:eastAsia="Arial" w:hAnsi="Arial"/>
                <w:sz w:val="14"/>
                <w:szCs w:val="14"/>
                <w:color w:val="auto"/>
              </w:rPr>
              <w:t>(2)</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694</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Cipla License and Distribution Agreement</w:t>
            </w:r>
          </w:p>
        </w:tc>
        <w:tc>
          <w:tcPr>
            <w:tcW w:w="1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24"/>
        </w:trPr>
        <w:tc>
          <w:tcPr>
            <w:tcW w:w="746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5"/>
        </w:trPr>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Vertice Pharma Co-Promotion Agreement</w:t>
            </w:r>
          </w:p>
        </w:tc>
        <w:tc>
          <w:tcPr>
            <w:tcW w:w="1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r>
      <w:tr>
        <w:trPr>
          <w:trHeight w:val="224"/>
        </w:trPr>
        <w:tc>
          <w:tcPr>
            <w:tcW w:w="7460" w:type="dxa"/>
            <w:vAlign w:val="bottom"/>
          </w:tcPr>
          <w:p>
            <w:pPr>
              <w:spacing w:after="0"/>
              <w:rPr>
                <w:sz w:val="20"/>
                <w:szCs w:val="20"/>
                <w:color w:val="auto"/>
              </w:rPr>
            </w:pPr>
            <w:r>
              <w:rPr>
                <w:rFonts w:ascii="Arial" w:cs="Arial" w:eastAsia="Arial" w:hAnsi="Arial"/>
                <w:sz w:val="18"/>
                <w:szCs w:val="18"/>
                <w:color w:val="auto"/>
              </w:rPr>
              <w:t>Receptor CLA</w:t>
            </w:r>
          </w:p>
        </w:tc>
        <w:tc>
          <w:tcPr>
            <w:tcW w:w="11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18"/>
        </w:trPr>
        <w:tc>
          <w:tcPr>
            <w:tcW w:w="7460" w:type="dxa"/>
            <w:vAlign w:val="bottom"/>
            <w:tcBorders>
              <w:top w:val="single" w:sz="8" w:color="CFF0FC"/>
              <w:bottom w:val="single" w:sz="8" w:color="CFF0FC"/>
            </w:tcBorders>
            <w:shd w:val="clear" w:color="auto" w:fill="CFF0FC"/>
          </w:tcPr>
          <w:p>
            <w:pPr>
              <w:ind w:left="240"/>
              <w:spacing w:after="0" w:line="204" w:lineRule="exact"/>
              <w:rPr>
                <w:sz w:val="20"/>
                <w:szCs w:val="20"/>
                <w:color w:val="auto"/>
              </w:rPr>
            </w:pPr>
            <w:r>
              <w:rPr>
                <w:rFonts w:ascii="Arial" w:cs="Arial" w:eastAsia="Arial" w:hAnsi="Arial"/>
                <w:sz w:val="18"/>
                <w:szCs w:val="18"/>
                <w:color w:val="auto"/>
              </w:rPr>
              <w:t>Total revenue from collaborations and services</w:t>
            </w:r>
          </w:p>
        </w:tc>
        <w:tc>
          <w:tcPr>
            <w:tcW w:w="1120" w:type="dxa"/>
            <w:vAlign w:val="bottom"/>
            <w:tcBorders>
              <w:top w:val="single" w:sz="8" w:color="auto"/>
              <w:bottom w:val="single" w:sz="8" w:color="auto"/>
            </w:tcBorders>
            <w:shd w:val="clear" w:color="auto" w:fill="CFF0FC"/>
          </w:tcPr>
          <w:p>
            <w:pPr>
              <w:jc w:val="right"/>
              <w:ind w:right="9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w:t>
      </w:r>
    </w:p>
    <w:p>
      <w:pPr>
        <w:spacing w:after="0" w:line="7" w:lineRule="exact"/>
        <w:rPr>
          <w:sz w:val="20"/>
          <w:szCs w:val="20"/>
          <w:color w:val="auto"/>
        </w:rPr>
      </w:pPr>
    </w:p>
    <w:p>
      <w:pPr>
        <w:ind w:left="380" w:right="380" w:hanging="374"/>
        <w:spacing w:after="0" w:line="204" w:lineRule="auto"/>
        <w:tabs>
          <w:tab w:leader="none" w:pos="38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Amounts consist of revenue recognized for Next-Gen R&amp;D Services for the three months ended March 31, 2022 and R&amp;D Services and License for the three months ended March 31, 2021</w:t>
      </w:r>
      <w:r>
        <w:rPr>
          <w:rFonts w:ascii="Arial" w:cs="Arial" w:eastAsia="Arial" w:hAnsi="Arial"/>
          <w:sz w:val="21"/>
          <w:szCs w:val="21"/>
          <w:color w:val="auto"/>
        </w:rPr>
        <w:t>.</w:t>
      </w:r>
    </w:p>
    <w:p>
      <w:pPr>
        <w:spacing w:after="0" w:line="2" w:lineRule="exact"/>
        <w:rPr>
          <w:rFonts w:ascii="Arial" w:cs="Arial" w:eastAsia="Arial" w:hAnsi="Arial"/>
          <w:sz w:val="25"/>
          <w:szCs w:val="25"/>
          <w:color w:val="auto"/>
          <w:vertAlign w:val="superscript"/>
        </w:rPr>
      </w:pPr>
    </w:p>
    <w:p>
      <w:pPr>
        <w:ind w:left="380" w:hanging="374"/>
        <w:spacing w:after="0" w:line="198" w:lineRule="auto"/>
        <w:tabs>
          <w:tab w:leader="none" w:pos="38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Amount consists of revenue recognized for Manufacturing Services for the three months ended March 31, 2022</w:t>
      </w:r>
      <w:r>
        <w:rPr>
          <w:rFonts w:ascii="Arial" w:cs="Arial" w:eastAsia="Arial" w:hAnsi="Arial"/>
          <w:sz w:val="21"/>
          <w:szCs w:val="21"/>
          <w:color w:val="auto"/>
        </w:rPr>
        <w:t>.</w:t>
      </w:r>
    </w:p>
    <w:p>
      <w:pPr>
        <w:spacing w:after="0" w:line="190"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i w:val="1"/>
          <w:iCs w:val="1"/>
          <w:color w:val="auto"/>
        </w:rPr>
        <w:t xml:space="preserve">United Therapeutics License Agreement </w:t>
      </w:r>
      <w:r>
        <w:rPr>
          <w:rFonts w:ascii="Arial" w:cs="Arial" w:eastAsia="Arial" w:hAnsi="Arial"/>
          <w:sz w:val="17"/>
          <w:szCs w:val="17"/>
          <w:color w:val="auto"/>
        </w:rPr>
        <w:t>— In September 2018, the Company and UT entered into an exclusive global license and collaboration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“UT License Agreement”), pursuant to which UT is responsible for global development, regulatory and commercial activities with respect to Tyvaso DPI. The Company is responsible for manufacturing clinical supplies and commercial supplies of Tyvaso DPI.</w:t>
      </w:r>
    </w:p>
    <w:p>
      <w:pPr>
        <w:spacing w:after="0" w:line="17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Under the terms of the UT License Agreement, the Company received an upfront payment of $45.0 million in October 2018 and four $12.5 million milestone payments between April 2019 and November 2020. The Company will also be entitled to receive low double-digit royalties on net sales of Tyvaso DPI as well as a manufacturing margin on commercial supplies of the product.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w:t>
      </w:r>
    </w:p>
    <w:p>
      <w:pPr>
        <w:spacing w:after="0" w:line="196"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In August 2021, the Company and United Therapeutics entered into a CSA, pursuant to which the Company is responsible for manufacturing and supplying to United Therapeutics, and United Therapeutics is responsible for purchasing from the Company on a cost-plus basis, Tyvaso DPI and BluHale inhalation profiling devices, as required for commercial distribution and sale by United Therapeutics. In addition, United Therapeutics is responsible for supplying treprostinil at its expense in quantities necessary to enable the Company to manufacture Tyvaso DPI as required by the CSA. Also pursuant to the CSA, UT will remit a reimbursement of certain pre-production costs incurred by the Company to support the manufacturing and supply of Tyvaso DPI.</w:t>
      </w:r>
    </w:p>
    <w:p>
      <w:pPr>
        <w:spacing w:after="0" w:line="1" w:lineRule="exact"/>
        <w:rPr>
          <w:sz w:val="20"/>
          <w:szCs w:val="20"/>
          <w:color w:val="auto"/>
        </w:rPr>
      </w:pPr>
    </w:p>
    <w:p>
      <w:pPr>
        <w:ind w:right="500"/>
        <w:spacing w:after="0" w:line="244" w:lineRule="auto"/>
        <w:rPr>
          <w:sz w:val="20"/>
          <w:szCs w:val="20"/>
          <w:color w:val="auto"/>
        </w:rPr>
      </w:pPr>
      <w:r>
        <w:rPr>
          <w:rFonts w:ascii="Arial" w:cs="Arial" w:eastAsia="Arial" w:hAnsi="Arial"/>
          <w:sz w:val="18"/>
          <w:szCs w:val="18"/>
          <w:color w:val="auto"/>
        </w:rPr>
        <w:t>The activities and deliverables under the CSA and the current development plan resulted in three distinct performance obligations which include: (1) the license, supply of product to be used in clinical development, and continued development and approval support for Tyvaso DPI (“R&amp;D Services and License”); (2) development activities for the next generation of Next-Gen R&amp;D Services; and (3) a material right associated with future commercial manufacturing and supply of product (“Manufacturing Services”).</w:t>
      </w:r>
    </w:p>
    <w:p>
      <w:pPr>
        <w:spacing w:after="0" w:line="3"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As amended in October 2021, the term of the CSA continues until December 31, 2031 (unless earlier terminated) and is thereafter renewed automatically for additional, successive two-year terms unless (i) United Therapeutics provides notice to the Company at least 24 months in advance of such renewal that United Therapeutics does not wish to renew the CSA or (ii) the Company provides notice to United Therapeutics at least 48 months in advance of such renewal that the Company does not wish to renew the CSA. The Company and United Therapeutics each have normal and customary termination rights, including termination for material breach that is not cured within a specific timeframe or in the event of liquidation, bankruptcy or insolvency of the other party.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jc w:val="both"/>
        <w:ind w:right="120"/>
        <w:spacing w:after="0" w:line="328" w:lineRule="auto"/>
        <w:rPr>
          <w:sz w:val="20"/>
          <w:szCs w:val="20"/>
          <w:color w:val="auto"/>
        </w:rPr>
      </w:pPr>
      <w:r>
        <w:rPr>
          <w:rFonts w:ascii="Arial" w:cs="Arial" w:eastAsia="Arial" w:hAnsi="Arial"/>
          <w:sz w:val="15"/>
          <w:szCs w:val="15"/>
          <w:color w:val="auto"/>
        </w:rPr>
        <w:t>The Company accounted for the contract modification as if it were part of the existing contract since the amendment modified the scope and price of the CSA by extending the term and increasing the occupancy rate. The effect of the modification on the transaction price and on the measure of progress is recognized as an adjustment to revenue as of the date of the modification. The modification did not result in a change the activities and deliverables under the CSA.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3"/>
          </w:tcPr>
          <w:p>
            <w:pPr>
              <w:ind w:left="680"/>
              <w:spacing w:after="0"/>
              <w:rPr>
                <w:sz w:val="20"/>
                <w:szCs w:val="20"/>
                <w:color w:val="auto"/>
              </w:rPr>
            </w:pPr>
            <w:r>
              <w:rPr>
                <w:rFonts w:ascii="Arial" w:cs="Arial" w:eastAsia="Arial" w:hAnsi="Arial"/>
                <w:sz w:val="14"/>
                <w:szCs w:val="14"/>
                <w:b w:val="1"/>
                <w:bCs w:val="1"/>
                <w:color w:val="auto"/>
              </w:rPr>
              <w:t>Anticipated</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Progress</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vMerge w:val="restart"/>
          </w:tcPr>
          <w:p>
            <w:pPr>
              <w:jc w:val="right"/>
              <w:ind w:right="540"/>
              <w:spacing w:after="0"/>
              <w:rPr>
                <w:sz w:val="20"/>
                <w:szCs w:val="20"/>
                <w:color w:val="auto"/>
              </w:rPr>
            </w:pPr>
            <w:r>
              <w:rPr>
                <w:rFonts w:ascii="Arial" w:cs="Arial" w:eastAsia="Arial" w:hAnsi="Arial"/>
                <w:sz w:val="14"/>
                <w:szCs w:val="14"/>
                <w:b w:val="1"/>
                <w:bCs w:val="1"/>
                <w:color w:val="auto"/>
                <w:w w:val="97"/>
              </w:rPr>
              <w:t>Cash Flow</w:t>
            </w:r>
          </w:p>
        </w:tc>
        <w:tc>
          <w:tcPr>
            <w:tcW w:w="900" w:type="dxa"/>
            <w:vAlign w:val="bottom"/>
            <w:tcBorders>
              <w:top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Recognition Method</w:t>
            </w:r>
          </w:p>
        </w:tc>
        <w:tc>
          <w:tcPr>
            <w:tcW w:w="160" w:type="dxa"/>
            <w:vAlign w:val="bottom"/>
            <w:vMerge w:val="restart"/>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1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3"/>
              </w:rPr>
              <w:t>Allocation</w:t>
            </w:r>
            <w:r>
              <w:rPr>
                <w:rFonts w:ascii="Arial" w:cs="Arial" w:eastAsia="Arial" w:hAnsi="Arial"/>
                <w:sz w:val="11"/>
                <w:szCs w:val="11"/>
                <w:b w:val="1"/>
                <w:bCs w:val="1"/>
                <w:color w:val="auto"/>
                <w:w w:val="93"/>
              </w:rPr>
              <w:t>(1)</w:t>
            </w:r>
          </w:p>
        </w:tc>
        <w:tc>
          <w:tcPr>
            <w:tcW w:w="36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Measure</w:t>
            </w:r>
          </w:p>
        </w:tc>
        <w:tc>
          <w:tcPr>
            <w:tcW w:w="160" w:type="dxa"/>
            <w:vAlign w:val="bottom"/>
          </w:tcPr>
          <w:p>
            <w:pPr>
              <w:spacing w:after="0"/>
              <w:rPr>
                <w:sz w:val="14"/>
                <w:szCs w:val="14"/>
                <w:color w:val="auto"/>
              </w:rPr>
            </w:pPr>
          </w:p>
        </w:tc>
        <w:tc>
          <w:tcPr>
            <w:tcW w:w="202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88"/>
              </w:rPr>
              <w:t>Recognition</w:t>
            </w:r>
          </w:p>
        </w:tc>
        <w:tc>
          <w:tcPr>
            <w:tcW w:w="1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3"/>
          </w:tcPr>
          <w:p>
            <w:pPr>
              <w:ind w:left="68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anticipated cash flow</w:t>
            </w:r>
            <w:r>
              <w:rPr>
                <w:rFonts w:ascii="Arial" w:cs="Arial" w:eastAsia="Arial" w:hAnsi="Arial"/>
                <w:sz w:val="14"/>
                <w:szCs w:val="14"/>
                <w:b w:val="1"/>
                <w:bCs w:val="1"/>
                <w:color w:val="auto"/>
              </w:rPr>
              <w:t>(2)</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40"/>
              <w:spacing w:after="0"/>
              <w:rPr>
                <w:sz w:val="20"/>
                <w:szCs w:val="20"/>
                <w:color w:val="auto"/>
              </w:rPr>
            </w:pPr>
            <w:r>
              <w:rPr>
                <w:rFonts w:ascii="Arial" w:cs="Arial" w:eastAsia="Arial" w:hAnsi="Arial"/>
                <w:sz w:val="18"/>
                <w:szCs w:val="18"/>
                <w:color w:val="auto"/>
              </w:rPr>
              <w:t>463.5</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80" w:type="dxa"/>
            <w:vAlign w:val="bottom"/>
          </w:tcPr>
          <w:p>
            <w:pPr>
              <w:spacing w:after="0"/>
              <w:rPr>
                <w:sz w:val="20"/>
                <w:szCs w:val="20"/>
                <w:color w:val="auto"/>
              </w:rPr>
            </w:pPr>
            <w:r>
              <w:rPr>
                <w:rFonts w:ascii="Arial" w:cs="Arial" w:eastAsia="Arial" w:hAnsi="Arial"/>
                <w:sz w:val="18"/>
                <w:szCs w:val="18"/>
                <w:b w:val="1"/>
                <w:bCs w:val="1"/>
                <w:color w:val="auto"/>
              </w:rPr>
              <w:t>Distinct Performance Obligation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R&amp;D Services and License</w:t>
            </w:r>
            <w:r>
              <w:rPr>
                <w:rFonts w:ascii="Arial" w:cs="Arial" w:eastAsia="Arial" w:hAnsi="Arial"/>
                <w:sz w:val="14"/>
                <w:szCs w:val="14"/>
                <w:color w:val="auto"/>
              </w:rPr>
              <w:t>(3)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Over time</w:t>
            </w:r>
          </w:p>
        </w:tc>
        <w:tc>
          <w:tcPr>
            <w:tcW w:w="11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Ratably</w:t>
            </w: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Aug 2021 - Oct 2021</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24"/>
        </w:trPr>
        <w:tc>
          <w:tcPr>
            <w:tcW w:w="3180" w:type="dxa"/>
            <w:vAlign w:val="bottom"/>
          </w:tcPr>
          <w:p>
            <w:pPr>
              <w:spacing w:after="0"/>
              <w:rPr>
                <w:sz w:val="20"/>
                <w:szCs w:val="20"/>
                <w:color w:val="auto"/>
              </w:rPr>
            </w:pPr>
            <w:r>
              <w:rPr>
                <w:rFonts w:ascii="Arial" w:cs="Arial" w:eastAsia="Arial" w:hAnsi="Arial"/>
                <w:sz w:val="18"/>
                <w:szCs w:val="18"/>
                <w:color w:val="auto"/>
              </w:rPr>
              <w:t>Next-Gen R&amp;D Services</w:t>
            </w:r>
            <w:r>
              <w:rPr>
                <w:rFonts w:ascii="Arial" w:cs="Arial" w:eastAsia="Arial" w:hAnsi="Arial"/>
                <w:sz w:val="14"/>
                <w:szCs w:val="14"/>
                <w:color w:val="auto"/>
              </w:rPr>
              <w:t>(5)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9"/>
                <w:szCs w:val="19"/>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Over time</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Input</w:t>
            </w:r>
          </w:p>
        </w:tc>
        <w:tc>
          <w:tcPr>
            <w:tcW w:w="2020" w:type="dxa"/>
            <w:vAlign w:val="bottom"/>
          </w:tcPr>
          <w:p>
            <w:pPr>
              <w:jc w:val="center"/>
              <w:ind w:left="19"/>
              <w:spacing w:after="0"/>
              <w:rPr>
                <w:sz w:val="20"/>
                <w:szCs w:val="20"/>
                <w:color w:val="auto"/>
              </w:rPr>
            </w:pPr>
            <w:r>
              <w:rPr>
                <w:rFonts w:ascii="Arial" w:cs="Arial" w:eastAsia="Arial" w:hAnsi="Arial"/>
                <w:sz w:val="18"/>
                <w:szCs w:val="18"/>
                <w:color w:val="auto"/>
                <w:w w:val="90"/>
              </w:rPr>
              <w:t>% of completion of costs</w:t>
            </w:r>
          </w:p>
        </w:tc>
        <w:tc>
          <w:tcPr>
            <w:tcW w:w="560" w:type="dxa"/>
            <w:vAlign w:val="bottom"/>
            <w:gridSpan w:val="2"/>
          </w:tcPr>
          <w:p>
            <w:pPr>
              <w:jc w:val="right"/>
              <w:ind w:right="28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25"/>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Manufacturing Services</w:t>
            </w:r>
            <w:r>
              <w:rPr>
                <w:rFonts w:ascii="Arial" w:cs="Arial" w:eastAsia="Arial" w:hAnsi="Arial"/>
                <w:sz w:val="14"/>
                <w:szCs w:val="14"/>
                <w:color w:val="auto"/>
              </w:rPr>
              <w:t>(7)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Point in time</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Transfer of control</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80" w:hanging="374"/>
        <w:spacing w:after="0" w:line="187"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Allocation is based on management’s assessment of the stand-alone selling price of each performance obligation.</w:t>
      </w:r>
    </w:p>
    <w:p>
      <w:pPr>
        <w:spacing w:after="0" w:line="11" w:lineRule="exact"/>
        <w:rPr>
          <w:rFonts w:ascii="Arial" w:cs="Arial" w:eastAsia="Arial" w:hAnsi="Arial"/>
          <w:sz w:val="24"/>
          <w:szCs w:val="24"/>
          <w:color w:val="auto"/>
          <w:vertAlign w:val="superscript"/>
        </w:rPr>
      </w:pPr>
    </w:p>
    <w:p>
      <w:pPr>
        <w:ind w:left="380" w:right="240" w:hanging="374"/>
        <w:spacing w:after="0" w:line="209"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 xml:space="preserve">The total anticipated cash flow includes a transaction price of $64.3 million for the contractual obligations under the CSA for the Manufacturing Services and the Next-Gen R&amp;D Services performance obligations and $399.2 million for future supply of Tyvaso DPI over the remaining </w:t>
      </w:r>
      <w:r>
        <w:rPr>
          <w:rFonts w:ascii="Arial" w:cs="Arial" w:eastAsia="Arial" w:hAnsi="Arial"/>
          <w:sz w:val="20"/>
          <w:szCs w:val="20"/>
          <w:color w:val="auto"/>
        </w:rPr>
        <w:t>term of the CSA.</w:t>
      </w:r>
    </w:p>
    <w:p>
      <w:pPr>
        <w:spacing w:after="0" w:line="60" w:lineRule="exact"/>
        <w:rPr>
          <w:rFonts w:ascii="Arial" w:cs="Arial" w:eastAsia="Arial" w:hAnsi="Arial"/>
          <w:sz w:val="24"/>
          <w:szCs w:val="24"/>
          <w:color w:val="auto"/>
          <w:vertAlign w:val="superscript"/>
        </w:rPr>
      </w:pPr>
    </w:p>
    <w:p>
      <w:pPr>
        <w:ind w:left="380" w:right="120" w:hanging="374"/>
        <w:spacing w:after="0" w:line="218" w:lineRule="auto"/>
        <w:tabs>
          <w:tab w:leader="none" w:pos="38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license for the Company’s IP was considered to be interdependent with the development activities to support approval of Tyvaso DPI. A sales-based royalty is promised in exchange for the IP license; therefore, the royalties associated with the license are excluded from the determination of the transaction price and the Company will recognize revenue as the sale of Tyvaso DPI to a patient occurs.</w:t>
      </w:r>
    </w:p>
    <w:p>
      <w:pPr>
        <w:spacing w:after="0" w:line="84" w:lineRule="exact"/>
        <w:rPr>
          <w:rFonts w:ascii="Arial" w:cs="Arial" w:eastAsia="Arial" w:hAnsi="Arial"/>
          <w:sz w:val="25"/>
          <w:szCs w:val="25"/>
          <w:color w:val="auto"/>
          <w:vertAlign w:val="superscript"/>
        </w:rPr>
      </w:pPr>
    </w:p>
    <w:p>
      <w:pPr>
        <w:ind w:left="380" w:hanging="374"/>
        <w:spacing w:after="0"/>
        <w:tabs>
          <w:tab w:leader="none" w:pos="38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Represents the period when the revenue for the R&amp;D Services performance obligation was recognized.</w:t>
      </w:r>
    </w:p>
    <w:p>
      <w:pPr>
        <w:spacing w:after="0" w:line="103" w:lineRule="exact"/>
        <w:rPr>
          <w:rFonts w:ascii="Arial" w:cs="Arial" w:eastAsia="Arial" w:hAnsi="Arial"/>
          <w:sz w:val="25"/>
          <w:szCs w:val="25"/>
          <w:color w:val="auto"/>
          <w:vertAlign w:val="superscript"/>
        </w:rPr>
      </w:pPr>
    </w:p>
    <w:p>
      <w:pPr>
        <w:ind w:left="380" w:right="260" w:hanging="374"/>
        <w:spacing w:after="0" w:line="213" w:lineRule="auto"/>
        <w:tabs>
          <w:tab w:leader="none" w:pos="38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standalone selling price (“SSP”) for the Next-Gen R&amp;D Services performance obligation was based on industry ratios as well as the Company’s historical R&amp;D projects. The transaction price for the Next-Gen R&amp;D Services was based on fixed consideration which was allocated between performance obligations as discussed in note (2) above.</w:t>
      </w:r>
    </w:p>
    <w:p>
      <w:pPr>
        <w:spacing w:after="0" w:line="77" w:lineRule="exact"/>
        <w:rPr>
          <w:rFonts w:ascii="Arial" w:cs="Arial" w:eastAsia="Arial" w:hAnsi="Arial"/>
          <w:sz w:val="25"/>
          <w:szCs w:val="25"/>
          <w:color w:val="auto"/>
          <w:vertAlign w:val="superscript"/>
        </w:rPr>
      </w:pPr>
    </w:p>
    <w:p>
      <w:pPr>
        <w:ind w:left="380" w:right="200" w:hanging="374"/>
        <w:spacing w:after="0" w:line="231" w:lineRule="auto"/>
        <w:tabs>
          <w:tab w:leader="none" w:pos="38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The Next-Gen R&amp;D Services performance obligation will be satisfied over time using the input method based on the costs incurred to date as a percentage of the total estimated costs to fulfill the contract. Incurred cost represents work performed, which corresponds with, and thereby best depicts, the transfer of control to the customer.</w:t>
      </w:r>
    </w:p>
    <w:p>
      <w:pPr>
        <w:spacing w:after="0" w:line="169" w:lineRule="exact"/>
        <w:rPr>
          <w:rFonts w:ascii="Arial" w:cs="Arial" w:eastAsia="Arial" w:hAnsi="Arial"/>
          <w:sz w:val="22"/>
          <w:szCs w:val="22"/>
          <w:color w:val="auto"/>
          <w:vertAlign w:val="superscript"/>
        </w:rPr>
      </w:pPr>
    </w:p>
    <w:p>
      <w:pPr>
        <w:ind w:left="380" w:right="40" w:hanging="374"/>
        <w:spacing w:after="0" w:line="213" w:lineRule="auto"/>
        <w:tabs>
          <w:tab w:leader="none" w:pos="38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Pre-production activities under the CSA, such as facility expansion services and certain other administrative services, were considered bundled services that are part of the Company’s Manufacturing Services performance obligation, given the nature of the Company’s contractual responsibilities and ASC 606 requirements.</w:t>
      </w:r>
    </w:p>
    <w:p>
      <w:pPr>
        <w:spacing w:after="0" w:line="169" w:lineRule="exact"/>
        <w:rPr>
          <w:rFonts w:ascii="Arial" w:cs="Arial" w:eastAsia="Arial" w:hAnsi="Arial"/>
          <w:sz w:val="24"/>
          <w:szCs w:val="24"/>
          <w:color w:val="auto"/>
          <w:vertAlign w:val="superscript"/>
        </w:rPr>
      </w:pPr>
    </w:p>
    <w:p>
      <w:pPr>
        <w:ind w:left="380" w:right="400" w:hanging="374"/>
        <w:spacing w:after="0" w:line="231" w:lineRule="auto"/>
        <w:tabs>
          <w:tab w:leader="none" w:pos="38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The Manufacturing Services performance obligation will be recognized as control of manufactured products is transferred to UT. The modification did not result in a cumulative catch-up adjustment as a result of the revenue being deferred for the performance obligations that were affected by the modification. The allocation of</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transaction price includes a material right related to manufacturing services in the amount of $144.5 million</w:t>
      </w:r>
      <w:r>
        <w:rPr>
          <w:rFonts w:ascii="Arial" w:cs="Arial" w:eastAsia="Arial" w:hAnsi="Arial"/>
          <w:sz w:val="19"/>
          <w:szCs w:val="19"/>
          <w:color w:val="auto"/>
        </w:rPr>
        <w:t>. The total anticipated cash flow is based on the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Company’s estimated production and the ultimate cash flows may vary as manufacturing purchase orders are received.</w:t>
      </w:r>
    </w:p>
    <w:p>
      <w:pPr>
        <w:spacing w:after="0" w:line="9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of March 31, 2022, deferred revenue consisted of $25.7 million, of which $1.1 million was classified as current and $24.6 million was classified as long-term on the condensed consolidated balance sheet.</w:t>
      </w:r>
    </w:p>
    <w:p>
      <w:pPr>
        <w:spacing w:after="0" w:line="18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i w:val="1"/>
          <w:iCs w:val="1"/>
          <w:color w:val="auto"/>
        </w:rPr>
        <w:t xml:space="preserve">Vertice Pharma Co-Promotion Agreement </w:t>
      </w:r>
      <w:r>
        <w:rPr>
          <w:rFonts w:ascii="Arial" w:cs="Arial" w:eastAsia="Arial" w:hAnsi="Arial"/>
          <w:sz w:val="17"/>
          <w:szCs w:val="17"/>
          <w:color w:val="auto"/>
        </w:rPr>
        <w:t>— In December 2020, the Company entered into a co-promotion agreement with Vertice Pharma where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sales force will promote Thyquidity to adult endocrinologists, pediatric endocrinologists and other healthcare providers who treat hypothyroidism. Following the commercial launch of Thyquidity, in consideration of the sales and promotional activities provided by the Company’s sales force, Vertice Pharma is obligated to pay fixed quarterly payments to the Company, as well as variable consideration based on gross profits resulting from all sales of Thyquidity. Vertice Pharma launched Thyquidity in collaboration with the Company in February 2021.</w:t>
      </w:r>
    </w:p>
    <w:p>
      <w:pPr>
        <w:spacing w:after="0" w:line="18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September 2021, the Company and Vertice Pharma mutually agreed that the Company would cease promotional activities under the co-promotion agreement effective September 30, 2021, other than certain transitional activities that continued until October 15, 2021. The Company and Vertice Pharma are currently negotiating a final settlement of all obligations related to the termination of the co-promotion agreement.</w:t>
      </w:r>
    </w:p>
    <w:p>
      <w:pPr>
        <w:spacing w:after="0" w:line="171" w:lineRule="exact"/>
        <w:rPr>
          <w:sz w:val="20"/>
          <w:szCs w:val="20"/>
          <w:color w:val="auto"/>
        </w:rPr>
      </w:pPr>
    </w:p>
    <w:p>
      <w:pPr>
        <w:ind w:right="440"/>
        <w:spacing w:after="0" w:line="364" w:lineRule="auto"/>
        <w:rPr>
          <w:sz w:val="20"/>
          <w:szCs w:val="20"/>
          <w:color w:val="auto"/>
        </w:rPr>
      </w:pPr>
      <w:r>
        <w:rPr>
          <w:rFonts w:ascii="Arial" w:cs="Arial" w:eastAsia="Arial" w:hAnsi="Arial"/>
          <w:sz w:val="15"/>
          <w:szCs w:val="15"/>
          <w:color w:val="auto"/>
        </w:rPr>
        <w:t>As of March 31, 2022, the Company fully reserved $0.8 million of revenue from the co-promotion of Thyquidity, which was recognized as allowance for credit losses – collaborations and services, which is included in accounts receivable, net in the condensed consolidated balance sheet.</w:t>
      </w:r>
    </w:p>
    <w:p>
      <w:pPr>
        <w:spacing w:after="0" w:line="111"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i w:val="1"/>
          <w:iCs w:val="1"/>
          <w:color w:val="auto"/>
        </w:rPr>
        <w:t xml:space="preserve">Thirona Collaboration Agreement </w:t>
      </w:r>
      <w:r>
        <w:rPr>
          <w:rFonts w:ascii="Arial" w:cs="Arial" w:eastAsia="Arial" w:hAnsi="Arial"/>
          <w:sz w:val="18"/>
          <w:szCs w:val="18"/>
          <w:color w:val="auto"/>
        </w:rPr>
        <w:t>— In June 2021, the Company and Thirona entered into a collaboration agreement to evaluate the therapeutic potential of</w:t>
      </w:r>
      <w:r>
        <w:rPr>
          <w:rFonts w:ascii="Arial" w:cs="Arial" w:eastAsia="Arial" w:hAnsi="Arial"/>
          <w:sz w:val="18"/>
          <w:szCs w:val="18"/>
          <w:i w:val="1"/>
          <w:iCs w:val="1"/>
          <w:color w:val="auto"/>
        </w:rPr>
        <w:t xml:space="preserve"> </w:t>
      </w:r>
      <w:r>
        <w:rPr>
          <w:rFonts w:ascii="Arial" w:cs="Arial" w:eastAsia="Arial" w:hAnsi="Arial"/>
          <w:sz w:val="18"/>
          <w:szCs w:val="18"/>
          <w:color w:val="auto"/>
        </w:rPr>
        <w:t>Thirona’s compound for the treatment of pulmonary fibrosis.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4" w:name="page25"/>
    <w:bookmarkEnd w:id="24"/>
    <w:p>
      <w:pPr>
        <w:spacing w:after="0"/>
        <w:rPr>
          <w:sz w:val="20"/>
          <w:szCs w:val="20"/>
          <w:color w:val="auto"/>
        </w:rPr>
      </w:pPr>
      <w:r>
        <w:rPr>
          <w:rFonts w:ascii="Arial" w:cs="Arial" w:eastAsia="Arial" w:hAnsi="Arial"/>
          <w:sz w:val="15"/>
          <w:szCs w:val="15"/>
          <w:color w:val="auto"/>
        </w:rPr>
        <w:t>collaboration agreement will be accounted for under ASC 808, Collaborative Agreements; however, no consideration will be exchanged between the parties.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expense the costs incurred as research and development in the condensed consolidated statements of operations.</w:t>
      </w:r>
    </w:p>
    <w:p>
      <w:pPr>
        <w:spacing w:after="0" w:line="204"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i w:val="1"/>
          <w:iCs w:val="1"/>
          <w:color w:val="auto"/>
        </w:rPr>
        <w:t xml:space="preserve">Biomm Supply and Distribution Agreement </w:t>
      </w:r>
      <w:r>
        <w:rPr>
          <w:rFonts w:ascii="Arial" w:cs="Arial" w:eastAsia="Arial" w:hAnsi="Arial"/>
          <w:sz w:val="18"/>
          <w:szCs w:val="18"/>
          <w:color w:val="auto"/>
        </w:rPr>
        <w:t>— In May 2017, the Company and Biomm entered into a supply and distribution agreement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There were no shipments of product to Biomm in 2021 or the first quarter of 2022.</w:t>
      </w:r>
    </w:p>
    <w:p>
      <w:pPr>
        <w:spacing w:after="0" w:line="194" w:lineRule="exact"/>
        <w:rPr>
          <w:sz w:val="20"/>
          <w:szCs w:val="20"/>
          <w:color w:val="auto"/>
        </w:rPr>
      </w:pPr>
    </w:p>
    <w:p>
      <w:pPr>
        <w:spacing w:after="0" w:line="283" w:lineRule="auto"/>
        <w:rPr>
          <w:sz w:val="20"/>
          <w:szCs w:val="20"/>
          <w:color w:val="auto"/>
        </w:rPr>
      </w:pPr>
      <w:r>
        <w:rPr>
          <w:rFonts w:ascii="Arial" w:cs="Arial" w:eastAsia="Arial" w:hAnsi="Arial"/>
          <w:sz w:val="17"/>
          <w:szCs w:val="17"/>
          <w:i w:val="1"/>
          <w:iCs w:val="1"/>
          <w:color w:val="auto"/>
        </w:rPr>
        <w:t xml:space="preserve">Cipla License and Distribution Agreement </w:t>
      </w:r>
      <w:r>
        <w:rPr>
          <w:rFonts w:ascii="Arial" w:cs="Arial" w:eastAsia="Arial" w:hAnsi="Arial"/>
          <w:sz w:val="17"/>
          <w:szCs w:val="17"/>
          <w:color w:val="auto"/>
        </w:rPr>
        <w:t>— In May 2018, the Company and Cipla Ltd. (“Cipla”) entered into an exclusive agreement for the marketing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has the potential to receive an additional regulatory milestone payment, minimum purchase commitment revenue and royalties on Afrezza sales in India once cumulative gross sales have reached a specified threshold.</w:t>
      </w:r>
    </w:p>
    <w:p>
      <w:pPr>
        <w:spacing w:after="0" w:line="168"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As of March 31, 2022, the deferred revenue balance was $1.6 million, of which $0.1 million is classified as current and $1.5 million is classified as long term in the condensed consolidated balance sheets.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11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0" w:lineRule="exact"/>
        <w:rPr>
          <w:sz w:val="20"/>
          <w:szCs w:val="20"/>
          <w:color w:val="auto"/>
        </w:rPr>
      </w:pPr>
    </w:p>
    <w:p>
      <w:pPr>
        <w:ind w:left="660" w:right="200"/>
        <w:spacing w:after="0" w:line="263"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1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long- and short-term investments, MidCap credit facility, Mann Group promissory notes, 2024 convertible notes, Senior convertible notes, Milestone Rights liabilities and Financing liability are disclosed below.</w:t>
      </w:r>
    </w:p>
    <w:p>
      <w:pPr>
        <w:spacing w:after="0" w:line="19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Cash Equivalents and Restricted Cash</w:t>
      </w:r>
      <w:r>
        <w:rPr>
          <w:rFonts w:ascii="Arial" w:cs="Arial" w:eastAsia="Arial" w:hAnsi="Arial"/>
          <w:sz w:val="18"/>
          <w:szCs w:val="18"/>
          <w:color w:val="auto"/>
        </w:rPr>
        <w:t>— Cash equivalents consist of highly liquid investments with original or remaining maturities of 90 days or less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purchase that are readily convertible into cash. As of March 31, 2022 and December 31, 2021, the Company held $67.2 million and $124.2 million, respectively,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338" w:right="399" w:bottom="1440" w:gutter="0" w:footer="0" w:header="0"/>
        </w:sectPr>
      </w:pPr>
    </w:p>
    <w:bookmarkStart w:id="25" w:name="page26"/>
    <w:bookmarkEnd w:id="25"/>
    <w:p>
      <w:pPr>
        <w:spacing w:after="0"/>
        <w:rPr>
          <w:sz w:val="20"/>
          <w:szCs w:val="20"/>
          <w:color w:val="auto"/>
        </w:rPr>
      </w:pPr>
      <w:r>
        <w:rPr>
          <w:rFonts w:ascii="Arial" w:cs="Arial" w:eastAsia="Arial" w:hAnsi="Arial"/>
          <w:sz w:val="15"/>
          <w:szCs w:val="15"/>
          <w:i w:val="1"/>
          <w:iCs w:val="1"/>
          <w:color w:val="auto"/>
        </w:rPr>
        <w:t xml:space="preserve">Financial Liabilities </w:t>
      </w:r>
      <w:r>
        <w:rPr>
          <w:rFonts w:ascii="Arial" w:cs="Arial" w:eastAsia="Arial" w:hAnsi="Arial"/>
          <w:sz w:val="15"/>
          <w:szCs w:val="15"/>
          <w:color w:val="auto"/>
        </w:rPr>
        <w:t>— The following tables set forth the fair value of the Company’s financial instruments (Level 3 in the fair value hierarchy)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March 31, 2022</w:t>
            </w: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6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12"/>
                <w:szCs w:val="12"/>
                <w:color w:val="auto"/>
              </w:rPr>
            </w:pPr>
          </w:p>
        </w:tc>
        <w:tc>
          <w:tcPr>
            <w:tcW w:w="1760" w:type="dxa"/>
            <w:vAlign w:val="bottom"/>
            <w:gridSpan w:val="2"/>
          </w:tcPr>
          <w:p>
            <w:pPr>
              <w:jc w:val="center"/>
              <w:ind w:right="50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320" w:type="dxa"/>
            <w:vAlign w:val="bottom"/>
          </w:tcPr>
          <w:p>
            <w:pPr>
              <w:spacing w:after="0"/>
              <w:rPr>
                <w:sz w:val="12"/>
                <w:szCs w:val="12"/>
                <w:color w:val="auto"/>
              </w:rPr>
            </w:pPr>
          </w:p>
        </w:tc>
        <w:tc>
          <w:tcPr>
            <w:tcW w:w="1520" w:type="dxa"/>
            <w:vAlign w:val="bottom"/>
            <w:vMerge w:val="restart"/>
          </w:tcPr>
          <w:p>
            <w:pPr>
              <w:jc w:val="right"/>
              <w:ind w:right="5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8"/>
        </w:trPr>
        <w:tc>
          <w:tcPr>
            <w:tcW w:w="5600" w:type="dxa"/>
            <w:vAlign w:val="bottom"/>
            <w:vMerge w:val="restart"/>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Inputs (Level 3)</w:t>
            </w:r>
          </w:p>
        </w:tc>
        <w:tc>
          <w:tcPr>
            <w:tcW w:w="3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60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Senior convertible notes</w:t>
            </w:r>
            <w:r>
              <w:rPr>
                <w:rFonts w:ascii="Arial" w:cs="Arial" w:eastAsia="Arial" w:hAnsi="Arial"/>
                <w:sz w:val="14"/>
                <w:szCs w:val="14"/>
                <w:color w:val="auto"/>
              </w:rPr>
              <w:t>(1)</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221.6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24"/>
        </w:trPr>
        <w:tc>
          <w:tcPr>
            <w:tcW w:w="5600" w:type="dxa"/>
            <w:vAlign w:val="bottom"/>
          </w:tcPr>
          <w:p>
            <w:pPr>
              <w:ind w:left="240"/>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4"/>
                <w:szCs w:val="14"/>
                <w:color w:val="auto"/>
              </w:rPr>
              <w:t>(2)</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41"/>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5"/>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Mann Group convertible notes</w:t>
            </w:r>
            <w:r>
              <w:rPr>
                <w:rFonts w:ascii="Arial" w:cs="Arial" w:eastAsia="Arial" w:hAnsi="Arial"/>
                <w:sz w:val="14"/>
                <w:szCs w:val="14"/>
                <w:color w:val="auto"/>
              </w:rPr>
              <w:t>(3)</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5"/>
        </w:trPr>
        <w:tc>
          <w:tcPr>
            <w:tcW w:w="5600" w:type="dxa"/>
            <w:vAlign w:val="bottom"/>
          </w:tcPr>
          <w:p>
            <w:pPr>
              <w:ind w:left="240"/>
              <w:spacing w:after="0"/>
              <w:rPr>
                <w:sz w:val="20"/>
                <w:szCs w:val="20"/>
                <w:color w:val="auto"/>
              </w:rPr>
            </w:pPr>
            <w:r>
              <w:rPr>
                <w:rFonts w:ascii="Arial" w:cs="Arial" w:eastAsia="Arial" w:hAnsi="Arial"/>
                <w:sz w:val="18"/>
                <w:szCs w:val="18"/>
                <w:color w:val="auto"/>
              </w:rPr>
              <w:t>Milestone rights</w:t>
            </w:r>
            <w:r>
              <w:rPr>
                <w:rFonts w:ascii="Arial" w:cs="Arial" w:eastAsia="Arial" w:hAnsi="Arial"/>
                <w:sz w:val="14"/>
                <w:szCs w:val="14"/>
                <w:color w:val="auto"/>
              </w:rPr>
              <w:t>(4)</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41"/>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1"/>
        </w:trPr>
        <w:tc>
          <w:tcPr>
            <w:tcW w:w="5600" w:type="dxa"/>
            <w:vAlign w:val="bottom"/>
          </w:tcPr>
          <w:p>
            <w:pPr>
              <w:spacing w:after="0"/>
              <w:rPr>
                <w:sz w:val="20"/>
                <w:szCs w:val="20"/>
                <w:color w:val="auto"/>
              </w:rPr>
            </w:pPr>
            <w:r>
              <w:rPr>
                <w:rFonts w:ascii="Arial" w:cs="Arial" w:eastAsia="Arial" w:hAnsi="Arial"/>
                <w:sz w:val="16"/>
                <w:szCs w:val="16"/>
                <w:color w:val="auto"/>
              </w:rPr>
              <w:t>_________________________</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80" w:right="100" w:hanging="374"/>
        <w:spacing w:after="0" w:line="211" w:lineRule="auto"/>
        <w:tabs>
          <w:tab w:leader="none" w:pos="38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Fair value determined by applying a discounted cash flow analysis to the straight note with a hypothetical yield of 12%, volatility of 83.6% and a Monte Carlo simulation for the value of the conversion feature. A change in yield of + or – 2% would result in a fair value of $211.1 million and $233.1 million, respectively.</w:t>
      </w:r>
    </w:p>
    <w:p>
      <w:pPr>
        <w:spacing w:after="0" w:line="1" w:lineRule="exact"/>
        <w:rPr>
          <w:rFonts w:ascii="Arial" w:cs="Arial" w:eastAsia="Arial" w:hAnsi="Arial"/>
          <w:sz w:val="24"/>
          <w:szCs w:val="24"/>
          <w:color w:val="auto"/>
          <w:vertAlign w:val="superscript"/>
        </w:rPr>
      </w:pPr>
    </w:p>
    <w:p>
      <w:pPr>
        <w:ind w:left="380" w:right="180" w:hanging="374"/>
        <w:spacing w:after="0" w:line="201" w:lineRule="auto"/>
        <w:tabs>
          <w:tab w:leader="none" w:pos="38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Fair value determined by applying a discounted cash flow analysis with a hypothetical yield of 10%. A change in yield of + or – 2% would result in a fair value of $39.0 million and $42.4 million, respectively.</w:t>
      </w:r>
    </w:p>
    <w:p>
      <w:pPr>
        <w:spacing w:after="0" w:line="1" w:lineRule="exact"/>
        <w:rPr>
          <w:rFonts w:ascii="Arial" w:cs="Arial" w:eastAsia="Arial" w:hAnsi="Arial"/>
          <w:sz w:val="25"/>
          <w:szCs w:val="25"/>
          <w:color w:val="auto"/>
          <w:vertAlign w:val="superscript"/>
        </w:rPr>
      </w:pPr>
    </w:p>
    <w:p>
      <w:pPr>
        <w:jc w:val="both"/>
        <w:ind w:left="380" w:right="140" w:hanging="374"/>
        <w:spacing w:after="0" w:line="217" w:lineRule="auto"/>
        <w:tabs>
          <w:tab w:leader="none" w:pos="38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The fair value assessed as of March 31, 2022 was determined by applying a discounted cash flow analysis with a hypothetical yield of 12% and volatility of 84.2% to the straight note and a binomial option pricing model for the value of the conversion feature. A change in yield of + or – 2% would result in a fair value of $32.8 million and $34.6 million, respectively.</w:t>
      </w:r>
    </w:p>
    <w:p>
      <w:pPr>
        <w:spacing w:after="0" w:line="1" w:lineRule="exact"/>
        <w:rPr>
          <w:rFonts w:ascii="Arial" w:cs="Arial" w:eastAsia="Arial" w:hAnsi="Arial"/>
          <w:sz w:val="25"/>
          <w:szCs w:val="25"/>
          <w:color w:val="auto"/>
          <w:vertAlign w:val="superscript"/>
        </w:rPr>
      </w:pPr>
    </w:p>
    <w:p>
      <w:pPr>
        <w:ind w:left="380" w:hanging="374"/>
        <w:spacing w:after="0" w:line="187" w:lineRule="auto"/>
        <w:tabs>
          <w:tab w:leader="none" w:pos="38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Fair value determined by applying a Monte Carlo simulation.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0"/>
              </w:rPr>
              <w:t>December 31, 2021</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81"/>
              <w:spacing w:after="0" w:line="129" w:lineRule="exact"/>
              <w:rPr>
                <w:sz w:val="20"/>
                <w:szCs w:val="20"/>
                <w:color w:val="auto"/>
              </w:rPr>
            </w:pPr>
            <w:r>
              <w:rPr>
                <w:rFonts w:ascii="Arial" w:cs="Arial" w:eastAsia="Arial" w:hAnsi="Arial"/>
                <w:sz w:val="14"/>
                <w:szCs w:val="14"/>
                <w:b w:val="1"/>
                <w:bCs w:val="1"/>
                <w:color w:val="auto"/>
                <w:w w:val="89"/>
              </w:rPr>
              <w:t>Significant</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81"/>
              <w:spacing w:after="0" w:line="145" w:lineRule="exact"/>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Inputs (Level 3)</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6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240"/>
              <w:spacing w:after="0"/>
              <w:rPr>
                <w:sz w:val="20"/>
                <w:szCs w:val="20"/>
                <w:color w:val="auto"/>
              </w:rPr>
            </w:pPr>
            <w:r>
              <w:rPr>
                <w:rFonts w:ascii="Arial" w:cs="Arial" w:eastAsia="Arial" w:hAnsi="Arial"/>
                <w:sz w:val="18"/>
                <w:szCs w:val="18"/>
                <w:color w:val="auto"/>
              </w:rPr>
              <w:t>Senior convertible notes</w:t>
            </w:r>
            <w:r>
              <w:rPr>
                <w:rFonts w:ascii="Arial" w:cs="Arial" w:eastAsia="Arial" w:hAnsi="Arial"/>
                <w:sz w:val="14"/>
                <w:szCs w:val="14"/>
                <w:color w:val="auto"/>
              </w:rPr>
              <w:t>(1)</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223.9</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237.5</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MidCap credit facility</w:t>
            </w:r>
            <w:r>
              <w:rPr>
                <w:rFonts w:ascii="Arial" w:cs="Arial" w:eastAsia="Arial" w:hAnsi="Arial"/>
                <w:sz w:val="14"/>
                <w:szCs w:val="14"/>
                <w:color w:val="auto"/>
              </w:rPr>
              <w:t>(2)</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240"/>
              <w:spacing w:after="0"/>
              <w:rPr>
                <w:sz w:val="20"/>
                <w:szCs w:val="20"/>
                <w:color w:val="auto"/>
              </w:rPr>
            </w:pPr>
            <w:r>
              <w:rPr>
                <w:rFonts w:ascii="Arial" w:cs="Arial" w:eastAsia="Arial" w:hAnsi="Arial"/>
                <w:sz w:val="18"/>
                <w:szCs w:val="18"/>
                <w:color w:val="auto"/>
              </w:rPr>
              <w:t>Mann Group convertible notes</w:t>
            </w:r>
            <w:r>
              <w:rPr>
                <w:rFonts w:ascii="Arial" w:cs="Arial" w:eastAsia="Arial" w:hAnsi="Arial"/>
                <w:sz w:val="14"/>
                <w:szCs w:val="14"/>
                <w:color w:val="auto"/>
              </w:rPr>
              <w:t>(3)</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 rights</w:t>
            </w:r>
            <w:r>
              <w:rPr>
                <w:rFonts w:ascii="Arial" w:cs="Arial" w:eastAsia="Arial" w:hAnsi="Arial"/>
                <w:sz w:val="14"/>
                <w:szCs w:val="14"/>
                <w:color w:val="auto"/>
              </w:rPr>
              <w:t>(4)</w:t>
            </w:r>
          </w:p>
        </w:tc>
        <w:tc>
          <w:tcPr>
            <w:tcW w:w="1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160" w:type="dxa"/>
            <w:vAlign w:val="bottom"/>
          </w:tcPr>
          <w:p>
            <w:pPr>
              <w:spacing w:after="0"/>
              <w:rPr>
                <w:sz w:val="20"/>
                <w:szCs w:val="20"/>
                <w:color w:val="auto"/>
              </w:rPr>
            </w:pPr>
            <w:r>
              <w:rPr>
                <w:rFonts w:ascii="Arial" w:cs="Arial" w:eastAsia="Arial" w:hAnsi="Arial"/>
                <w:sz w:val="16"/>
                <w:szCs w:val="16"/>
                <w:color w:val="auto"/>
              </w:rPr>
              <w:t>_________________________</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80" w:hanging="374"/>
        <w:spacing w:after="0" w:line="210" w:lineRule="auto"/>
        <w:tabs>
          <w:tab w:leader="none" w:pos="38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Fair value determined by applying a discounted cash flow analysis to the straight note with a hypothetical yield of 12%, volatility of 90% and a Monte Carlo simulation for the value of the conversion feature. A change in yield of + or – 2% would result in a fair value of $226.6 million and $249.4 million, respectively</w:t>
      </w:r>
      <w:r>
        <w:rPr>
          <w:rFonts w:ascii="Arial" w:cs="Arial" w:eastAsia="Arial" w:hAnsi="Arial"/>
          <w:sz w:val="20"/>
          <w:szCs w:val="20"/>
          <w:color w:val="auto"/>
        </w:rPr>
        <w:t>.</w:t>
      </w:r>
    </w:p>
    <w:p>
      <w:pPr>
        <w:spacing w:after="0" w:line="1" w:lineRule="exact"/>
        <w:rPr>
          <w:rFonts w:ascii="Arial" w:cs="Arial" w:eastAsia="Arial" w:hAnsi="Arial"/>
          <w:sz w:val="24"/>
          <w:szCs w:val="24"/>
          <w:color w:val="auto"/>
          <w:vertAlign w:val="superscript"/>
        </w:rPr>
      </w:pPr>
    </w:p>
    <w:p>
      <w:pPr>
        <w:ind w:left="380" w:right="180" w:hanging="374"/>
        <w:spacing w:after="0" w:line="196"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Fair value determined by applying a discounted cash flow analysis with a hypothetical yield of 10%. A change in yield of + or – 2% would result in a fair value of $39.1 million and $42.7 million, respectively.</w:t>
      </w:r>
    </w:p>
    <w:p>
      <w:pPr>
        <w:ind w:left="380" w:hanging="374"/>
        <w:spacing w:after="0" w:line="246" w:lineRule="auto"/>
        <w:tabs>
          <w:tab w:leader="none" w:pos="380" w:val="left"/>
        </w:tabs>
        <w:numPr>
          <w:ilvl w:val="0"/>
          <w:numId w:val="8"/>
        </w:numPr>
        <w:rPr>
          <w:rFonts w:ascii="Arial" w:cs="Arial" w:eastAsia="Arial" w:hAnsi="Arial"/>
          <w:sz w:val="24"/>
          <w:szCs w:val="24"/>
          <w:color w:val="auto"/>
          <w:vertAlign w:val="superscript"/>
        </w:rPr>
      </w:pPr>
      <w:r>
        <w:rPr>
          <w:rFonts w:ascii="Arial" w:cs="Arial" w:eastAsia="Arial" w:hAnsi="Arial"/>
          <w:sz w:val="15"/>
          <w:szCs w:val="15"/>
          <w:color w:val="auto"/>
        </w:rPr>
        <w:t>The April 2021 amendment to the Mann Group convertible note resulted in a substantial premium of $22.1 million based on the fair value post modification which was recognized as additional paid-in capital in the condensed consolidated balance sheet as of December 31, 2021. The accounting for the $22.1 million loss on extinguishment did not result in a change in the financial position of the Company. The fair value assessed as of December 31, 2021 was determined by applying a discounted cash flow analysis with a hypothetical yield of 12% and volatility of 85% to the straight note and a binomial option pricing model for the value of the conversion feature. A change in yield of + or – 2% would result in a fair value of $36.9 million and $38.8 million, respectively.</w:t>
      </w:r>
    </w:p>
    <w:p>
      <w:pPr>
        <w:ind w:left="380" w:hanging="374"/>
        <w:spacing w:after="0" w:line="187" w:lineRule="auto"/>
        <w:tabs>
          <w:tab w:leader="none" w:pos="38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Fair value determined by applying a Monte Carlo simulation.</w:t>
      </w:r>
    </w:p>
    <w:p>
      <w:pPr>
        <w:spacing w:after="0" w:line="193" w:lineRule="exact"/>
        <w:rPr>
          <w:sz w:val="20"/>
          <w:szCs w:val="20"/>
          <w:color w:val="auto"/>
        </w:rPr>
      </w:pPr>
    </w:p>
    <w:p>
      <w:pPr>
        <w:ind w:right="140"/>
        <w:spacing w:after="0" w:line="328" w:lineRule="auto"/>
        <w:rPr>
          <w:sz w:val="20"/>
          <w:szCs w:val="20"/>
          <w:color w:val="auto"/>
        </w:rPr>
      </w:pPr>
      <w:r>
        <w:rPr>
          <w:rFonts w:ascii="Arial" w:cs="Arial" w:eastAsia="Arial" w:hAnsi="Arial"/>
          <w:sz w:val="15"/>
          <w:szCs w:val="15"/>
          <w:i w:val="1"/>
          <w:iCs w:val="1"/>
          <w:color w:val="auto"/>
        </w:rPr>
        <w:t xml:space="preserve">Milestone Rights Liability </w:t>
      </w:r>
      <w:r>
        <w:rPr>
          <w:rFonts w:ascii="Arial" w:cs="Arial" w:eastAsia="Arial" w:hAnsi="Arial"/>
          <w:sz w:val="15"/>
          <w:szCs w:val="15"/>
          <w:color w:val="auto"/>
        </w:rPr>
        <w:t>— The fair value measurement of the Milestone Rights liability is sensitive to the discount rate and the timing of achievement of</w:t>
      </w:r>
      <w:r>
        <w:rPr>
          <w:rFonts w:ascii="Arial" w:cs="Arial" w:eastAsia="Arial" w:hAnsi="Arial"/>
          <w:sz w:val="15"/>
          <w:szCs w:val="15"/>
          <w:i w:val="1"/>
          <w:iCs w:val="1"/>
          <w:color w:val="auto"/>
        </w:rPr>
        <w:t xml:space="preserve"> </w:t>
      </w:r>
      <w:r>
        <w:rPr>
          <w:rFonts w:ascii="Arial" w:cs="Arial" w:eastAsia="Arial" w:hAnsi="Arial"/>
          <w:sz w:val="15"/>
          <w:szCs w:val="15"/>
          <w:color w:val="auto"/>
        </w:rPr>
        <w:t>milestones. The Company utilized Monte-Carlo Simulation Method to simulate the Afrezza net sales under a neutral framework to estimate the payment. The Company then discounted the future expected payments at cost of debt with a term equal to the simulated time to payout based on cumulative sales.</w:t>
      </w:r>
    </w:p>
    <w:p>
      <w:pPr>
        <w:spacing w:after="0" w:line="138"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i w:val="1"/>
          <w:iCs w:val="1"/>
          <w:color w:val="auto"/>
        </w:rPr>
        <w:t xml:space="preserve">Financing Liability </w:t>
      </w:r>
      <w:r>
        <w:rPr>
          <w:rFonts w:ascii="Arial" w:cs="Arial" w:eastAsia="Arial" w:hAnsi="Arial"/>
          <w:sz w:val="18"/>
          <w:szCs w:val="18"/>
          <w:color w:val="auto"/>
        </w:rPr>
        <w:t>— The Sale-Leaseback Transaction in November 2021 resulted in a financing liability which is included in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sheets as a current financing liability of $9.4 million and a long-term financing liability of $93.5 million. The Company determined the fair value of the financing liability using level 3 inputs. As of March 31, 2021, the fair value was determined using a discounted cash flow analysis with a hypothetical yield of 9.0%. As of December 31, 2021, the Company evaluated the fair value of its financing liability and determined that the fair value approximated the carrying value</w:t>
      </w:r>
      <w:r>
        <w:rPr>
          <w:rFonts w:ascii="Arial" w:cs="Arial" w:eastAsia="Arial" w:hAnsi="Arial"/>
          <w:sz w:val="18"/>
          <w:szCs w:val="18"/>
          <w:i w:val="1"/>
          <w:iCs w:val="1"/>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and Preferred Stock</w:t>
      </w:r>
    </w:p>
    <w:p>
      <w:pPr>
        <w:spacing w:after="0" w:line="11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is authorized to issue 400,000,000 shares of common stock, par value $0.01 per share, and 10,000,000 shares of undesignated preferred stock, par value $0.01 per share, issuable in one or more series as designated by the Company’s board of directors. No other class of capital stock is authorized. As of March 31, 2022 and December 31, 2021, 252,413,434 and 251,477,562 shares of common stock, respectively, were issued and outstanding and no shares of preferred stock were outstanding.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26" w:name="page27"/>
    <w:bookmarkEnd w:id="26"/>
    <w:p>
      <w:pPr>
        <w:ind w:right="160"/>
        <w:spacing w:after="0" w:line="305" w:lineRule="auto"/>
        <w:rPr>
          <w:sz w:val="20"/>
          <w:szCs w:val="20"/>
          <w:color w:val="auto"/>
        </w:rPr>
      </w:pPr>
      <w:r>
        <w:rPr>
          <w:rFonts w:ascii="Arial" w:cs="Arial" w:eastAsia="Arial" w:hAnsi="Arial"/>
          <w:sz w:val="15"/>
          <w:szCs w:val="15"/>
          <w:color w:val="auto"/>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Under the Sales Agreement, Cantor Fitzgerald may sell shares by any method deemed to be an “at-the-market offering” as defined in Rule 415 under the Securities Act of 1933, as amended. For the three months ended March 31, 2022, there were no sales under the CF Sales Agreement. For the three months ended March 31, 2021, the Company sold an aggregate of 578,063 shares of the Company’s common stock at a weighted average purchase price of $3.26 per share for an aggregate gross proceeds of approximately $1.9 million pursuant to the CF Sales Agreement.</w:t>
      </w:r>
    </w:p>
    <w:p>
      <w:pPr>
        <w:spacing w:after="0" w:line="15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first quarter of 2021, Mann Group converted $0.4 million of interest and $9.6 million of principal into 4,000,000 shares of common stock in accordance with the terms of the Mann Group convertible note.</w:t>
      </w:r>
    </w:p>
    <w:p>
      <w:pPr>
        <w:spacing w:after="0" w:line="1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first quarter of 2021, the Company converted $5.0 million principal amount of 2024 convertible notes into 1,666,667 shares of the Company’s common stock in accordance with the terms of the 2024 convertible notes.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For the three months ended March 31, 2022, the Company received $0.7 million from the market price stock purchase plan (“MPSPP”) for 252,176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MPSPP transactions during the three months ended March 31, 2021.</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The Company issued 233,401 and 292,981 shares of common stock pursuant to the ESPP for the three months ended March 31, 2022 and 2021,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0.9 million shares of common stock available for issuance under the ESPP as of March 31, 2022.</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Common Share (“EPS”)</w:t>
      </w:r>
    </w:p>
    <w:p>
      <w:pPr>
        <w:spacing w:after="0" w:line="11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Basic EPS excludes dilution for potentially dilutive securities and is computed by dividing net income (loss) by the weighted average number of common shares outstanding during the period. Diluted EPS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EPS as they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components of the basic and diluted EPS computations (in thousands, except per share amounts):</w:t>
      </w:r>
    </w:p>
    <w:p>
      <w:pPr>
        <w:spacing w:after="0" w:line="219"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Three Months Ended</w:t>
      </w:r>
    </w:p>
    <w:p>
      <w:pPr>
        <w:jc w:val="center"/>
        <w:ind w:left="7260"/>
        <w:spacing w:after="0" w:line="22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2"/>
        </w:trPr>
        <w:tc>
          <w:tcPr>
            <w:tcW w:w="566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6"/>
              <w:spacing w:after="0" w:line="15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r>
      <w:tr>
        <w:trPr>
          <w:trHeight w:val="218"/>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EPS — basic and diluted:</w:t>
            </w:r>
          </w:p>
        </w:tc>
        <w:tc>
          <w:tcPr>
            <w:tcW w:w="19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24"/>
        </w:trPr>
        <w:tc>
          <w:tcPr>
            <w:tcW w:w="5660" w:type="dxa"/>
            <w:vAlign w:val="bottom"/>
          </w:tcPr>
          <w:p>
            <w:pPr>
              <w:ind w:left="240"/>
              <w:spacing w:after="0"/>
              <w:rPr>
                <w:sz w:val="20"/>
                <w:szCs w:val="20"/>
                <w:color w:val="auto"/>
              </w:rPr>
            </w:pPr>
            <w:r>
              <w:rPr>
                <w:rFonts w:ascii="Arial" w:cs="Arial" w:eastAsia="Arial" w:hAnsi="Arial"/>
                <w:sz w:val="18"/>
                <w:szCs w:val="18"/>
                <w:color w:val="auto"/>
              </w:rPr>
              <w:t>Net loss (numerator)</w:t>
            </w:r>
          </w:p>
        </w:tc>
        <w:tc>
          <w:tcPr>
            <w:tcW w:w="28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(25,998)</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(12,916)</w:t>
            </w:r>
          </w:p>
        </w:tc>
      </w:tr>
      <w:tr>
        <w:trPr>
          <w:trHeight w:val="225"/>
        </w:trPr>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common shares (denominator)</w:t>
            </w:r>
          </w:p>
        </w:tc>
        <w:tc>
          <w:tcPr>
            <w:tcW w:w="19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251,887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246,631</w:t>
            </w:r>
          </w:p>
        </w:tc>
        <w:tc>
          <w:tcPr>
            <w:tcW w:w="300" w:type="dxa"/>
            <w:vAlign w:val="bottom"/>
            <w:shd w:val="clear" w:color="auto" w:fill="CFF0FC"/>
          </w:tcPr>
          <w:p>
            <w:pPr>
              <w:spacing w:after="0"/>
              <w:rPr>
                <w:sz w:val="19"/>
                <w:szCs w:val="19"/>
                <w:color w:val="auto"/>
              </w:rPr>
            </w:pPr>
          </w:p>
        </w:tc>
      </w:tr>
      <w:tr>
        <w:trPr>
          <w:trHeight w:val="217"/>
        </w:trPr>
        <w:tc>
          <w:tcPr>
            <w:tcW w:w="5660" w:type="dxa"/>
            <w:vAlign w:val="bottom"/>
          </w:tcPr>
          <w:p>
            <w:pPr>
              <w:ind w:left="240"/>
              <w:spacing w:after="0"/>
              <w:rPr>
                <w:sz w:val="20"/>
                <w:szCs w:val="20"/>
                <w:color w:val="auto"/>
              </w:rPr>
            </w:pPr>
            <w:r>
              <w:rPr>
                <w:rFonts w:ascii="Arial" w:cs="Arial" w:eastAsia="Arial" w:hAnsi="Arial"/>
                <w:sz w:val="18"/>
                <w:szCs w:val="18"/>
                <w:color w:val="auto"/>
              </w:rPr>
              <w:t>Net loss per share</w:t>
            </w:r>
          </w:p>
        </w:tc>
        <w:tc>
          <w:tcPr>
            <w:tcW w:w="28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r>
      <w:tr>
        <w:trPr>
          <w:trHeight w:val="20"/>
        </w:trPr>
        <w:tc>
          <w:tcPr>
            <w:tcW w:w="5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3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Common shares issuable represents incremental shares of common stock which consist of stock options, restricted stock units, warrants, and shares that could be issued upon conversion of the Senior convertible notes and the Mann Group convertible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outstanding that are considered antidilutive are summarized as follows (in shares):</w:t>
      </w:r>
    </w:p>
    <w:p>
      <w:pPr>
        <w:spacing w:after="0" w:line="219"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jc w:val="center"/>
        <w:ind w:left="7600"/>
        <w:spacing w:after="0" w:line="22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2"/>
        </w:trPr>
        <w:tc>
          <w:tcPr>
            <w:tcW w:w="774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2" w:lineRule="exact"/>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44,120,463</w:t>
            </w:r>
          </w:p>
        </w:tc>
        <w:tc>
          <w:tcPr>
            <w:tcW w:w="3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44,120,463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8"/>
                <w:szCs w:val="18"/>
                <w:color w:val="auto"/>
              </w:rPr>
              <w:t>Mann Group convertible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7,370,000</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7,370,000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and PNQs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10,335,424</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11,321,734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8"/>
                <w:szCs w:val="18"/>
                <w:color w:val="auto"/>
              </w:rPr>
              <w:t xml:space="preserve">RSUs and Market RSUs </w:t>
            </w:r>
            <w:r>
              <w:rPr>
                <w:rFonts w:ascii="Arial" w:cs="Arial" w:eastAsia="Arial" w:hAnsi="Arial"/>
                <w:sz w:val="17"/>
                <w:szCs w:val="17"/>
                <w:color w:val="auto"/>
              </w:rPr>
              <w:t>(1)</w:t>
            </w:r>
          </w:p>
        </w:tc>
        <w:tc>
          <w:tcPr>
            <w:tcW w:w="1540" w:type="dxa"/>
            <w:vAlign w:val="bottom"/>
          </w:tcPr>
          <w:p>
            <w:pPr>
              <w:jc w:val="right"/>
              <w:spacing w:after="0"/>
              <w:rPr>
                <w:sz w:val="20"/>
                <w:szCs w:val="20"/>
                <w:color w:val="auto"/>
              </w:rPr>
            </w:pPr>
            <w:r>
              <w:rPr>
                <w:rFonts w:ascii="Arial" w:cs="Arial" w:eastAsia="Arial" w:hAnsi="Arial"/>
                <w:sz w:val="18"/>
                <w:szCs w:val="18"/>
                <w:color w:val="auto"/>
              </w:rPr>
              <w:t>11,472,698</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6,282,279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85,633</w:t>
            </w: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740" w:type="dxa"/>
            <w:vAlign w:val="bottom"/>
          </w:tcPr>
          <w:p>
            <w:pPr>
              <w:spacing w:after="0"/>
              <w:rPr>
                <w:sz w:val="20"/>
                <w:szCs w:val="20"/>
                <w:color w:val="auto"/>
              </w:rPr>
            </w:pPr>
            <w:r>
              <w:rPr>
                <w:rFonts w:ascii="Arial" w:cs="Arial" w:eastAsia="Arial" w:hAnsi="Arial"/>
                <w:sz w:val="18"/>
                <w:szCs w:val="18"/>
                <w:color w:val="auto"/>
              </w:rPr>
              <w:t>Warrants associated with MidCap credit facility</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1,283,467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7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shares</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73,384,218</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70,472,100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74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80" w:hanging="374"/>
        <w:spacing w:after="0" w:line="226" w:lineRule="auto"/>
        <w:tabs>
          <w:tab w:leader="none" w:pos="3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 xml:space="preserve">Market RSUs issued in 2020 are included at the maximum share delivery of 300% and the Market RSUs issued in 2021 are included at 0% in </w:t>
      </w:r>
      <w:r>
        <w:rPr>
          <w:rFonts w:ascii="Arial" w:cs="Arial" w:eastAsia="Arial" w:hAnsi="Arial"/>
          <w:sz w:val="18"/>
          <w:szCs w:val="18"/>
          <w:color w:val="auto"/>
        </w:rPr>
        <w:t>accordance with a</w:t>
      </w:r>
    </w:p>
    <w:p>
      <w:pPr>
        <w:ind w:left="380"/>
        <w:spacing w:after="0"/>
        <w:rPr>
          <w:sz w:val="20"/>
          <w:szCs w:val="20"/>
          <w:color w:val="auto"/>
        </w:rPr>
      </w:pPr>
      <w:r>
        <w:rPr>
          <w:rFonts w:ascii="Arial" w:cs="Arial" w:eastAsia="Arial" w:hAnsi="Arial"/>
          <w:sz w:val="21"/>
          <w:szCs w:val="21"/>
          <w:color w:val="auto"/>
        </w:rPr>
        <w:t>valuation assessment obtained as of March 31, 2022.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12. Stock-Based Compensation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the Company granted the following awards: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2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Three Months Ended</w:t>
            </w:r>
          </w:p>
        </w:tc>
      </w:tr>
      <w:tr>
        <w:trPr>
          <w:trHeight w:val="145"/>
        </w:trPr>
        <w:tc>
          <w:tcPr>
            <w:tcW w:w="8960" w:type="dxa"/>
            <w:vAlign w:val="bottom"/>
          </w:tcPr>
          <w:p>
            <w:pPr>
              <w:spacing w:after="0"/>
              <w:rPr>
                <w:sz w:val="12"/>
                <w:szCs w:val="12"/>
                <w:color w:val="auto"/>
              </w:rPr>
            </w:pPr>
          </w:p>
        </w:tc>
        <w:tc>
          <w:tcPr>
            <w:tcW w:w="228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5"/>
              </w:rPr>
              <w:t>March 31,</w:t>
            </w:r>
          </w:p>
        </w:tc>
      </w:tr>
      <w:tr>
        <w:trPr>
          <w:trHeight w:val="168"/>
        </w:trPr>
        <w:tc>
          <w:tcPr>
            <w:tcW w:w="8960" w:type="dxa"/>
            <w:vAlign w:val="bottom"/>
            <w:tcBorders>
              <w:bottom w:val="single" w:sz="8" w:color="CFF0FC"/>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460" w:type="dxa"/>
            <w:vAlign w:val="bottom"/>
            <w:tcBorders>
              <w:bottom w:val="single" w:sz="8" w:color="CFF0FC"/>
            </w:tcBorders>
          </w:tcPr>
          <w:p>
            <w:pPr>
              <w:spacing w:after="0"/>
              <w:rPr>
                <w:sz w:val="14"/>
                <w:szCs w:val="14"/>
                <w:color w:val="auto"/>
              </w:rPr>
            </w:pPr>
          </w:p>
        </w:tc>
      </w:tr>
      <w:tr>
        <w:trPr>
          <w:trHeight w:val="218"/>
        </w:trPr>
        <w:tc>
          <w:tcPr>
            <w:tcW w:w="8960" w:type="dxa"/>
            <w:vAlign w:val="bottom"/>
            <w:shd w:val="clear" w:color="auto" w:fill="CFF0FC"/>
          </w:tcPr>
          <w:p>
            <w:pPr>
              <w:spacing w:after="0"/>
              <w:rPr>
                <w:sz w:val="20"/>
                <w:szCs w:val="20"/>
                <w:color w:val="auto"/>
              </w:rPr>
            </w:pPr>
            <w:r>
              <w:rPr>
                <w:rFonts w:ascii="Arial" w:cs="Arial" w:eastAsia="Arial" w:hAnsi="Arial"/>
                <w:sz w:val="18"/>
                <w:szCs w:val="18"/>
                <w:color w:val="auto"/>
              </w:rPr>
              <w:t>Employee awards:</w:t>
            </w:r>
          </w:p>
        </w:tc>
        <w:tc>
          <w:tcPr>
            <w:tcW w:w="1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r>
      <w:tr>
        <w:trPr>
          <w:trHeight w:val="215"/>
        </w:trPr>
        <w:tc>
          <w:tcPr>
            <w:tcW w:w="8960" w:type="dxa"/>
            <w:vAlign w:val="bottom"/>
          </w:tcPr>
          <w:p>
            <w:pPr>
              <w:ind w:left="240"/>
              <w:spacing w:after="0"/>
              <w:rPr>
                <w:sz w:val="20"/>
                <w:szCs w:val="20"/>
                <w:color w:val="auto"/>
              </w:rPr>
            </w:pPr>
            <w:r>
              <w:rPr>
                <w:rFonts w:ascii="Arial" w:cs="Arial" w:eastAsia="Arial" w:hAnsi="Arial"/>
                <w:sz w:val="18"/>
                <w:szCs w:val="18"/>
                <w:color w:val="auto"/>
              </w:rPr>
              <w:t>RSUs</w:t>
            </w: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88,415  </w:t>
            </w:r>
            <w:r>
              <w:rPr>
                <w:rFonts w:ascii="Arial" w:cs="Arial" w:eastAsia="Arial" w:hAnsi="Arial"/>
                <w:sz w:val="14"/>
                <w:szCs w:val="14"/>
                <w:color w:val="auto"/>
              </w:rPr>
              <w:t>(1)</w:t>
            </w:r>
          </w:p>
        </w:tc>
      </w:tr>
      <w:tr>
        <w:trPr>
          <w:trHeight w:val="201"/>
        </w:trPr>
        <w:tc>
          <w:tcPr>
            <w:tcW w:w="8960" w:type="dxa"/>
            <w:vAlign w:val="bottom"/>
          </w:tcPr>
          <w:p>
            <w:pPr>
              <w:spacing w:after="0"/>
              <w:rPr>
                <w:sz w:val="20"/>
                <w:szCs w:val="20"/>
                <w:color w:val="auto"/>
              </w:rPr>
            </w:pPr>
            <w:r>
              <w:rPr>
                <w:rFonts w:ascii="Arial" w:cs="Arial" w:eastAsia="Arial" w:hAnsi="Arial"/>
                <w:sz w:val="16"/>
                <w:szCs w:val="16"/>
                <w:color w:val="auto"/>
              </w:rPr>
              <w:t>____________________</w:t>
            </w:r>
          </w:p>
        </w:tc>
        <w:tc>
          <w:tcPr>
            <w:tcW w:w="182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ind w:left="380" w:hanging="374"/>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RSUs had a weighted average grant date fair value of $2.72 per share, of which 12,800 RSUs had a cliff vesting period of three years and 75,615 RSUs had a vesting period of four years.</w:t>
      </w:r>
    </w:p>
    <w:p>
      <w:pPr>
        <w:spacing w:after="0" w:line="3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As of March 31, 2022, there was $1.5 million of unrecognized stock-based compensation expense related to options and PNQs, which is expected to be recognized over a weighted average period of approximately 1.20 years, and $9.4 million and $8.6 million of unrecognized stock-based compensation expense related to RSUs and Market RSUs, respectively, which is expected to be recognized over a weighted average period of approximately 2.86 and 1.84 years, respectively.</w:t>
      </w:r>
    </w:p>
    <w:p>
      <w:pPr>
        <w:spacing w:after="0" w:line="190"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Total stock-based compensation expense recognized in the condensed consolidated statements of operations as cost of goods sold, cost of revenue – collaborations and services, research and development and selling, general and administrative expense for the three months ended March 31, 2022 and 2021 was as follows (in thousands):</w:t>
      </w:r>
    </w:p>
    <w:p>
      <w:pPr>
        <w:spacing w:after="0" w:line="191"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Three Months Ended</w:t>
      </w:r>
    </w:p>
    <w:p>
      <w:pPr>
        <w:jc w:val="center"/>
        <w:ind w:left="7600"/>
        <w:spacing w:after="0" w:line="22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2"/>
        </w:trPr>
        <w:tc>
          <w:tcPr>
            <w:tcW w:w="520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0"/>
              <w:spacing w:after="0" w:line="15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6"/>
              <w:spacing w:after="0" w:line="15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18"/>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RSUs and options</w:t>
            </w:r>
          </w:p>
        </w:tc>
        <w:tc>
          <w:tcPr>
            <w:tcW w:w="356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FF0FC"/>
          </w:tcPr>
          <w:p>
            <w:pPr>
              <w:spacing w:after="0"/>
              <w:rPr>
                <w:sz w:val="18"/>
                <w:szCs w:val="18"/>
                <w:color w:val="auto"/>
              </w:rPr>
            </w:pPr>
          </w:p>
        </w:tc>
      </w:tr>
      <w:tr>
        <w:trPr>
          <w:trHeight w:val="224"/>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25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FF0FC"/>
            </w:tcBorders>
          </w:tcPr>
          <w:p>
            <w:pPr>
              <w:spacing w:after="0"/>
              <w:rPr>
                <w:sz w:val="19"/>
                <w:szCs w:val="19"/>
                <w:color w:val="auto"/>
              </w:rPr>
            </w:pPr>
          </w:p>
        </w:tc>
      </w:tr>
      <w:tr>
        <w:trPr>
          <w:trHeight w:val="218"/>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 compensation expense</w:t>
            </w:r>
          </w:p>
        </w:tc>
        <w:tc>
          <w:tcPr>
            <w:tcW w:w="356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2,806</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FF0FC"/>
          </w:tcPr>
          <w:p>
            <w:pPr>
              <w:spacing w:after="0"/>
              <w:rPr>
                <w:sz w:val="18"/>
                <w:szCs w:val="18"/>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5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Company provides all employees, including executive officers, the ability to purchase common stock at a discount under the Company’s 2004 employee stock purchase plan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identical to those of all other employees.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Company issued 233,401 and 292,981 shares of common stock pursuant to the ESPP for the three months ended March 31, 2022 and 2021,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0.9 million shares of common stock available for issuance under the ESPP as of March 31, 2022.</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16" w:lineRule="exact"/>
        <w:rPr>
          <w:sz w:val="20"/>
          <w:szCs w:val="20"/>
          <w:color w:val="auto"/>
        </w:rPr>
      </w:pPr>
    </w:p>
    <w:p>
      <w:pPr>
        <w:spacing w:after="0" w:line="303" w:lineRule="auto"/>
        <w:rPr>
          <w:sz w:val="20"/>
          <w:szCs w:val="20"/>
          <w:color w:val="auto"/>
        </w:rPr>
      </w:pPr>
      <w:r>
        <w:rPr>
          <w:rFonts w:ascii="Arial" w:cs="Arial" w:eastAsia="Arial" w:hAnsi="Arial"/>
          <w:sz w:val="15"/>
          <w:szCs w:val="15"/>
          <w:i w:val="1"/>
          <w:iCs w:val="1"/>
          <w:color w:val="auto"/>
        </w:rPr>
        <w:t xml:space="preserve">Guarantees and Indemnifications </w:t>
      </w:r>
      <w:r>
        <w:rPr>
          <w:rFonts w:ascii="Arial" w:cs="Arial" w:eastAsia="Arial" w:hAnsi="Arial"/>
          <w:sz w:val="15"/>
          <w:szCs w:val="15"/>
          <w:color w:val="auto"/>
        </w:rPr>
        <w:t>— In the ordinary course of its business, the Company makes certain indemnities, commitments and guarantees under which</w:t>
      </w:r>
      <w:r>
        <w:rPr>
          <w:rFonts w:ascii="Arial" w:cs="Arial" w:eastAsia="Arial" w:hAnsi="Arial"/>
          <w:sz w:val="15"/>
          <w:szCs w:val="15"/>
          <w:i w:val="1"/>
          <w:iCs w:val="1"/>
          <w:color w:val="auto"/>
        </w:rPr>
        <w:t xml:space="preserve"> </w:t>
      </w:r>
      <w:r>
        <w:rPr>
          <w:rFonts w:ascii="Arial" w:cs="Arial" w:eastAsia="Arial" w:hAnsi="Arial"/>
          <w:sz w:val="15"/>
          <w:szCs w:val="15"/>
          <w:color w:val="auto"/>
        </w:rPr>
        <w:t>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5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subject to legal proceedings and claims which arise in the ordinary course of its business. As of March 31, 2022,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28" w:name="page29"/>
    <w:bookmarkEnd w:id="28"/>
    <w:p>
      <w:pPr>
        <w:ind w:right="180"/>
        <w:spacing w:after="0" w:line="364" w:lineRule="auto"/>
        <w:rPr>
          <w:sz w:val="20"/>
          <w:szCs w:val="20"/>
          <w:color w:val="auto"/>
        </w:rPr>
      </w:pPr>
      <w:r>
        <w:rPr>
          <w:rFonts w:ascii="Arial" w:cs="Arial" w:eastAsia="Arial" w:hAnsi="Arial"/>
          <w:sz w:val="15"/>
          <w:szCs w:val="15"/>
          <w:color w:val="auto"/>
        </w:rPr>
        <w:t>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July 2013, the Company entered into the Milestone Rights Agreement with the Original Milestone Purchasers, pursuant to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granted the Milestone Rights to receive payments up to $90.0 million upon the occurrence of specified strategic and sales milestones, $65.0 million of which remains payable to the Milestone Purchasers upon achievement of such milestones (see Note 7 – </w:t>
      </w:r>
      <w:r>
        <w:rPr>
          <w:rFonts w:ascii="Arial" w:cs="Arial" w:eastAsia="Arial" w:hAnsi="Arial"/>
          <w:sz w:val="18"/>
          <w:szCs w:val="18"/>
          <w:i w:val="1"/>
          <w:iCs w:val="1"/>
          <w:color w:val="auto"/>
        </w:rPr>
        <w:t>Borrowings</w:t>
      </w:r>
      <w:r>
        <w:rPr>
          <w:rFonts w:ascii="Arial" w:cs="Arial" w:eastAsia="Arial" w:hAnsi="Arial"/>
          <w:sz w:val="18"/>
          <w:szCs w:val="18"/>
          <w:color w:val="auto"/>
        </w:rPr>
        <w:t>). The fair value of the Milestone Rights is recorded in the condensed consolidated balance sheet, including $1.1 million in accrued expenses and other current liabilities and $4.8 million in milestone rights liability.</w:t>
      </w:r>
    </w:p>
    <w:p>
      <w:pPr>
        <w:spacing w:after="0" w:line="1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Sale-Leaseback Transaction</w:t>
      </w:r>
      <w:r>
        <w:rPr>
          <w:rFonts w:ascii="Arial" w:cs="Arial" w:eastAsia="Arial" w:hAnsi="Arial"/>
          <w:sz w:val="18"/>
          <w:szCs w:val="18"/>
          <w:color w:val="auto"/>
        </w:rPr>
        <w:t>— On November 8, 2021, the Company sold the Property to the Purchaser for a sales price of $102.3 million, subject to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conditions contained in a purchase and sale agreement.</w:t>
      </w:r>
    </w:p>
    <w:p>
      <w:pPr>
        <w:spacing w:after="0" w:line="180" w:lineRule="exact"/>
        <w:rPr>
          <w:sz w:val="20"/>
          <w:szCs w:val="20"/>
          <w:color w:val="auto"/>
        </w:rPr>
      </w:pPr>
    </w:p>
    <w:p>
      <w:pPr>
        <w:ind w:right="120"/>
        <w:spacing w:after="0" w:line="299" w:lineRule="auto"/>
        <w:rPr>
          <w:sz w:val="20"/>
          <w:szCs w:val="20"/>
          <w:color w:val="auto"/>
        </w:rPr>
      </w:pPr>
      <w:r>
        <w:rPr>
          <w:rFonts w:ascii="Arial" w:cs="Arial" w:eastAsia="Arial" w:hAnsi="Arial"/>
          <w:sz w:val="15"/>
          <w:szCs w:val="15"/>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2.5% in the second through fifth year of the Lease and (ii) 3% in the sixth and each subsequent year of the Lease, including any renewal term.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and (ii) the fair market value of the Property.</w:t>
      </w:r>
    </w:p>
    <w:p>
      <w:pPr>
        <w:spacing w:after="0" w:line="196" w:lineRule="exact"/>
        <w:rPr>
          <w:sz w:val="20"/>
          <w:szCs w:val="20"/>
          <w:color w:val="auto"/>
        </w:rPr>
      </w:pPr>
    </w:p>
    <w:p>
      <w:pPr>
        <w:ind w:right="20"/>
        <w:spacing w:after="0" w:line="317" w:lineRule="auto"/>
        <w:rPr>
          <w:sz w:val="20"/>
          <w:szCs w:val="20"/>
          <w:color w:val="auto"/>
        </w:rPr>
      </w:pPr>
      <w:r>
        <w:rPr>
          <w:rFonts w:ascii="Arial" w:cs="Arial" w:eastAsia="Arial" w:hAnsi="Arial"/>
          <w:sz w:val="15"/>
          <w:szCs w:val="15"/>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As of March 31, 2022, the related financing liability was $102.9 million, which was recognized in our condensed consolidated balance sheet as $93.5 million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of financing liability — long-term and $9.4 million of financing liability — short-term. As of December 31, 2021, the related financing liability was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$100.5 million, which was recognized in our condensed consolidated balance sheet as $93.5 million of financing liability — long-term and $7.0 million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financing liability — short-term.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Financing liability information is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20" w:type="dxa"/>
            <w:vAlign w:val="bottom"/>
            <w:tcBorders>
              <w:bottom w:val="single" w:sz="8" w:color="CFF0FC"/>
            </w:tcBorders>
          </w:tcPr>
          <w:p>
            <w:pPr>
              <w:spacing w:after="0"/>
              <w:rPr>
                <w:sz w:val="14"/>
                <w:szCs w:val="14"/>
                <w:color w:val="auto"/>
              </w:rPr>
            </w:pPr>
          </w:p>
        </w:tc>
        <w:tc>
          <w:tcPr>
            <w:tcW w:w="24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March 31, 2022</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2021</w:t>
            </w: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18"/>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2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19.8</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4"/>
        </w:trPr>
        <w:tc>
          <w:tcPr>
            <w:tcW w:w="45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1460" w:type="dxa"/>
            <w:vAlign w:val="bottom"/>
          </w:tcPr>
          <w:p>
            <w:pPr>
              <w:spacing w:after="0"/>
              <w:rPr>
                <w:sz w:val="19"/>
                <w:szCs w:val="19"/>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r>
      <w:tr>
        <w:trPr>
          <w:trHeight w:val="559"/>
        </w:trPr>
        <w:tc>
          <w:tcPr>
            <w:tcW w:w="45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gridSpan w:val="4"/>
          </w:tcPr>
          <w:p>
            <w:pPr>
              <w:jc w:val="center"/>
              <w:ind w:left="310"/>
              <w:spacing w:after="0"/>
              <w:rPr>
                <w:sz w:val="20"/>
                <w:szCs w:val="20"/>
                <w:color w:val="auto"/>
              </w:rPr>
            </w:pPr>
            <w:r>
              <w:rPr>
                <w:rFonts w:ascii="Arial" w:cs="Arial" w:eastAsia="Arial" w:hAnsi="Arial"/>
                <w:sz w:val="14"/>
                <w:szCs w:val="14"/>
                <w:b w:val="1"/>
                <w:bCs w:val="1"/>
                <w:color w:val="auto"/>
                <w:w w:val="92"/>
              </w:rPr>
              <w:t>Three Months Ended</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4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00" w:type="dxa"/>
            <w:vAlign w:val="bottom"/>
            <w:gridSpan w:val="3"/>
          </w:tcPr>
          <w:p>
            <w:pPr>
              <w:jc w:val="center"/>
              <w:ind w:right="1164"/>
              <w:spacing w:after="0"/>
              <w:rPr>
                <w:sz w:val="20"/>
                <w:szCs w:val="20"/>
                <w:color w:val="auto"/>
              </w:rPr>
            </w:pPr>
            <w:r>
              <w:rPr>
                <w:rFonts w:ascii="Arial" w:cs="Arial" w:eastAsia="Arial" w:hAnsi="Arial"/>
                <w:sz w:val="14"/>
                <w:szCs w:val="14"/>
                <w:b w:val="1"/>
                <w:bCs w:val="1"/>
                <w:color w:val="auto"/>
                <w:w w:val="95"/>
              </w:rPr>
              <w:t>March 31,</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9"/>
        </w:trPr>
        <w:tc>
          <w:tcPr>
            <w:tcW w:w="4520" w:type="dxa"/>
            <w:vAlign w:val="bottom"/>
            <w:tcBorders>
              <w:bottom w:val="single" w:sz="8" w:color="CFF0FC"/>
            </w:tcBorders>
          </w:tcPr>
          <w:p>
            <w:pPr>
              <w:spacing w:after="0"/>
              <w:rPr>
                <w:sz w:val="18"/>
                <w:szCs w:val="18"/>
                <w:color w:val="auto"/>
              </w:rPr>
            </w:pPr>
          </w:p>
        </w:tc>
        <w:tc>
          <w:tcPr>
            <w:tcW w:w="2520" w:type="dxa"/>
            <w:vAlign w:val="bottom"/>
            <w:tcBorders>
              <w:bottom w:val="single" w:sz="8" w:color="CFF0FC"/>
            </w:tcBorders>
            <w:gridSpan w:val="2"/>
          </w:tcPr>
          <w:p>
            <w:pPr>
              <w:spacing w:after="0"/>
              <w:rPr>
                <w:sz w:val="18"/>
                <w:szCs w:val="18"/>
                <w:color w:val="auto"/>
              </w:rPr>
            </w:pPr>
          </w:p>
        </w:tc>
        <w:tc>
          <w:tcPr>
            <w:tcW w:w="16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8"/>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financing liability</w:t>
            </w:r>
          </w:p>
        </w:tc>
        <w:tc>
          <w:tcPr>
            <w:tcW w:w="4120" w:type="dxa"/>
            <w:vAlign w:val="bottom"/>
            <w:gridSpan w:val="3"/>
            <w:shd w:val="clear" w:color="auto" w:fill="CFF0FC"/>
          </w:tcPr>
          <w:p>
            <w:pPr>
              <w:jc w:val="right"/>
              <w:ind w:right="14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2,371</w:t>
            </w:r>
          </w:p>
        </w:tc>
        <w:tc>
          <w:tcPr>
            <w:tcW w:w="1460" w:type="dxa"/>
            <w:vAlign w:val="bottom"/>
            <w:shd w:val="clear" w:color="auto" w:fill="CFF0FC"/>
          </w:tcPr>
          <w:p>
            <w:pPr>
              <w:jc w:val="right"/>
              <w:ind w:right="1244"/>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633"/>
        </w:trPr>
        <w:tc>
          <w:tcPr>
            <w:tcW w:w="4520" w:type="dxa"/>
            <w:vAlign w:val="bottom"/>
          </w:tcPr>
          <w:p>
            <w:pPr>
              <w:spacing w:after="0"/>
              <w:rPr>
                <w:sz w:val="24"/>
                <w:szCs w:val="24"/>
                <w:color w:val="auto"/>
              </w:rPr>
            </w:pPr>
          </w:p>
        </w:tc>
        <w:tc>
          <w:tcPr>
            <w:tcW w:w="2440" w:type="dxa"/>
            <w:vAlign w:val="bottom"/>
          </w:tcPr>
          <w:p>
            <w:pPr>
              <w:jc w:val="right"/>
              <w:ind w:right="1152"/>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3"/>
        </w:trPr>
        <w:tc>
          <w:tcPr>
            <w:tcW w:w="452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Financing liability payments as of March 31, 2022 was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60" w:type="dxa"/>
            <w:vAlign w:val="bottom"/>
            <w:tcBorders>
              <w:bottom w:val="single" w:sz="8" w:color="CFF0FC"/>
            </w:tcBorders>
          </w:tcPr>
          <w:p>
            <w:pPr>
              <w:spacing w:after="0"/>
              <w:rPr>
                <w:sz w:val="14"/>
                <w:szCs w:val="14"/>
                <w:color w:val="auto"/>
              </w:rPr>
            </w:pPr>
          </w:p>
        </w:tc>
        <w:tc>
          <w:tcPr>
            <w:tcW w:w="27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2022</w:t>
            </w:r>
            <w:r>
              <w:rPr>
                <w:rFonts w:ascii="Arial" w:cs="Arial" w:eastAsia="Arial" w:hAnsi="Arial"/>
                <w:sz w:val="14"/>
                <w:szCs w:val="14"/>
                <w:color w:val="auto"/>
              </w:rPr>
              <w:t>(1)</w:t>
            </w:r>
          </w:p>
        </w:tc>
        <w:tc>
          <w:tcPr>
            <w:tcW w:w="3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2023</w:t>
            </w: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2025</w:t>
            </w: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10,274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7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199,091</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246,078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Interest expense</w:t>
            </w:r>
          </w:p>
        </w:tc>
        <w:tc>
          <w:tcPr>
            <w:tcW w:w="2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(140,165)</w:t>
            </w:r>
          </w:p>
        </w:tc>
        <w:tc>
          <w:tcPr>
            <w:tcW w:w="22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(142,485)</w:t>
            </w:r>
          </w:p>
        </w:tc>
        <w:tc>
          <w:tcPr>
            <w:tcW w:w="0" w:type="dxa"/>
            <w:vAlign w:val="bottom"/>
          </w:tcPr>
          <w:p>
            <w:pPr>
              <w:spacing w:after="0"/>
              <w:rPr>
                <w:sz w:val="1"/>
                <w:szCs w:val="1"/>
                <w:color w:val="auto"/>
              </w:rPr>
            </w:pPr>
          </w:p>
        </w:tc>
      </w:tr>
      <w:tr>
        <w:trPr>
          <w:trHeight w:val="225"/>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2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(3,040)</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Total financing liability</w:t>
            </w:r>
          </w:p>
        </w:tc>
        <w:tc>
          <w:tcPr>
            <w:tcW w:w="2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vMerge w:val="continue"/>
          </w:tcPr>
          <w:p>
            <w:pPr>
              <w:spacing w:after="0"/>
              <w:rPr>
                <w:sz w:val="18"/>
                <w:szCs w:val="18"/>
                <w:color w:val="auto"/>
              </w:rPr>
            </w:pPr>
          </w:p>
        </w:tc>
        <w:tc>
          <w:tcPr>
            <w:tcW w:w="3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102,873</w:t>
            </w:r>
          </w:p>
        </w:tc>
        <w:tc>
          <w:tcPr>
            <w:tcW w:w="1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100,502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4481195</wp:posOffset>
            </wp:positionH>
            <wp:positionV relativeFrom="paragraph">
              <wp:posOffset>635</wp:posOffset>
            </wp:positionV>
            <wp:extent cx="259080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0800" cy="2540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7" w:lineRule="exact"/>
        <w:rPr>
          <w:sz w:val="20"/>
          <w:szCs w:val="20"/>
          <w:color w:val="auto"/>
        </w:rPr>
      </w:pPr>
    </w:p>
    <w:p>
      <w:pPr>
        <w:ind w:left="380" w:hanging="374"/>
        <w:spacing w:after="0"/>
        <w:tabs>
          <w:tab w:leader="none" w:pos="3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2022 includes amortization of the rent abatement.</w:t>
      </w:r>
    </w:p>
    <w:p>
      <w:pPr>
        <w:spacing w:after="0" w:line="220" w:lineRule="exact"/>
        <w:rPr>
          <w:sz w:val="20"/>
          <w:szCs w:val="20"/>
          <w:color w:val="auto"/>
        </w:rPr>
      </w:pPr>
    </w:p>
    <w:p>
      <w:pPr>
        <w:jc w:val="both"/>
        <w:ind w:right="180"/>
        <w:spacing w:after="0" w:line="328" w:lineRule="auto"/>
        <w:rPr>
          <w:sz w:val="20"/>
          <w:szCs w:val="20"/>
          <w:color w:val="auto"/>
        </w:rPr>
      </w:pPr>
      <w:r>
        <w:rPr>
          <w:rFonts w:ascii="Arial" w:cs="Arial" w:eastAsia="Arial" w:hAnsi="Arial"/>
          <w:sz w:val="15"/>
          <w:szCs w:val="15"/>
          <w:i w:val="1"/>
          <w:iCs w:val="1"/>
          <w:color w:val="auto"/>
        </w:rPr>
        <w:t xml:space="preserve">Commitments </w:t>
      </w:r>
      <w:r>
        <w:rPr>
          <w:rFonts w:ascii="Arial" w:cs="Arial" w:eastAsia="Arial" w:hAnsi="Arial"/>
          <w:sz w:val="15"/>
          <w:szCs w:val="15"/>
          <w:color w:val="auto"/>
        </w:rPr>
        <w:t>— In July 2014, the Company entered into the Insulin Supply Agreement with Amphastar pursuant to which Amphastar manufactures for and</w:t>
      </w:r>
      <w:r>
        <w:rPr>
          <w:rFonts w:ascii="Arial" w:cs="Arial" w:eastAsia="Arial" w:hAnsi="Arial"/>
          <w:sz w:val="15"/>
          <w:szCs w:val="15"/>
          <w:i w:val="1"/>
          <w:iCs w:val="1"/>
          <w:color w:val="auto"/>
        </w:rPr>
        <w:t xml:space="preserve"> </w:t>
      </w:r>
      <w:r>
        <w:rPr>
          <w:rFonts w:ascii="Arial" w:cs="Arial" w:eastAsia="Arial" w:hAnsi="Arial"/>
          <w:sz w:val="15"/>
          <w:szCs w:val="15"/>
          <w:color w:val="auto"/>
        </w:rPr>
        <w:t>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7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May 2021, the Company and Amphastar France Pharmaceuticals S.A.S. (“Amphastar”) amended the Insulin Supply Agreement to extend the term and restructure the annual purchase commitments. In connection with the amendment, the Company agreed to pay $2.0 million of amendment fees, which were recognized in cost of goods sold for the year ended December 31, 2021. The remaining purchase commitments as of March 31, 2022 and March 31, 2021 (pre-amendment)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CFF0FC"/>
            </w:tcBorders>
          </w:tcPr>
          <w:p>
            <w:pPr>
              <w:spacing w:after="0"/>
              <w:rPr>
                <w:sz w:val="14"/>
                <w:szCs w:val="14"/>
                <w:color w:val="auto"/>
              </w:rPr>
            </w:pPr>
          </w:p>
        </w:tc>
      </w:tr>
      <w:tr>
        <w:trPr>
          <w:trHeight w:val="218"/>
        </w:trPr>
        <w:tc>
          <w:tcPr>
            <w:tcW w:w="7260" w:type="dxa"/>
            <w:vAlign w:val="bottom"/>
            <w:shd w:val="clear" w:color="auto" w:fill="CFF0FC"/>
          </w:tcPr>
          <w:p>
            <w:pPr>
              <w:jc w:val="right"/>
              <w:ind w:right="6812"/>
              <w:spacing w:after="0"/>
              <w:rPr>
                <w:sz w:val="20"/>
                <w:szCs w:val="20"/>
                <w:color w:val="auto"/>
              </w:rPr>
            </w:pPr>
            <w:r>
              <w:rPr>
                <w:rFonts w:ascii="Arial" w:cs="Arial" w:eastAsia="Arial" w:hAnsi="Arial"/>
                <w:sz w:val="18"/>
                <w:szCs w:val="18"/>
                <w:color w:val="auto"/>
                <w:w w:val="84"/>
              </w:rPr>
              <w:t>2021</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 million</w:t>
            </w:r>
          </w:p>
        </w:tc>
      </w:tr>
      <w:tr>
        <w:trPr>
          <w:trHeight w:val="224"/>
        </w:trPr>
        <w:tc>
          <w:tcPr>
            <w:tcW w:w="7260" w:type="dxa"/>
            <w:vAlign w:val="bottom"/>
          </w:tcPr>
          <w:p>
            <w:pPr>
              <w:jc w:val="right"/>
              <w:ind w:right="6812"/>
              <w:spacing w:after="0"/>
              <w:rPr>
                <w:sz w:val="20"/>
                <w:szCs w:val="20"/>
                <w:color w:val="auto"/>
              </w:rPr>
            </w:pPr>
            <w:r>
              <w:rPr>
                <w:rFonts w:ascii="Arial" w:cs="Arial" w:eastAsia="Arial" w:hAnsi="Arial"/>
                <w:sz w:val="18"/>
                <w:szCs w:val="18"/>
                <w:color w:val="auto"/>
                <w:w w:val="84"/>
              </w:rPr>
              <w:t>2022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4.1 million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8.5 million</w:t>
            </w:r>
          </w:p>
        </w:tc>
      </w:tr>
      <w:tr>
        <w:trPr>
          <w:trHeight w:val="225"/>
        </w:trPr>
        <w:tc>
          <w:tcPr>
            <w:tcW w:w="7260" w:type="dxa"/>
            <w:vAlign w:val="bottom"/>
            <w:shd w:val="clear" w:color="auto" w:fill="CFF0FC"/>
          </w:tcPr>
          <w:p>
            <w:pPr>
              <w:jc w:val="right"/>
              <w:ind w:right="6812"/>
              <w:spacing w:after="0"/>
              <w:rPr>
                <w:sz w:val="20"/>
                <w:szCs w:val="20"/>
                <w:color w:val="auto"/>
              </w:rPr>
            </w:pPr>
            <w:r>
              <w:rPr>
                <w:rFonts w:ascii="Arial" w:cs="Arial" w:eastAsia="Arial" w:hAnsi="Arial"/>
                <w:sz w:val="18"/>
                <w:szCs w:val="18"/>
                <w:color w:val="auto"/>
                <w:w w:val="84"/>
              </w:rPr>
              <w:t>2023</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8.8 million</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10.9 million</w:t>
            </w:r>
          </w:p>
        </w:tc>
      </w:tr>
      <w:tr>
        <w:trPr>
          <w:trHeight w:val="224"/>
        </w:trPr>
        <w:tc>
          <w:tcPr>
            <w:tcW w:w="7260" w:type="dxa"/>
            <w:vAlign w:val="bottom"/>
          </w:tcPr>
          <w:p>
            <w:pPr>
              <w:jc w:val="right"/>
              <w:ind w:right="6812"/>
              <w:spacing w:after="0"/>
              <w:rPr>
                <w:sz w:val="20"/>
                <w:szCs w:val="20"/>
                <w:color w:val="auto"/>
              </w:rPr>
            </w:pPr>
            <w:r>
              <w:rPr>
                <w:rFonts w:ascii="Arial" w:cs="Arial" w:eastAsia="Arial" w:hAnsi="Arial"/>
                <w:sz w:val="18"/>
                <w:szCs w:val="18"/>
                <w:color w:val="auto"/>
                <w:w w:val="84"/>
              </w:rPr>
              <w:t>2024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14.6 million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14.6 million</w:t>
            </w:r>
          </w:p>
        </w:tc>
      </w:tr>
      <w:tr>
        <w:trPr>
          <w:trHeight w:val="225"/>
        </w:trPr>
        <w:tc>
          <w:tcPr>
            <w:tcW w:w="7260" w:type="dxa"/>
            <w:vAlign w:val="bottom"/>
            <w:shd w:val="clear" w:color="auto" w:fill="CFF0FC"/>
          </w:tcPr>
          <w:p>
            <w:pPr>
              <w:jc w:val="right"/>
              <w:ind w:right="6812"/>
              <w:spacing w:after="0"/>
              <w:rPr>
                <w:sz w:val="20"/>
                <w:szCs w:val="20"/>
                <w:color w:val="auto"/>
              </w:rPr>
            </w:pPr>
            <w:r>
              <w:rPr>
                <w:rFonts w:ascii="Arial" w:cs="Arial" w:eastAsia="Arial" w:hAnsi="Arial"/>
                <w:sz w:val="18"/>
                <w:szCs w:val="18"/>
                <w:color w:val="auto"/>
                <w:w w:val="84"/>
              </w:rPr>
              <w:t>2025</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15.5 million</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15.5 million</w:t>
            </w:r>
          </w:p>
        </w:tc>
      </w:tr>
      <w:tr>
        <w:trPr>
          <w:trHeight w:val="224"/>
        </w:trPr>
        <w:tc>
          <w:tcPr>
            <w:tcW w:w="7260" w:type="dxa"/>
            <w:vAlign w:val="bottom"/>
          </w:tcPr>
          <w:p>
            <w:pPr>
              <w:jc w:val="right"/>
              <w:ind w:right="6812"/>
              <w:spacing w:after="0"/>
              <w:rPr>
                <w:sz w:val="20"/>
                <w:szCs w:val="20"/>
                <w:color w:val="auto"/>
              </w:rPr>
            </w:pPr>
            <w:r>
              <w:rPr>
                <w:rFonts w:ascii="Arial" w:cs="Arial" w:eastAsia="Arial" w:hAnsi="Arial"/>
                <w:sz w:val="18"/>
                <w:szCs w:val="18"/>
                <w:color w:val="auto"/>
                <w:w w:val="84"/>
              </w:rPr>
              <w:t>2026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rPr>
              <w:t>19.4 million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19.4 million</w:t>
            </w:r>
          </w:p>
        </w:tc>
      </w:tr>
      <w:tr>
        <w:trPr>
          <w:trHeight w:val="225"/>
        </w:trPr>
        <w:tc>
          <w:tcPr>
            <w:tcW w:w="7260" w:type="dxa"/>
            <w:vAlign w:val="bottom"/>
            <w:shd w:val="clear" w:color="auto" w:fill="CFF0FC"/>
          </w:tcPr>
          <w:p>
            <w:pPr>
              <w:jc w:val="right"/>
              <w:ind w:right="6812"/>
              <w:spacing w:after="0"/>
              <w:rPr>
                <w:sz w:val="20"/>
                <w:szCs w:val="20"/>
                <w:color w:val="auto"/>
              </w:rPr>
            </w:pPr>
            <w:r>
              <w:rPr>
                <w:rFonts w:ascii="Arial" w:cs="Arial" w:eastAsia="Arial" w:hAnsi="Arial"/>
                <w:sz w:val="18"/>
                <w:szCs w:val="18"/>
                <w:color w:val="auto"/>
                <w:w w:val="84"/>
              </w:rPr>
              <w:t>2027</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9.2 million</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Pursuant to the amendment, the term of the Insulin Supply Agreement expires on December 31, 2027,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250" w:lineRule="exact"/>
        <w:rPr>
          <w:sz w:val="20"/>
          <w:szCs w:val="20"/>
          <w:color w:val="auto"/>
        </w:rPr>
      </w:pPr>
    </w:p>
    <w:p>
      <w:pPr>
        <w:ind w:right="20"/>
        <w:spacing w:after="0" w:line="311" w:lineRule="auto"/>
        <w:rPr>
          <w:sz w:val="20"/>
          <w:szCs w:val="20"/>
          <w:color w:val="auto"/>
        </w:rPr>
      </w:pPr>
      <w:r>
        <w:rPr>
          <w:rFonts w:ascii="Arial" w:cs="Arial" w:eastAsia="Arial" w:hAnsi="Arial"/>
          <w:sz w:val="15"/>
          <w:szCs w:val="15"/>
          <w:i w:val="1"/>
          <w:iCs w:val="1"/>
          <w:color w:val="auto"/>
        </w:rPr>
        <w:t xml:space="preserve">Vehicle Leases – </w:t>
      </w:r>
      <w:r>
        <w:rPr>
          <w:rFonts w:ascii="Arial" w:cs="Arial" w:eastAsia="Arial" w:hAnsi="Arial"/>
          <w:sz w:val="15"/>
          <w:szCs w:val="15"/>
          <w:color w:val="auto"/>
        </w:rPr>
        <w:t>During the second quarter of 2018, the Company entered into a master lease agreement with Enterprise Fleet Management Inc. During 2021,</w:t>
      </w:r>
      <w:r>
        <w:rPr>
          <w:rFonts w:ascii="Arial" w:cs="Arial" w:eastAsia="Arial" w:hAnsi="Arial"/>
          <w:sz w:val="15"/>
          <w:szCs w:val="15"/>
          <w:i w:val="1"/>
          <w:iCs w:val="1"/>
          <w:color w:val="auto"/>
        </w:rPr>
        <w:t xml:space="preserve"> </w:t>
      </w:r>
      <w:r>
        <w:rPr>
          <w:rFonts w:ascii="Arial" w:cs="Arial" w:eastAsia="Arial" w:hAnsi="Arial"/>
          <w:sz w:val="15"/>
          <w:szCs w:val="15"/>
          <w:color w:val="auto"/>
        </w:rPr>
        <w:t>85 vehicles were retired and replaced, resulting in a fleet size of 89 vehicles. The Company received proceeds for the gain on the retired vehicles residual value in the amount of $0.5 million, which is included as a reduction to our lease expense. The revised monthly payment inclusive of maintenance fees, insurance and taxes is approximately $0.1 million and the additional right of use asset and lease obligation is approximately $1.4 million in the condensed consolidated balance sheets. The lease expense is included in selling, general and administrative expenses in the condensed consolidated statements of operations.</w:t>
      </w:r>
    </w:p>
    <w:p>
      <w:pPr>
        <w:spacing w:after="0" w:line="15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i w:val="1"/>
          <w:iCs w:val="1"/>
          <w:color w:val="auto"/>
        </w:rPr>
        <w:t xml:space="preserve">Office Leases </w:t>
      </w:r>
      <w:r>
        <w:rPr>
          <w:rFonts w:ascii="Arial" w:cs="Arial" w:eastAsia="Arial" w:hAnsi="Arial"/>
          <w:sz w:val="17"/>
          <w:szCs w:val="17"/>
          <w:color w:val="auto"/>
        </w:rPr>
        <w:t>— In May 2017, the Company executed an office lease with Russell Ranch Road II LLC for the Company’s corporate offices in Westlake</w:t>
      </w:r>
      <w:r>
        <w:rPr>
          <w:rFonts w:ascii="Arial" w:cs="Arial" w:eastAsia="Arial" w:hAnsi="Arial"/>
          <w:sz w:val="17"/>
          <w:szCs w:val="17"/>
          <w:i w:val="1"/>
          <w:iCs w:val="1"/>
          <w:color w:val="auto"/>
        </w:rPr>
        <w:t xml:space="preserve"> </w:t>
      </w:r>
      <w:r>
        <w:rPr>
          <w:rFonts w:ascii="Arial" w:cs="Arial" w:eastAsia="Arial" w:hAnsi="Arial"/>
          <w:sz w:val="17"/>
          <w:szCs w:val="17"/>
          <w:color w:val="auto"/>
        </w:rPr>
        <w:t>Village, California. The office lease commenced in August 2017. The Company agreed to pay initial monthly lease payments of $40,951, subject to 3% annual increases, plus the estimated cost of maintaining the property and common areas by the landlord, with a five-month concession from October 2017 through February 2018. The lease also provides for allowances for tenant alterations and maintenance. The lease expense is included in selling, general and administrative expenses in the condensed consolidated statements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0" w:name="page31"/>
    <w:bookmarkEnd w:id="30"/>
    <w:p>
      <w:pPr>
        <w:jc w:val="both"/>
        <w:ind w:right="100"/>
        <w:spacing w:after="0" w:line="249" w:lineRule="auto"/>
        <w:rPr>
          <w:sz w:val="20"/>
          <w:szCs w:val="20"/>
          <w:color w:val="auto"/>
        </w:rPr>
      </w:pPr>
      <w:r>
        <w:rPr>
          <w:rFonts w:ascii="Arial" w:cs="Arial" w:eastAsia="Arial" w:hAnsi="Arial"/>
          <w:sz w:val="18"/>
          <w:szCs w:val="18"/>
          <w:color w:val="auto"/>
        </w:rPr>
        <w:t>In November 2017, the Company executed an office lease with Russell Ranch Road II LLC to expand the office space for the Company’s corporate offices in Westlake Village, California. The office lease commenced in October 2018. The Company agreed to pay initial monthly lease payments of $35,969, subject to a 3% annual increase, plus the estimated operating cost of maintaining the property by the landlord, which are allocable based an annual assessment made by the landlord. In addition, the Company received reimbursement from the landlord of $56,325 for tenant improvements and was not required to pay a first-year common area maintenance fee.</w:t>
      </w:r>
    </w:p>
    <w:p>
      <w:pPr>
        <w:spacing w:after="0" w:line="194" w:lineRule="exact"/>
        <w:rPr>
          <w:sz w:val="20"/>
          <w:szCs w:val="20"/>
          <w:color w:val="auto"/>
        </w:rPr>
      </w:pPr>
    </w:p>
    <w:p>
      <w:pPr>
        <w:ind w:right="140"/>
        <w:spacing w:after="0" w:line="281" w:lineRule="auto"/>
        <w:rPr>
          <w:sz w:val="20"/>
          <w:szCs w:val="20"/>
          <w:color w:val="auto"/>
        </w:rPr>
      </w:pPr>
      <w:r>
        <w:rPr>
          <w:rFonts w:ascii="Arial" w:cs="Arial" w:eastAsia="Arial" w:hAnsi="Arial"/>
          <w:sz w:val="18"/>
          <w:szCs w:val="18"/>
          <w:color w:val="auto"/>
        </w:rPr>
        <w:t>Subsequent to March 31, 2022, the Company renewed its office lease with Russell Ranch Road II LLC. Pursuant to the renewal, the Company will pay initial monthly payments of $79,543, subject to 3% annual increases, plus the estimated cost of maintaining the property and common areas by the landlord. The Company will receive a fourteen-month concession from the lease commencement period of February 2023 through March 2024. The lease provides the Company with a 66 month renewal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Lease information is as follows (in thousands):</w:t>
      </w:r>
    </w:p>
    <w:p>
      <w:pPr>
        <w:spacing w:after="0" w:line="8"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Three Months Ended</w:t>
      </w:r>
    </w:p>
    <w:p>
      <w:pPr>
        <w:jc w:val="center"/>
        <w:ind w:left="7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4690745</wp:posOffset>
            </wp:positionH>
            <wp:positionV relativeFrom="paragraph">
              <wp:posOffset>-5080</wp:posOffset>
            </wp:positionV>
            <wp:extent cx="23812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18"/>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8"/>
                <w:szCs w:val="18"/>
                <w:color w:val="auto"/>
              </w:rPr>
            </w:pPr>
          </w:p>
        </w:tc>
      </w:tr>
      <w:tr>
        <w:trPr>
          <w:trHeight w:val="224"/>
        </w:trPr>
        <w:tc>
          <w:tcPr>
            <w:tcW w:w="7380" w:type="dxa"/>
            <w:vAlign w:val="bottom"/>
            <w:gridSpan w:val="2"/>
          </w:tcPr>
          <w:p>
            <w:pPr>
              <w:spacing w:after="0"/>
              <w:rPr>
                <w:sz w:val="20"/>
                <w:szCs w:val="20"/>
                <w:color w:val="auto"/>
              </w:rPr>
            </w:pPr>
            <w:r>
              <w:rPr>
                <w:rFonts w:ascii="Arial" w:cs="Arial" w:eastAsia="Arial" w:hAnsi="Arial"/>
                <w:sz w:val="18"/>
                <w:szCs w:val="18"/>
                <w:color w:val="auto"/>
              </w:rPr>
              <w:t>Variable lease costs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r>
      <w:tr>
        <w:trPr>
          <w:trHeight w:val="225"/>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442</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FF0FC"/>
          </w:tcPr>
          <w:p>
            <w:pPr>
              <w:spacing w:after="0"/>
              <w:rPr>
                <w:sz w:val="19"/>
                <w:szCs w:val="19"/>
                <w:color w:val="auto"/>
              </w:rPr>
            </w:pPr>
          </w:p>
        </w:tc>
      </w:tr>
      <w:tr>
        <w:trPr>
          <w:trHeight w:val="647"/>
        </w:trPr>
        <w:tc>
          <w:tcPr>
            <w:tcW w:w="726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8"/>
              </w:rPr>
              <w:t>March 31, 2022</w:t>
            </w:r>
          </w:p>
        </w:tc>
        <w:tc>
          <w:tcPr>
            <w:tcW w:w="360" w:type="dxa"/>
            <w:vAlign w:val="bottom"/>
            <w:tcBorders>
              <w:bottom w:val="single" w:sz="8" w:color="CFF0FC"/>
            </w:tcBorders>
            <w:gridSpan w:val="3"/>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CFF0FC"/>
            </w:tcBorders>
            <w:gridSpan w:val="2"/>
          </w:tcPr>
          <w:p>
            <w:pPr>
              <w:spacing w:after="0"/>
              <w:rPr>
                <w:sz w:val="24"/>
                <w:szCs w:val="24"/>
                <w:color w:val="auto"/>
              </w:rPr>
            </w:pPr>
          </w:p>
        </w:tc>
      </w:tr>
      <w:tr>
        <w:trPr>
          <w:trHeight w:val="218"/>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ind w:left="1240"/>
              <w:spacing w:after="0"/>
              <w:rPr>
                <w:sz w:val="20"/>
                <w:szCs w:val="20"/>
                <w:color w:val="auto"/>
              </w:rPr>
            </w:pPr>
            <w:r>
              <w:rPr>
                <w:rFonts w:ascii="Arial" w:cs="Arial" w:eastAsia="Arial" w:hAnsi="Arial"/>
                <w:sz w:val="18"/>
                <w:szCs w:val="18"/>
                <w:color w:val="auto"/>
                <w:w w:val="87"/>
              </w:rPr>
              <w:t>2.6</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4"/>
        </w:trPr>
        <w:tc>
          <w:tcPr>
            <w:tcW w:w="738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3"/>
          </w:tcPr>
          <w:p>
            <w:pPr>
              <w:ind w:left="1240"/>
              <w:spacing w:after="0"/>
              <w:rPr>
                <w:sz w:val="20"/>
                <w:szCs w:val="20"/>
                <w:color w:val="auto"/>
              </w:rPr>
            </w:pPr>
            <w:r>
              <w:rPr>
                <w:rFonts w:ascii="Arial" w:cs="Arial" w:eastAsia="Arial" w:hAnsi="Arial"/>
                <w:sz w:val="18"/>
                <w:szCs w:val="18"/>
                <w:color w:val="auto"/>
                <w:w w:val="92"/>
              </w:rPr>
              <w:t>7.3%</w:t>
            </w:r>
          </w:p>
        </w:tc>
      </w:tr>
      <w:tr>
        <w:trPr>
          <w:trHeight w:val="423"/>
        </w:trPr>
        <w:tc>
          <w:tcPr>
            <w:tcW w:w="9440" w:type="dxa"/>
            <w:vAlign w:val="bottom"/>
            <w:gridSpan w:val="9"/>
          </w:tcPr>
          <w:p>
            <w:pPr>
              <w:spacing w:after="0"/>
              <w:rPr>
                <w:sz w:val="20"/>
                <w:szCs w:val="20"/>
                <w:color w:val="auto"/>
              </w:rPr>
            </w:pPr>
            <w:r>
              <w:rPr>
                <w:rFonts w:ascii="Arial" w:cs="Arial" w:eastAsia="Arial" w:hAnsi="Arial"/>
                <w:sz w:val="18"/>
                <w:szCs w:val="18"/>
                <w:color w:val="auto"/>
                <w:w w:val="92"/>
              </w:rPr>
              <w:t>Future minimum office and vehicle lease payments as of March 31, 2022 and December 31, 2021, are as follows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72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Borders>
              <w:bottom w:val="single" w:sz="8" w:color="CFF0FC"/>
            </w:tcBorders>
            <w:gridSpan w:val="2"/>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Borders>
              <w:bottom w:val="single" w:sz="8" w:color="CFF0FC"/>
            </w:tcBorders>
          </w:tcPr>
          <w:p>
            <w:pPr>
              <w:spacing w:after="0"/>
              <w:rPr>
                <w:sz w:val="24"/>
                <w:szCs w:val="24"/>
                <w:color w:val="auto"/>
              </w:rPr>
            </w:pPr>
          </w:p>
        </w:tc>
      </w:tr>
      <w:tr>
        <w:trPr>
          <w:trHeight w:val="218"/>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1,060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FF0FC"/>
          </w:tcPr>
          <w:p>
            <w:pPr>
              <w:spacing w:after="0"/>
              <w:rPr>
                <w:sz w:val="18"/>
                <w:szCs w:val="18"/>
                <w:color w:val="auto"/>
              </w:rPr>
            </w:pPr>
          </w:p>
        </w:tc>
      </w:tr>
      <w:tr>
        <w:trPr>
          <w:trHeight w:val="224"/>
        </w:trPr>
        <w:tc>
          <w:tcPr>
            <w:tcW w:w="72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463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r>
      <w:tr>
        <w:trPr>
          <w:trHeight w:val="225"/>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9"/>
                <w:szCs w:val="19"/>
                <w:color w:val="auto"/>
              </w:rPr>
            </w:pPr>
          </w:p>
        </w:tc>
      </w:tr>
      <w:tr>
        <w:trPr>
          <w:trHeight w:val="224"/>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313</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FF0FC"/>
            </w:tcBorders>
          </w:tcPr>
          <w:p>
            <w:pPr>
              <w:spacing w:after="0"/>
              <w:rPr>
                <w:sz w:val="19"/>
                <w:szCs w:val="19"/>
                <w:color w:val="auto"/>
              </w:rPr>
            </w:pPr>
          </w:p>
        </w:tc>
      </w:tr>
      <w:tr>
        <w:trPr>
          <w:trHeight w:val="218"/>
        </w:trPr>
        <w:tc>
          <w:tcPr>
            <w:tcW w:w="7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2,211</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FF0FC"/>
          </w:tcPr>
          <w:p>
            <w:pPr>
              <w:spacing w:after="0"/>
              <w:rPr>
                <w:sz w:val="18"/>
                <w:szCs w:val="18"/>
                <w:color w:val="auto"/>
              </w:rPr>
            </w:pPr>
          </w:p>
        </w:tc>
      </w:tr>
      <w:tr>
        <w:trPr>
          <w:trHeight w:val="20"/>
        </w:trPr>
        <w:tc>
          <w:tcPr>
            <w:tcW w:w="7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16"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80" w:lineRule="exact"/>
        <w:rPr>
          <w:sz w:val="20"/>
          <w:szCs w:val="20"/>
          <w:color w:val="auto"/>
        </w:rPr>
      </w:pPr>
    </w:p>
    <w:p>
      <w:pPr>
        <w:jc w:val="both"/>
        <w:ind w:right="540"/>
        <w:spacing w:after="0" w:line="317" w:lineRule="auto"/>
        <w:rPr>
          <w:sz w:val="20"/>
          <w:szCs w:val="20"/>
          <w:color w:val="auto"/>
        </w:rPr>
      </w:pPr>
      <w:r>
        <w:rPr>
          <w:rFonts w:ascii="Arial" w:cs="Arial" w:eastAsia="Arial" w:hAnsi="Arial"/>
          <w:sz w:val="15"/>
          <w:szCs w:val="15"/>
          <w:color w:val="auto"/>
        </w:rPr>
        <w:t>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three months ended March 31, 2022 the Company did not recognize any interest or penalties. The Company’s tax years since 2017 remain subject to examination by tax authorities.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6" w:lineRule="exact"/>
        <w:rPr>
          <w:sz w:val="20"/>
          <w:szCs w:val="20"/>
          <w:color w:val="auto"/>
        </w:rPr>
      </w:pPr>
    </w:p>
    <w:p>
      <w:pPr>
        <w:spacing w:after="0" w:line="262"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2021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6"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We are a biopharmaceutical company focused on the development and commercialization of inhaled therapeutic products for patients with endocrine and orphan lung diseases. Our lead product is Afrezza (insulin human) Inhalation Powder, an ultra rapid-acting inhaled insulin indicated to improve glycemic control in adults with diabetes, which was approved by the FDA in June 2014. We collaborate with a number of third parties to formulate their drugs on our Technosphere drug delivery platform. Since September 2018, we have been collaborating with United Therapeutics to develop an inhaled formulation of treprostinil known as Tyvaso DPI. In April 2021, United Therapeutics submitted an NDA to the FDA seeking approval of Tyvaso DPI. The NDA was resubmitted in December 2021 following a CRL in October 2021. The FDA is expected to complete its review of the pending NDA for Tyvaso DPI in May 2022.</w:t>
      </w:r>
    </w:p>
    <w:p>
      <w:pPr>
        <w:spacing w:after="0" w:line="19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Our business is subject to significant risks, including but not limited to our ability to commercialize Afrezza successfully and our ability to manufacture sufficient quantities of Afrezza and Tyvaso DPI. Other significant risks also include the risks inherent in drug development, clinical trials and the regulatory approval process for our product candidates, which in some cases depends upon the efforts of our partners.</w:t>
      </w:r>
    </w:p>
    <w:p>
      <w:pPr>
        <w:spacing w:after="0" w:line="171" w:lineRule="exact"/>
        <w:rPr>
          <w:sz w:val="20"/>
          <w:szCs w:val="20"/>
          <w:color w:val="auto"/>
        </w:rPr>
      </w:pPr>
    </w:p>
    <w:p>
      <w:pPr>
        <w:ind w:right="40"/>
        <w:spacing w:after="0" w:line="328" w:lineRule="auto"/>
        <w:rPr>
          <w:sz w:val="20"/>
          <w:szCs w:val="20"/>
          <w:color w:val="auto"/>
        </w:rPr>
      </w:pPr>
      <w:r>
        <w:rPr>
          <w:rFonts w:ascii="Arial" w:cs="Arial" w:eastAsia="Arial" w:hAnsi="Arial"/>
          <w:sz w:val="15"/>
          <w:szCs w:val="15"/>
          <w:color w:val="auto"/>
        </w:rPr>
        <w:t>We continue to manage the risk to our business posed by the global COVID-19 pandemic. We do not yet know the full extent of potential delays or impacts on our business, our collaboration arrangements, commercialization efforts, healthcare systems or to the global economy as a whole. The COVID-19 pandemic has the potential to have additional adverse impacts on our operations. We will continue to monitor the COVID-19 situation closely.</w:t>
      </w:r>
    </w:p>
    <w:p>
      <w:pPr>
        <w:spacing w:after="0" w:line="138" w:lineRule="exact"/>
        <w:rPr>
          <w:sz w:val="20"/>
          <w:szCs w:val="20"/>
          <w:color w:val="auto"/>
        </w:rPr>
      </w:pPr>
    </w:p>
    <w:p>
      <w:pPr>
        <w:ind w:right="60"/>
        <w:spacing w:after="0" w:line="328" w:lineRule="auto"/>
        <w:rPr>
          <w:sz w:val="20"/>
          <w:szCs w:val="20"/>
          <w:color w:val="auto"/>
        </w:rPr>
      </w:pPr>
      <w:r>
        <w:rPr>
          <w:rFonts w:ascii="Arial" w:cs="Arial" w:eastAsia="Arial" w:hAnsi="Arial"/>
          <w:sz w:val="15"/>
          <w:szCs w:val="15"/>
          <w:color w:val="auto"/>
        </w:rPr>
        <w:t>As of March 31, 2022, we had an accumulated deficit of $3.2 billion and a stockholders’ deficit of $231.4 million. Our net loss was $26.0 million for the three months ended March 31, 2022. To date, we have funded our operations through the sale of convertible debt securities and equity, from the receipt of upfront and milestone payments from certain collaborations, from borrowings, from sales of Afrezza and from the proceeds of the Sale-Leaseback Transaction.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Our critical accounting policies and estimates can be found in Item 7. Management’s Discussion and Analysis of Financial Condition and Results of Operations in our Annual Report. See Note 1 – </w:t>
      </w:r>
      <w:r>
        <w:rPr>
          <w:rFonts w:ascii="Arial" w:cs="Arial" w:eastAsia="Arial" w:hAnsi="Arial"/>
          <w:sz w:val="17"/>
          <w:szCs w:val="17"/>
          <w:i w:val="1"/>
          <w:iCs w:val="1"/>
          <w:color w:val="auto"/>
        </w:rPr>
        <w:t>Description of Business and Significant Accounting Policies</w:t>
      </w:r>
      <w:r>
        <w:rPr>
          <w:rFonts w:ascii="Arial" w:cs="Arial" w:eastAsia="Arial" w:hAnsi="Arial"/>
          <w:sz w:val="17"/>
          <w:szCs w:val="17"/>
          <w:color w:val="auto"/>
        </w:rPr>
        <w:t xml:space="preserve"> in the condensed consolidated financial statements included in Part I – Financial Statements (Unaudited) for descriptions of the new accounting policies and impact of adoption.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11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continue to experience the impact of the COVID-19 pandemic on our marketing of Afrezza, the accrual rate of our Afrezza pediatrics trial, our Brazil partner’s (Biomm) ability to market Afrezza and delays in the start of our clinical study in India. COVID-19 has impacted the supply chain for manufacturing Afrezza and Tyvaso DPI where we have increased safety stock of raw materials to mitigate supply chain risk.</w:t>
      </w:r>
    </w:p>
    <w:p>
      <w:pPr>
        <w:spacing w:after="0" w:line="17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Our manufacturing of Tyvaso DPI may not meet the required demand of our partner, UT. If we fail as an effective manufacturing organization, we may be unable to support commercialization of Tyvaso DPI, if approved.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Three months ended March 31, 2022 and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a comparison of the revenue categories for the three months ended March 31, 2022 and 2021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8"/>
        </w:trPr>
        <w:tc>
          <w:tcPr>
            <w:tcW w:w="4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2"/>
        </w:trPr>
        <w:tc>
          <w:tcPr>
            <w:tcW w:w="4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35"/>
              <w:spacing w:after="0" w:line="15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8"/>
              <w:spacing w:after="0" w:line="152" w:lineRule="exact"/>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20"/>
              <w:spacing w:after="0" w:line="152"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2"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18"/>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r>
      <w:tr>
        <w:trPr>
          <w:trHeight w:val="224"/>
        </w:trPr>
        <w:tc>
          <w:tcPr>
            <w:tcW w:w="4980" w:type="dxa"/>
            <w:vAlign w:val="bottom"/>
          </w:tcPr>
          <w:p>
            <w:pPr>
              <w:ind w:left="240"/>
              <w:spacing w:after="0"/>
              <w:rPr>
                <w:sz w:val="20"/>
                <w:szCs w:val="20"/>
                <w:color w:val="auto"/>
              </w:rPr>
            </w:pPr>
            <w:r>
              <w:rPr>
                <w:rFonts w:ascii="Arial" w:cs="Arial" w:eastAsia="Arial" w:hAnsi="Arial"/>
                <w:sz w:val="18"/>
                <w:szCs w:val="18"/>
                <w:color w:val="auto"/>
              </w:rPr>
              <w:t>Gross revenue from commercial product sales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16,036</w:t>
            </w:r>
          </w:p>
        </w:tc>
        <w:tc>
          <w:tcPr>
            <w:tcW w:w="24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13,610</w:t>
            </w:r>
          </w:p>
        </w:tc>
        <w:tc>
          <w:tcPr>
            <w:tcW w:w="3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2,426</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13"/>
        </w:trPr>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Wholesaler distribution fees, rebates and chargebacks,</w:t>
            </w: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4"/>
        </w:trPr>
        <w:tc>
          <w:tcPr>
            <w:tcW w:w="49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product returns and other discounts</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(6,210)</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(5,511)</w:t>
            </w: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8,099</w:t>
            </w:r>
          </w:p>
        </w:tc>
        <w:tc>
          <w:tcPr>
            <w:tcW w:w="3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1,727</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r>
      <w:tr>
        <w:trPr>
          <w:trHeight w:val="225"/>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Gross-to-net revenue adjustment percentage</w:t>
            </w: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-38.7%</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4"/>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 collaborations and services</w:t>
            </w:r>
          </w:p>
        </w:tc>
        <w:tc>
          <w:tcPr>
            <w:tcW w:w="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9,337</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(7,171)</w:t>
            </w:r>
          </w:p>
        </w:tc>
        <w:tc>
          <w:tcPr>
            <w:tcW w:w="13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18"/>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11,992</w:t>
            </w:r>
          </w:p>
        </w:tc>
        <w:tc>
          <w:tcPr>
            <w:tcW w:w="2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(5,444)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Gross revenue from sales of Afrezza increased by $2.4 million, or 18%, for the three months ended March 31, 2022 compared to the same period in the prior year. The increase reflects wholesaler inventory ordering patterns for the first quarter of 2021, which was adversely impacted as wholesalers decreased inventory levels, and price. The gross-to-net adjustment was 38.7% of gross revenue, or $6.2 million, for the three months ended March 31, 2022, compared to 40.5% of gross revenue, or $5.5 million, for the same period in the prior year. The decrease in the gross-to-net percentage was primarily driven by a decrease in wholesaler distribution fees (as a percentage of gross sales) due to an increased mix of specialty and retail pharmacy sales, a decrease in anticipated product returns, and lower co-pay assistance. As a result, net revenue from sales of Afrezza increased by $1.7 million, or 21%, for the three months ended March 31, 2022 compared to the same period in the prior year.</w:t>
      </w:r>
    </w:p>
    <w:p>
      <w:pPr>
        <w:spacing w:after="0" w:line="18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 xml:space="preserve">Net revenue from collaborations and services decreased by $7.2 million, or 77%, for the three months ended March 31, 2022 compared to the same period in the prior year. The decrease in collaborations and services revenue was primarily attributable to the completion of the R&amp;D Services associated with our collaboration with UT. In August 2021, we entered into a commercial supply agreement with UT (the “CSA”). Revenue associated with the CSA is deferred as of March 31, 2022 and will be recognized over the period when commercial product is sold to UT. See Note 8 – </w:t>
      </w:r>
      <w:r>
        <w:rPr>
          <w:rFonts w:ascii="Arial" w:cs="Arial" w:eastAsia="Arial" w:hAnsi="Arial"/>
          <w:sz w:val="18"/>
          <w:szCs w:val="18"/>
          <w:i w:val="1"/>
          <w:iCs w:val="1"/>
          <w:color w:val="auto"/>
        </w:rPr>
        <w:t>Collaboration, Licensing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product gross profit</w:t>
      </w:r>
    </w:p>
    <w:p>
      <w:pPr>
        <w:spacing w:after="0" w:line="1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following tables provide a comparison of the commercial product gross profit categories for the three months ended March 31, 2022 and 2021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8"/>
        </w:trPr>
        <w:tc>
          <w:tcPr>
            <w:tcW w:w="4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2"/>
        </w:trPr>
        <w:tc>
          <w:tcPr>
            <w:tcW w:w="4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jc w:val="right"/>
              <w:spacing w:after="0" w:line="152" w:lineRule="exact"/>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2"/>
          </w:tcPr>
          <w:p>
            <w:pPr>
              <w:jc w:val="right"/>
              <w:spacing w:after="0" w:line="152"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520"/>
              <w:spacing w:after="0" w:line="152" w:lineRule="exact"/>
              <w:rPr>
                <w:sz w:val="20"/>
                <w:szCs w:val="20"/>
                <w:color w:val="auto"/>
              </w:rPr>
            </w:pPr>
            <w:r>
              <w:rPr>
                <w:rFonts w:ascii="Arial" w:cs="Arial" w:eastAsia="Arial" w:hAnsi="Arial"/>
                <w:sz w:val="14"/>
                <w:szCs w:val="14"/>
                <w:b w:val="1"/>
                <w:bCs w:val="1"/>
                <w:color w:val="auto"/>
                <w:w w:val="89"/>
              </w:rPr>
              <w:t>Change</w:t>
            </w:r>
          </w:p>
        </w:tc>
        <w:tc>
          <w:tcPr>
            <w:tcW w:w="1140" w:type="dxa"/>
            <w:vAlign w:val="bottom"/>
          </w:tcPr>
          <w:p>
            <w:pPr>
              <w:ind w:left="240"/>
              <w:spacing w:after="0" w:line="152"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18"/>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2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r>
      <w:tr>
        <w:trPr>
          <w:trHeight w:val="224"/>
        </w:trPr>
        <w:tc>
          <w:tcPr>
            <w:tcW w:w="4400" w:type="dxa"/>
            <w:vAlign w:val="bottom"/>
          </w:tcPr>
          <w:p>
            <w:pPr>
              <w:ind w:left="240"/>
              <w:spacing w:after="0"/>
              <w:rPr>
                <w:sz w:val="20"/>
                <w:szCs w:val="20"/>
                <w:color w:val="auto"/>
              </w:rPr>
            </w:pPr>
            <w:r>
              <w:rPr>
                <w:rFonts w:ascii="Arial" w:cs="Arial" w:eastAsia="Arial" w:hAnsi="Arial"/>
                <w:sz w:val="18"/>
                <w:szCs w:val="18"/>
                <w:color w:val="auto"/>
              </w:rPr>
              <w:t>Net revenue — commercial product sales</w:t>
            </w:r>
          </w:p>
        </w:tc>
        <w:tc>
          <w:tcPr>
            <w:tcW w:w="1940" w:type="dxa"/>
            <w:vAlign w:val="bottom"/>
            <w:gridSpan w:val="2"/>
          </w:tcPr>
          <w:p>
            <w:pPr>
              <w:jc w:val="right"/>
              <w:ind w:right="52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9,826</w:t>
            </w:r>
          </w:p>
        </w:tc>
        <w:tc>
          <w:tcPr>
            <w:tcW w:w="240" w:type="dxa"/>
            <w:vAlign w:val="bottom"/>
          </w:tcPr>
          <w:p>
            <w:pPr>
              <w:spacing w:after="0"/>
              <w:rPr>
                <w:sz w:val="19"/>
                <w:szCs w:val="19"/>
                <w:color w:val="auto"/>
              </w:rPr>
            </w:pPr>
          </w:p>
        </w:tc>
        <w:tc>
          <w:tcPr>
            <w:tcW w:w="780" w:type="dxa"/>
            <w:vAlign w:val="bottom"/>
            <w:gridSpan w:val="2"/>
          </w:tcPr>
          <w:p>
            <w:pPr>
              <w:jc w:val="right"/>
              <w:ind w:right="54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8,099</w:t>
            </w:r>
          </w:p>
        </w:tc>
        <w:tc>
          <w:tcPr>
            <w:tcW w:w="30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1,727</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r>
      <w:tr>
        <w:trPr>
          <w:trHeight w:val="225"/>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cost of goods sold</w:t>
            </w:r>
          </w:p>
        </w:tc>
        <w:tc>
          <w:tcPr>
            <w:tcW w:w="12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2,284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4,315</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(2,031)</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r>
        <w:trPr>
          <w:trHeight w:val="257"/>
        </w:trPr>
        <w:tc>
          <w:tcPr>
            <w:tcW w:w="44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Commercial product gross profit</w:t>
            </w:r>
          </w:p>
        </w:tc>
        <w:tc>
          <w:tcPr>
            <w:tcW w:w="1240" w:type="dxa"/>
            <w:vAlign w:val="bottom"/>
            <w:tcBorders>
              <w:bottom w:val="single" w:sz="8" w:color="CFF0FC"/>
            </w:tcBorders>
          </w:tcPr>
          <w:p>
            <w:pPr>
              <w:spacing w:after="0"/>
              <w:rPr>
                <w:sz w:val="22"/>
                <w:szCs w:val="22"/>
                <w:color w:val="auto"/>
              </w:rPr>
            </w:pPr>
          </w:p>
        </w:tc>
        <w:tc>
          <w:tcPr>
            <w:tcW w:w="700" w:type="dxa"/>
            <w:vAlign w:val="bottom"/>
            <w:tcBorders>
              <w:bottom w:val="single" w:sz="8" w:color="auto"/>
            </w:tcBorders>
          </w:tcPr>
          <w:p>
            <w:pPr>
              <w:jc w:val="right"/>
              <w:ind w:right="52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7,542</w:t>
            </w:r>
          </w:p>
        </w:tc>
        <w:tc>
          <w:tcPr>
            <w:tcW w:w="2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4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3,784</w:t>
            </w:r>
          </w:p>
        </w:tc>
        <w:tc>
          <w:tcPr>
            <w:tcW w:w="30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jc w:val="right"/>
              <w:ind w:right="19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3,758</w:t>
            </w:r>
          </w:p>
        </w:tc>
        <w:tc>
          <w:tcPr>
            <w:tcW w:w="24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99%</w:t>
            </w:r>
          </w:p>
        </w:tc>
      </w:tr>
      <w:tr>
        <w:trPr>
          <w:trHeight w:val="204"/>
        </w:trPr>
        <w:tc>
          <w:tcPr>
            <w:tcW w:w="4400" w:type="dxa"/>
            <w:vAlign w:val="bottom"/>
            <w:shd w:val="clear" w:color="auto" w:fill="CFF0FC"/>
          </w:tcPr>
          <w:p>
            <w:pPr>
              <w:ind w:left="480"/>
              <w:spacing w:after="0" w:line="204" w:lineRule="exact"/>
              <w:rPr>
                <w:sz w:val="20"/>
                <w:szCs w:val="20"/>
                <w:color w:val="auto"/>
              </w:rPr>
            </w:pPr>
            <w:r>
              <w:rPr>
                <w:rFonts w:ascii="Arial" w:cs="Arial" w:eastAsia="Arial" w:hAnsi="Arial"/>
                <w:sz w:val="18"/>
                <w:szCs w:val="18"/>
                <w:color w:val="auto"/>
              </w:rPr>
              <w:t>Gross margin</w:t>
            </w:r>
          </w:p>
        </w:tc>
        <w:tc>
          <w:tcPr>
            <w:tcW w:w="1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80"/>
              <w:spacing w:after="0" w:line="205" w:lineRule="exact"/>
              <w:rPr>
                <w:sz w:val="20"/>
                <w:szCs w:val="20"/>
                <w:color w:val="auto"/>
              </w:rPr>
            </w:pPr>
            <w:r>
              <w:rPr>
                <w:rFonts w:ascii="Arial" w:cs="Arial" w:eastAsia="Arial" w:hAnsi="Arial"/>
                <w:sz w:val="18"/>
                <w:szCs w:val="18"/>
                <w:color w:val="auto"/>
              </w:rPr>
              <w:t>77%</w:t>
            </w:r>
          </w:p>
        </w:tc>
        <w:tc>
          <w:tcPr>
            <w:tcW w:w="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line="205" w:lineRule="exact"/>
              <w:rPr>
                <w:sz w:val="20"/>
                <w:szCs w:val="20"/>
                <w:color w:val="auto"/>
              </w:rPr>
            </w:pPr>
            <w:r>
              <w:rPr>
                <w:rFonts w:ascii="Arial" w:cs="Arial" w:eastAsia="Arial" w:hAnsi="Arial"/>
                <w:sz w:val="18"/>
                <w:szCs w:val="18"/>
                <w:color w:val="auto"/>
              </w:rPr>
              <w:t>47%</w:t>
            </w: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bl>
    <w:p>
      <w:pPr>
        <w:spacing w:after="0" w:line="19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Commercial product gross profit for the three months ended March 31, 2022 increased by $3.8 million, or 99%, compared to the same period in the prior year. Gross margin for the three months ended March 31, 2022 was 77% compared to 47% for the same period in the prior year. The increase in gross profit and gross margin was attributable to an increase in Afrezza sales as well as a decrease in cost of goods sold. Cost of goods sold decreased by $2.0 million, or 47%, for the three months ended March 31, 2022 compared to the same period in the prior year. The decrease in cost of goods sold was primarily attributable to a decrease of $2.3 million in manufacturing-related spending on Afrezza as a result of the absorption of manufacturing-related costs due to the manufacturing of a second product.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Expenses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a comparison of the expense categories for the three months ended March 31, 2022 and 2021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2"/>
        </w:trPr>
        <w:tc>
          <w:tcPr>
            <w:tcW w:w="4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34"/>
              <w:spacing w:after="0" w:line="152"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7"/>
              <w:spacing w:after="0" w:line="15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520"/>
              <w:spacing w:after="0" w:line="152" w:lineRule="exact"/>
              <w:rPr>
                <w:sz w:val="20"/>
                <w:szCs w:val="20"/>
                <w:color w:val="auto"/>
              </w:rPr>
            </w:pPr>
            <w:r>
              <w:rPr>
                <w:rFonts w:ascii="Arial" w:cs="Arial" w:eastAsia="Arial" w:hAnsi="Arial"/>
                <w:sz w:val="14"/>
                <w:szCs w:val="14"/>
                <w:b w:val="1"/>
                <w:bCs w:val="1"/>
                <w:color w:val="auto"/>
                <w:w w:val="95"/>
              </w:rPr>
              <w:t>$ Change</w:t>
            </w:r>
          </w:p>
        </w:tc>
        <w:tc>
          <w:tcPr>
            <w:tcW w:w="1140" w:type="dxa"/>
            <w:vAlign w:val="bottom"/>
          </w:tcPr>
          <w:p>
            <w:pPr>
              <w:ind w:left="260"/>
              <w:spacing w:after="0" w:line="152"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r>
      <w:tr>
        <w:trPr>
          <w:trHeight w:val="218"/>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r>
      <w:tr>
        <w:trPr>
          <w:trHeight w:val="224"/>
        </w:trPr>
        <w:tc>
          <w:tcPr>
            <w:tcW w:w="464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2,284</w:t>
            </w:r>
          </w:p>
        </w:tc>
        <w:tc>
          <w:tcPr>
            <w:tcW w:w="2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4,315</w:t>
            </w:r>
          </w:p>
        </w:tc>
        <w:tc>
          <w:tcPr>
            <w:tcW w:w="24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(2,031)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25"/>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revenue — collaborations and services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w:t>
            </w:r>
          </w:p>
        </w:tc>
      </w:tr>
      <w:tr>
        <w:trPr>
          <w:trHeight w:val="224"/>
        </w:trPr>
        <w:tc>
          <w:tcPr>
            <w:tcW w:w="46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2,442</w:t>
            </w:r>
          </w:p>
        </w:tc>
        <w:tc>
          <w:tcPr>
            <w:tcW w:w="24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1,094</w:t>
            </w:r>
          </w:p>
        </w:tc>
        <w:tc>
          <w:tcPr>
            <w:tcW w:w="2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r>
      <w:tr>
        <w:trPr>
          <w:trHeight w:val="225"/>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w:t>
            </w:r>
          </w:p>
        </w:tc>
      </w:tr>
      <w:tr>
        <w:trPr>
          <w:trHeight w:val="224"/>
        </w:trPr>
        <w:tc>
          <w:tcPr>
            <w:tcW w:w="46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7,793</w:t>
            </w:r>
          </w:p>
        </w:tc>
        <w:tc>
          <w:tcPr>
            <w:tcW w:w="24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25"/>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foreign currency translation</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(1,983)</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(3,838)</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(1,855)</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r>
      <w:tr>
        <w:trPr>
          <w:trHeight w:val="217"/>
        </w:trPr>
        <w:tc>
          <w:tcPr>
            <w:tcW w:w="4640" w:type="dxa"/>
            <w:vAlign w:val="bottom"/>
          </w:tcPr>
          <w:p>
            <w:pPr>
              <w:ind w:left="480"/>
              <w:spacing w:after="0" w:line="204" w:lineRule="exact"/>
              <w:rPr>
                <w:sz w:val="20"/>
                <w:szCs w:val="20"/>
                <w:color w:val="auto"/>
              </w:rPr>
            </w:pPr>
            <w:r>
              <w:rPr>
                <w:rFonts w:ascii="Arial" w:cs="Arial" w:eastAsia="Arial" w:hAnsi="Arial"/>
                <w:sz w:val="18"/>
                <w:szCs w:val="18"/>
                <w:color w:val="auto"/>
              </w:rPr>
              <w:t>Total expenses</w:t>
            </w:r>
          </w:p>
        </w:tc>
        <w:tc>
          <w:tcPr>
            <w:tcW w:w="1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33,248</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23,627</w:t>
            </w:r>
          </w:p>
        </w:tc>
        <w:tc>
          <w:tcPr>
            <w:tcW w:w="2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9,621</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r>
      <w:tr>
        <w:trPr>
          <w:trHeight w:val="20"/>
        </w:trPr>
        <w:tc>
          <w:tcPr>
            <w:tcW w:w="4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Cost of revenue — collaborations and services increased by $5.4 million, or 164%, for the three months ended March 31, 2022 compared to the same period in the prior year. The increase was attributable to an increase in costs for the UT CSA, specifically an increase in manufacturing activities in preparation for supplying commercial product to UT.</w:t>
      </w:r>
    </w:p>
    <w:p>
      <w:pPr>
        <w:spacing w:after="0" w:line="188"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Research and development expenses increased by $1.1 million, or 45%, for the three months ended March 31, 2022 compared to the same period in the prior year. The increase was primarily attributable to costs incurred for research and development activities in our product pipeline, including the Phase 1 clinical trial for clofazimine.</w:t>
      </w:r>
    </w:p>
    <w:p>
      <w:pPr>
        <w:spacing w:after="0" w:line="188" w:lineRule="exact"/>
        <w:rPr>
          <w:sz w:val="20"/>
          <w:szCs w:val="20"/>
          <w:color w:val="auto"/>
        </w:rPr>
      </w:pPr>
    </w:p>
    <w:p>
      <w:pPr>
        <w:jc w:val="both"/>
        <w:ind w:right="260"/>
        <w:spacing w:after="0" w:line="328" w:lineRule="auto"/>
        <w:rPr>
          <w:sz w:val="20"/>
          <w:szCs w:val="20"/>
          <w:color w:val="auto"/>
        </w:rPr>
      </w:pPr>
      <w:r>
        <w:rPr>
          <w:rFonts w:ascii="Arial" w:cs="Arial" w:eastAsia="Arial" w:hAnsi="Arial"/>
          <w:sz w:val="15"/>
          <w:szCs w:val="15"/>
          <w:color w:val="auto"/>
        </w:rPr>
        <w:t>Selling expenses increased by $3.1 million, or 32%, for the three months ended March 31, 2022 compared to the same period in the prior year. The increase was primarily attributable to an enhanced primary care physician-focused promotional campaign that began in the fourth quarter of 2021, Afrezza territory restructuring costs, as well as promotional expenses and patient support services expenses to support Afrezza sales growth.</w:t>
      </w:r>
    </w:p>
    <w:p>
      <w:pPr>
        <w:spacing w:after="0" w:line="13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General and administrative expenses increased by $0.2 million, or 2%, for the three months ended March 31, 2022 compared to the same period in the prior year. The increase was primarily attributable to increased stock-based compensation and headcount. This increase was partially offset by lower legal fees and business development expenses.</w:t>
      </w:r>
    </w:p>
    <w:p>
      <w:pPr>
        <w:spacing w:after="0" w:line="188" w:lineRule="exact"/>
        <w:rPr>
          <w:sz w:val="20"/>
          <w:szCs w:val="20"/>
          <w:color w:val="auto"/>
        </w:rPr>
      </w:pPr>
    </w:p>
    <w:p>
      <w:pPr>
        <w:ind w:right="600"/>
        <w:spacing w:after="0" w:line="328" w:lineRule="auto"/>
        <w:rPr>
          <w:sz w:val="20"/>
          <w:szCs w:val="20"/>
          <w:color w:val="auto"/>
        </w:rPr>
      </w:pPr>
      <w:r>
        <w:rPr>
          <w:rFonts w:ascii="Arial" w:cs="Arial" w:eastAsia="Arial" w:hAnsi="Arial"/>
          <w:sz w:val="15"/>
          <w:szCs w:val="15"/>
          <w:color w:val="auto"/>
        </w:rPr>
        <w:t>Under the Insulin Supply Agreement with Amphastar, payment obligations are denominated in Euros. We are required to record the foreign currency translation impact of the U.S. dollar to Euro exchange rate associated with the recognized gain or loss on purchase commitments. The foreign currency translation gain was $2.0 million for the three months ended March 31, 2022 compared to $3.8 million for the same period in the prior year.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16" w:lineRule="exact"/>
        <w:rPr>
          <w:sz w:val="20"/>
          <w:szCs w:val="20"/>
          <w:color w:val="auto"/>
        </w:rPr>
      </w:pPr>
    </w:p>
    <w:p>
      <w:pPr>
        <w:ind w:right="760"/>
        <w:spacing w:after="0" w:line="263" w:lineRule="auto"/>
        <w:rPr>
          <w:sz w:val="20"/>
          <w:szCs w:val="20"/>
          <w:color w:val="auto"/>
        </w:rPr>
      </w:pPr>
      <w:r>
        <w:rPr>
          <w:rFonts w:ascii="Arial" w:cs="Arial" w:eastAsia="Arial" w:hAnsi="Arial"/>
          <w:sz w:val="18"/>
          <w:szCs w:val="18"/>
          <w:color w:val="auto"/>
        </w:rPr>
        <w:t>The following tables provide a comparison of the other income (expense) categories for the three months ended March 31, 2022 and 2021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2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15"/>
              <w:spacing w:after="0" w:line="152" w:lineRule="exact"/>
              <w:rPr>
                <w:sz w:val="20"/>
                <w:szCs w:val="20"/>
                <w:color w:val="auto"/>
              </w:rPr>
            </w:pPr>
            <w:r>
              <w:rPr>
                <w:rFonts w:ascii="Arial" w:cs="Arial" w:eastAsia="Arial" w:hAnsi="Arial"/>
                <w:sz w:val="14"/>
                <w:szCs w:val="14"/>
                <w:b w:val="1"/>
                <w:bCs w:val="1"/>
                <w:color w:val="auto"/>
                <w:w w:val="95"/>
              </w:rPr>
              <w:t>$ Change</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175"/>
              <w:spacing w:after="0" w:line="152"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80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Interest expense on financing liability</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2,371</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notes</w:t>
            </w: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(2,748)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(6,452)</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(3,704)</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Other income</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(276)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other expense</w:t>
            </w:r>
          </w:p>
        </w:tc>
        <w:tc>
          <w:tcPr>
            <w:tcW w:w="15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vMerge w:val="restart"/>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(1,983)</w:t>
            </w:r>
          </w:p>
        </w:tc>
        <w:tc>
          <w:tcPr>
            <w:tcW w:w="13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218"/>
        </w:trPr>
        <w:tc>
          <w:tcPr>
            <w:tcW w:w="4200" w:type="dxa"/>
            <w:vAlign w:val="bottom"/>
            <w:vMerge w:val="continue"/>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(4,742)</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(6,725)</w:t>
            </w:r>
          </w:p>
        </w:tc>
        <w:tc>
          <w:tcPr>
            <w:tcW w:w="22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22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Interest expense on financing liability was $2.4 million for the three months ended March 31, 2022 and represented interest incurred on the Sale Leaseback transaction for our manufacturing facility in Danbury, CT, which closed in the fourth quarter of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38" w:right="339" w:bottom="1440" w:gutter="0" w:footer="0" w:header="0"/>
        </w:sectPr>
      </w:pPr>
    </w:p>
    <w:bookmarkStart w:id="34" w:name="page35"/>
    <w:bookmarkEnd w:id="34"/>
    <w:p>
      <w:pPr>
        <w:jc w:val="both"/>
        <w:ind w:right="160"/>
        <w:spacing w:after="0" w:line="254" w:lineRule="auto"/>
        <w:rPr>
          <w:sz w:val="20"/>
          <w:szCs w:val="20"/>
          <w:color w:val="auto"/>
        </w:rPr>
      </w:pPr>
      <w:r>
        <w:rPr>
          <w:rFonts w:ascii="Arial" w:cs="Arial" w:eastAsia="Arial" w:hAnsi="Arial"/>
          <w:sz w:val="18"/>
          <w:szCs w:val="18"/>
          <w:color w:val="auto"/>
        </w:rPr>
        <w:t xml:space="preserve">Interest expense on notes decreased by $3.7 million, or 57%, for the three months ended March 31, 2022 compared to the same period in the prior year. The decrease was primarily due to a $3.7 million milestone obligation that was achieved during the first quarter of 2021, partially offset by an increase in interest expense on the Senior convertible notes. See Note 7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6" w:lineRule="exact"/>
        <w:rPr>
          <w:sz w:val="20"/>
          <w:szCs w:val="20"/>
          <w:color w:val="auto"/>
        </w:rPr>
      </w:pPr>
    </w:p>
    <w:p>
      <w:pPr>
        <w:jc w:val="both"/>
        <w:ind w:right="140"/>
        <w:spacing w:after="0" w:line="364" w:lineRule="auto"/>
        <w:rPr>
          <w:sz w:val="20"/>
          <w:szCs w:val="20"/>
          <w:color w:val="auto"/>
        </w:rPr>
      </w:pPr>
      <w:r>
        <w:rPr>
          <w:rFonts w:ascii="Arial" w:cs="Arial" w:eastAsia="Arial" w:hAnsi="Arial"/>
          <w:sz w:val="15"/>
          <w:szCs w:val="15"/>
          <w:color w:val="auto"/>
        </w:rPr>
        <w:t>Our principal sources of liquidity are our cash, cash equivalents, and investments. Our primary uses of cash include the development of our product pipeline, the manufacturing and marketing of Afrezza, the funding of general and administrative expenses, and interest expense on our financing liability and debt.</w:t>
      </w:r>
    </w:p>
    <w:p>
      <w:pPr>
        <w:spacing w:after="0" w:line="1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To date, we have funded our operations through the sale of equity and convertible debt securities, from the receipt of upfront and milestone payments from certain collaborations, from borrowings, from sales of Afrezza and the Sale Leaseback transaction.</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believe we will be able to meet our liquidity needs over the next twelve months based on the balance of cash, cash equivalents and investments on hand. We believe we will meet longer-term expected future cash requirements and obligations, through a combination of cash and investments on hand, operating activities including manufacturing revenue and royalties from the production and sale of Tyvaso DPI, if approved, to UT, and available credit from our Midcap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we had $288.4 million principal amount of outstanding debt, consisting of:</w:t>
      </w:r>
    </w:p>
    <w:p>
      <w:pPr>
        <w:spacing w:after="0" w:line="110" w:lineRule="exact"/>
        <w:rPr>
          <w:sz w:val="20"/>
          <w:szCs w:val="20"/>
          <w:color w:val="auto"/>
        </w:rPr>
      </w:pPr>
    </w:p>
    <w:p>
      <w:pPr>
        <w:ind w:left="1000" w:right="80" w:hanging="493"/>
        <w:spacing w:after="0" w:line="317" w:lineRule="auto"/>
        <w:tabs>
          <w:tab w:leader="none" w:pos="10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39" w:lineRule="exact"/>
        <w:rPr>
          <w:rFonts w:ascii="Arial" w:cs="Arial" w:eastAsia="Arial" w:hAnsi="Arial"/>
          <w:sz w:val="15"/>
          <w:szCs w:val="15"/>
          <w:color w:val="auto"/>
        </w:rPr>
      </w:pPr>
    </w:p>
    <w:p>
      <w:pPr>
        <w:ind w:left="1000" w:right="80" w:hanging="493"/>
        <w:spacing w:after="0" w:line="254"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6.25%, subject to a one-month LIBOR floor of 1.00%, payable in equal monthly installments beginning in September 2023 through maturity in August 2025.</w:t>
      </w:r>
    </w:p>
    <w:p>
      <w:pPr>
        <w:spacing w:after="0" w:line="82" w:lineRule="exact"/>
        <w:rPr>
          <w:rFonts w:ascii="Arial" w:cs="Arial" w:eastAsia="Arial" w:hAnsi="Arial"/>
          <w:sz w:val="18"/>
          <w:szCs w:val="18"/>
          <w:color w:val="auto"/>
        </w:rPr>
      </w:pPr>
    </w:p>
    <w:p>
      <w:pPr>
        <w:ind w:left="1000" w:right="60" w:hanging="493"/>
        <w:spacing w:after="0" w:line="25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$18.4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paid-in-kind from August 2019 until the end of 2020, after which we have the option to pay interest in-kind or in shares.</w:t>
      </w:r>
    </w:p>
    <w:p>
      <w:pPr>
        <w:spacing w:after="0" w:line="1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There can be no assurance that we will have sufficient resources to make any required repayments of principal under the Senior convertible notes, the MidCap credit facility or the Mann Group convertible note. The Senior convertible notes and Mann Group convertible note are fully convertible prior to maturity as further disclosed in Note 7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8"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To date, we have been able to timely make our required interest payments, but we cannot guarantee that we will be able to do so in the future. If we fail to repurchase the Mann Group promissory notes,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In July 2013, we issued Milestone Rights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$65.0 million of which remains payable upon achievement of such milestones. See Note 13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Note 7 – </w:t>
      </w:r>
      <w:r>
        <w:rPr>
          <w:rFonts w:ascii="Arial" w:cs="Arial" w:eastAsia="Arial" w:hAnsi="Arial"/>
          <w:sz w:val="18"/>
          <w:szCs w:val="18"/>
          <w:i w:val="1"/>
          <w:iCs w:val="1"/>
          <w:color w:val="auto"/>
        </w:rPr>
        <w:t xml:space="preserve">Borrowings </w:t>
      </w:r>
      <w:r>
        <w:rPr>
          <w:rFonts w:ascii="Arial" w:cs="Arial" w:eastAsia="Arial" w:hAnsi="Arial"/>
          <w:sz w:val="18"/>
          <w:szCs w:val="18"/>
          <w:color w:val="auto"/>
        </w:rPr>
        <w:t>for further information related to the Milestone Rights.</w:t>
      </w:r>
    </w:p>
    <w:p>
      <w:pPr>
        <w:spacing w:after="0" w:line="19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During the three months ended March 31, 2022, we used $18.2 million of cash for our operating activities, which primarily consisted of $16.3 million of selling, general and administrative expenses, $9.0 million of cost of goods sold, $5.1 million of costs for research and development and $3.6 million of cash paid for interest, partially offset by $15.7 million of revenue.</w:t>
      </w:r>
    </w:p>
    <w:p>
      <w:pPr>
        <w:spacing w:after="0" w:line="22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three months ended March 31, 2021, we used $12.7 million of cash for our operating activities as a result of our net loss of $12.9 million. The net change in operating asset and liabilities was primarily a result of the recognition of amortization of deferred revenue of $9.0 million, partially offset by an increase in accrued expenses and other current liabilities of $8.3 million.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35" w:name="page36"/>
    <w:bookmarkEnd w:id="35"/>
    <w:p>
      <w:pPr>
        <w:ind w:right="240"/>
        <w:spacing w:after="0" w:line="254" w:lineRule="auto"/>
        <w:rPr>
          <w:sz w:val="20"/>
          <w:szCs w:val="20"/>
          <w:color w:val="auto"/>
        </w:rPr>
      </w:pPr>
      <w:r>
        <w:rPr>
          <w:rFonts w:ascii="Arial" w:cs="Arial" w:eastAsia="Arial" w:hAnsi="Arial"/>
          <w:sz w:val="18"/>
          <w:szCs w:val="18"/>
          <w:color w:val="auto"/>
        </w:rPr>
        <w:t>Cash used in investing activities of $39.5 million for the three months ended March 31, 2022 was primarily due to the purchase of $56.0 million of debt securities and $5.0 million purchase of available-for-sale securities, and $5.1 million purchase of property and equipment, partially offset by the maturity of $26.5 million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Cash used in investing activities of $31.4 million for the three months ended March 31, 2021 was primarily due to the purchase of debt securities.</w:t>
      </w:r>
    </w:p>
    <w:p>
      <w:pPr>
        <w:spacing w:after="0" w:line="22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Cash provided by financing activities of $0.8 million for the three months ended March 31, 2022 was primarily due to proceeds from the market price stock purchase plan of $0.7 million.</w:t>
      </w:r>
    </w:p>
    <w:p>
      <w:pPr>
        <w:spacing w:after="0" w:line="22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Cash provided by financing activities of $225.0 million for the three months ended March 31, 2021 was primarily due to net proceeds from the offering of Senior convertible notes of $222.9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110" w:lineRule="exact"/>
        <w:rPr>
          <w:sz w:val="20"/>
          <w:szCs w:val="20"/>
          <w:color w:val="auto"/>
        </w:rPr>
      </w:pPr>
    </w:p>
    <w:p>
      <w:pPr>
        <w:ind w:right="140"/>
        <w:spacing w:after="0" w:line="317" w:lineRule="auto"/>
        <w:rPr>
          <w:sz w:val="20"/>
          <w:szCs w:val="20"/>
          <w:color w:val="auto"/>
        </w:rPr>
      </w:pPr>
      <w:r>
        <w:rPr>
          <w:rFonts w:ascii="Arial" w:cs="Arial" w:eastAsia="Arial" w:hAnsi="Arial"/>
          <w:sz w:val="15"/>
          <w:szCs w:val="15"/>
          <w:color w:val="auto"/>
        </w:rPr>
        <w:t>We are not currently profitable and have rarely generated positive net cash flow from operations. In addition, we expect to continue to incur significant expenditures for the foreseeable future in support of our manufacturing operations, sales and marketing costs for Afrezza, and development costs for other product candidates in our pipeline. As of March 31, 2022, we had capital resources of $67.2 million in cash and cash equivalents, $95.2 million in short-term investments, $70.5 million in long-term investments, and total principal amount of outstanding borrowings of $288.4 million.</w:t>
      </w:r>
    </w:p>
    <w:p>
      <w:pPr>
        <w:spacing w:after="0" w:line="14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believe our resources will be sufficient to fund our operations for beyond the next twelve months from the date of issuance of our condensed consolidated financial statements included in Part I – Financial Statements (Unaudited).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See Note 7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Note 13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36" w:name="page37"/>
    <w:bookmarkEnd w:id="36"/>
    <w:p>
      <w:pPr>
        <w:ind w:right="4480"/>
        <w:spacing w:after="0" w:line="370" w:lineRule="auto"/>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4"/>
          <w:szCs w:val="14"/>
          <w:b w:val="1"/>
          <w:bCs w:val="1"/>
          <w:color w:val="auto"/>
        </w:rPr>
        <w:t>QUANTITATIVE</w:t>
      </w:r>
      <w:r>
        <w:rPr>
          <w:rFonts w:ascii="Arial" w:cs="Arial" w:eastAsia="Arial" w:hAnsi="Arial"/>
          <w:sz w:val="18"/>
          <w:szCs w:val="18"/>
          <w:b w:val="1"/>
          <w:bCs w:val="1"/>
          <w:color w:val="auto"/>
        </w:rPr>
        <w:t xml:space="preserve"> AND QUALITATIVE DISCLOSURES ABOUT MARKET RISK Interest Rate Risk</w:t>
      </w:r>
    </w:p>
    <w:p>
      <w:pPr>
        <w:spacing w:after="0" w:line="2"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color w:val="auto"/>
        </w:rPr>
        <w:t>Interest on borrowings under the MidCap credit facility accrues interest at an annual rate equal to the lesser of (i) 8.25% and (ii) the one-month LIBOR (subject to a one-month LIBOR floor of 1.00%) plus 6.25%. Accordingly, our interest expense under the MidCap credit facility is subject to changes in the one-month LIBOR rate. See “Risk Factors--</w:t>
      </w:r>
      <w:r>
        <w:rPr>
          <w:rFonts w:ascii="Arial" w:cs="Arial" w:eastAsia="Arial" w:hAnsi="Arial"/>
          <w:sz w:val="15"/>
          <w:szCs w:val="15"/>
          <w:i w:val="1"/>
          <w:iCs w:val="1"/>
          <w:color w:val="auto"/>
        </w:rPr>
        <w:t>We have a substantial amount of debt, and we may be unable to make required payments of interest and principal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as they become due” </w:t>
      </w:r>
      <w:r>
        <w:rPr>
          <w:rFonts w:ascii="Arial" w:cs="Arial" w:eastAsia="Arial" w:hAnsi="Arial"/>
          <w:sz w:val="15"/>
          <w:szCs w:val="15"/>
          <w:color w:val="auto"/>
        </w:rPr>
        <w:t>under Part II, Item 1A of this report for additional information regarding the risks we face related to the planned phase-out of LIBOR.</w:t>
      </w:r>
    </w:p>
    <w:p>
      <w:pPr>
        <w:spacing w:after="0" w:line="14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All other debt has fixed interest rates, so the interest expense associated with such debt is not exposed to changes in market interest rates. Specifically, the interest rate on amounts borrowed under the Mann Group promissory notes is fixed at 2.50% and the interest rate under the Senior convertible notes is fixed at 2.50%. See Note 7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information about the principal amount of outstanding debt.</w:t>
      </w:r>
    </w:p>
    <w:p>
      <w:pPr>
        <w:spacing w:after="0" w:line="18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If a change in one-month LIBOR interest rates equal to 10% of the one-month LIBOR interest rates on March 31, 2022 were to have occurred, this change would not have had a material effect on our interest payment obligation.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1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three months ended March 31, 2022, we realized a $2.0 million currency gain, which was included in gain on foreign currency translation in the accompanying condensed consolidated statements of operations.</w:t>
      </w:r>
    </w:p>
    <w:p>
      <w:pPr>
        <w:spacing w:after="0" w:line="194"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Exchange rate fluctuations may adversely affect our expenses, results of operations, financial position and cash flows. If a change in the U.S. dollar to Euro exchange rate equal to 10% of the U.S. dollar to Euro exchange rate on March 31, 2022 were to have occurred, this change would have resulted in a foreign currency impact to our pre-tax loss of approximately $7.9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16"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March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3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Based on the evaluation of our disclosure controls and procedures as of March 31, 2022, our Chief Executive Officer and our Chief Financial Officer have concluded, as of such date, that our disclosure controls and procedures were effective.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PART II. OTHER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2"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before making investment decisions regarding our common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We face risks and uncertainties related to our business, many of which are beyond our control. In particular, risks associated with our business include: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6" w:lineRule="exact"/>
        <w:rPr>
          <w:sz w:val="20"/>
          <w:szCs w:val="20"/>
          <w:color w:val="auto"/>
        </w:rPr>
      </w:pPr>
    </w:p>
    <w:p>
      <w:pPr>
        <w:ind w:left="940" w:right="280" w:hanging="367"/>
        <w:spacing w:after="0" w:line="251"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Afrezza may only achieve a limited degree of commercial success. The continued commercialization and development of Afrezza will require substantial capital that we may not be able to obtain.</w:t>
      </w:r>
    </w:p>
    <w:p>
      <w:pPr>
        <w:spacing w:after="0" w:line="1" w:lineRule="exact"/>
        <w:rPr>
          <w:rFonts w:ascii="Arial" w:cs="Arial" w:eastAsia="Arial" w:hAnsi="Arial"/>
          <w:sz w:val="18"/>
          <w:szCs w:val="18"/>
          <w:color w:val="auto"/>
        </w:rPr>
      </w:pPr>
    </w:p>
    <w:p>
      <w:pPr>
        <w:ind w:left="940" w:hanging="367"/>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as an effective manufacturing organization, we may be unable to support commercialization of Afrezza or Tyvaso DPI.</w:t>
      </w:r>
    </w:p>
    <w:p>
      <w:pPr>
        <w:spacing w:after="0" w:line="19" w:lineRule="exact"/>
        <w:rPr>
          <w:rFonts w:ascii="Arial" w:cs="Arial" w:eastAsia="Arial" w:hAnsi="Arial"/>
          <w:sz w:val="18"/>
          <w:szCs w:val="18"/>
          <w:color w:val="auto"/>
        </w:rPr>
      </w:pPr>
    </w:p>
    <w:p>
      <w:pPr>
        <w:ind w:left="940" w:right="300" w:hanging="367"/>
        <w:spacing w:after="0" w:line="264" w:lineRule="auto"/>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ind w:left="940" w:right="220" w:hanging="367"/>
        <w:spacing w:after="0" w:line="244"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Afrezza or any other product that we develop does not become widely accepted by physicians, patients, third-party payers and the healthcare community, we may be unable to generate significant revenue, if any.</w:t>
      </w:r>
    </w:p>
    <w:p>
      <w:pPr>
        <w:spacing w:after="0" w:line="1" w:lineRule="exact"/>
        <w:rPr>
          <w:rFonts w:ascii="Arial" w:cs="Arial" w:eastAsia="Arial" w:hAnsi="Arial"/>
          <w:sz w:val="18"/>
          <w:szCs w:val="18"/>
          <w:color w:val="auto"/>
        </w:rPr>
      </w:pPr>
    </w:p>
    <w:p>
      <w:pPr>
        <w:ind w:left="940" w:right="300" w:hanging="367"/>
        <w:spacing w:after="0" w:line="244"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third-party payers do not cover Afrezza or any of our product candidates for which we receive regulatory approval, Afrezza or such product candidates might not be prescribed, used or purchased, which would adversely affect our revenues.</w:t>
      </w:r>
    </w:p>
    <w:p>
      <w:pPr>
        <w:spacing w:after="0" w:line="1" w:lineRule="exact"/>
        <w:rPr>
          <w:rFonts w:ascii="Arial" w:cs="Arial" w:eastAsia="Arial" w:hAnsi="Arial"/>
          <w:sz w:val="18"/>
          <w:szCs w:val="18"/>
          <w:color w:val="auto"/>
        </w:rPr>
      </w:pPr>
    </w:p>
    <w:p>
      <w:pPr>
        <w:ind w:left="940" w:hanging="367"/>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operations.</w:t>
      </w:r>
    </w:p>
    <w:p>
      <w:pPr>
        <w:spacing w:after="0" w:line="19" w:lineRule="exact"/>
        <w:rPr>
          <w:rFonts w:ascii="Arial" w:cs="Arial" w:eastAsia="Arial" w:hAnsi="Arial"/>
          <w:sz w:val="18"/>
          <w:szCs w:val="18"/>
          <w:color w:val="auto"/>
        </w:rPr>
      </w:pPr>
    </w:p>
    <w:p>
      <w:pPr>
        <w:ind w:left="940" w:right="280" w:hanging="367"/>
        <w:spacing w:after="0" w:line="251"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that our results of operations will fluctuate for the foreseeable future, which may make it difficult to predict our future performance from period to period.</w:t>
      </w:r>
    </w:p>
    <w:p>
      <w:pPr>
        <w:spacing w:after="0" w:line="1" w:lineRule="exact"/>
        <w:rPr>
          <w:rFonts w:ascii="Arial" w:cs="Arial" w:eastAsia="Arial" w:hAnsi="Arial"/>
          <w:sz w:val="18"/>
          <w:szCs w:val="18"/>
          <w:color w:val="auto"/>
        </w:rPr>
      </w:pPr>
    </w:p>
    <w:p>
      <w:pPr>
        <w:ind w:left="940" w:right="160" w:hanging="367"/>
        <w:spacing w:after="0" w:line="293" w:lineRule="auto"/>
        <w:tabs>
          <w:tab w:leader="none" w:pos="9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w:t>
      </w:r>
    </w:p>
    <w:p>
      <w:pPr>
        <w:spacing w:after="0" w:line="2" w:lineRule="exact"/>
        <w:rPr>
          <w:rFonts w:ascii="Arial" w:cs="Arial" w:eastAsia="Arial" w:hAnsi="Arial"/>
          <w:sz w:val="15"/>
          <w:szCs w:val="15"/>
          <w:color w:val="auto"/>
        </w:rPr>
      </w:pPr>
    </w:p>
    <w:p>
      <w:pPr>
        <w:ind w:left="940" w:right="20" w:hanging="367"/>
        <w:spacing w:after="0" w:line="244"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do not obtain regulatory approval of Afrezza in foreign jurisdictions, we will not be able to market Afrezza in such jurisdictions, which could limit our commercial revenues. We may not be able to establish additional regional partnerships or other arrangements with third parties for the commercialization of Afrezza outside of the United States.</w:t>
      </w:r>
    </w:p>
    <w:p>
      <w:pPr>
        <w:spacing w:after="0" w:line="2" w:lineRule="exact"/>
        <w:rPr>
          <w:rFonts w:ascii="Arial" w:cs="Arial" w:eastAsia="Arial" w:hAnsi="Arial"/>
          <w:sz w:val="18"/>
          <w:szCs w:val="18"/>
          <w:color w:val="auto"/>
        </w:rPr>
      </w:pPr>
    </w:p>
    <w:p>
      <w:pPr>
        <w:ind w:left="940" w:hanging="367"/>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successful in our efforts to develop and commercialize our product candidates.</w:t>
      </w:r>
    </w:p>
    <w:p>
      <w:pPr>
        <w:spacing w:after="0" w:line="19" w:lineRule="exact"/>
        <w:rPr>
          <w:rFonts w:ascii="Arial" w:cs="Arial" w:eastAsia="Arial" w:hAnsi="Arial"/>
          <w:sz w:val="18"/>
          <w:szCs w:val="18"/>
          <w:color w:val="auto"/>
        </w:rPr>
      </w:pPr>
    </w:p>
    <w:p>
      <w:pPr>
        <w:ind w:left="940" w:right="160" w:hanging="367"/>
        <w:spacing w:after="0" w:line="251"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history of operating losses. We expect to incur losses in the future and we may not generate positive cash flow from operations in the future.</w:t>
      </w:r>
    </w:p>
    <w:p>
      <w:pPr>
        <w:spacing w:after="0" w:line="1" w:lineRule="exact"/>
        <w:rPr>
          <w:rFonts w:ascii="Arial" w:cs="Arial" w:eastAsia="Arial" w:hAnsi="Arial"/>
          <w:sz w:val="18"/>
          <w:szCs w:val="18"/>
          <w:color w:val="auto"/>
        </w:rPr>
      </w:pPr>
    </w:p>
    <w:p>
      <w:pPr>
        <w:ind w:left="940" w:hanging="367"/>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a substantial amount of debt, and we may be unable to make required payments of interest and principal as they become due.</w:t>
      </w:r>
    </w:p>
    <w:p>
      <w:pPr>
        <w:spacing w:after="0" w:line="30" w:lineRule="exact"/>
        <w:rPr>
          <w:rFonts w:ascii="Arial" w:cs="Arial" w:eastAsia="Arial" w:hAnsi="Arial"/>
          <w:sz w:val="17"/>
          <w:szCs w:val="17"/>
          <w:color w:val="auto"/>
        </w:rPr>
      </w:pPr>
    </w:p>
    <w:p>
      <w:pPr>
        <w:ind w:left="940" w:right="20" w:hanging="367"/>
        <w:spacing w:after="0" w:line="251"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1" w:lineRule="exact"/>
        <w:rPr>
          <w:rFonts w:ascii="Arial" w:cs="Arial" w:eastAsia="Arial" w:hAnsi="Arial"/>
          <w:sz w:val="18"/>
          <w:szCs w:val="18"/>
          <w:color w:val="auto"/>
        </w:rPr>
      </w:pPr>
    </w:p>
    <w:p>
      <w:pPr>
        <w:ind w:left="940" w:hanging="367"/>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Afrezza or our product candidates may be rendered obsolete by rapid technological change.</w:t>
      </w:r>
    </w:p>
    <w:p>
      <w:pPr>
        <w:spacing w:after="0" w:line="19" w:lineRule="exact"/>
        <w:rPr>
          <w:rFonts w:ascii="Arial" w:cs="Arial" w:eastAsia="Arial" w:hAnsi="Arial"/>
          <w:sz w:val="18"/>
          <w:szCs w:val="18"/>
          <w:color w:val="auto"/>
        </w:rPr>
      </w:pPr>
    </w:p>
    <w:p>
      <w:pPr>
        <w:ind w:left="940" w:hanging="367"/>
        <w:spacing w:after="0" w:line="251"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testing of Afrezza or our product candidates may not yield successful results, and even if it does, we may still be unable to successfully commercialize our product candidates.</w:t>
      </w:r>
    </w:p>
    <w:p>
      <w:pPr>
        <w:spacing w:after="0" w:line="1" w:lineRule="exact"/>
        <w:rPr>
          <w:rFonts w:ascii="Arial" w:cs="Arial" w:eastAsia="Arial" w:hAnsi="Arial"/>
          <w:sz w:val="18"/>
          <w:szCs w:val="18"/>
          <w:color w:val="auto"/>
        </w:rPr>
      </w:pPr>
    </w:p>
    <w:p>
      <w:pPr>
        <w:ind w:left="940" w:right="500" w:hanging="367"/>
        <w:spacing w:after="0" w:line="249"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our information technology systems or data, or those of third parties upon which we rely, are or were compromised, we could experience adverse consequences resulting from such compromise, including but not limited to regulatory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940" w:right="140"/>
        <w:spacing w:after="0" w:line="251" w:lineRule="auto"/>
        <w:rPr>
          <w:sz w:val="20"/>
          <w:szCs w:val="20"/>
          <w:color w:val="auto"/>
        </w:rPr>
      </w:pPr>
      <w:r>
        <w:rPr>
          <w:rFonts w:ascii="Arial" w:cs="Arial" w:eastAsia="Arial" w:hAnsi="Arial"/>
          <w:sz w:val="18"/>
          <w:szCs w:val="18"/>
          <w:color w:val="auto"/>
        </w:rPr>
        <w:t>investigations or actions; litigation; fines and penalties; disruptions of our business operations; reputational harm; loss of revenue or profits; loss of customers or sales; and other adverse consequences.</w:t>
      </w:r>
    </w:p>
    <w:p>
      <w:pPr>
        <w:spacing w:after="0" w:line="1" w:lineRule="exact"/>
        <w:rPr>
          <w:sz w:val="20"/>
          <w:szCs w:val="20"/>
          <w:color w:val="auto"/>
        </w:rPr>
      </w:pPr>
    </w:p>
    <w:p>
      <w:pPr>
        <w:ind w:left="940" w:right="220" w:hanging="367"/>
        <w:spacing w:after="0" w:line="249" w:lineRule="auto"/>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undertake internal restructuring activities in the future that could result in disruptions to our business or otherwise materially harm our results of operations or financial condition.</w:t>
      </w:r>
    </w:p>
    <w:p>
      <w:pPr>
        <w:spacing w:after="0" w:line="29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16" w:lineRule="exact"/>
        <w:rPr>
          <w:sz w:val="20"/>
          <w:szCs w:val="20"/>
          <w:color w:val="auto"/>
        </w:rPr>
      </w:pPr>
    </w:p>
    <w:p>
      <w:pPr>
        <w:ind w:left="940" w:right="20" w:hanging="367"/>
        <w:spacing w:after="0" w:line="264"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ind w:left="940" w:right="40" w:hanging="367"/>
        <w:spacing w:after="0" w:line="244" w:lineRule="auto"/>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2" w:lineRule="exact"/>
        <w:rPr>
          <w:rFonts w:ascii="Arial" w:cs="Arial" w:eastAsia="Arial" w:hAnsi="Arial"/>
          <w:sz w:val="18"/>
          <w:szCs w:val="18"/>
          <w:color w:val="auto"/>
        </w:rPr>
      </w:pPr>
    </w:p>
    <w:p>
      <w:pPr>
        <w:ind w:left="940" w:hanging="367"/>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stringent, ongoing government regulation.</w:t>
      </w:r>
    </w:p>
    <w:p>
      <w:pPr>
        <w:spacing w:after="0" w:line="19" w:lineRule="exact"/>
        <w:rPr>
          <w:rFonts w:ascii="Arial" w:cs="Arial" w:eastAsia="Arial" w:hAnsi="Arial"/>
          <w:sz w:val="18"/>
          <w:szCs w:val="18"/>
          <w:color w:val="auto"/>
        </w:rPr>
      </w:pPr>
    </w:p>
    <w:p>
      <w:pPr>
        <w:ind w:left="940" w:right="440" w:hanging="367"/>
        <w:spacing w:after="0" w:line="302" w:lineRule="auto"/>
        <w:tabs>
          <w:tab w:leader="none" w:pos="9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ind w:left="940" w:right="220" w:hanging="367"/>
        <w:spacing w:after="0" w:line="269"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27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RELATED TO OUR COMMON STOCK</w:t>
      </w:r>
    </w:p>
    <w:p>
      <w:pPr>
        <w:spacing w:after="0" w:line="116" w:lineRule="exact"/>
        <w:rPr>
          <w:sz w:val="20"/>
          <w:szCs w:val="20"/>
          <w:color w:val="auto"/>
        </w:rPr>
      </w:pPr>
    </w:p>
    <w:p>
      <w:pPr>
        <w:ind w:left="940" w:right="340" w:hanging="367"/>
        <w:spacing w:after="0" w:line="251"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and commitments. We may be forced to take other actions to satisfy our obligations or we may experience a financial failure.</w:t>
      </w:r>
    </w:p>
    <w:p>
      <w:pPr>
        <w:spacing w:after="0" w:line="1" w:lineRule="exact"/>
        <w:rPr>
          <w:rFonts w:ascii="Arial" w:cs="Arial" w:eastAsia="Arial" w:hAnsi="Arial"/>
          <w:sz w:val="18"/>
          <w:szCs w:val="18"/>
          <w:color w:val="auto"/>
        </w:rPr>
      </w:pPr>
    </w:p>
    <w:p>
      <w:pPr>
        <w:ind w:left="940" w:hanging="367"/>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stock price is volatile and may affect the market price of our common stock and other securities.</w:t>
      </w:r>
    </w:p>
    <w:p>
      <w:pPr>
        <w:spacing w:after="0" w:line="19" w:lineRule="exact"/>
        <w:rPr>
          <w:rFonts w:ascii="Arial" w:cs="Arial" w:eastAsia="Arial" w:hAnsi="Arial"/>
          <w:sz w:val="18"/>
          <w:szCs w:val="18"/>
          <w:color w:val="auto"/>
        </w:rPr>
      </w:pPr>
    </w:p>
    <w:p>
      <w:pPr>
        <w:ind w:left="940" w:right="40" w:hanging="367"/>
        <w:spacing w:after="0" w:line="263" w:lineRule="auto"/>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future sale of our common stock or the exchange or conversion of our convertible debt into common stock could negatively affect the market price of our common stock and other securities.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GENERAL RISK FACTORS</w:t>
      </w:r>
    </w:p>
    <w:p>
      <w:pPr>
        <w:spacing w:after="0" w:line="116" w:lineRule="exact"/>
        <w:rPr>
          <w:sz w:val="20"/>
          <w:szCs w:val="20"/>
          <w:color w:val="auto"/>
        </w:rPr>
      </w:pPr>
    </w:p>
    <w:p>
      <w:pPr>
        <w:ind w:left="940" w:right="300" w:hanging="367"/>
        <w:spacing w:after="0" w:line="251"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1" w:lineRule="exact"/>
        <w:rPr>
          <w:rFonts w:ascii="Arial" w:cs="Arial" w:eastAsia="Arial" w:hAnsi="Arial"/>
          <w:sz w:val="18"/>
          <w:szCs w:val="18"/>
          <w:color w:val="auto"/>
        </w:rPr>
      </w:pPr>
    </w:p>
    <w:p>
      <w:pPr>
        <w:ind w:left="940" w:right="240" w:hanging="367"/>
        <w:spacing w:after="0" w:line="249"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Unstable market, economic and geo-political conditions may have serious adverse consequences on our business, financial condition and stock price.</w:t>
      </w:r>
    </w:p>
    <w:p>
      <w:pPr>
        <w:spacing w:after="0" w:line="87" w:lineRule="exact"/>
        <w:rPr>
          <w:sz w:val="20"/>
          <w:szCs w:val="20"/>
          <w:color w:val="auto"/>
        </w:rPr>
      </w:pPr>
    </w:p>
    <w:p>
      <w:pPr>
        <w:spacing w:after="0" w:line="264"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32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Afrezza may only achieve a limited degree of commercial success. The continued commercialization and development of Afrezza will require substantial capital that we may not be able to obtain.</w:t>
      </w:r>
    </w:p>
    <w:p>
      <w:pPr>
        <w:spacing w:after="0" w:line="7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have expended significant time, money and effort in the commercialization and development of Afrezza, which has been on the market since February 2015. To date, Afrezza sales have been modest by comparison to other mealtime insulins. If we remain on the existing growth curve, we may never generate significant revenues from Afrezza in the United States.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line="262" w:lineRule="auto"/>
        <w:rPr>
          <w:sz w:val="20"/>
          <w:szCs w:val="20"/>
          <w:color w:val="auto"/>
        </w:rPr>
      </w:pPr>
      <w:r>
        <w:rPr>
          <w:rFonts w:ascii="Arial" w:cs="Arial" w:eastAsia="Arial" w:hAnsi="Arial"/>
          <w:sz w:val="17"/>
          <w:szCs w:val="17"/>
          <w:color w:val="auto"/>
        </w:rPr>
        <w:t>Successful commercialization of Afrezza is subject to many risks, including some that are outside our control. There are numerous examples of failures to fully exploit the market potential of drug products, including by pharmaceutical companies with more experience and resources than us. We ultimately may be unable to gain widespread market acceptance of Afrezza for a variety of reasons, including the treatment and dosage regimen, potential adverse effects, pricing and availability relative to alternative products and lack of coverage or adequate reimbursement by payers. We may need to enhance our commercialization capabilities in order to successfully commercialize Afrezza in the United States, and we may not have sufficient resources to do so. The market for skilled commercial personnel is highly competitive, and we may not be able to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to physicians and to ensure that a consistent and appropriate message about Afrezza is being delivered to our potential customers. If we are unable to effectively train our sales force and equip them with effective medical and sales materials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8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If we are unable to maintain payer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We are responsible for the NDA for Afrezza and its maintenance. We may fail to comply with maintenance requirements, including timely submitting required reports. Furthermore, as part of the approval of Afrezza, the FDA required us to conduct certain additional clinical studies of Afrezza. These studies will require significant capital resources, some of which may not be available to us. We have initiated one of these studies, a Phase 3 clinical trial to evaluate the safety and efficacy of Afrezza in 4-17 year-old children and adolescents. We have engaged a clinical research organization to assist us with conducting this study and have budgeted the projected costs of the study in our operating plans. The other required study is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8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If we fail to achieve better commercial success with Afrezza in the United States, our prospects for generating significant revenues from this product will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as an effective manufacturing organization, we may be unable to support commercialization of Afrezza or Tyvaso DPI.</w:t>
      </w:r>
    </w:p>
    <w:p>
      <w:pPr>
        <w:spacing w:after="0" w:line="110" w:lineRule="exact"/>
        <w:rPr>
          <w:sz w:val="20"/>
          <w:szCs w:val="20"/>
          <w:color w:val="auto"/>
        </w:rPr>
      </w:pPr>
    </w:p>
    <w:p>
      <w:pPr>
        <w:jc w:val="both"/>
        <w:ind w:right="500"/>
        <w:spacing w:after="0" w:line="269" w:lineRule="auto"/>
        <w:rPr>
          <w:sz w:val="20"/>
          <w:szCs w:val="20"/>
          <w:color w:val="auto"/>
        </w:rPr>
      </w:pPr>
      <w:r>
        <w:rPr>
          <w:rFonts w:ascii="Arial" w:cs="Arial" w:eastAsia="Arial" w:hAnsi="Arial"/>
          <w:sz w:val="18"/>
          <w:szCs w:val="18"/>
          <w:color w:val="auto"/>
        </w:rPr>
        <w:t>We use our Danbury, Connecticut facility to formulate both the Afrezza and Tyvaso DPI inhalation powders, fill plastic cartridges with the powders, and package the cartridges into secondary packaging. We also assemble the inhalers from their individual molded parts. These semi-finished goods are then assembled into the final kits for commercial sale by a contract packager.</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and yields and quality control and assurance. We may experience shortages of qualified personnel, which could impact our ability to meet production schedules. There is also a need to comply with strictly enforced federal, state and foreign regulations, including inspections. Our facility is inspected on a regular basis by the FDA, most recently in July 2021 when the FDA conducted a pre-approval inspection related to Tyvaso DPI and a GMP inspection related to Afrezza. The FDA made one observation during its most recent inspection, which we corrected and addressed with the FDA following the site visit. If the FDA makes any major observations during future inspections, the corrective actions required could be onerous and time-consuming.</w:t>
      </w:r>
    </w:p>
    <w:p>
      <w:pPr>
        <w:spacing w:after="0" w:line="181"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auto"/>
        </w:rPr>
        <w:t>Any of these factors could cause us to delay or suspend production, could entail higher costs and may result in our being unable to obtain sufficient quantities for the commercialization of drug products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such drug products and we would lose potential revenues.</w:t>
      </w:r>
    </w:p>
    <w:p>
      <w:pPr>
        <w:spacing w:after="0" w:line="4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For the commercial manufacture of inhaled drug products, we need access to sufficient, reliable and affordable supplies of FDKP, the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0" w:name="page41"/>
    <w:bookmarkEnd w:id="40"/>
    <w:p>
      <w:pPr>
        <w:spacing w:after="0" w:line="300" w:lineRule="auto"/>
        <w:rPr>
          <w:sz w:val="20"/>
          <w:szCs w:val="20"/>
          <w:color w:val="auto"/>
        </w:rPr>
      </w:pPr>
      <w:r>
        <w:rPr>
          <w:rFonts w:ascii="Arial" w:cs="Arial" w:eastAsia="Arial" w:hAnsi="Arial"/>
          <w:sz w:val="15"/>
          <w:szCs w:val="15"/>
          <w:color w:val="auto"/>
        </w:rPr>
        <w:t>inhaler, the related cartridges and other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cGMP for drug products, and the production of the Afrezza/Tyvaso DPI inhaler and related cartridges in accordance with QSRs.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the production of Afrezza or Tyvaso DPI.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6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payers and the healthcare community, we may be unable to generate significant revenue, if any.</w:t>
      </w:r>
    </w:p>
    <w:p>
      <w:pPr>
        <w:spacing w:after="0" w:line="75" w:lineRule="exact"/>
        <w:rPr>
          <w:sz w:val="20"/>
          <w:szCs w:val="20"/>
          <w:color w:val="auto"/>
        </w:rPr>
      </w:pPr>
    </w:p>
    <w:p>
      <w:pPr>
        <w:ind w:right="200"/>
        <w:spacing w:after="0" w:line="364" w:lineRule="auto"/>
        <w:rPr>
          <w:sz w:val="20"/>
          <w:szCs w:val="20"/>
          <w:color w:val="auto"/>
        </w:rPr>
      </w:pPr>
      <w:r>
        <w:rPr>
          <w:rFonts w:ascii="Arial" w:cs="Arial" w:eastAsia="Arial" w:hAnsi="Arial"/>
          <w:sz w:val="15"/>
          <w:szCs w:val="15"/>
          <w:color w:val="auto"/>
        </w:rPr>
        <w:t>Afrezza, and other products that we may develop in the future, may not gain market acceptance among physicians, patients, third-party payers and the healthcare community. Failure to achieve market acceptance would limit our ability to generate revenue and would adversely affect our results of operations.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 following:</w:t>
      </w:r>
    </w:p>
    <w:p>
      <w:pPr>
        <w:spacing w:after="0" w:line="121"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6"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74" w:lineRule="exact"/>
        <w:rPr>
          <w:rFonts w:ascii="Arial" w:cs="Arial" w:eastAsia="Arial" w:hAnsi="Arial"/>
          <w:sz w:val="18"/>
          <w:szCs w:val="18"/>
          <w:color w:val="auto"/>
        </w:rPr>
      </w:pPr>
    </w:p>
    <w:p>
      <w:pPr>
        <w:ind w:left="1000" w:right="30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 • Ability to manufacture the product in sufficient quantities with acceptable quality and cost;</w:t>
      </w:r>
    </w:p>
    <w:p>
      <w:pPr>
        <w:spacing w:after="0" w:line="74" w:lineRule="exact"/>
        <w:rPr>
          <w:rFonts w:ascii="Arial" w:cs="Arial" w:eastAsia="Arial" w:hAnsi="Arial"/>
          <w:sz w:val="18"/>
          <w:szCs w:val="18"/>
          <w:color w:val="auto"/>
        </w:rPr>
      </w:pPr>
    </w:p>
    <w:p>
      <w:pPr>
        <w:ind w:left="1000" w:right="540" w:hanging="493"/>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payers, regarding the safety, efficacy and benefits compared to competing products or therapies;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If third-party payers do not cover Afrezza or any of our product candidates for which we receive regulatory approval, Afrezza or such product candidates might not be prescribed, used or purchased, which would adversely affect our revenues.</w:t>
      </w:r>
    </w:p>
    <w:p>
      <w:pPr>
        <w:spacing w:after="0" w:line="75"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In the United States and elsewhere, sales of prescription pharmaceuticals still depend in large part on the availability of coverage and adequate reimbursement to the consumer from third-party payers, such as government health administration authorities and private insurance plans. Third-party payers are increasingly challenging the prices charged for medical products and services. The market for Afrezza and our product candidates for which we may receive regulatory approval will depend significantly on access to third-party payers’ drug formularies, which are the lists of medications for which third-party payers provide coverage and reimbursement. The industry competition to be included in such formularies often leads to downward pricing pressures on pharmaceutical companies. Also, third-party payers may refuse to include a particular branded drug in their formularies or otherwise restrict patient access to a branded drug when a less costly generic equivalent or other alternative is available. Even if favorable coverage and reimbursement status is attained for Afrezza or our product candidates for which we or our collaborators receive regulatory approval, less favorable coverage policies and reimbursement rates may be implemented in the future. In addition,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ind w:right="40"/>
        <w:spacing w:after="0" w:line="264" w:lineRule="auto"/>
        <w:rPr>
          <w:sz w:val="20"/>
          <w:szCs w:val="20"/>
          <w:color w:val="auto"/>
        </w:rPr>
      </w:pPr>
      <w:r>
        <w:rPr>
          <w:rFonts w:ascii="Arial" w:cs="Arial" w:eastAsia="Arial" w:hAnsi="Arial"/>
          <w:sz w:val="17"/>
          <w:szCs w:val="17"/>
          <w:color w:val="auto"/>
        </w:rPr>
        <w:t>The requirements governing drug pricing vary widely from country to country. In some non-U.S. jurisdictions, the proposed pricing for a drug must be approved before it may be lawfully marketed.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79"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If we or any future marketing partner is unable to obtain and maintain coverage of, and adequate payment levels reimbursement for, Afrezza or any of our other product candidates that receive marketing approval from third-party payers,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8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Our future revenues and ability to generate positive cash flow from operations may be affected by the continuing efforts of government and other third-party payers to contain or reduce the costs of healthcare through various means. In certain foreign markets the pricing of prescription pharmaceuticals is subject to direct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operations.*</w:t>
      </w:r>
    </w:p>
    <w:p>
      <w:pPr>
        <w:spacing w:after="0" w:line="110"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As of March 31, 2022, we had cash and cash equivalents of $67.2 million, short-term investments of $95.2 million and long-term investments of $70.5 million, and we had $288.4 million principal amount of outstanding debt. 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It may be difficult for us to raise additional funds on favorable terms, or at all. The extent of our additional funding requirements will depend on a number of factors, including:</w:t>
      </w:r>
    </w:p>
    <w:p>
      <w:pPr>
        <w:spacing w:after="0" w:line="44" w:lineRule="exact"/>
        <w:rPr>
          <w:sz w:val="20"/>
          <w:szCs w:val="20"/>
          <w:color w:val="auto"/>
        </w:rPr>
      </w:pPr>
    </w:p>
    <w:p>
      <w:pPr>
        <w:ind w:left="1000" w:right="440" w:hanging="493"/>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degree to which revenue from Afrezza exceeds or does not exceed the minimum revenue covenants under the MidCap credit facility, if applicable;</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degree to which we are able to generate revenue from our Technosphere drug delivery platform, including through our collaborations;</w:t>
      </w:r>
    </w:p>
    <w:p>
      <w:pPr>
        <w:spacing w:after="0" w:line="170" w:lineRule="exact"/>
        <w:rPr>
          <w:rFonts w:ascii="Arial" w:cs="Arial" w:eastAsia="Arial" w:hAnsi="Arial"/>
          <w:sz w:val="15"/>
          <w:szCs w:val="15"/>
          <w:color w:val="auto"/>
        </w:rPr>
      </w:pPr>
    </w:p>
    <w:p>
      <w:pPr>
        <w:ind w:left="1000" w:right="180" w:hanging="493"/>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demand by any or all of the holders of our debt instruments to require us to repay or repurchase such debt securities if and when required;</w:t>
      </w:r>
    </w:p>
    <w:p>
      <w:pPr>
        <w:spacing w:after="0" w:line="170" w:lineRule="exact"/>
        <w:rPr>
          <w:rFonts w:ascii="Arial" w:cs="Arial" w:eastAsia="Arial" w:hAnsi="Arial"/>
          <w:sz w:val="15"/>
          <w:szCs w:val="15"/>
          <w:color w:val="auto"/>
        </w:rPr>
      </w:pPr>
    </w:p>
    <w:p>
      <w:pPr>
        <w:ind w:left="1000" w:right="180" w:hanging="493"/>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obligation to make lease payments and milestone payments;</w:t>
      </w:r>
    </w:p>
    <w:p>
      <w:pPr>
        <w:spacing w:after="0" w:line="136" w:lineRule="exact"/>
        <w:rPr>
          <w:rFonts w:ascii="Arial" w:cs="Arial" w:eastAsia="Arial" w:hAnsi="Arial"/>
          <w:sz w:val="18"/>
          <w:szCs w:val="18"/>
          <w:color w:val="auto"/>
        </w:rPr>
      </w:pPr>
    </w:p>
    <w:p>
      <w:pPr>
        <w:ind w:left="1000" w:right="300" w:hanging="493"/>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actions taken by the FDA and other regulatory authorities affecting Afrezza, Tyvaso DPI and our product candidates and competitive products;</w:t>
      </w:r>
    </w:p>
    <w:p>
      <w:pPr>
        <w:spacing w:after="0" w:line="170" w:lineRule="exact"/>
        <w:rPr>
          <w:rFonts w:ascii="Arial" w:cs="Arial" w:eastAsia="Arial" w:hAnsi="Arial"/>
          <w:sz w:val="15"/>
          <w:szCs w:val="15"/>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36" w:lineRule="exact"/>
        <w:rPr>
          <w:rFonts w:ascii="Arial" w:cs="Arial" w:eastAsia="Arial" w:hAnsi="Arial"/>
          <w:sz w:val="18"/>
          <w:szCs w:val="18"/>
          <w:color w:val="auto"/>
        </w:rPr>
      </w:pPr>
    </w:p>
    <w:p>
      <w:pPr>
        <w:ind w:left="1000" w:right="300" w:hanging="493"/>
        <w:spacing w:after="0" w:line="263"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2" w:name="page43"/>
    <w:bookmarkEnd w:id="42"/>
    <w:p>
      <w:pPr>
        <w:ind w:right="20"/>
        <w:spacing w:after="0" w:line="266" w:lineRule="auto"/>
        <w:rPr>
          <w:sz w:val="20"/>
          <w:szCs w:val="20"/>
          <w:color w:val="auto"/>
        </w:rPr>
      </w:pPr>
      <w:r>
        <w:rPr>
          <w:rFonts w:ascii="Arial" w:cs="Arial" w:eastAsia="Arial" w:hAnsi="Arial"/>
          <w:sz w:val="17"/>
          <w:szCs w:val="17"/>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In addition, the ongoing COVID-19 pandemic continues to have the potential for disruption of global financial markets. Similarly, the current Russia-Ukraine conflict has created extreme volatility in the global capital markets as well as other global economic consequences, including disruptions of the global supply chain and energy markets. Any such volatility or disruption, if sustained or recurrent, could prevent us or make it more difficult for us to access capital.</w:t>
      </w:r>
    </w:p>
    <w:p>
      <w:pPr>
        <w:spacing w:after="0" w:line="179"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auto"/>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5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9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86" w:lineRule="exact"/>
        <w:rPr>
          <w:sz w:val="20"/>
          <w:szCs w:val="20"/>
          <w:color w:val="auto"/>
        </w:rPr>
      </w:pPr>
    </w:p>
    <w:p>
      <w:pPr>
        <w:ind w:right="140"/>
        <w:spacing w:after="0" w:line="328" w:lineRule="auto"/>
        <w:rPr>
          <w:sz w:val="20"/>
          <w:szCs w:val="20"/>
          <w:color w:val="auto"/>
        </w:rPr>
      </w:pPr>
      <w:r>
        <w:rPr>
          <w:rFonts w:ascii="Arial" w:cs="Arial" w:eastAsia="Arial" w:hAnsi="Arial"/>
          <w:sz w:val="15"/>
          <w:szCs w:val="15"/>
          <w:b w:val="1"/>
          <w:bCs w:val="1"/>
          <w:i w:val="1"/>
          <w:iCs w:val="1"/>
          <w:color w:val="auto"/>
        </w:rPr>
        <w:t>Our business, product sales, results of operations and ability to access capital could be adversely affected by the effects of health pandemics or epidemics, including the ongoing COVID-19 pandemic, in regions where we or third parties distribute our products or where we or third parties on which we rely have significant manufacturing facilities, concentrations of clinical trial sites or other business operations.*</w:t>
      </w:r>
    </w:p>
    <w:p>
      <w:pPr>
        <w:spacing w:after="0" w:line="32"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Our business could be adversely affected by the effects of health pandemics or epidemics in regions where we have business operations, and we could experience significant disruptions in the operations of third-party manufacturers and distributors upon whom we rely. In particular, the ongoing COVID-19 pandemic could materially affect our operations, including at our manufacturing facility in Connecticut and with respect to our sales force and their ability to interact with health care professionals, as well as the business or operations of our suppliers, distributors or other third parties with whom we conduct business.</w:t>
      </w:r>
    </w:p>
    <w:p>
      <w:pPr>
        <w:spacing w:after="0" w:line="79"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The ongoing COVID-19 pandemic has resulted in a number of restrictions to reduce the spread of the disease, many of which have been eased or lifted in recent months. The emergence of new variants of the SARS-CoV-2 virus raises the possibility that recurring cycles of infection and corresponding restrictions will be imposed in the future, notwithstanding vaccination and other public health efforts. The effects of the restrictions related to the COVID-19 pandemic and our related policies addressing the pandemic, including the evolving nature of such policies, may negatively impact productivity, disrupt our business and delay our development programs, regulatory and commercialization timelines. We may also face challenges or disruptions as employees return back to the workplace, including re-integration challenges by our employees and distractions to management related to such transition. These and similar, and perhaps more severe, disruptions in our operations due to the COVID-19 pandemic could negatively impact our business, operating results and financial condition.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43" w:name="page44"/>
    <w:bookmarkEnd w:id="43"/>
    <w:p>
      <w:pPr>
        <w:spacing w:after="0" w:line="266"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Although we believe we have sufficient quantities of raw materials for planned manufacturing operations in 2022, a prolonged supply interruption of certain components could adversely affect our ability to conduct commercialization activities and planned clinical trials. In addition, we believe that the severity of the COVID-19 pandemic in Brazil has the potential to continue to negatively impact the distribution of Afrezza by our partner in that country.</w:t>
      </w:r>
    </w:p>
    <w:p>
      <w:pPr>
        <w:spacing w:after="0" w:line="10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Sales and demand for Afrezza have been adversely affected by the COVID-19 pandemic, and we expect this trend to continue for at least the near term. Although our sales representatives are conducting in-person sales calls to the extent permitted by state and local public health authorities and by the policies of individual healthcare providers that they interact with, they have not fully returned to conducting in-person office visits with healthcare providers, which impacts their productivity. Disruptions in the prescription volume of Afrezza could also occur:</w:t>
      </w:r>
    </w:p>
    <w:p>
      <w:pPr>
        <w:spacing w:after="0" w:line="71"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diabetes management,</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pharmacies are closed or suffering supply chain disruptions,</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periods of high unemployment, or</w:t>
      </w:r>
    </w:p>
    <w:p>
      <w:pPr>
        <w:spacing w:after="0" w:line="136"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result of general disruptions in the operations of payers, distributors, logistics providers and other third parties that are necessary for Afrezza to be prescribed and reimbursed.</w:t>
      </w:r>
    </w:p>
    <w:p>
      <w:pPr>
        <w:spacing w:after="0" w:line="180" w:lineRule="exact"/>
        <w:rPr>
          <w:sz w:val="20"/>
          <w:szCs w:val="20"/>
          <w:color w:val="auto"/>
        </w:rPr>
      </w:pPr>
    </w:p>
    <w:p>
      <w:pPr>
        <w:ind w:right="220"/>
        <w:spacing w:after="0" w:line="249" w:lineRule="auto"/>
        <w:rPr>
          <w:sz w:val="20"/>
          <w:szCs w:val="20"/>
          <w:color w:val="auto"/>
        </w:rPr>
      </w:pPr>
      <w:r>
        <w:rPr>
          <w:rFonts w:ascii="Arial" w:cs="Arial" w:eastAsia="Arial" w:hAnsi="Arial"/>
          <w:sz w:val="18"/>
          <w:szCs w:val="18"/>
          <w:color w:val="auto"/>
        </w:rPr>
        <w:t>In addition, our ongoing or planned clinical trials of Afrezza or those conducted by Cipla or our other regional partners may be affected by the COVID-19 pandemic. Clinical site initiation and patient enrollment may be delayed due to prioritization of hospital resources toward the COVID-19 pandemic. Some patients may not be able or willing to comply with clinical trial protocols if quarantines impede patient movement or interrupt healthcare services. Similarly, our ability to recruit and retain patients and principal investigators and site staff who, as healthcare providers, may have heightened exposure to COVID-19 would adversely impact our clinical trial operations.</w:t>
      </w:r>
    </w:p>
    <w:p>
      <w:pPr>
        <w:spacing w:after="0" w:line="19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While the potential economic impact brought by, and the duration of, the COVID-19 pandemic may be difficult to assess or predict, the pandemic continues to have the potential for disruption of global financial markets. This disruption, if sustained or recurrent, could make it more difficult for us to access capital, which could negatively affect our liquidity. In addition, a recession or market correction resulting from the spread of COVID-19 could materially affect our business and the value of our common stock.</w:t>
      </w:r>
    </w:p>
    <w:p>
      <w:pPr>
        <w:spacing w:after="0" w:line="1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ultimate impact of the COVID-19 pandemic or a similar health pandemic or epidemic is highly uncertain and subject to change. We do not yet know the full extent of potential delays or impacts on our business, our clinical trials, commercialization efforts, healthcare systems or to the global economy as a whole. These effects could have a material impact on our operations. We will continue to monitor the COVID-19 situation closely.</w:t>
      </w:r>
    </w:p>
    <w:p>
      <w:pPr>
        <w:spacing w:after="0" w:line="27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such jurisdictions, which could limit our commercial revenues. We may not be able to establish additional regional partnerships or other arrangements with third parties for the commercialization of Afrezza outside of the United States.</w:t>
      </w:r>
    </w:p>
    <w:p>
      <w:pPr>
        <w:spacing w:after="0" w:line="82"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Although Afrezza has been approved in the United States by the FDA and in Brazil by ANVISA, we have not yet obtained approval in any other jurisdiction. In order to market Afrezza in a foreign jurisdiction, we must obtain regulatory approval in each such foreign jurisdiction, and we may never be able to obtain such approvals. The research, testing, manufacturing, labeling, sale, import, export, marketing, and distribution of pharmaceutical products outside the United States are subject to extensive regulation by foreign regulatory authorities, whose regulations differ from country to country. We will be required to comply with the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approval of Afrezza in the United States.</w:t>
      </w:r>
    </w:p>
    <w:p>
      <w:pPr>
        <w:spacing w:after="0" w:line="76"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color w:val="auto"/>
        </w:rPr>
        <w:t>Our current strategy for the future commercialization of Afrezza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72" w:right="339" w:bottom="1440" w:gutter="0" w:footer="0" w:header="0"/>
        </w:sectPr>
      </w:pPr>
    </w:p>
    <w:bookmarkStart w:id="44" w:name="page45"/>
    <w:bookmarkEnd w:id="44"/>
    <w:p>
      <w:pPr>
        <w:ind w:right="20"/>
        <w:spacing w:after="0" w:line="311" w:lineRule="auto"/>
        <w:rPr>
          <w:sz w:val="20"/>
          <w:szCs w:val="20"/>
          <w:color w:val="auto"/>
        </w:rPr>
      </w:pPr>
      <w:r>
        <w:rPr>
          <w:rFonts w:ascii="Arial" w:cs="Arial" w:eastAsia="Arial" w:hAnsi="Arial"/>
          <w:sz w:val="15"/>
          <w:szCs w:val="15"/>
          <w:color w:val="auto"/>
        </w:rPr>
        <w:t>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0"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Other than Tyvaso DPI, which we licensed to UT, 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our need to support the launch preparations of Tyvaso DPI and our ongoing attention on the development and commercialization of Afrezza, we may not be able to advance these programs into clinical development unless we are able to obtain specific funding for these programs or enter into collaborations with third parties.</w:t>
      </w:r>
    </w:p>
    <w:p>
      <w:pPr>
        <w:spacing w:after="0" w:line="49" w:lineRule="exact"/>
        <w:rPr>
          <w:sz w:val="20"/>
          <w:szCs w:val="20"/>
          <w:color w:val="auto"/>
        </w:rPr>
      </w:pPr>
    </w:p>
    <w:p>
      <w:pPr>
        <w:ind w:right="180"/>
        <w:spacing w:after="0" w:line="317" w:lineRule="auto"/>
        <w:rPr>
          <w:sz w:val="20"/>
          <w:szCs w:val="20"/>
          <w:color w:val="auto"/>
        </w:rPr>
      </w:pPr>
      <w:r>
        <w:rPr>
          <w:rFonts w:ascii="Arial" w:cs="Arial" w:eastAsia="Arial" w:hAnsi="Arial"/>
          <w:sz w:val="15"/>
          <w:szCs w:val="15"/>
          <w:color w:val="auto"/>
        </w:rPr>
        <w:t>Even if our research programs identify product candidates that initially show promise, these candidates may fail to progress through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w:t>
      </w:r>
    </w:p>
    <w:p>
      <w:pPr>
        <w:spacing w:after="0" w:line="251"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 xml:space="preserve">We have a history of operating losses. We expect to incur losses in the future and we may not generate positive cash flow from operations in the future.* </w:t>
      </w:r>
      <w:r>
        <w:rPr>
          <w:rFonts w:ascii="Arial" w:cs="Arial" w:eastAsia="Arial" w:hAnsi="Arial"/>
          <w:sz w:val="15"/>
          <w:szCs w:val="15"/>
          <w:color w:val="auto"/>
        </w:rPr>
        <w:t>We are not currently profitable and have rarely generated positive net cash flow from operations. As of March 31, 2022, we had an accumulated deficit of</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$3.2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the commercialization of Afrezza and advance product candidates in our pipeline. In addition, under our Insulin Supply Agreement with Amphastar, we agreed to purchase certain annual minimum quantities of insulin through 2027. As of March 31, 2022, there was $79.3 million remaining in aggregate purchase commitments under this agreement. We may not have the necessary capital resources to service this contractual commitment.</w:t>
      </w:r>
    </w:p>
    <w:p>
      <w:pPr>
        <w:spacing w:after="0" w:line="9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The notes to our condensed consolidated financial statements in this Quarterly Report on Form 10-Q provide details about our various debt obligations.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2022, we had $288.4 million principal amount of outstanding debt, consisting of:</w:t>
      </w:r>
    </w:p>
    <w:p>
      <w:pPr>
        <w:spacing w:after="0" w:line="98" w:lineRule="exact"/>
        <w:rPr>
          <w:sz w:val="20"/>
          <w:szCs w:val="20"/>
          <w:color w:val="auto"/>
        </w:rPr>
      </w:pPr>
    </w:p>
    <w:p>
      <w:pPr>
        <w:ind w:left="1000" w:right="120" w:hanging="493"/>
        <w:spacing w:after="0" w:line="317" w:lineRule="auto"/>
        <w:tabs>
          <w:tab w:leader="none" w:pos="10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$230.0 million aggregate principal amount of Senior convertible notes bearing interest at 2.50% payable semi-annually in arrears on March 1 and September 1 of each year, beginning on September 1, 2021 and will mature on March 1, 2026, unless earlier converted, redeemed or repurchased. The Senior convertible notes are convertible at an initial conversion price of approximately $5.21 per share of common stock. The conversion rate is subject to adjustment under certain circumstances in accordance with the terms of the Indenture.</w:t>
      </w:r>
    </w:p>
    <w:p>
      <w:pPr>
        <w:spacing w:after="0" w:line="39" w:lineRule="exact"/>
        <w:rPr>
          <w:rFonts w:ascii="Arial" w:cs="Arial" w:eastAsia="Arial" w:hAnsi="Arial"/>
          <w:sz w:val="15"/>
          <w:szCs w:val="15"/>
          <w:color w:val="auto"/>
        </w:rPr>
      </w:pPr>
    </w:p>
    <w:p>
      <w:pPr>
        <w:ind w:left="1000" w:right="120" w:hanging="493"/>
        <w:spacing w:after="0" w:line="254"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6.25%, subject to a one-month LIBOR floor of 1.00%, payable in equal monthly installments beginning in September 2023 through maturity in August 2025.</w:t>
      </w:r>
    </w:p>
    <w:p>
      <w:pPr>
        <w:spacing w:after="0" w:line="82" w:lineRule="exact"/>
        <w:rPr>
          <w:rFonts w:ascii="Arial" w:cs="Arial" w:eastAsia="Arial" w:hAnsi="Arial"/>
          <w:sz w:val="18"/>
          <w:szCs w:val="18"/>
          <w:color w:val="auto"/>
        </w:rPr>
      </w:pPr>
    </w:p>
    <w:p>
      <w:pPr>
        <w:ind w:left="1000" w:right="100" w:hanging="493"/>
        <w:spacing w:after="0" w:line="251"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$18.4 million principal amount of indebtedness under the Mann Group convertible note bearing interest at a fixed rate of 2.50% per annum compounded quarterly and maturing in December 2025, which is convertible into shares of our common stock at the option of Mann Group at a conversion price of $2.50 per share. Interest is paid-in-kind from August 2019 until the end of 2020, after which we have the option to pay interest in-kind or in shares.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line="299" w:lineRule="auto"/>
        <w:rPr>
          <w:sz w:val="20"/>
          <w:szCs w:val="20"/>
          <w:color w:val="auto"/>
        </w:rPr>
      </w:pPr>
      <w:r>
        <w:rPr>
          <w:rFonts w:ascii="Arial" w:cs="Arial" w:eastAsia="Arial" w:hAnsi="Arial"/>
          <w:sz w:val="15"/>
          <w:szCs w:val="15"/>
          <w:color w:val="auto"/>
        </w:rPr>
        <w:t>Under the MidCap credit facility, our interest rate on borrowed amounts is dependent on one-month LIBOR, which is the basic rate of interest used in lending between banks on the London interbank market. LIBOR is widely used as a reference for setting the interest rate on loans globally. In March 2021, the Chief Executive of the United Kingdom Financial Conduct Authority, which regulates LIBOR, announced that the one-month LIBOR will either cease to be provided by any administrator or no longer be representative, effective immediately after June 30, 2023. The United States Federal Reserve has also advised banks to cease entering into new contracts that use LIBOR as a reference rate. Before one-month LIBOR is phased out, we may need to renegotiate the MidCap credit facility to replace one-month LIBOR with a new standard, which has not yet been agreed upon. The Alternative Reference Rate Committee, a committee convened by the Federal Reserve that includes major market participants, has identified the Secured Overnight Financing Rate (“SOFR”), a new index calculated by short-term repurchase agreements, backed by Treasury securities, as its preferred alternative rate for LIBOR. We are not able to predict how markets will respond to SOFR or other alternative reference rates as the transition away from the LIBOR benchmarks. Accordingly, the outcome of these reforms is uncertain and any changes in the methods by which LIBOR is determined or regulatory activity related to LIBOR’s phase-out could cause LIBOR to perform differently than in the past or cease to exist. The consequences of these developments cannot entirely be predicted, but could result in higher interest rates on our loans under the MidCap credit facility. Furthermore, we cannot predict or quantify the time, effort and cost required to transition to the use of new benchmark rates, including with respect to negotiating and implementing any necessary changes to existing contractual agreements, and implementing changes to our systems and processes. We cannot provide assurance that future interest rate changes will not have a material negative impact on our business, financial position, or operating results.</w:t>
      </w:r>
    </w:p>
    <w:p>
      <w:pPr>
        <w:spacing w:after="0" w:line="372"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color w:val="auto"/>
        </w:rPr>
        <w:t>Under the MidCap credit facility, we must comply with a minimum cash covenant of $10.0 million at all times prior to the approval by the FDA of Tyvaso DPI and we may be required to comply with additional covenants in the future under certain circumstances. The MidCap credit facility requires us, and any debt arrangements we may enter into in the future may require us, to comply with various covenants that limit our ability to, among other things:</w:t>
      </w:r>
    </w:p>
    <w:p>
      <w:pPr>
        <w:spacing w:after="0" w:line="32"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42"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The restrictive covenants in the MidCap credit facility could prevent us from pursuing business opportunities that we or our stockholders may consider beneficial.</w:t>
      </w:r>
    </w:p>
    <w:p>
      <w:pPr>
        <w:spacing w:after="0" w:line="180" w:lineRule="exact"/>
        <w:rPr>
          <w:sz w:val="20"/>
          <w:szCs w:val="20"/>
          <w:color w:val="auto"/>
        </w:rPr>
      </w:pPr>
    </w:p>
    <w:p>
      <w:pPr>
        <w:jc w:val="both"/>
        <w:ind w:right="520"/>
        <w:spacing w:after="0" w:line="251" w:lineRule="auto"/>
        <w:rPr>
          <w:sz w:val="20"/>
          <w:szCs w:val="20"/>
          <w:color w:val="auto"/>
        </w:rPr>
      </w:pPr>
      <w:r>
        <w:rPr>
          <w:rFonts w:ascii="Arial" w:cs="Arial" w:eastAsia="Arial" w:hAnsi="Arial"/>
          <w:sz w:val="18"/>
          <w:szCs w:val="18"/>
          <w:color w:val="auto"/>
        </w:rPr>
        <w:t>If our unrestricted cash and short-term investments balance falls below $90.0 million, we will be subject to a covenant relating to trailing twelve-month minimum Afrezza net revenue, tested on a monthly basis, which is set forth in the MidCap credit facility Agreement, as amended. If we fail to meet this covenant or the minimum cash covenant, any outstanding borrowings, together with accrued interest, under the MidCap credit facility could be declared immediately due and payable.</w:t>
      </w:r>
    </w:p>
    <w:p>
      <w:pPr>
        <w:spacing w:after="0" w:line="190" w:lineRule="exact"/>
        <w:rPr>
          <w:sz w:val="20"/>
          <w:szCs w:val="20"/>
          <w:color w:val="auto"/>
        </w:rPr>
      </w:pPr>
    </w:p>
    <w:p>
      <w:pPr>
        <w:ind w:right="180"/>
        <w:spacing w:after="0" w:line="307" w:lineRule="auto"/>
        <w:rPr>
          <w:sz w:val="20"/>
          <w:szCs w:val="20"/>
          <w:color w:val="auto"/>
        </w:rPr>
      </w:pPr>
      <w:r>
        <w:rPr>
          <w:rFonts w:ascii="Arial" w:cs="Arial" w:eastAsia="Arial" w:hAnsi="Arial"/>
          <w:sz w:val="15"/>
          <w:szCs w:val="15"/>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5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There can be no assurance that we will have sufficient resources to make any required repayments of principal under the terms of our indebtedness when required. While we have been able to timely make our required interest payments to date, we cannot guarantee that we will be able to do so in the future. If we fail to pay interest on, or repay, our outstanding term loan under the MidCap credit facility or borrowings under the Mann Group promissory notes when required, we will be in default under the instrument for such debt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6" w:name="page47"/>
    <w:bookmarkEnd w:id="46"/>
    <w:p>
      <w:pPr>
        <w:jc w:val="both"/>
        <w:ind w:right="120"/>
        <w:spacing w:after="0" w:line="254" w:lineRule="auto"/>
        <w:rPr>
          <w:sz w:val="20"/>
          <w:szCs w:val="20"/>
          <w:color w:val="auto"/>
        </w:rPr>
      </w:pPr>
      <w:r>
        <w:rPr>
          <w:rFonts w:ascii="Arial" w:cs="Arial" w:eastAsia="Arial" w:hAnsi="Arial"/>
          <w:sz w:val="18"/>
          <w:szCs w:val="18"/>
          <w:color w:val="auto"/>
        </w:rPr>
        <w:t>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9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75"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We anticipate that revenues from our existing or future licensing arrangements for our Technosphere platform technology that involve license, milestone, royalty or other payments to us will depend on our ability to achieve the performance obligations specified in such arrangements. 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79"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components used in the manufacture of our product candidates;</w:t>
      </w:r>
    </w:p>
    <w:p>
      <w:pPr>
        <w:spacing w:after="0" w:line="161"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extent to which our clinical studies compete for clinical sites and eligible subjects with clinical studies sponsored by other companies;</w:t>
      </w:r>
    </w:p>
    <w:p>
      <w:pPr>
        <w:spacing w:after="0" w:line="184" w:lineRule="exact"/>
        <w:rPr>
          <w:rFonts w:ascii="Arial" w:cs="Arial" w:eastAsia="Arial" w:hAnsi="Arial"/>
          <w:sz w:val="15"/>
          <w:szCs w:val="15"/>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actions by regulators; and</w:t>
      </w:r>
    </w:p>
    <w:p>
      <w:pPr>
        <w:spacing w:after="0" w:line="149"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disruptions caused by geopolitical conflicts (such as the Russia-Ukraine conflict), man-made or natural disasters or public health pandemics or epidemics or other business interruptions, including, for example, the COVID-19 pandemic.</w:t>
      </w:r>
    </w:p>
    <w:p>
      <w:pPr>
        <w:spacing w:after="0" w:line="18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94" w:lineRule="exact"/>
        <w:rPr>
          <w:sz w:val="20"/>
          <w:szCs w:val="20"/>
          <w:color w:val="auto"/>
        </w:rPr>
      </w:pPr>
    </w:p>
    <w:p>
      <w:pPr>
        <w:ind w:right="700"/>
        <w:spacing w:after="0" w:line="263"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successfully commercialize our product candidates.</w:t>
      </w:r>
    </w:p>
    <w:p>
      <w:pPr>
        <w:spacing w:after="0" w:line="75"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338" w:right="379" w:bottom="1440" w:gutter="0" w:footer="0" w:header="0"/>
        </w:sectPr>
      </w:pPr>
    </w:p>
    <w:bookmarkStart w:id="47" w:name="page48"/>
    <w:bookmarkEnd w:id="47"/>
    <w:p>
      <w:pPr>
        <w:ind w:right="260"/>
        <w:spacing w:after="0" w:line="25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82" w:lineRule="exact"/>
        <w:rPr>
          <w:sz w:val="20"/>
          <w:szCs w:val="20"/>
          <w:color w:val="auto"/>
        </w:rPr>
      </w:pPr>
    </w:p>
    <w:p>
      <w:pPr>
        <w:jc w:val="both"/>
        <w:ind w:left="1000" w:right="140" w:hanging="493"/>
        <w:spacing w:after="0" w:line="254"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95" w:lineRule="exact"/>
        <w:rPr>
          <w:rFonts w:ascii="Arial" w:cs="Arial" w:eastAsia="Arial" w:hAnsi="Arial"/>
          <w:sz w:val="18"/>
          <w:szCs w:val="18"/>
          <w:color w:val="auto"/>
        </w:rPr>
      </w:pPr>
    </w:p>
    <w:p>
      <w:pPr>
        <w:ind w:left="1000" w:right="8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8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w:t>
      </w:r>
    </w:p>
    <w:p>
      <w:pPr>
        <w:spacing w:after="0" w:line="149" w:lineRule="exact"/>
        <w:rPr>
          <w:rFonts w:ascii="Arial" w:cs="Arial" w:eastAsia="Arial" w:hAnsi="Arial"/>
          <w:sz w:val="18"/>
          <w:szCs w:val="18"/>
          <w:color w:val="auto"/>
        </w:rPr>
      </w:pPr>
    </w:p>
    <w:p>
      <w:pPr>
        <w:ind w:left="1000" w:right="76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87" w:lineRule="exact"/>
        <w:rPr>
          <w:rFonts w:ascii="Arial" w:cs="Arial" w:eastAsia="Arial" w:hAnsi="Arial"/>
          <w:sz w:val="18"/>
          <w:szCs w:val="18"/>
          <w:color w:val="auto"/>
        </w:rPr>
      </w:pPr>
    </w:p>
    <w:p>
      <w:pPr>
        <w:ind w:left="1000" w:right="42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80"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0"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The testing, manufacturing, marketing and sales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lose any key employees or scientific advisors, our operations and our ability to execute our business strategy could be materially harmed.</w:t>
      </w:r>
    </w:p>
    <w:p>
      <w:pPr>
        <w:spacing w:after="0" w:line="144"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94"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48" w:name="page49"/>
    <w:bookmarkEnd w:id="48"/>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75"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82"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or modifications in financial accounting standards may harm our results of operations.</w:t>
      </w:r>
    </w:p>
    <w:p>
      <w:pPr>
        <w:spacing w:after="0" w:line="321"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61"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75"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Biden administration and Congress have proposed various U.S. federal tax law changes, which if enacted could have a material impact on our business, cash flow, financial conditions or results of operations. In addition, it is uncertain if and to what extent various states will conform to federal tax laws. Future tax reform legislation could have a material impact on the value of our deferred tax assets and could increase our future U.S. tax expense.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0"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As of December 31, 2021, we had federal and state net operating loss carryforwards of $2.2 billion and $1.3 billion, respectively, which we assess annually. A portion of our federal and state net operating loss carryforwards have begun to expire. Net operating loss carryforwards that expire unused will be unavailable to offset future income tax liabilities. Under current law, federal net operating losses incurred in tax years beginning after December 31, 2017, may be carried forward indefinitely, but the deductibility of such federal net operating losses in tax years beginning after December 31, 2020, is limited to 80% of taxable income. 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2021, to determine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49" w:name="page50"/>
    <w:bookmarkEnd w:id="49"/>
    <w:p>
      <w:pPr>
        <w:ind w:right="20"/>
        <w:spacing w:after="0" w:line="264" w:lineRule="auto"/>
        <w:rPr>
          <w:sz w:val="20"/>
          <w:szCs w:val="20"/>
          <w:color w:val="auto"/>
        </w:rPr>
      </w:pPr>
      <w:r>
        <w:rPr>
          <w:rFonts w:ascii="Arial" w:cs="Arial" w:eastAsia="Arial" w:hAnsi="Arial"/>
          <w:sz w:val="17"/>
          <w:szCs w:val="17"/>
          <w:color w:val="auto"/>
        </w:rPr>
        <w:t>whether additional limitations may be placed on our net operating loss carryforwards and other tax attributes, and no additional changes in ownership that met the Section 382 ownership change threshold were identified through December 31, 2021. There is a risk that changes in ownership may occur in tax years after December 31, 2021. If a change in ownership were to occur, our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7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75"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At least for the foreseeable future, we expect that our manufacturing facility in Connecticut will be the sole location for the manufacturing of Afrezza and Tyvaso DPI. This facility and the manufacturing equipment we use would be costly to replace and could require substantial lead-time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public health pandemics or epidemics (including, for example, the ongoing COVID-19 pandemic), wars, conflicts (including the current Russia-Ukraine conflict),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44"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Our research and development work involves the controlled storage and use of hazardous materials, including chemical and biological materials.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ind w:right="80"/>
        <w:spacing w:after="0" w:line="249" w:lineRule="auto"/>
        <w:rPr>
          <w:sz w:val="20"/>
          <w:szCs w:val="20"/>
          <w:color w:val="auto"/>
        </w:rPr>
      </w:pPr>
      <w:r>
        <w:rPr>
          <w:rFonts w:ascii="Arial" w:cs="Arial" w:eastAsia="Arial" w:hAnsi="Arial"/>
          <w:sz w:val="18"/>
          <w:szCs w:val="18"/>
          <w:color w:val="auto"/>
        </w:rPr>
        <w:t>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4"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spacing w:after="0" w:line="159" w:lineRule="exact"/>
        <w:rPr>
          <w:sz w:val="20"/>
          <w:szCs w:val="20"/>
          <w:color w:val="auto"/>
        </w:rPr>
      </w:pPr>
    </w:p>
    <w:p>
      <w:pPr>
        <w:ind w:right="40"/>
        <w:spacing w:after="0" w:line="328" w:lineRule="auto"/>
        <w:rPr>
          <w:sz w:val="20"/>
          <w:szCs w:val="20"/>
          <w:color w:val="auto"/>
        </w:rPr>
      </w:pPr>
      <w:r>
        <w:rPr>
          <w:rFonts w:ascii="Arial" w:cs="Arial" w:eastAsia="Arial" w:hAnsi="Arial"/>
          <w:sz w:val="15"/>
          <w:szCs w:val="15"/>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3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and third parties acting on our behalf, employ and are increasingly dependent upon information technology systems, infrastructure, applications, websites and other resources. Our business requires collecting, manipulating, analyzing, storing and otherwise processing large amounts of data, including proprietary data, sensitive data, personal data and other confidential information. In addition, we rely on an enterprise software system to operate and manage our business. Our business, including our ability to manufacture drug products and conduct clinical trials, therefore depends on the continuous, effective, reliable and secure operation of our information technology resources and those of third parties acting on our behalf, including computer hardware, software, networks, Internet servers and related infrastructure.</w:t>
      </w:r>
    </w:p>
    <w:p>
      <w:pPr>
        <w:spacing w:after="0" w:line="196" w:lineRule="exact"/>
        <w:rPr>
          <w:sz w:val="20"/>
          <w:szCs w:val="20"/>
          <w:color w:val="auto"/>
        </w:rPr>
      </w:pPr>
    </w:p>
    <w:p>
      <w:pPr>
        <w:ind w:right="140"/>
        <w:spacing w:after="0" w:line="298" w:lineRule="auto"/>
        <w:rPr>
          <w:sz w:val="20"/>
          <w:szCs w:val="20"/>
          <w:color w:val="auto"/>
        </w:rPr>
      </w:pPr>
      <w:r>
        <w:rPr>
          <w:rFonts w:ascii="Arial" w:cs="Arial" w:eastAsia="Arial" w:hAnsi="Arial"/>
          <w:sz w:val="15"/>
          <w:szCs w:val="15"/>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threat actors, personnel (such as through theft or misuse), sophisticated nation-states, and nation-state-supported actors.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The COVID-19 pandemic and our workforce which works remotely at least part of the time pose increased risks to our information technology systems and data, as our employees work from home, utilizing network connections outside our premises.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37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products.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industry-standards or reasonable security measures to protect our information technology systems and sensitive information. While we have implemented security measures designed to protect against security incidents, there can be no assurance that these measures will be effective. We have not always been able in the past and may be unable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ind w:right="100"/>
        <w:spacing w:after="0" w:line="302" w:lineRule="auto"/>
        <w:rPr>
          <w:sz w:val="20"/>
          <w:szCs w:val="20"/>
          <w:color w:val="auto"/>
        </w:rPr>
      </w:pPr>
      <w:r>
        <w:rPr>
          <w:rFonts w:ascii="Arial" w:cs="Arial" w:eastAsia="Arial" w:hAnsi="Arial"/>
          <w:sz w:val="15"/>
          <w:szCs w:val="15"/>
          <w:color w:val="auto"/>
        </w:rPr>
        <w:t>in the future to detect vulnerabilities in our information technology systems because such threats and techniques change frequently, are often sophisticated in nature, and may not be detected until after a security incident has occurred. For example, like many companies, we use SolarWinds to help manage our information technology systems. A cyberattack on SolarWinds was discovered in December 2020 and widely exploited by threat actors. Upon learning of this vulnerability, we applied the software patch provided by SolarWinds and remediated the incident. The incident did not appear to have any negative impact on our operations or the sensitive information we may process. In addition, a ransomware attack on Ultimate Kronos Group’s (“UKG”) Kronos Private Cloud service was discovered in December 2021. We use UKG Pro, a product offered through UKG that is not in the Kronos Private Cloud, for human capital management. UKG is not aware of an impact on UKG Pro and the incident did not appear to have any negative impact on our operations or the sensitive information we may process. Thus, despite our efforts to identify and remediate vulnerabilities, if any, in our information technology systems, our efforts may not be successful. Further, we may experience delays in developing and deploying remedial measures designed to address any such identified vulnerabilities.</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291" w:lineRule="exact"/>
        <w:rPr>
          <w:sz w:val="20"/>
          <w:szCs w:val="20"/>
          <w:color w:val="auto"/>
        </w:rPr>
      </w:pPr>
    </w:p>
    <w:p>
      <w:pPr>
        <w:ind w:right="40"/>
        <w:spacing w:after="0" w:line="328" w:lineRule="auto"/>
        <w:rPr>
          <w:sz w:val="20"/>
          <w:szCs w:val="20"/>
          <w:color w:val="auto"/>
        </w:rPr>
      </w:pPr>
      <w:r>
        <w:rPr>
          <w:rFonts w:ascii="Arial" w:cs="Arial" w:eastAsia="Arial" w:hAnsi="Arial"/>
          <w:sz w:val="15"/>
          <w:szCs w:val="15"/>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32"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4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5"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i w:val="1"/>
          <w:iCs w:val="1"/>
          <w:color w:val="auto"/>
        </w:rPr>
        <w:t>The withdrawal of the United Kingdom from the European Union, commonly referred to as “Brexit,” may adversely impact our ability to obtain regulatory approvals of our product candidates in the European Union, result in restrictions or imposition of taxes and duties for importing our product candidates into the European Union, and may require us to incur additional expenses in order to develop, manufacture and commercialize our product candidates in the European Union.</w:t>
      </w:r>
    </w:p>
    <w:p>
      <w:pPr>
        <w:spacing w:after="0" w:line="138" w:lineRule="exact"/>
        <w:rPr>
          <w:sz w:val="20"/>
          <w:szCs w:val="20"/>
          <w:color w:val="auto"/>
        </w:rPr>
      </w:pPr>
    </w:p>
    <w:p>
      <w:pPr>
        <w:ind w:right="140"/>
        <w:spacing w:after="0" w:line="317" w:lineRule="auto"/>
        <w:rPr>
          <w:sz w:val="20"/>
          <w:szCs w:val="20"/>
          <w:color w:val="auto"/>
        </w:rPr>
      </w:pPr>
      <w:r>
        <w:rPr>
          <w:rFonts w:ascii="Arial" w:cs="Arial" w:eastAsia="Arial" w:hAnsi="Arial"/>
          <w:sz w:val="15"/>
          <w:szCs w:val="15"/>
          <w:color w:val="auto"/>
        </w:rPr>
        <w:t>Following the result of a referendum in 2016, the United Kingdom left the European Union on January 31, 2020, commonly referred to as “Brexit.” Pursuant to the formal withdrawal arrangements agreed between the United Kingdom and the European Union, the United Kingdom was subject to a transition period that ended December 31, 2020, or the Transition Period, during which EU rules continued to apply. A trade and cooperation agreement, or the Trade and Cooperation Agreement, that outlines the future trading relationship between the United Kingdom and the European Union was agreed in December 2020.</w:t>
      </w:r>
    </w:p>
    <w:p>
      <w:pPr>
        <w:spacing w:after="0" w:line="9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 directives and regulations, Brexit has had, and may continue to have, a material impact upon the regulatory regime with respect to the development, manufacture, importation, approval and commercialization of our product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52" w:name="page53"/>
    <w:bookmarkEnd w:id="52"/>
    <w:p>
      <w:pPr>
        <w:ind w:right="20"/>
        <w:spacing w:after="0" w:line="248" w:lineRule="auto"/>
        <w:rPr>
          <w:sz w:val="20"/>
          <w:szCs w:val="20"/>
          <w:color w:val="auto"/>
        </w:rPr>
      </w:pPr>
      <w:r>
        <w:rPr>
          <w:rFonts w:ascii="Arial" w:cs="Arial" w:eastAsia="Arial" w:hAnsi="Arial"/>
          <w:sz w:val="18"/>
          <w:szCs w:val="18"/>
          <w:color w:val="auto"/>
        </w:rPr>
        <w:t>candidates in the United Kingdom or the European Union. For example, Great Britain is no longer covered by the centralized procedures for obtaining EU-wide marketing authorization from the EMA and, and a separate marketing authorization will be required to market our product candidates in Great Britain. It is currently unclear whether the Medicines &amp; Healthcare products Regulatory Agency, or MHRA, in the U.K. is sufficiently prepared to handle the increased volume of marketing authorization applications that it is likely to receive. Any delay in obtaining, or an inability to obtain, any marketing approvals, as a result of Brexit or otherwise, would prevent us from commercializing our product candidates in the United Kingdom or the European Union and restrict our ability to generate revenue and achieve and sustain profitability.</w:t>
      </w:r>
    </w:p>
    <w:p>
      <w:pPr>
        <w:spacing w:after="0" w:line="143"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While the Trade and Cooperation Agreement provides for the tariff-free trade of medicinal products between the United Kingdom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 These developments, or the perception that any of them could occur, may significantly reduce global trade and, in particular, trade between the impacted nations and the United Kingdom.</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5" w:lineRule="exact"/>
        <w:rPr>
          <w:sz w:val="20"/>
          <w:szCs w:val="20"/>
          <w:color w:val="auto"/>
        </w:rPr>
      </w:pPr>
    </w:p>
    <w:p>
      <w:pPr>
        <w:jc w:val="both"/>
        <w:ind w:right="240"/>
        <w:spacing w:after="0" w:line="276" w:lineRule="auto"/>
        <w:rPr>
          <w:sz w:val="20"/>
          <w:szCs w:val="20"/>
          <w:color w:val="auto"/>
        </w:rPr>
      </w:pPr>
      <w:r>
        <w:rPr>
          <w:rFonts w:ascii="Arial" w:cs="Arial" w:eastAsia="Arial" w:hAnsi="Arial"/>
          <w:sz w:val="17"/>
          <w:szCs w:val="17"/>
          <w:color w:val="auto"/>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65"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42"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86" w:right="339" w:bottom="1440" w:gutter="0" w:footer="0" w:header="0"/>
        </w:sectPr>
      </w:pPr>
    </w:p>
    <w:bookmarkStart w:id="53" w:name="page54"/>
    <w:bookmarkEnd w:id="53"/>
    <w:p>
      <w:pPr>
        <w:ind w:right="20"/>
        <w:spacing w:after="0" w:line="270"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8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8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216"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manufacture, marketing and sale of drug product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9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372"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3" w:lineRule="exact"/>
        <w:rPr>
          <w:sz w:val="20"/>
          <w:szCs w:val="20"/>
          <w:color w:val="auto"/>
        </w:rPr>
      </w:pPr>
    </w:p>
    <w:p>
      <w:pPr>
        <w:ind w:left="1000" w:right="6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6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revisions to the approved labeling to add new safety information;</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49" w:lineRule="exact"/>
        <w:rPr>
          <w:rFonts w:ascii="Arial" w:cs="Arial" w:eastAsia="Arial" w:hAnsi="Arial"/>
          <w:sz w:val="18"/>
          <w:szCs w:val="18"/>
          <w:color w:val="auto"/>
        </w:rPr>
      </w:pPr>
    </w:p>
    <w:p>
      <w:pPr>
        <w:ind w:left="1000" w:right="70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8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54" w:name="page55"/>
    <w:bookmarkEnd w:id="54"/>
    <w:p>
      <w:pPr>
        <w:spacing w:after="0" w:line="262" w:lineRule="auto"/>
        <w:rPr>
          <w:sz w:val="20"/>
          <w:szCs w:val="20"/>
          <w:color w:val="auto"/>
        </w:rPr>
      </w:pPr>
      <w:r>
        <w:rPr>
          <w:rFonts w:ascii="Arial" w:cs="Arial" w:eastAsia="Arial" w:hAnsi="Arial"/>
          <w:sz w:val="17"/>
          <w:szCs w:val="17"/>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4" w:lineRule="exact"/>
        <w:rPr>
          <w:sz w:val="20"/>
          <w:szCs w:val="20"/>
          <w:color w:val="auto"/>
        </w:rPr>
      </w:pPr>
    </w:p>
    <w:p>
      <w:pPr>
        <w:ind w:right="180"/>
        <w:spacing w:after="0" w:line="311" w:lineRule="auto"/>
        <w:rPr>
          <w:sz w:val="20"/>
          <w:szCs w:val="20"/>
          <w:color w:val="auto"/>
        </w:rPr>
      </w:pPr>
      <w:r>
        <w:rPr>
          <w:rFonts w:ascii="Arial" w:cs="Arial" w:eastAsia="Arial" w:hAnsi="Arial"/>
          <w:sz w:val="15"/>
          <w:szCs w:val="15"/>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50"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an NDA. For example, in July 2021, a third party submitted a citizen petition to the FDA requesting that the FDA refuse to approve Tyvaso DPI, and/or impose additional requirements in order to approve the product. This has prompted the FDA to request additional information concerning Tyvaso DPI and to delay the review deadline for the Tyvaso DPI NDA from February 2022 to May 2022. If successful, a citizen petition can significantly delay, or even prevent, the approval of a drug product.</w:t>
      </w:r>
    </w:p>
    <w:p>
      <w:pPr>
        <w:spacing w:after="0" w:line="156" w:lineRule="exact"/>
        <w:rPr>
          <w:sz w:val="20"/>
          <w:szCs w:val="20"/>
          <w:color w:val="auto"/>
        </w:rPr>
      </w:pPr>
    </w:p>
    <w:p>
      <w:pPr>
        <w:ind w:right="100"/>
        <w:spacing w:after="0" w:line="307" w:lineRule="auto"/>
        <w:rPr>
          <w:sz w:val="20"/>
          <w:szCs w:val="20"/>
          <w:color w:val="auto"/>
        </w:rPr>
      </w:pPr>
      <w:r>
        <w:rPr>
          <w:rFonts w:ascii="Arial" w:cs="Arial" w:eastAsia="Arial" w:hAnsi="Arial"/>
          <w:sz w:val="15"/>
          <w:szCs w:val="15"/>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as amended by the Health Care Education and Reconciliation Act (collectively, the “PPACA”) substantially changed the way healthcare is financed by both governmental and private insurers and continues to significantly affect the healthcare industry. Among the provisions of PPACA of importance to us are the following:</w:t>
      </w:r>
    </w:p>
    <w:p>
      <w:pPr>
        <w:spacing w:after="0" w:line="88" w:lineRule="exact"/>
        <w:rPr>
          <w:sz w:val="20"/>
          <w:szCs w:val="20"/>
          <w:color w:val="auto"/>
        </w:rPr>
      </w:pPr>
    </w:p>
    <w:p>
      <w:pPr>
        <w:ind w:left="1000" w:right="32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74" w:lineRule="exact"/>
        <w:rPr>
          <w:rFonts w:ascii="Arial" w:cs="Arial" w:eastAsia="Arial" w:hAnsi="Arial"/>
          <w:sz w:val="18"/>
          <w:szCs w:val="18"/>
          <w:color w:val="auto"/>
        </w:rPr>
      </w:pPr>
    </w:p>
    <w:p>
      <w:pPr>
        <w:ind w:left="1000" w:right="44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(“AMP”) for most branded and generic drugs, respectively;</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36" w:lineRule="exact"/>
        <w:rPr>
          <w:rFonts w:ascii="Arial" w:cs="Arial" w:eastAsia="Arial" w:hAnsi="Arial"/>
          <w:sz w:val="18"/>
          <w:szCs w:val="18"/>
          <w:color w:val="auto"/>
        </w:rPr>
      </w:pPr>
    </w:p>
    <w:p>
      <w:pPr>
        <w:ind w:left="1000" w:right="76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74" w:lineRule="exact"/>
        <w:rPr>
          <w:rFonts w:ascii="Arial" w:cs="Arial" w:eastAsia="Arial" w:hAnsi="Arial"/>
          <w:sz w:val="18"/>
          <w:szCs w:val="18"/>
          <w:color w:val="auto"/>
        </w:rPr>
      </w:pPr>
    </w:p>
    <w:p>
      <w:pPr>
        <w:jc w:val="both"/>
        <w:ind w:left="1000" w:right="80" w:hanging="493"/>
        <w:spacing w:after="0" w:line="254"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5" w:name="page56"/>
    <w:bookmarkEnd w:id="55"/>
    <w:p>
      <w:pPr>
        <w:ind w:left="1000" w:right="34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4" w:lineRule="exact"/>
        <w:rPr>
          <w:rFonts w:ascii="Arial" w:cs="Arial" w:eastAsia="Arial" w:hAnsi="Arial"/>
          <w:sz w:val="18"/>
          <w:szCs w:val="18"/>
          <w:color w:val="auto"/>
        </w:rPr>
      </w:pPr>
    </w:p>
    <w:p>
      <w:pPr>
        <w:ind w:left="1000" w:right="60" w:hanging="493"/>
        <w:spacing w:after="0" w:line="364" w:lineRule="auto"/>
        <w:tabs>
          <w:tab w:leader="none" w:pos="10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4" w:lineRule="exact"/>
        <w:rPr>
          <w:rFonts w:ascii="Arial" w:cs="Arial" w:eastAsia="Arial" w:hAnsi="Arial"/>
          <w:sz w:val="15"/>
          <w:szCs w:val="15"/>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6" w:lineRule="exact"/>
        <w:rPr>
          <w:rFonts w:ascii="Arial" w:cs="Arial" w:eastAsia="Arial" w:hAnsi="Arial"/>
          <w:sz w:val="18"/>
          <w:szCs w:val="18"/>
          <w:color w:val="auto"/>
        </w:rPr>
      </w:pPr>
    </w:p>
    <w:p>
      <w:pPr>
        <w:ind w:left="1000" w:right="220" w:hanging="493"/>
        <w:spacing w:after="0" w:line="276"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Requirements to report annually to CMS certain financial arrangements with physicians, certain other healthcare professionals, and teaching hospitals, and reporting any ownership and investment interests held by physicians and their immediate family members and applicable group purchasing organizations during the preceding calendar year, as described in more detail below;</w:t>
      </w:r>
    </w:p>
    <w:p>
      <w:pPr>
        <w:spacing w:after="0" w:line="65"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certain manufacturers and authorized distributors provide to physicians; and</w:t>
      </w:r>
    </w:p>
    <w:p>
      <w:pPr>
        <w:spacing w:after="0" w:line="136"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80"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There have been executive, judicial and congressional challenges to certain provisions of the PPACA, although the constitutionality of the PPACA appears to now be settled. It is possible that the PPACA will be subject to judicial or Congressional challenges in the future. It is unclear how any such challenges, other litigation, and the healthcare reform measures of the current administration will impact the PPACA.</w:t>
      </w:r>
    </w:p>
    <w:p>
      <w:pPr>
        <w:spacing w:after="0" w:line="188"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auto"/>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50"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In addition, Congress is considering additional health reform measures.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For example, it is possible that additional governmental action will be taken in response to the COVID-19 pandemic.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370"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ind w:right="180"/>
        <w:spacing w:after="0" w:line="364" w:lineRule="auto"/>
        <w:rPr>
          <w:sz w:val="20"/>
          <w:szCs w:val="20"/>
          <w:color w:val="auto"/>
        </w:rPr>
      </w:pPr>
      <w:r>
        <w:rPr>
          <w:rFonts w:ascii="Arial" w:cs="Arial" w:eastAsia="Arial" w:hAnsi="Arial"/>
          <w:sz w:val="15"/>
          <w:szCs w:val="15"/>
          <w:b w:val="1"/>
          <w:bCs w:val="1"/>
          <w:i w:val="1"/>
          <w:iCs w:val="1"/>
          <w:color w:val="auto"/>
        </w:rPr>
        <w:t>If we or any future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spacing w:after="0" w:line="88" w:lineRule="exact"/>
        <w:rPr>
          <w:sz w:val="20"/>
          <w:szCs w:val="20"/>
          <w:color w:val="auto"/>
        </w:rPr>
      </w:pPr>
    </w:p>
    <w:p>
      <w:pPr>
        <w:ind w:left="1000" w:hanging="493"/>
        <w:spacing w:after="0" w:line="266"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3" w:lineRule="exact"/>
        <w:rPr>
          <w:rFonts w:ascii="Arial" w:cs="Arial" w:eastAsia="Arial" w:hAnsi="Arial"/>
          <w:sz w:val="17"/>
          <w:szCs w:val="17"/>
          <w:color w:val="auto"/>
        </w:rPr>
      </w:pPr>
    </w:p>
    <w:p>
      <w:pPr>
        <w:ind w:left="1000" w:right="120" w:hanging="493"/>
        <w:spacing w:after="0" w:line="261"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3" w:lineRule="exact"/>
        <w:rPr>
          <w:rFonts w:ascii="Arial" w:cs="Arial" w:eastAsia="Arial" w:hAnsi="Arial"/>
          <w:sz w:val="17"/>
          <w:szCs w:val="17"/>
          <w:color w:val="auto"/>
        </w:rPr>
      </w:pPr>
    </w:p>
    <w:p>
      <w:pPr>
        <w:ind w:left="1000" w:right="140" w:hanging="493"/>
        <w:spacing w:after="0" w:line="24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Physician Payments Sunshine Act under PPACA, which requires certain manufacturers of drugs, devices, biologics, and medical supplies to report annually to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other healthcare providers and their immediate family members.</w:t>
      </w:r>
    </w:p>
    <w:p>
      <w:pPr>
        <w:spacing w:after="0" w:line="89" w:lineRule="exact"/>
        <w:rPr>
          <w:rFonts w:ascii="Arial" w:cs="Arial" w:eastAsia="Arial" w:hAnsi="Arial"/>
          <w:sz w:val="18"/>
          <w:szCs w:val="18"/>
          <w:color w:val="auto"/>
        </w:rPr>
      </w:pPr>
    </w:p>
    <w:p>
      <w:pPr>
        <w:ind w:left="1000" w:right="20" w:hanging="493"/>
        <w:spacing w:after="0" w:line="303" w:lineRule="auto"/>
        <w:tabs>
          <w:tab w:leader="none" w:pos="10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59"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Because of the breadth of these laws and the narrowness of available statutory exceptions and regulatory safe harbors, it is possible that some of our business activities could be subject to challenge under one or more of such laws. With Afrezza now available in Brazil and as we pursue additional international approvals, we will be subject to similar foreign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444" w:right="359" w:bottom="1440" w:gutter="0" w:footer="0" w:header="0"/>
        </w:sectPr>
      </w:pPr>
    </w:p>
    <w:bookmarkStart w:id="57" w:name="page58"/>
    <w:bookmarkEnd w:id="57"/>
    <w:p>
      <w:pPr>
        <w:spacing w:after="0" w:line="254" w:lineRule="auto"/>
        <w:rPr>
          <w:sz w:val="20"/>
          <w:szCs w:val="20"/>
          <w:color w:val="auto"/>
        </w:rPr>
      </w:pPr>
      <w:r>
        <w:rPr>
          <w:rFonts w:ascii="Arial" w:cs="Arial" w:eastAsia="Arial" w:hAnsi="Arial"/>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the ordinary course of business, we collect, receive, store, process, generate, use, transfer, disclose, make accessible, protect, secure, dispose of, transmit, and share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80"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laws, and consumer protection laws. For example, HIPAA, as amended by HITECH, imposes specific requirements relating to the privacy, security, and transmission of individually identifiable health information. In addition, the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maintain about California residents. In addition, it is anticipated that the CPRA, effective January 1, 2023, will expand the CCPA. Additionally, the CPRA establishes a new California Privacy Protection Agency to implement and enforce the CPRA, which could increase the risk of enforcement. Other states have enacted data privacy laws. For example, Virginia passed the Consumer Data Protection Act, and Colorado passed the Colorado Privacy Act, both of which become effective in 2023. In addition, data privacy and security laws have been proposed at the federal, state, and local levels in recent years, which could further complicate compliance efforts.</w:t>
      </w:r>
    </w:p>
    <w:p>
      <w:pPr>
        <w:spacing w:after="0" w:line="188"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color w:val="auto"/>
        </w:rPr>
        <w:t>Outside the United States, an increasing number of laws, regulations, and industry standards apply to data privacy and security. For example, the GDPR, the United Kingdom’s GDPR (“UK GDPR”), and Brazil’s General Data Protection Law (Lei Geral de Proteção de Dados Pessoais, or “LGPD”) (Law No. 13,709/2018)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may initiate litigation related to processing of their personal data.</w:t>
      </w:r>
    </w:p>
    <w:p>
      <w:pPr>
        <w:spacing w:after="0" w:line="1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The more reliant our business is on the ability to effectuate cross-border data transfers, the more impact we may experience in light of any changes in the legal landscape.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In addition, privacy advocates and industry groups have proposed, and may propose, standards with which we are legally or contractually bound to comply.</w:t>
      </w:r>
    </w:p>
    <w:p>
      <w:pPr>
        <w:spacing w:after="0" w:line="250"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vendor to comply with applicable law, regulations, or contractual obligations could result in adverse effects, including inability to or interruption in our 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58" w:name="page59"/>
    <w:bookmarkEnd w:id="58"/>
    <w:p>
      <w:pPr>
        <w:jc w:val="both"/>
        <w:ind w:right="60"/>
        <w:spacing w:after="0" w:line="276" w:lineRule="auto"/>
        <w:rPr>
          <w:sz w:val="20"/>
          <w:szCs w:val="20"/>
          <w:color w:val="auto"/>
        </w:rPr>
      </w:pPr>
      <w:r>
        <w:rPr>
          <w:rFonts w:ascii="Arial" w:cs="Arial" w:eastAsia="Arial" w:hAnsi="Arial"/>
          <w:sz w:val="17"/>
          <w:szCs w:val="17"/>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65"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For example, on March 11, 2021, President Biden signed the American Rescue Plan Act of 2021 into law, which eliminates the statutory Medicaid drug rebate cap, currently set at 100% of a drug’s AMP, for single source and innovator multiple source drugs, beginning January 1, 2024.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375"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65" w:lineRule="exact"/>
        <w:rPr>
          <w:sz w:val="20"/>
          <w:szCs w:val="20"/>
          <w:color w:val="auto"/>
        </w:rPr>
      </w:pPr>
    </w:p>
    <w:p>
      <w:pPr>
        <w:ind w:right="440"/>
        <w:spacing w:after="0" w:line="364"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90" w:lineRule="exact"/>
        <w:rPr>
          <w:sz w:val="20"/>
          <w:szCs w:val="20"/>
          <w:color w:val="auto"/>
        </w:rPr>
      </w:pPr>
    </w:p>
    <w:p>
      <w:pPr>
        <w:jc w:val="both"/>
        <w:ind w:right="240"/>
        <w:spacing w:after="0" w:line="270" w:lineRule="auto"/>
        <w:rPr>
          <w:sz w:val="20"/>
          <w:szCs w:val="20"/>
          <w:color w:val="auto"/>
        </w:rPr>
      </w:pPr>
      <w:r>
        <w:rPr>
          <w:rFonts w:ascii="Arial" w:cs="Arial" w:eastAsia="Arial" w:hAnsi="Arial"/>
          <w:sz w:val="17"/>
          <w:szCs w:val="17"/>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444" w:right="359" w:bottom="1440" w:gutter="0" w:footer="0" w:header="0"/>
        </w:sectPr>
      </w:pPr>
    </w:p>
    <w:bookmarkStart w:id="59" w:name="page60"/>
    <w:bookmarkEnd w:id="59"/>
    <w:p>
      <w:pPr>
        <w:ind w:right="40"/>
        <w:spacing w:after="0" w:line="307" w:lineRule="auto"/>
        <w:rPr>
          <w:sz w:val="20"/>
          <w:szCs w:val="20"/>
          <w:color w:val="auto"/>
        </w:rPr>
      </w:pPr>
      <w:r>
        <w:rPr>
          <w:rFonts w:ascii="Arial" w:cs="Arial" w:eastAsia="Arial" w:hAnsi="Arial"/>
          <w:sz w:val="15"/>
          <w:szCs w:val="15"/>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55"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59"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Moreover, the term of a patent is limited and, as a result, the patents protecting our products expire at various dates. For example, various patents providing protection for the powder component of Afrezza have terms extending into 2026, 2028, 2029 or 2030. In addition, patents providing protection for our inhaler and cartridges have terms extending into 2023, 2031 or 2032. Our method of treatment claims extends into 2026, 2029, 2030 or 2031. As and when these different patents expire, Afrezza could become subject to increased competition. As a consequence, we may not be able to recover our development costs.</w:t>
      </w:r>
    </w:p>
    <w:p>
      <w:pPr>
        <w:spacing w:after="0" w:line="14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6"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00" w:lineRule="exact"/>
        <w:rPr>
          <w:sz w:val="20"/>
          <w:szCs w:val="20"/>
          <w:color w:val="auto"/>
        </w:rPr>
      </w:pPr>
    </w:p>
    <w:p>
      <w:pPr>
        <w:spacing w:after="0" w:line="278" w:lineRule="exact"/>
        <w:rPr>
          <w:sz w:val="20"/>
          <w:szCs w:val="20"/>
          <w:color w:val="auto"/>
        </w:rPr>
      </w:pPr>
    </w:p>
    <w:p>
      <w:pPr>
        <w:ind w:right="700"/>
        <w:spacing w:after="0" w:line="263"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7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0" w:name="page61"/>
    <w:bookmarkEnd w:id="60"/>
    <w:p>
      <w:pPr>
        <w:ind w:right="40"/>
        <w:spacing w:after="0" w:line="302" w:lineRule="auto"/>
        <w:rPr>
          <w:sz w:val="20"/>
          <w:szCs w:val="20"/>
          <w:color w:val="auto"/>
        </w:rPr>
      </w:pPr>
      <w:r>
        <w:rPr>
          <w:rFonts w:ascii="Arial" w:cs="Arial" w:eastAsia="Arial" w:hAnsi="Arial"/>
          <w:sz w:val="15"/>
          <w:szCs w:val="15"/>
          <w:color w:val="auto"/>
        </w:rPr>
        <w:t>Interference proceedings brought by the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5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8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8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80"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56"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Moreover, certain components of Afrezza or our product candidates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8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Although we do not believe that Afrezza or our product candidates infringe any third-party patents, if a plaintiff was to allege infringement of their patent rights, we would have to establish with the court that their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1" w:name="page62"/>
    <w:bookmarkEnd w:id="61"/>
    <w:p>
      <w:pPr>
        <w:ind w:right="120"/>
        <w:spacing w:after="0" w:line="270"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77"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0"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commitments. We may be forced to take other actions to satisfy our obligations or we may experience a financial failure.</w:t>
      </w:r>
    </w:p>
    <w:p>
      <w:pPr>
        <w:spacing w:after="0" w:line="7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Our ability to make scheduled payments on our lease and debt obligations will depend on our financial and operating performance, which is subject to the commercial success of Afrezza and, if approved, Tyvaso DPI,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obligations, we may be forced to reduce or delay capital expenditures, sell assets or operations, seek additional capital or restructure or refinance our indebtedness and lease obligations. We cannot assure you that we would be able to take any of these actions, that these actions would be successful and permit us to meet our scheduled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0" w:lineRule="exact"/>
        <w:rPr>
          <w:sz w:val="20"/>
          <w:szCs w:val="20"/>
          <w:color w:val="auto"/>
        </w:rPr>
      </w:pPr>
    </w:p>
    <w:p>
      <w:pPr>
        <w:jc w:val="both"/>
        <w:ind w:right="620"/>
        <w:spacing w:after="0" w:line="276" w:lineRule="auto"/>
        <w:rPr>
          <w:sz w:val="20"/>
          <w:szCs w:val="20"/>
          <w:color w:val="auto"/>
        </w:rPr>
      </w:pPr>
      <w:r>
        <w:rPr>
          <w:rFonts w:ascii="Arial" w:cs="Arial" w:eastAsia="Arial" w:hAnsi="Arial"/>
          <w:sz w:val="17"/>
          <w:szCs w:val="17"/>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 The COVID-19 pandemic, for example, has negatively affected the stock market and investor sentiment and has resulted in significant volatility.</w:t>
      </w:r>
    </w:p>
    <w:p>
      <w:pPr>
        <w:spacing w:after="0" w:line="171" w:lineRule="exact"/>
        <w:rPr>
          <w:sz w:val="20"/>
          <w:szCs w:val="20"/>
          <w:color w:val="auto"/>
        </w:rPr>
      </w:pPr>
    </w:p>
    <w:p>
      <w:pPr>
        <w:ind w:right="220"/>
        <w:spacing w:after="0" w:line="292" w:lineRule="auto"/>
        <w:rPr>
          <w:sz w:val="20"/>
          <w:szCs w:val="20"/>
          <w:color w:val="auto"/>
        </w:rPr>
      </w:pPr>
      <w:r>
        <w:rPr>
          <w:rFonts w:ascii="Arial" w:cs="Arial" w:eastAsia="Arial" w:hAnsi="Arial"/>
          <w:sz w:val="17"/>
          <w:szCs w:val="17"/>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3" w:lineRule="exact"/>
        <w:rPr>
          <w:sz w:val="20"/>
          <w:szCs w:val="20"/>
          <w:color w:val="auto"/>
        </w:rPr>
      </w:pPr>
    </w:p>
    <w:p>
      <w:pPr>
        <w:ind w:left="1000" w:right="14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8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estimates of Afrezza sales, Tyvaso DPI royalties, prescriptions or other operating metrics;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2" w:name="page63"/>
    <w:bookmarkEnd w:id="62"/>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successfully commercialize other products (in addition to Afrezza) based on our Technosphere drug delivery platform;</w:t>
      </w:r>
    </w:p>
    <w:p>
      <w:pPr>
        <w:spacing w:after="0" w:line="161"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61"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241"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geopolitical events, such as the current Russia-Ukraine conflict;</w:t>
      </w:r>
    </w:p>
    <w:p>
      <w:pPr>
        <w:spacing w:after="0" w:line="241"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241" w:lineRule="exact"/>
        <w:rPr>
          <w:rFonts w:ascii="Arial" w:cs="Arial" w:eastAsia="Arial" w:hAnsi="Arial"/>
          <w:sz w:val="18"/>
          <w:szCs w:val="18"/>
          <w:color w:val="auto"/>
        </w:rPr>
      </w:pPr>
    </w:p>
    <w:p>
      <w:pPr>
        <w:ind w:left="1000" w:right="42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80"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49" w:lineRule="exact"/>
        <w:rPr>
          <w:rFonts w:ascii="Arial" w:cs="Arial" w:eastAsia="Arial" w:hAnsi="Arial"/>
          <w:sz w:val="18"/>
          <w:szCs w:val="18"/>
          <w:color w:val="auto"/>
        </w:rPr>
      </w:pPr>
    </w:p>
    <w:p>
      <w:pPr>
        <w:ind w:left="1000" w:right="420" w:hanging="493"/>
        <w:spacing w:after="0" w:line="292"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65"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Tyvaso DPI or other product candidates;</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our relationship with any of our current or future collaborators or third party manufacturers;</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4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6"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trades of short sellers;</w:t>
      </w:r>
    </w:p>
    <w:p>
      <w:pPr>
        <w:spacing w:after="0" w:line="149"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8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status of any legal proceedings or regulatory matters against or involving us or any of our executive officers and directors; and</w:t>
      </w:r>
    </w:p>
    <w:p>
      <w:pPr>
        <w:spacing w:after="0" w:line="161" w:lineRule="exact"/>
        <w:rPr>
          <w:rFonts w:ascii="Arial" w:cs="Arial" w:eastAsia="Arial" w:hAnsi="Arial"/>
          <w:sz w:val="17"/>
          <w:szCs w:val="17"/>
          <w:color w:val="auto"/>
        </w:rPr>
      </w:pPr>
    </w:p>
    <w:p>
      <w:pPr>
        <w:ind w:left="1000" w:right="20" w:hanging="493"/>
        <w:spacing w:after="0" w:line="251"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discussion of Afrezza, Tyvaso DPI,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Statements attributed to company officials may, in fact, have originated elsewhere.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75" w:lineRule="exact"/>
        <w:rPr>
          <w:sz w:val="20"/>
          <w:szCs w:val="20"/>
          <w:color w:val="auto"/>
        </w:rPr>
      </w:pPr>
    </w:p>
    <w:p>
      <w:pPr>
        <w:jc w:val="both"/>
        <w:ind w:right="80"/>
        <w:spacing w:after="0" w:line="251" w:lineRule="auto"/>
        <w:rPr>
          <w:sz w:val="20"/>
          <w:szCs w:val="20"/>
          <w:color w:val="auto"/>
        </w:rPr>
      </w:pPr>
      <w:r>
        <w:rPr>
          <w:rFonts w:ascii="Arial" w:cs="Arial" w:eastAsia="Arial" w:hAnsi="Arial"/>
          <w:sz w:val="18"/>
          <w:szCs w:val="18"/>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3" w:name="page64"/>
    <w:bookmarkEnd w:id="63"/>
    <w:p>
      <w:pPr>
        <w:spacing w:after="0" w:line="317" w:lineRule="auto"/>
        <w:rPr>
          <w:sz w:val="20"/>
          <w:szCs w:val="20"/>
          <w:color w:val="auto"/>
        </w:rPr>
      </w:pPr>
      <w:r>
        <w:rPr>
          <w:rFonts w:ascii="Arial" w:cs="Arial" w:eastAsia="Arial" w:hAnsi="Arial"/>
          <w:sz w:val="15"/>
          <w:szCs w:val="15"/>
          <w:color w:val="auto"/>
        </w:rPr>
        <w:t>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5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common stock could negatively affect the market price of our common stock and other securities.*</w:t>
      </w:r>
    </w:p>
    <w:p>
      <w:pPr>
        <w:spacing w:after="0" w:line="7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As of April 29, 2022, we had 252,565,400 shares of common stock outstanding.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the Mann Group promissory notes, or the Senior convertible notes,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7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addition, we may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86" w:lineRule="exact"/>
        <w:rPr>
          <w:sz w:val="20"/>
          <w:szCs w:val="20"/>
          <w:color w:val="auto"/>
        </w:rPr>
      </w:pPr>
    </w:p>
    <w:p>
      <w:pPr>
        <w:ind w:right="60"/>
        <w:spacing w:after="0" w:line="292"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0"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5" w:lineRule="exact"/>
        <w:rPr>
          <w:sz w:val="20"/>
          <w:szCs w:val="20"/>
          <w:color w:val="auto"/>
        </w:rPr>
      </w:pPr>
    </w:p>
    <w:p>
      <w:pPr>
        <w:ind w:right="660"/>
        <w:spacing w:after="0" w:line="254" w:lineRule="auto"/>
        <w:rPr>
          <w:sz w:val="20"/>
          <w:szCs w:val="20"/>
          <w:color w:val="auto"/>
        </w:rPr>
      </w:pPr>
      <w:r>
        <w:rPr>
          <w:rFonts w:ascii="Arial" w:cs="Arial" w:eastAsia="Arial" w:hAnsi="Arial"/>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82"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6"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or proceeding asserting a breach of fiduciary duty owed by any of our current or former directors, officers or other employees to us or our stockholders;</w:t>
      </w:r>
    </w:p>
    <w:p>
      <w:pPr>
        <w:spacing w:after="0" w:line="74" w:lineRule="exact"/>
        <w:rPr>
          <w:rFonts w:ascii="Arial" w:cs="Arial" w:eastAsia="Arial" w:hAnsi="Arial"/>
          <w:sz w:val="18"/>
          <w:szCs w:val="18"/>
          <w:color w:val="auto"/>
        </w:rPr>
      </w:pPr>
    </w:p>
    <w:p>
      <w:pPr>
        <w:jc w:val="both"/>
        <w:ind w:left="1000" w:right="440" w:hanging="493"/>
        <w:spacing w:after="0" w:line="254"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82" w:lineRule="exact"/>
        <w:rPr>
          <w:rFonts w:ascii="Arial" w:cs="Arial" w:eastAsia="Arial" w:hAnsi="Arial"/>
          <w:sz w:val="18"/>
          <w:szCs w:val="18"/>
          <w:color w:val="auto"/>
        </w:rPr>
      </w:pPr>
    </w:p>
    <w:p>
      <w:pPr>
        <w:ind w:left="1000" w:right="36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our amended and restated certificate of incorporation or our amended and restated bylaws;</w:t>
      </w:r>
    </w:p>
    <w:p>
      <w:pPr>
        <w:spacing w:after="0" w:line="74" w:lineRule="exact"/>
        <w:rPr>
          <w:rFonts w:ascii="Arial" w:cs="Arial" w:eastAsia="Arial" w:hAnsi="Arial"/>
          <w:sz w:val="18"/>
          <w:szCs w:val="18"/>
          <w:color w:val="auto"/>
        </w:rPr>
      </w:pPr>
    </w:p>
    <w:p>
      <w:pPr>
        <w:ind w:left="1000" w:right="58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or proceeding as to which the Delaware General Corporation Law confers jurisdiction to the Court of Chancery of the State of Delaware; and</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any action asserting a claim against us or any of our directors, officers or other employees that is governed by the internal affairs doctrine.</w:t>
      </w:r>
    </w:p>
    <w:p>
      <w:pPr>
        <w:spacing w:after="0" w:line="2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provision does not apply to suits brought to enforce a duty or liability created by the Exchange Act. Furthermore, Section 22 of the Securities Act of 1933, as amended, or the Securities Act, creates concurrent jurisdiction for federal and state courts over all such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ind w:right="220"/>
        <w:spacing w:after="0" w:line="247" w:lineRule="auto"/>
        <w:rPr>
          <w:sz w:val="20"/>
          <w:szCs w:val="20"/>
          <w:color w:val="auto"/>
        </w:rPr>
      </w:pPr>
      <w:r>
        <w:rPr>
          <w:rFonts w:ascii="Arial" w:cs="Arial" w:eastAsia="Arial" w:hAnsi="Arial"/>
          <w:sz w:val="18"/>
          <w:szCs w:val="18"/>
          <w:color w:val="auto"/>
        </w:rPr>
        <w:t>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26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8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75" w:lineRule="exact"/>
        <w:rPr>
          <w:sz w:val="20"/>
          <w:szCs w:val="20"/>
          <w:color w:val="auto"/>
        </w:rPr>
      </w:pPr>
    </w:p>
    <w:p>
      <w:pPr>
        <w:ind w:right="80"/>
        <w:spacing w:after="0" w:line="311" w:lineRule="auto"/>
        <w:rPr>
          <w:sz w:val="20"/>
          <w:szCs w:val="20"/>
          <w:color w:val="auto"/>
        </w:rPr>
      </w:pPr>
      <w:r>
        <w:rPr>
          <w:rFonts w:ascii="Arial" w:cs="Arial" w:eastAsia="Arial" w:hAnsi="Arial"/>
          <w:sz w:val="15"/>
          <w:szCs w:val="15"/>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2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7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90"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the vesting of restricted stock unit awards and purchases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30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7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65" w:name="page66"/>
    <w:bookmarkEnd w:id="65"/>
    <w:p>
      <w:pPr>
        <w:spacing w:after="0"/>
        <w:rPr>
          <w:sz w:val="20"/>
          <w:szCs w:val="20"/>
          <w:color w:val="auto"/>
        </w:rPr>
      </w:pPr>
      <w:r>
        <w:rPr>
          <w:rFonts w:ascii="Arial" w:cs="Arial" w:eastAsia="Arial" w:hAnsi="Arial"/>
          <w:sz w:val="15"/>
          <w:szCs w:val="15"/>
          <w:b w:val="1"/>
          <w:bCs w:val="1"/>
          <w:i w:val="1"/>
          <w:iCs w:val="1"/>
          <w:color w:val="auto"/>
        </w:rPr>
        <w:t>Unstable market, economic and geo-political conditions may have serious adverse consequences on our business, financial condition and stock price.*</w:t>
      </w:r>
    </w:p>
    <w:p>
      <w:pPr>
        <w:spacing w:after="0" w:line="144"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global credit and financial markets have experienced extreme volatility and disruptions in the past. These disruptions can result in severely diminished liquidity and credit availability, increase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76"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Other international and geo-political events could also have a serious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negatively impacted by environmental, social and corporate governance (ESG) matters or our reporting of such matters.*</w:t>
      </w:r>
    </w:p>
    <w:p>
      <w:pPr>
        <w:spacing w:after="0" w:line="250"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There is an increasing focus from certain investors, employees, partners, and other stakeholders concerning ESG matters. We may be, or be perceived to be, not acting responsibly in connection with these matters, which could negatively impact us. For instance, the SEC has recently proposed climate change and ESG reporting requirements, which, if approved, would significantly increase our costs. We currently do not report our environmental emissions, and lack of reporting or future reporting could result in certain investors from declining to invest in our common stock.</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April 2022, the Company extended its office lease with Russell Ranch Road II LLC for an additional 66 months, commencing February 2023. Pursuant to the extension, the Company will pay monthly payments of $79,543, subject to 3% annual increases, plus the estimated cost of maintaining the property and common areas by the landlord. The Company will receive a credit for up to 14 months of rent from February 2023 through March 2024 as well as an allowance for tenant alterations.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6.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40" w:type="dxa"/>
            <w:vAlign w:val="bottom"/>
            <w:gridSpan w:val="21"/>
            <w:vMerge w:val="restart"/>
          </w:tcPr>
          <w:p>
            <w:pPr>
              <w:ind w:left="4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68"/>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4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000" w:type="dxa"/>
            <w:vAlign w:val="bottom"/>
            <w:tcBorders>
              <w:top w:val="single" w:sz="8" w:color="auto"/>
            </w:tcBorders>
          </w:tcPr>
          <w:p>
            <w:pPr>
              <w:jc w:val="right"/>
              <w:ind w:right="51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940" w:type="dxa"/>
            <w:vAlign w:val="bottom"/>
            <w:tcBorders>
              <w:top w:val="single" w:sz="8" w:color="auto"/>
              <w:bottom w:val="single" w:sz="8" w:color="0000EE"/>
            </w:tcBorders>
            <w:gridSpan w:val="33"/>
          </w:tcPr>
          <w:p>
            <w:pPr>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Amended and Restated Certificate of Incorporation (incorporated by reference to Exhibit 3.1 to MannKind’s Quarterly Report on Form 10-Q</w:t>
              </w:r>
            </w:hyperlink>
          </w:p>
        </w:tc>
        <w:tc>
          <w:tcPr>
            <w:tcW w:w="16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00" w:type="dxa"/>
            <w:vAlign w:val="bottom"/>
            <w:gridSpan w:val="36"/>
          </w:tcPr>
          <w:p>
            <w:pPr>
              <w:spacing w:after="0" w:line="191" w:lineRule="exact"/>
              <w:rPr>
                <w:rFonts w:ascii="Arial" w:cs="Arial" w:eastAsia="Arial" w:hAnsi="Arial"/>
                <w:sz w:val="18"/>
                <w:szCs w:val="18"/>
                <w:color w:val="0000EE"/>
              </w:rPr>
            </w:pPr>
            <w:hyperlink r:id="rId89">
              <w:r>
                <w:rPr>
                  <w:rFonts w:ascii="Arial" w:cs="Arial" w:eastAsia="Arial" w:hAnsi="Arial"/>
                  <w:sz w:val="18"/>
                  <w:szCs w:val="18"/>
                  <w:color w:val="0000EE"/>
                </w:rPr>
                <w:t>(File No. 000-50865), filed with the SEC on August 9, 2016).</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680" w:type="dxa"/>
            <w:vAlign w:val="bottom"/>
            <w:tcBorders>
              <w:bottom w:val="single" w:sz="8" w:color="0000EE"/>
            </w:tcBorders>
            <w:gridSpan w:val="28"/>
          </w:tcPr>
          <w:p>
            <w:pPr>
              <w:spacing w:after="0"/>
              <w:rPr>
                <w:rFonts w:ascii="Arial" w:cs="Arial" w:eastAsia="Arial" w:hAnsi="Arial"/>
                <w:sz w:val="18"/>
                <w:szCs w:val="18"/>
                <w:color w:val="0000EE"/>
                <w:w w:val="89"/>
              </w:rPr>
            </w:pPr>
            <w:hyperlink r:id="rId90">
              <w:r>
                <w:rPr>
                  <w:rFonts w:ascii="Arial" w:cs="Arial" w:eastAsia="Arial" w:hAnsi="Arial"/>
                  <w:sz w:val="18"/>
                  <w:szCs w:val="18"/>
                  <w:color w:val="0000EE"/>
                  <w:w w:val="89"/>
                </w:rPr>
                <w:t>Certificate of Amendment of Amended and Restated Certificate of Incorporation of MannKind Corporation (incorporated by reference to</w:t>
              </w:r>
            </w:hyperlink>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300" w:type="dxa"/>
            <w:vAlign w:val="bottom"/>
            <w:tcBorders>
              <w:bottom w:val="single" w:sz="8" w:color="0000EE"/>
            </w:tcBorders>
            <w:gridSpan w:val="19"/>
          </w:tcPr>
          <w:p>
            <w:pPr>
              <w:spacing w:after="0" w:line="191" w:lineRule="exact"/>
              <w:rPr>
                <w:rFonts w:ascii="Arial" w:cs="Arial" w:eastAsia="Arial" w:hAnsi="Arial"/>
                <w:sz w:val="18"/>
                <w:szCs w:val="18"/>
                <w:color w:val="0000EE"/>
                <w:w w:val="90"/>
              </w:rPr>
            </w:pPr>
            <w:hyperlink r:id="rId90">
              <w:r>
                <w:rPr>
                  <w:rFonts w:ascii="Arial" w:cs="Arial" w:eastAsia="Arial" w:hAnsi="Arial"/>
                  <w:sz w:val="18"/>
                  <w:szCs w:val="18"/>
                  <w:color w:val="0000EE"/>
                  <w:w w:val="90"/>
                </w:rPr>
                <w:t>Exhibit 3.1 to MannKind’s Current Report on Form 8-K (File No. 000-50865), filed with the SEC on March 2, 2017).</w:t>
              </w:r>
            </w:hyperlink>
          </w:p>
        </w:tc>
        <w:tc>
          <w:tcPr>
            <w:tcW w:w="180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9680" w:type="dxa"/>
            <w:vAlign w:val="bottom"/>
            <w:tcBorders>
              <w:bottom w:val="single" w:sz="8" w:color="0000EE"/>
            </w:tcBorders>
            <w:gridSpan w:val="28"/>
          </w:tcPr>
          <w:p>
            <w:pP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Certificate of Amendment of Amended and Restated Certificate of Incorporation of MannKind Corporation (incorporated by reference to</w:t>
              </w:r>
            </w:hyperlink>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00" w:type="dxa"/>
            <w:vAlign w:val="bottom"/>
            <w:gridSpan w:val="36"/>
          </w:tcPr>
          <w:p>
            <w:pPr>
              <w:spacing w:after="0" w:line="191" w:lineRule="exact"/>
              <w:rPr>
                <w:rFonts w:ascii="Arial" w:cs="Arial" w:eastAsia="Arial" w:hAnsi="Arial"/>
                <w:sz w:val="18"/>
                <w:szCs w:val="18"/>
                <w:color w:val="0000EE"/>
              </w:rPr>
            </w:pPr>
            <w:hyperlink r:id="rId91">
              <w:r>
                <w:rPr>
                  <w:rFonts w:ascii="Arial" w:cs="Arial" w:eastAsia="Arial" w:hAnsi="Arial"/>
                  <w:sz w:val="18"/>
                  <w:szCs w:val="18"/>
                  <w:color w:val="0000EE"/>
                </w:rPr>
                <w:t>Exhibit 3.1 to MannKind’s Current Report on Form 8-K (File No. 000-50865), filed with the SEC on December 13,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9680" w:type="dxa"/>
            <w:vAlign w:val="bottom"/>
            <w:tcBorders>
              <w:bottom w:val="single" w:sz="8" w:color="0000EE"/>
            </w:tcBorders>
            <w:gridSpan w:val="28"/>
          </w:tcPr>
          <w:p>
            <w:pP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Certificate of Amendment of Amended and Restated Certificate of Incorporation of MannKind Corporation (incorporated by reference to</w:t>
              </w:r>
            </w:hyperlink>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00" w:type="dxa"/>
            <w:vAlign w:val="bottom"/>
            <w:gridSpan w:val="36"/>
          </w:tcPr>
          <w:p>
            <w:pPr>
              <w:spacing w:after="0" w:line="191" w:lineRule="exact"/>
              <w:rPr>
                <w:rFonts w:ascii="Arial" w:cs="Arial" w:eastAsia="Arial" w:hAnsi="Arial"/>
                <w:sz w:val="18"/>
                <w:szCs w:val="18"/>
                <w:color w:val="0000EE"/>
              </w:rPr>
            </w:pPr>
            <w:hyperlink r:id="rId92">
              <w:r>
                <w:rPr>
                  <w:rFonts w:ascii="Arial" w:cs="Arial" w:eastAsia="Arial" w:hAnsi="Arial"/>
                  <w:sz w:val="18"/>
                  <w:szCs w:val="18"/>
                  <w:color w:val="0000EE"/>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9900" w:type="dxa"/>
            <w:vAlign w:val="bottom"/>
            <w:tcBorders>
              <w:bottom w:val="single" w:sz="8" w:color="0000EE"/>
            </w:tcBorders>
            <w:gridSpan w:val="31"/>
          </w:tcPr>
          <w:p>
            <w:pP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Amended and Restated Bylaws (incorporated by reference to Exhibit 3.2 to MannKind’s Current Report on Form 8-K (File No. 000-50865),</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Borders>
              <w:bottom w:val="single" w:sz="8" w:color="0000EE"/>
            </w:tcBorders>
            <w:gridSpan w:val="7"/>
          </w:tcPr>
          <w:p>
            <w:pPr>
              <w:spacing w:after="0" w:line="191"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filed with the SEC on May 27, 2020).</w:t>
              </w:r>
            </w:hyperlink>
          </w:p>
        </w:tc>
        <w:tc>
          <w:tcPr>
            <w:tcW w:w="7440" w:type="dxa"/>
            <w:vAlign w:val="bottom"/>
            <w:gridSpan w:val="29"/>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9">
              <w:r>
                <w:rPr>
                  <w:rFonts w:ascii="Arial" w:cs="Arial" w:eastAsia="Arial" w:hAnsi="Arial"/>
                  <w:sz w:val="18"/>
                  <w:szCs w:val="18"/>
                  <w:color w:val="0000EE"/>
                </w:rPr>
                <w:t>3.1</w:t>
              </w:r>
            </w:hyperlink>
            <w:r>
              <w:rPr>
                <w:rFonts w:ascii="Arial" w:cs="Arial" w:eastAsia="Arial" w:hAnsi="Arial"/>
                <w:sz w:val="18"/>
                <w:szCs w:val="18"/>
                <w:color w:val="auto"/>
              </w:rPr>
              <w:t xml:space="preserve">, </w:t>
            </w:r>
            <w:hyperlink r:id="rId90">
              <w:r>
                <w:rPr>
                  <w:rFonts w:ascii="Arial" w:cs="Arial" w:eastAsia="Arial" w:hAnsi="Arial"/>
                  <w:sz w:val="18"/>
                  <w:szCs w:val="18"/>
                  <w:color w:val="0000EE"/>
                </w:rPr>
                <w:t>3.2</w:t>
              </w:r>
            </w:hyperlink>
            <w:r>
              <w:rPr>
                <w:rFonts w:ascii="Arial" w:cs="Arial" w:eastAsia="Arial" w:hAnsi="Arial"/>
                <w:sz w:val="18"/>
                <w:szCs w:val="18"/>
                <w:color w:val="auto"/>
              </w:rPr>
              <w:t xml:space="preserve">, </w:t>
            </w:r>
            <w:hyperlink r:id="rId91">
              <w:r>
                <w:rPr>
                  <w:rFonts w:ascii="Arial" w:cs="Arial" w:eastAsia="Arial" w:hAnsi="Arial"/>
                  <w:sz w:val="18"/>
                  <w:szCs w:val="18"/>
                  <w:color w:val="0000EE"/>
                </w:rPr>
                <w:t>3.3</w:t>
              </w:r>
            </w:hyperlink>
            <w:r>
              <w:rPr>
                <w:rFonts w:ascii="Arial" w:cs="Arial" w:eastAsia="Arial" w:hAnsi="Arial"/>
                <w:sz w:val="18"/>
                <w:szCs w:val="18"/>
                <w:color w:val="auto"/>
              </w:rPr>
              <w:t xml:space="preserve">, </w:t>
            </w:r>
            <w:hyperlink r:id="rId92">
              <w:r>
                <w:rPr>
                  <w:rFonts w:ascii="Arial" w:cs="Arial" w:eastAsia="Arial" w:hAnsi="Arial"/>
                  <w:sz w:val="18"/>
                  <w:szCs w:val="18"/>
                  <w:color w:val="0000EE"/>
                </w:rPr>
                <w:t>3.4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93">
              <w:r>
                <w:rPr>
                  <w:rFonts w:ascii="Arial" w:cs="Arial" w:eastAsia="Arial" w:hAnsi="Arial"/>
                  <w:sz w:val="18"/>
                  <w:szCs w:val="18"/>
                  <w:color w:val="0000EE"/>
                </w:rPr>
                <w:t>3.5</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9620" w:type="dxa"/>
            <w:vAlign w:val="bottom"/>
            <w:tcBorders>
              <w:bottom w:val="single" w:sz="8" w:color="0000EE"/>
            </w:tcBorders>
            <w:gridSpan w:val="26"/>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Form of common stock certificate (incorporated by reference to Exhibit 4.2 to MannKind’s Annual Report on Form 10-K (File No. 000-</w:t>
              </w:r>
            </w:hyperlink>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tcBorders>
              <w:bottom w:val="single" w:sz="8" w:color="0000EE"/>
            </w:tcBorders>
            <w:gridSpan w:val="13"/>
          </w:tcPr>
          <w:p>
            <w:pPr>
              <w:spacing w:after="0" w:line="191" w:lineRule="exact"/>
              <w:rPr>
                <w:rFonts w:ascii="Arial" w:cs="Arial" w:eastAsia="Arial" w:hAnsi="Arial"/>
                <w:sz w:val="18"/>
                <w:szCs w:val="18"/>
                <w:color w:val="0000EE"/>
                <w:w w:val="89"/>
              </w:rPr>
            </w:pPr>
            <w:hyperlink r:id="rId94">
              <w:r>
                <w:rPr>
                  <w:rFonts w:ascii="Arial" w:cs="Arial" w:eastAsia="Arial" w:hAnsi="Arial"/>
                  <w:sz w:val="18"/>
                  <w:szCs w:val="18"/>
                  <w:color w:val="0000EE"/>
                  <w:w w:val="89"/>
                </w:rPr>
                <w:t>50865)</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 filed with the SEC on March 16, 2017).</w:t>
              </w:r>
            </w:hyperlink>
          </w:p>
        </w:tc>
        <w:tc>
          <w:tcPr>
            <w:tcW w:w="672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EE"/>
                <w:w w:val="89"/>
              </w:rPr>
            </w:pPr>
            <w:hyperlink r:id="rId95">
              <w:r>
                <w:rPr>
                  <w:rFonts w:ascii="Arial" w:cs="Arial" w:eastAsia="Arial" w:hAnsi="Arial"/>
                  <w:sz w:val="18"/>
                  <w:szCs w:val="18"/>
                  <w:color w:val="0000EE"/>
                  <w:w w:val="89"/>
                </w:rPr>
                <w:t>Milestone Rights Purchase Agreement, dated as of July 1, 2013, by and among MannKind, Deerfield Private Design Fund II, L.P. and Horizon</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920" w:type="dxa"/>
            <w:vAlign w:val="bottom"/>
            <w:tcBorders>
              <w:top w:val="single" w:sz="8" w:color="0000EE"/>
              <w:bottom w:val="single" w:sz="8" w:color="0000EE"/>
            </w:tcBorders>
            <w:gridSpan w:val="32"/>
          </w:tcPr>
          <w:p>
            <w:pPr>
              <w:spacing w:after="0" w:line="191"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Santé FLML SÁRL (incorporated by reference to Exhibit 99.3 to MannKind’s Current Report on Form 8-K (File No. 000-50865), filed with</w:t>
              </w:r>
            </w:hyperlink>
          </w:p>
        </w:tc>
        <w:tc>
          <w:tcPr>
            <w:tcW w:w="120" w:type="dxa"/>
            <w:vAlign w:val="bottom"/>
            <w:tcBorders>
              <w:top w:val="single" w:sz="8" w:color="0000EE"/>
            </w:tcBorders>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Borders>
              <w:bottom w:val="single" w:sz="8" w:color="0000EE"/>
            </w:tcBorders>
            <w:gridSpan w:val="2"/>
          </w:tcPr>
          <w:p>
            <w:pPr>
              <w:spacing w:after="0" w:line="191" w:lineRule="exact"/>
              <w:rPr>
                <w:rFonts w:ascii="Arial" w:cs="Arial" w:eastAsia="Arial" w:hAnsi="Arial"/>
                <w:sz w:val="18"/>
                <w:szCs w:val="18"/>
                <w:color w:val="0000EE"/>
                <w:w w:val="87"/>
              </w:rPr>
            </w:pPr>
            <w:hyperlink r:id="rId95">
              <w:r>
                <w:rPr>
                  <w:rFonts w:ascii="Arial" w:cs="Arial" w:eastAsia="Arial" w:hAnsi="Arial"/>
                  <w:sz w:val="18"/>
                  <w:szCs w:val="18"/>
                  <w:color w:val="0000EE"/>
                  <w:w w:val="87"/>
                </w:rPr>
                <w:t>the SEC on July 1, 2013).</w:t>
              </w:r>
            </w:hyperlink>
          </w:p>
        </w:tc>
        <w:tc>
          <w:tcPr>
            <w:tcW w:w="8280" w:type="dxa"/>
            <w:vAlign w:val="bottom"/>
            <w:gridSpan w:val="34"/>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EE"/>
                <w:w w:val="96"/>
              </w:rPr>
            </w:pPr>
            <w:hyperlink r:id="rId96">
              <w:r>
                <w:rPr>
                  <w:rFonts w:ascii="Arial" w:cs="Arial" w:eastAsia="Arial" w:hAnsi="Arial"/>
                  <w:sz w:val="18"/>
                  <w:szCs w:val="18"/>
                  <w:color w:val="0000EE"/>
                  <w:w w:val="96"/>
                </w:rPr>
                <w:t>Form of Warrant to Purchase Stock issued to MidCap Financial Trust on August 6, 2019 (incorporated by reference to Exhibit 4.1 to</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380" w:type="dxa"/>
            <w:vAlign w:val="bottom"/>
            <w:tcBorders>
              <w:top w:val="single" w:sz="8" w:color="0000EE"/>
              <w:bottom w:val="single" w:sz="8" w:color="0000EE"/>
            </w:tcBorders>
            <w:gridSpan w:val="17"/>
          </w:tcPr>
          <w:p>
            <w:pPr>
              <w:spacing w:after="0" w:line="191"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MannKind’s Current Report on Form 8-K (File No. 000-50865), filed with the SEC on August 7, 2019).</w:t>
              </w:r>
            </w:hyperlink>
          </w:p>
        </w:tc>
        <w:tc>
          <w:tcPr>
            <w:tcW w:w="1940" w:type="dxa"/>
            <w:vAlign w:val="bottom"/>
            <w:tcBorders>
              <w:top w:val="single" w:sz="8" w:color="0000EE"/>
            </w:tcBorders>
            <w:gridSpan w:val="7"/>
          </w:tcPr>
          <w:p>
            <w:pPr>
              <w:spacing w:after="0"/>
              <w:rPr>
                <w:sz w:val="16"/>
                <w:szCs w:val="16"/>
                <w:color w:val="auto"/>
              </w:rPr>
            </w:pPr>
          </w:p>
        </w:tc>
        <w:tc>
          <w:tcPr>
            <w:tcW w:w="78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EE"/>
                <w:w w:val="94"/>
              </w:rPr>
            </w:pPr>
            <w:hyperlink r:id="rId97">
              <w:r>
                <w:rPr>
                  <w:rFonts w:ascii="Arial" w:cs="Arial" w:eastAsia="Arial" w:hAnsi="Arial"/>
                  <w:sz w:val="18"/>
                  <w:szCs w:val="18"/>
                  <w:color w:val="0000EE"/>
                  <w:w w:val="94"/>
                </w:rPr>
                <w:t>Convertible Promissory Note made by MannKind Corporation in favor of The Mann Group LLC, dated August 6, 2019 (incorporated by</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40" w:type="dxa"/>
            <w:vAlign w:val="bottom"/>
            <w:tcBorders>
              <w:top w:val="single" w:sz="8" w:color="0000EE"/>
            </w:tcBorders>
            <w:gridSpan w:val="27"/>
          </w:tcPr>
          <w:p>
            <w:pPr>
              <w:spacing w:after="0" w:line="191" w:lineRule="exact"/>
              <w:rPr>
                <w:rFonts w:ascii="Arial" w:cs="Arial" w:eastAsia="Arial" w:hAnsi="Arial"/>
                <w:sz w:val="18"/>
                <w:szCs w:val="18"/>
                <w:color w:val="0000EE"/>
                <w:w w:val="94"/>
              </w:rPr>
            </w:pPr>
            <w:hyperlink r:id="rId97">
              <w:r>
                <w:rPr>
                  <w:rFonts w:ascii="Arial" w:cs="Arial" w:eastAsia="Arial" w:hAnsi="Arial"/>
                  <w:sz w:val="18"/>
                  <w:szCs w:val="18"/>
                  <w:color w:val="0000EE"/>
                  <w:w w:val="94"/>
                </w:rPr>
                <w:t>reference to Exhibit 4.6 to MannKind’s Current Report on Form 8-K (File No. 000-50865), filed with the SEC on August 7, 2019).</w:t>
              </w:r>
            </w:hyperlink>
          </w:p>
        </w:tc>
        <w:tc>
          <w:tcPr>
            <w:tcW w:w="46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440" w:type="dxa"/>
            <w:vAlign w:val="bottom"/>
            <w:gridSpan w:val="17"/>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00" w:type="dxa"/>
            <w:vAlign w:val="bottom"/>
          </w:tcPr>
          <w:p>
            <w:pPr>
              <w:jc w:val="right"/>
              <w:ind w:right="594"/>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9600" w:type="dxa"/>
            <w:vAlign w:val="bottom"/>
            <w:tcBorders>
              <w:bottom w:val="single" w:sz="8" w:color="0000EE"/>
            </w:tcBorders>
            <w:gridSpan w:val="25"/>
          </w:tcPr>
          <w:p>
            <w:pPr>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Amendment No. 1 to Convertible Promissory Note, dated April 22, 2021, by and between MannKind Corporation and The Mann Group</w:t>
              </w:r>
            </w:hyperlink>
          </w:p>
        </w:tc>
        <w:tc>
          <w:tcPr>
            <w:tcW w:w="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00" w:type="dxa"/>
            <w:vAlign w:val="bottom"/>
            <w:tcBorders>
              <w:bottom w:val="single" w:sz="8" w:color="0000EE"/>
            </w:tcBorders>
            <w:gridSpan w:val="36"/>
          </w:tcPr>
          <w:p>
            <w:pPr>
              <w:spacing w:after="0" w:line="191"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LLC (incorporated by reference to Exhibit 99.2 to MannKind’s Current Report on Form 8-K (File No. 000-50865), filed with the SEC on April</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Borders>
              <w:bottom w:val="single" w:sz="8" w:color="0000EE"/>
            </w:tcBorders>
          </w:tcPr>
          <w:p>
            <w:pPr>
              <w:spacing w:after="0" w:line="191" w:lineRule="exact"/>
              <w:rPr>
                <w:rFonts w:ascii="Arial" w:cs="Arial" w:eastAsia="Arial" w:hAnsi="Arial"/>
                <w:sz w:val="18"/>
                <w:szCs w:val="18"/>
                <w:color w:val="0000EE"/>
                <w:w w:val="86"/>
              </w:rPr>
            </w:pPr>
            <w:hyperlink r:id="rId98">
              <w:r>
                <w:rPr>
                  <w:rFonts w:ascii="Arial" w:cs="Arial" w:eastAsia="Arial" w:hAnsi="Arial"/>
                  <w:sz w:val="18"/>
                  <w:szCs w:val="18"/>
                  <w:color w:val="0000EE"/>
                  <w:w w:val="86"/>
                </w:rPr>
                <w:t>26, 2021).</w:t>
              </w:r>
            </w:hyperlink>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EE"/>
                <w:w w:val="93"/>
              </w:rPr>
            </w:pPr>
            <w:hyperlink r:id="rId99">
              <w:r>
                <w:rPr>
                  <w:rFonts w:ascii="Arial" w:cs="Arial" w:eastAsia="Arial" w:hAnsi="Arial"/>
                  <w:sz w:val="18"/>
                  <w:szCs w:val="18"/>
                  <w:color w:val="0000EE"/>
                  <w:w w:val="93"/>
                </w:rPr>
                <w:t>Promissory Note made by MannKind Corporation in favor of The Mann Group LLC, dated August 6, 2019 (incorporated by reference to</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40" w:type="dxa"/>
            <w:vAlign w:val="bottom"/>
            <w:tcBorders>
              <w:top w:val="single" w:sz="8" w:color="0000EE"/>
            </w:tcBorders>
            <w:gridSpan w:val="27"/>
          </w:tcPr>
          <w:p>
            <w:pPr>
              <w:spacing w:after="0" w:line="191" w:lineRule="exact"/>
              <w:rPr>
                <w:rFonts w:ascii="Arial" w:cs="Arial" w:eastAsia="Arial" w:hAnsi="Arial"/>
                <w:sz w:val="18"/>
                <w:szCs w:val="18"/>
                <w:color w:val="0000EE"/>
              </w:rPr>
            </w:pPr>
            <w:hyperlink r:id="rId99">
              <w:r>
                <w:rPr>
                  <w:rFonts w:ascii="Arial" w:cs="Arial" w:eastAsia="Arial" w:hAnsi="Arial"/>
                  <w:sz w:val="18"/>
                  <w:szCs w:val="18"/>
                  <w:color w:val="0000EE"/>
                </w:rPr>
                <w:t>Exhibit 4.7 to MannKind’s Current Report on Form 8-K (File No. 000-50865), filed with the SEC on August 7, 2019).</w:t>
              </w:r>
            </w:hyperlink>
          </w:p>
        </w:tc>
        <w:tc>
          <w:tcPr>
            <w:tcW w:w="46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6440" w:type="dxa"/>
            <w:vAlign w:val="bottom"/>
            <w:gridSpan w:val="1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10100" w:type="dxa"/>
            <w:vAlign w:val="bottom"/>
            <w:tcBorders>
              <w:bottom w:val="single" w:sz="8" w:color="0000EE"/>
            </w:tcBorders>
            <w:gridSpan w:val="36"/>
          </w:tcPr>
          <w:p>
            <w:pPr>
              <w:spacing w:after="0"/>
              <w:rPr>
                <w:rFonts w:ascii="Arial" w:cs="Arial" w:eastAsia="Arial" w:hAnsi="Arial"/>
                <w:sz w:val="18"/>
                <w:szCs w:val="18"/>
                <w:color w:val="0000EE"/>
                <w:w w:val="88"/>
              </w:rPr>
            </w:pPr>
            <w:hyperlink r:id="rId100">
              <w:r>
                <w:rPr>
                  <w:rFonts w:ascii="Arial" w:cs="Arial" w:eastAsia="Arial" w:hAnsi="Arial"/>
                  <w:sz w:val="18"/>
                  <w:szCs w:val="18"/>
                  <w:color w:val="0000EE"/>
                  <w:w w:val="88"/>
                </w:rPr>
                <w:t>Indenture, dated as of March 4, 2021, by and between MannKind Corporation and U.S. Bank National Association, as Trustee (incorporated by</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180" w:type="dxa"/>
            <w:vAlign w:val="bottom"/>
            <w:tcBorders>
              <w:bottom w:val="single" w:sz="8" w:color="0000EE"/>
            </w:tcBorders>
            <w:gridSpan w:val="22"/>
          </w:tcPr>
          <w:p>
            <w:pPr>
              <w:spacing w:after="0" w:line="191"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reference to Exhibit 4.1 to MannKind’s Current Report on Form 8-K (File No. 000-50865), filed with the SEC on March 5, 2021).</w:t>
              </w:r>
            </w:hyperlink>
          </w:p>
        </w:tc>
        <w:tc>
          <w:tcPr>
            <w:tcW w:w="92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10080" w:type="dxa"/>
            <w:vAlign w:val="bottom"/>
            <w:tcBorders>
              <w:bottom w:val="single" w:sz="8" w:color="0000EE"/>
            </w:tcBorders>
            <w:gridSpan w:val="35"/>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Form of Global Note, representing MannKind Corporation’s 2.50% Convertible Senior Notes due 2026 (included as Exhibit A to the Indenture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900" w:type="dxa"/>
            <w:vAlign w:val="bottom"/>
            <w:tcBorders>
              <w:bottom w:val="single" w:sz="8" w:color="0000EE"/>
            </w:tcBorders>
            <w:gridSpan w:val="31"/>
          </w:tcPr>
          <w:p>
            <w:pPr>
              <w:spacing w:after="0" w:line="191"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filed as Exhibit 4.15) (incorporated by reference to Exhibit 4.2 to MannKind’s Current Report on Form 8-K (File No. 000-50865), filed with</w:t>
              </w:r>
            </w:hyperlink>
          </w:p>
        </w:tc>
        <w:tc>
          <w:tcPr>
            <w:tcW w:w="2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00" w:type="dxa"/>
            <w:vAlign w:val="bottom"/>
            <w:gridSpan w:val="36"/>
          </w:tcPr>
          <w:p>
            <w:pPr>
              <w:spacing w:after="0" w:line="191" w:lineRule="exact"/>
              <w:rPr>
                <w:rFonts w:ascii="Arial" w:cs="Arial" w:eastAsia="Arial" w:hAnsi="Arial"/>
                <w:sz w:val="18"/>
                <w:szCs w:val="18"/>
                <w:color w:val="0000EE"/>
              </w:rPr>
            </w:pPr>
            <w:hyperlink r:id="rId101">
              <w:r>
                <w:rPr>
                  <w:rFonts w:ascii="Arial" w:cs="Arial" w:eastAsia="Arial" w:hAnsi="Arial"/>
                  <w:sz w:val="18"/>
                  <w:szCs w:val="18"/>
                  <w:color w:val="0000EE"/>
                </w:rPr>
                <w:t>the SEC on March 5, 2021)</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6700" w:type="dxa"/>
            <w:vAlign w:val="bottom"/>
            <w:gridSpan w:val="18"/>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86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Amendment No. 1 to Office Lease, dated April 8, 2022, between MannKind Corporation and Russell Ranch Road II LLC.</w:t>
              </w:r>
            </w:hyperlink>
          </w:p>
        </w:tc>
        <w:tc>
          <w:tcPr>
            <w:tcW w:w="1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880" w:type="dxa"/>
            <w:vAlign w:val="bottom"/>
            <w:tcBorders>
              <w:bottom w:val="single" w:sz="8" w:color="0000EE"/>
            </w:tcBorders>
            <w:gridSpan w:val="30"/>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Certification of the Chief Executive Officer pursuant to Rules 13a-14(a) and 15d-14(a) of the Securities Exchange Act of 1934, as amended.</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14"/>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100" w:type="dxa"/>
            <w:vAlign w:val="bottom"/>
            <w:gridSpan w:val="36"/>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Certification of the Chief Financial Officer pursuant to Rules 13a-14(a) and 15d-14(a) of the Securities Exchange Act of 1934, as amended.</w:t>
              </w:r>
            </w:hyperlink>
          </w:p>
        </w:tc>
        <w:tc>
          <w:tcPr>
            <w:tcW w:w="0" w:type="dxa"/>
            <w:vAlign w:val="bottom"/>
          </w:tcPr>
          <w:p>
            <w:pPr>
              <w:spacing w:after="0"/>
              <w:rPr>
                <w:sz w:val="1"/>
                <w:szCs w:val="1"/>
                <w:color w:val="auto"/>
              </w:rPr>
            </w:pPr>
          </w:p>
        </w:tc>
      </w:tr>
      <w:tr>
        <w:trPr>
          <w:trHeight w:val="441"/>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380" w:type="dxa"/>
            <w:vAlign w:val="bottom"/>
            <w:tcBorders>
              <w:top w:val="single" w:sz="8" w:color="0000EE"/>
            </w:tcBorders>
            <w:gridSpan w:val="17"/>
          </w:tcPr>
          <w:p>
            <w:pPr>
              <w:ind w:left="4400"/>
              <w:spacing w:after="0"/>
              <w:rPr>
                <w:sz w:val="20"/>
                <w:szCs w:val="20"/>
                <w:color w:val="auto"/>
              </w:rPr>
            </w:pPr>
            <w:r>
              <w:rPr>
                <w:rFonts w:ascii="Arial" w:cs="Arial" w:eastAsia="Arial" w:hAnsi="Arial"/>
                <w:sz w:val="18"/>
                <w:szCs w:val="18"/>
                <w:color w:val="auto"/>
              </w:rPr>
              <w:t>66</w:t>
            </w:r>
          </w:p>
        </w:tc>
        <w:tc>
          <w:tcPr>
            <w:tcW w:w="8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100" w:type="dxa"/>
            <w:vAlign w:val="bottom"/>
            <w:gridSpan w:val="5"/>
            <w:vMerge w:val="restart"/>
          </w:tcPr>
          <w:p>
            <w:pPr>
              <w:ind w:left="43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68"/>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1000" w:type="dxa"/>
            <w:vAlign w:val="bottom"/>
            <w:tcBorders>
              <w:top w:val="single" w:sz="8" w:color="auto"/>
            </w:tcBorders>
          </w:tcPr>
          <w:p>
            <w:pPr>
              <w:jc w:val="right"/>
              <w:ind w:right="518"/>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860" w:type="dxa"/>
            <w:vAlign w:val="bottom"/>
            <w:tcBorders>
              <w:top w:val="single" w:sz="8" w:color="auto"/>
              <w:bottom w:val="single" w:sz="8" w:color="0000EE"/>
            </w:tcBorders>
            <w:gridSpan w:val="4"/>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Certification of the Chief Executive Officer pursuant to Rules 13a-14(b) and 15d-14(b) of the Securities Exchange Act of 1934, as amended</w:t>
              </w:r>
            </w:hyperlink>
          </w:p>
        </w:tc>
        <w:tc>
          <w:tcPr>
            <w:tcW w:w="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80" w:type="dxa"/>
            <w:vAlign w:val="bottom"/>
            <w:tcBorders>
              <w:bottom w:val="single" w:sz="8" w:color="0000EE"/>
            </w:tcBorders>
            <w:gridSpan w:val="2"/>
          </w:tcPr>
          <w:p>
            <w:pPr>
              <w:spacing w:after="0" w:line="191"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and Section 1350 of Chapter 63 of Title 18 of the United States Code (18 U.S.C. §1350).</w:t>
              </w:r>
            </w:hyperlink>
          </w:p>
        </w:tc>
        <w:tc>
          <w:tcPr>
            <w:tcW w:w="38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right"/>
              <w:ind w:right="518"/>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100" w:type="dxa"/>
            <w:vAlign w:val="bottom"/>
            <w:gridSpan w:val="5"/>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Certification of the Chief Financial Officer pursuant to Rules 13a-14(b) and 15d-14(b) of the Securities Exchange Act of 1934, as amended</w:t>
              </w:r>
            </w:hyperlink>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60" w:type="dxa"/>
            <w:vAlign w:val="bottom"/>
            <w:tcBorders>
              <w:top w:val="single" w:sz="8" w:color="0000EE"/>
              <w:bottom w:val="single" w:sz="8" w:color="0000EE"/>
            </w:tcBorders>
          </w:tcPr>
          <w:p>
            <w:pPr>
              <w:spacing w:after="0" w:line="191"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and Section 1350 of Chapter 63 of Title 18 of the United States Code (18 U.S.C. §1350).</w:t>
              </w:r>
            </w:hyperlink>
          </w:p>
        </w:tc>
        <w:tc>
          <w:tcPr>
            <w:tcW w:w="3540" w:type="dxa"/>
            <w:vAlign w:val="bottom"/>
            <w:tcBorders>
              <w:top w:val="single" w:sz="8" w:color="0000EE"/>
            </w:tcBorders>
            <w:gridSpan w:val="2"/>
          </w:tcPr>
          <w:p>
            <w:pPr>
              <w:spacing w:after="0"/>
              <w:rPr>
                <w:sz w:val="16"/>
                <w:szCs w:val="16"/>
                <w:color w:val="auto"/>
              </w:rPr>
            </w:pPr>
          </w:p>
        </w:tc>
        <w:tc>
          <w:tcPr>
            <w:tcW w:w="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000" w:type="dxa"/>
            <w:vAlign w:val="bottom"/>
          </w:tcPr>
          <w:p>
            <w:pPr>
              <w:jc w:val="right"/>
              <w:ind w:right="598"/>
              <w:spacing w:after="0"/>
              <w:rPr>
                <w:sz w:val="20"/>
                <w:szCs w:val="20"/>
                <w:color w:val="auto"/>
              </w:rPr>
            </w:pPr>
            <w:r>
              <w:rPr>
                <w:rFonts w:ascii="Arial" w:cs="Arial" w:eastAsia="Arial" w:hAnsi="Arial"/>
                <w:sz w:val="18"/>
                <w:szCs w:val="18"/>
                <w:color w:val="auto"/>
                <w:w w:val="99"/>
              </w:rPr>
              <w:t>101</w:t>
            </w:r>
          </w:p>
        </w:tc>
        <w:tc>
          <w:tcPr>
            <w:tcW w:w="14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Inline Interactive Data Files pursuant to Rule 405 of Regulation S-T.</w:t>
            </w:r>
          </w:p>
        </w:tc>
        <w:tc>
          <w:tcPr>
            <w:tcW w:w="0" w:type="dxa"/>
            <w:vAlign w:val="bottom"/>
          </w:tcPr>
          <w:p>
            <w:pPr>
              <w:spacing w:after="0"/>
              <w:rPr>
                <w:sz w:val="1"/>
                <w:szCs w:val="1"/>
                <w:color w:val="auto"/>
              </w:rPr>
            </w:pPr>
          </w:p>
        </w:tc>
      </w:tr>
      <w:tr>
        <w:trPr>
          <w:trHeight w:val="330"/>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100" w:type="dxa"/>
            <w:vAlign w:val="bottom"/>
            <w:gridSpan w:val="5"/>
          </w:tcPr>
          <w:p>
            <w:pPr>
              <w:spacing w:after="0"/>
              <w:rPr>
                <w:sz w:val="20"/>
                <w:szCs w:val="20"/>
                <w:color w:val="auto"/>
              </w:rPr>
            </w:pPr>
            <w:r>
              <w:rPr>
                <w:rFonts w:ascii="Arial" w:cs="Arial" w:eastAsia="Arial" w:hAnsi="Arial"/>
                <w:sz w:val="18"/>
                <w:szCs w:val="18"/>
                <w:color w:val="auto"/>
              </w:rPr>
              <w:t>The cover page has been formatted in 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68" w:name="page69"/>
    <w:bookmarkEnd w:id="68"/>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 May 5, 2022</w:t>
      </w:r>
      <w:r>
        <w:rPr>
          <w:sz w:val="20"/>
          <w:szCs w:val="20"/>
          <w:color w:val="auto"/>
        </w:rPr>
        <w:tab/>
      </w:r>
      <w:r>
        <w:rPr>
          <w:rFonts w:ascii="Arial" w:cs="Arial" w:eastAsia="Arial" w:hAnsi="Arial"/>
          <w:sz w:val="17"/>
          <w:szCs w:val="17"/>
          <w:color w:val="auto"/>
        </w:rPr>
        <w:t>MANNKIND CORPORATION</w:t>
      </w:r>
    </w:p>
    <w:p>
      <w:pPr>
        <w:spacing w:after="0" w:line="242" w:lineRule="exact"/>
        <w:rPr>
          <w:sz w:val="20"/>
          <w:szCs w:val="20"/>
          <w:color w:val="auto"/>
        </w:rPr>
      </w:pPr>
    </w:p>
    <w:p>
      <w:pPr>
        <w:ind w:left="5840"/>
        <w:spacing w:after="0"/>
        <w:tabs>
          <w:tab w:leader="none" w:pos="6280" w:val="left"/>
        </w:tabs>
        <w:rPr>
          <w:sz w:val="20"/>
          <w:szCs w:val="20"/>
          <w:color w:val="auto"/>
        </w:rPr>
      </w:pPr>
      <w:r>
        <w:rPr>
          <w:rFonts w:ascii="Arial" w:cs="Arial" w:eastAsia="Arial" w:hAnsi="Arial"/>
          <w:sz w:val="18"/>
          <w:szCs w:val="18"/>
          <w:color w:val="auto"/>
        </w:rPr>
        <w:t>By:</w:t>
        <w:tab/>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10795</wp:posOffset>
            </wp:positionV>
            <wp:extent cx="31445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3144520"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Michael E. Castagna</w:t>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Executive Officer</w:t>
      </w:r>
    </w:p>
    <w:p>
      <w:pPr>
        <w:spacing w:after="0" w:line="4"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(on behalf of the registrant and as the registrant’s Principal Executive</w:t>
      </w:r>
    </w:p>
    <w:p>
      <w:pPr>
        <w:spacing w:after="0" w:line="3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Officer)</w:t>
      </w:r>
    </w:p>
    <w:p>
      <w:pPr>
        <w:spacing w:after="0" w:line="230" w:lineRule="exact"/>
        <w:rPr>
          <w:sz w:val="20"/>
          <w:szCs w:val="20"/>
          <w:color w:val="auto"/>
        </w:rPr>
      </w:pPr>
    </w:p>
    <w:p>
      <w:pPr>
        <w:ind w:left="5840"/>
        <w:spacing w:after="0"/>
        <w:tabs>
          <w:tab w:leader="none" w:pos="6280" w:val="left"/>
        </w:tabs>
        <w:rPr>
          <w:sz w:val="20"/>
          <w:szCs w:val="20"/>
          <w:color w:val="auto"/>
        </w:rPr>
      </w:pPr>
      <w:r>
        <w:rPr>
          <w:rFonts w:ascii="Arial" w:cs="Arial" w:eastAsia="Arial" w:hAnsi="Arial"/>
          <w:sz w:val="18"/>
          <w:szCs w:val="18"/>
          <w:color w:val="auto"/>
        </w:rPr>
        <w:t>By:</w:t>
        <w:tab/>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10795</wp:posOffset>
            </wp:positionV>
            <wp:extent cx="31445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3144520" cy="8255"/>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8"/>
          <w:szCs w:val="18"/>
          <w:color w:val="auto"/>
        </w:rPr>
        <w:t>Steven B. Binder</w:t>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60"/>
          </w:cols>
          <w:pgMar w:left="320" w:top="332" w:right="419" w:bottom="1440" w:gutter="0" w:footer="0" w:header="0"/>
        </w:sectPr>
      </w:pPr>
    </w:p>
    <w:bookmarkStart w:id="69" w:name="page70"/>
    <w:bookmarkEnd w:id="69"/>
    <w:p>
      <w:pPr>
        <w:jc w:val="right"/>
        <w:spacing w:after="0"/>
        <w:rPr>
          <w:sz w:val="20"/>
          <w:szCs w:val="20"/>
          <w:color w:val="auto"/>
        </w:rPr>
      </w:pPr>
      <w:r>
        <w:rPr>
          <w:rFonts w:ascii="Arial" w:cs="Arial" w:eastAsia="Arial" w:hAnsi="Arial"/>
          <w:sz w:val="21"/>
          <w:szCs w:val="21"/>
          <w:b w:val="1"/>
          <w:bCs w:val="1"/>
          <w:color w:val="auto"/>
        </w:rPr>
        <w:t>Exhibit 10.1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THIRD AMENDMENT TO OFFICE LEASE</w:t>
      </w:r>
    </w:p>
    <w:p>
      <w:pPr>
        <w:spacing w:after="0" w:line="230" w:lineRule="exact"/>
        <w:rPr>
          <w:sz w:val="20"/>
          <w:szCs w:val="20"/>
          <w:color w:val="auto"/>
        </w:rPr>
      </w:pPr>
    </w:p>
    <w:p>
      <w:pPr>
        <w:jc w:val="both"/>
        <w:ind w:firstLine="864"/>
        <w:spacing w:after="0" w:line="265" w:lineRule="auto"/>
        <w:rPr>
          <w:sz w:val="20"/>
          <w:szCs w:val="20"/>
          <w:color w:val="auto"/>
        </w:rPr>
      </w:pPr>
      <w:r>
        <w:rPr>
          <w:rFonts w:ascii="Arial" w:cs="Arial" w:eastAsia="Arial" w:hAnsi="Arial"/>
          <w:sz w:val="19"/>
          <w:szCs w:val="19"/>
          <w:color w:val="auto"/>
        </w:rPr>
        <w:t>This THIRD AMENDMENT TO OFFICE LEASE (this "</w:t>
      </w:r>
      <w:r>
        <w:rPr>
          <w:rFonts w:ascii="Arial" w:cs="Arial" w:eastAsia="Arial" w:hAnsi="Arial"/>
          <w:sz w:val="19"/>
          <w:szCs w:val="19"/>
          <w:b w:val="1"/>
          <w:bCs w:val="1"/>
          <w:color w:val="auto"/>
        </w:rPr>
        <w:t>Amendment</w:t>
      </w:r>
      <w:r>
        <w:rPr>
          <w:rFonts w:ascii="Arial" w:cs="Arial" w:eastAsia="Arial" w:hAnsi="Arial"/>
          <w:sz w:val="19"/>
          <w:szCs w:val="19"/>
          <w:color w:val="auto"/>
        </w:rPr>
        <w:t>") is entered into as of April 8, 2022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RUSSELL RANCH ROAD II LLC, a Delaware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and MANNKIND CORPORATION, a Delaware corporation ("</w:t>
      </w: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19"/>
          <w:szCs w:val="19"/>
          <w:b w:val="1"/>
          <w:bCs w:val="1"/>
          <w:color w:val="auto"/>
        </w:rPr>
        <w:t>RECITALS</w:t>
      </w:r>
    </w:p>
    <w:p>
      <w:pPr>
        <w:spacing w:after="0" w:line="230" w:lineRule="exact"/>
        <w:rPr>
          <w:sz w:val="20"/>
          <w:szCs w:val="20"/>
          <w:color w:val="auto"/>
        </w:rPr>
      </w:pPr>
    </w:p>
    <w:p>
      <w:pPr>
        <w:jc w:val="both"/>
        <w:ind w:firstLine="870"/>
        <w:spacing w:after="0" w:line="254" w:lineRule="auto"/>
        <w:tabs>
          <w:tab w:leader="none" w:pos="23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Landlord and Tenant are parties to that certain Office Lease dated as of May 5, 2017 ("</w:t>
      </w:r>
      <w:r>
        <w:rPr>
          <w:rFonts w:ascii="Arial" w:cs="Arial" w:eastAsia="Arial" w:hAnsi="Arial"/>
          <w:sz w:val="19"/>
          <w:szCs w:val="19"/>
          <w:b w:val="1"/>
          <w:bCs w:val="1"/>
          <w:color w:val="auto"/>
        </w:rPr>
        <w:t>Initial Lease</w:t>
      </w:r>
      <w:r>
        <w:rPr>
          <w:rFonts w:ascii="Arial" w:cs="Arial" w:eastAsia="Arial" w:hAnsi="Arial"/>
          <w:sz w:val="19"/>
          <w:szCs w:val="19"/>
          <w:color w:val="auto"/>
        </w:rPr>
        <w:t>"), as amended by that certain First Amendment to Office Lease dated November 29, 2017 (the “</w:t>
      </w:r>
      <w:r>
        <w:rPr>
          <w:rFonts w:ascii="Arial" w:cs="Arial" w:eastAsia="Arial" w:hAnsi="Arial"/>
          <w:sz w:val="19"/>
          <w:szCs w:val="19"/>
          <w:b w:val="1"/>
          <w:bCs w:val="1"/>
          <w:color w:val="auto"/>
        </w:rPr>
        <w:t>First Amendment</w:t>
      </w:r>
      <w:r>
        <w:rPr>
          <w:rFonts w:ascii="Arial" w:cs="Arial" w:eastAsia="Arial" w:hAnsi="Arial"/>
          <w:sz w:val="19"/>
          <w:szCs w:val="19"/>
          <w:color w:val="auto"/>
        </w:rPr>
        <w:t>”), and that certain Second Amendment to Office Lease dated June 1, 2018 (the "</w:t>
      </w:r>
      <w:r>
        <w:rPr>
          <w:rFonts w:ascii="Arial" w:cs="Arial" w:eastAsia="Arial" w:hAnsi="Arial"/>
          <w:sz w:val="19"/>
          <w:szCs w:val="19"/>
          <w:b w:val="1"/>
          <w:bCs w:val="1"/>
          <w:color w:val="auto"/>
        </w:rPr>
        <w:t>Second Amendment</w:t>
      </w:r>
      <w:r>
        <w:rPr>
          <w:rFonts w:ascii="Arial" w:cs="Arial" w:eastAsia="Arial" w:hAnsi="Arial"/>
          <w:sz w:val="19"/>
          <w:szCs w:val="19"/>
          <w:color w:val="auto"/>
        </w:rPr>
        <w:t>", and together with the Initial Lease and the First Amendment, collectively, the "</w:t>
      </w:r>
      <w:r>
        <w:rPr>
          <w:rFonts w:ascii="Arial" w:cs="Arial" w:eastAsia="Arial" w:hAnsi="Arial"/>
          <w:sz w:val="19"/>
          <w:szCs w:val="19"/>
          <w:b w:val="1"/>
          <w:bCs w:val="1"/>
          <w:color w:val="auto"/>
        </w:rPr>
        <w:t>Original Lease</w:t>
      </w:r>
      <w:r>
        <w:rPr>
          <w:rFonts w:ascii="Arial" w:cs="Arial" w:eastAsia="Arial" w:hAnsi="Arial"/>
          <w:sz w:val="19"/>
          <w:szCs w:val="19"/>
          <w:color w:val="auto"/>
        </w:rPr>
        <w:t>"), with respect to certain space consisting of approximately 24,475 rentable square feet (the "</w:t>
      </w:r>
      <w:r>
        <w:rPr>
          <w:rFonts w:ascii="Arial" w:cs="Arial" w:eastAsia="Arial" w:hAnsi="Arial"/>
          <w:sz w:val="19"/>
          <w:szCs w:val="19"/>
          <w:b w:val="1"/>
          <w:bCs w:val="1"/>
          <w:color w:val="auto"/>
        </w:rPr>
        <w:t>Premises</w:t>
      </w:r>
      <w:r>
        <w:rPr>
          <w:rFonts w:ascii="Arial" w:cs="Arial" w:eastAsia="Arial" w:hAnsi="Arial"/>
          <w:sz w:val="19"/>
          <w:szCs w:val="19"/>
          <w:color w:val="auto"/>
        </w:rPr>
        <w:t>") located on the third floor of the building located at 30930 Russell Ranch Road, Westlake Village, California (the "</w:t>
      </w:r>
      <w:r>
        <w:rPr>
          <w:rFonts w:ascii="Arial" w:cs="Arial" w:eastAsia="Arial" w:hAnsi="Arial"/>
          <w:sz w:val="19"/>
          <w:szCs w:val="19"/>
          <w:b w:val="1"/>
          <w:bCs w:val="1"/>
          <w:color w:val="auto"/>
        </w:rPr>
        <w:t>Building</w:t>
      </w:r>
      <w:r>
        <w:rPr>
          <w:rFonts w:ascii="Arial" w:cs="Arial" w:eastAsia="Arial" w:hAnsi="Arial"/>
          <w:sz w:val="19"/>
          <w:szCs w:val="19"/>
          <w:color w:val="auto"/>
        </w:rPr>
        <w:t>"), as more particularly described in the Lease.</w:t>
      </w:r>
    </w:p>
    <w:p>
      <w:pPr>
        <w:spacing w:after="0" w:line="189" w:lineRule="exact"/>
        <w:rPr>
          <w:rFonts w:ascii="Arial" w:cs="Arial" w:eastAsia="Arial" w:hAnsi="Arial"/>
          <w:sz w:val="19"/>
          <w:szCs w:val="19"/>
          <w:color w:val="auto"/>
        </w:rPr>
      </w:pPr>
    </w:p>
    <w:p>
      <w:pPr>
        <w:ind w:firstLine="870"/>
        <w:spacing w:after="0" w:line="277" w:lineRule="auto"/>
        <w:tabs>
          <w:tab w:leader="none" w:pos="2309" w:val="left"/>
        </w:tabs>
        <w:numPr>
          <w:ilvl w:val="0"/>
          <w:numId w:val="33"/>
        </w:numPr>
        <w:rPr>
          <w:rFonts w:ascii="Arial" w:cs="Arial" w:eastAsia="Arial" w:hAnsi="Arial"/>
          <w:sz w:val="19"/>
          <w:szCs w:val="19"/>
          <w:color w:val="auto"/>
        </w:rPr>
      </w:pPr>
      <w:r>
        <w:rPr>
          <w:rFonts w:ascii="Arial" w:cs="Arial" w:eastAsia="Arial" w:hAnsi="Arial"/>
          <w:sz w:val="19"/>
          <w:szCs w:val="19"/>
          <w:color w:val="auto"/>
        </w:rPr>
        <w:t>Landlord and Tenant desire to amend the Lease to, among other things, extend the Lease Term, all in accordance with the terms and conditions set forth below.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AGREEMENT</w:t>
      </w:r>
    </w:p>
    <w:p>
      <w:pPr>
        <w:spacing w:after="0" w:line="230" w:lineRule="exact"/>
        <w:rPr>
          <w:sz w:val="20"/>
          <w:szCs w:val="20"/>
          <w:color w:val="auto"/>
        </w:rPr>
      </w:pPr>
    </w:p>
    <w:p>
      <w:pPr>
        <w:ind w:firstLine="864"/>
        <w:spacing w:after="0" w:line="283"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for good and valuable consideration, the receipt and sufficiency of which are hereby acknowledged, Landlord</w:t>
      </w:r>
      <w:r>
        <w:rPr>
          <w:rFonts w:ascii="Arial" w:cs="Arial" w:eastAsia="Arial" w:hAnsi="Arial"/>
          <w:sz w:val="19"/>
          <w:szCs w:val="19"/>
          <w:b w:val="1"/>
          <w:bCs w:val="1"/>
          <w:color w:val="auto"/>
        </w:rPr>
        <w:t xml:space="preserve"> </w:t>
      </w:r>
      <w:r>
        <w:rPr>
          <w:rFonts w:ascii="Arial" w:cs="Arial" w:eastAsia="Arial" w:hAnsi="Arial"/>
          <w:sz w:val="19"/>
          <w:szCs w:val="19"/>
          <w:color w:val="auto"/>
        </w:rPr>
        <w:t>and Tenant hereby agree as follows:</w:t>
      </w:r>
    </w:p>
    <w:p>
      <w:pPr>
        <w:spacing w:after="0" w:line="164" w:lineRule="exact"/>
        <w:rPr>
          <w:sz w:val="20"/>
          <w:szCs w:val="20"/>
          <w:color w:val="auto"/>
        </w:rPr>
      </w:pPr>
    </w:p>
    <w:p>
      <w:pPr>
        <w:jc w:val="both"/>
        <w:ind w:firstLine="870"/>
        <w:spacing w:after="0" w:line="261" w:lineRule="auto"/>
        <w:tabs>
          <w:tab w:leader="none" w:pos="2277"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All capitalized terms used herein but not specifically defined in this Amendment shall have the meanings ascribed to such terms in the Lease. The term "</w:t>
      </w:r>
      <w:r>
        <w:rPr>
          <w:rFonts w:ascii="Arial" w:cs="Arial" w:eastAsia="Arial" w:hAnsi="Arial"/>
          <w:sz w:val="19"/>
          <w:szCs w:val="19"/>
          <w:b w:val="1"/>
          <w:bCs w:val="1"/>
          <w:color w:val="auto"/>
        </w:rPr>
        <w:t>Lease</w:t>
      </w:r>
      <w:r>
        <w:rPr>
          <w:rFonts w:ascii="Arial" w:cs="Arial" w:eastAsia="Arial" w:hAnsi="Arial"/>
          <w:sz w:val="19"/>
          <w:szCs w:val="19"/>
          <w:color w:val="auto"/>
        </w:rPr>
        <w:t>" where used in the Original Lease and this Amendment shall hereafter refer to the Lease, as amended by this Amendment.</w:t>
      </w:r>
    </w:p>
    <w:p>
      <w:pPr>
        <w:spacing w:after="0" w:line="185" w:lineRule="exact"/>
        <w:rPr>
          <w:rFonts w:ascii="Arial" w:cs="Arial" w:eastAsia="Arial" w:hAnsi="Arial"/>
          <w:sz w:val="19"/>
          <w:szCs w:val="19"/>
          <w:color w:val="auto"/>
        </w:rPr>
      </w:pPr>
    </w:p>
    <w:p>
      <w:pPr>
        <w:ind w:left="2280" w:hanging="1410"/>
        <w:spacing w:after="0"/>
        <w:tabs>
          <w:tab w:leader="none" w:pos="228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Extension of Lease Term; Early Termination Right</w:t>
      </w:r>
      <w:r>
        <w:rPr>
          <w:rFonts w:ascii="Arial" w:cs="Arial" w:eastAsia="Arial" w:hAnsi="Arial"/>
          <w:sz w:val="19"/>
          <w:szCs w:val="19"/>
          <w:color w:val="auto"/>
        </w:rPr>
        <w:t>.</w:t>
      </w:r>
    </w:p>
    <w:p>
      <w:pPr>
        <w:spacing w:after="0" w:line="230" w:lineRule="exact"/>
        <w:rPr>
          <w:sz w:val="20"/>
          <w:szCs w:val="20"/>
          <w:color w:val="auto"/>
        </w:rPr>
      </w:pPr>
    </w:p>
    <w:p>
      <w:pPr>
        <w:jc w:val="both"/>
        <w:ind w:firstLine="1728"/>
        <w:spacing w:after="0" w:line="252" w:lineRule="auto"/>
        <w:rPr>
          <w:sz w:val="20"/>
          <w:szCs w:val="20"/>
          <w:color w:val="auto"/>
        </w:rPr>
      </w:pPr>
      <w:r>
        <w:rPr>
          <w:rFonts w:ascii="Arial" w:cs="Arial" w:eastAsia="Arial" w:hAnsi="Arial"/>
          <w:sz w:val="19"/>
          <w:szCs w:val="19"/>
          <w:color w:val="auto"/>
        </w:rPr>
        <w:t>(a) Landlord and Tenant acknowledge and agree that the Lease Term is currently scheduled to expire on January 31, 2023. The Term is hereby extended for a period of sixty-six (66) months so as to expire on July 31, 2028 (the "</w:t>
      </w:r>
      <w:r>
        <w:rPr>
          <w:rFonts w:ascii="Arial" w:cs="Arial" w:eastAsia="Arial" w:hAnsi="Arial"/>
          <w:sz w:val="19"/>
          <w:szCs w:val="19"/>
          <w:b w:val="1"/>
          <w:bCs w:val="1"/>
          <w:color w:val="auto"/>
        </w:rPr>
        <w:t>Third Amendment Expiration Date</w:t>
      </w:r>
      <w:r>
        <w:rPr>
          <w:rFonts w:ascii="Arial" w:cs="Arial" w:eastAsia="Arial" w:hAnsi="Arial"/>
          <w:sz w:val="19"/>
          <w:szCs w:val="19"/>
          <w:color w:val="auto"/>
        </w:rPr>
        <w:t>"). The period commencing on February 1, 2023 (the "</w:t>
      </w:r>
      <w:r>
        <w:rPr>
          <w:rFonts w:ascii="Arial" w:cs="Arial" w:eastAsia="Arial" w:hAnsi="Arial"/>
          <w:sz w:val="19"/>
          <w:szCs w:val="19"/>
          <w:b w:val="1"/>
          <w:bCs w:val="1"/>
          <w:color w:val="auto"/>
        </w:rPr>
        <w:t>Third Amendment Commencement Date</w:t>
      </w:r>
      <w:r>
        <w:rPr>
          <w:rFonts w:ascii="Arial" w:cs="Arial" w:eastAsia="Arial" w:hAnsi="Arial"/>
          <w:sz w:val="19"/>
          <w:szCs w:val="19"/>
          <w:color w:val="auto"/>
        </w:rPr>
        <w:t>") and ending on the Third Amendment Expiration Date may be referred to herein as the "</w:t>
      </w:r>
      <w:r>
        <w:rPr>
          <w:rFonts w:ascii="Arial" w:cs="Arial" w:eastAsia="Arial" w:hAnsi="Arial"/>
          <w:sz w:val="19"/>
          <w:szCs w:val="19"/>
          <w:b w:val="1"/>
          <w:bCs w:val="1"/>
          <w:color w:val="auto"/>
        </w:rPr>
        <w:t>Third Amendment Term</w:t>
      </w:r>
      <w:r>
        <w:rPr>
          <w:rFonts w:ascii="Arial" w:cs="Arial" w:eastAsia="Arial" w:hAnsi="Arial"/>
          <w:sz w:val="19"/>
          <w:szCs w:val="19"/>
          <w:color w:val="auto"/>
        </w:rPr>
        <w:t>". Notwithstanding anything to the contrary contained in the Lease, Landlord and Tenant acknowledge and agree that, except as set forth in Section 2.13 of the Initial Lease, Tenant has no further right to extend the Lease Term beyond the Third Amendment Term.</w:t>
      </w:r>
    </w:p>
    <w:p>
      <w:pPr>
        <w:spacing w:after="0" w:line="195" w:lineRule="exact"/>
        <w:rPr>
          <w:sz w:val="20"/>
          <w:szCs w:val="20"/>
          <w:color w:val="auto"/>
        </w:rPr>
      </w:pPr>
    </w:p>
    <w:p>
      <w:pPr>
        <w:jc w:val="both"/>
        <w:ind w:firstLine="1728"/>
        <w:spacing w:after="0" w:line="252" w:lineRule="auto"/>
        <w:rPr>
          <w:sz w:val="20"/>
          <w:szCs w:val="20"/>
          <w:color w:val="auto"/>
        </w:rPr>
      </w:pPr>
      <w:r>
        <w:rPr>
          <w:rFonts w:ascii="Arial" w:cs="Arial" w:eastAsia="Arial" w:hAnsi="Arial"/>
          <w:sz w:val="19"/>
          <w:szCs w:val="19"/>
          <w:color w:val="auto"/>
        </w:rPr>
        <w:t>(b) So long as an Event of Default does not exist, Tenant shall have the one-time right, by providing the Termination Notice and the Termination Fee in accordance with this Section 2(b), to terminate the Lease (the "</w:t>
      </w:r>
      <w:r>
        <w:rPr>
          <w:rFonts w:ascii="Arial" w:cs="Arial" w:eastAsia="Arial" w:hAnsi="Arial"/>
          <w:sz w:val="19"/>
          <w:szCs w:val="19"/>
          <w:b w:val="1"/>
          <w:bCs w:val="1"/>
          <w:color w:val="auto"/>
        </w:rPr>
        <w:t>Early Termination</w:t>
      </w:r>
      <w:r>
        <w:rPr>
          <w:rFonts w:ascii="Arial" w:cs="Arial" w:eastAsia="Arial" w:hAnsi="Arial"/>
          <w:sz w:val="19"/>
          <w:szCs w:val="19"/>
          <w:color w:val="auto"/>
        </w:rPr>
        <w:t xml:space="preserve"> </w:t>
      </w:r>
      <w:r>
        <w:rPr>
          <w:rFonts w:ascii="Arial" w:cs="Arial" w:eastAsia="Arial" w:hAnsi="Arial"/>
          <w:sz w:val="19"/>
          <w:szCs w:val="19"/>
          <w:b w:val="1"/>
          <w:bCs w:val="1"/>
          <w:color w:val="auto"/>
        </w:rPr>
        <w:t>Right</w:t>
      </w:r>
      <w:r>
        <w:rPr>
          <w:rFonts w:ascii="Arial" w:cs="Arial" w:eastAsia="Arial" w:hAnsi="Arial"/>
          <w:sz w:val="19"/>
          <w:szCs w:val="19"/>
          <w:color w:val="auto"/>
        </w:rPr>
        <w:t>"). The Early Termination Right may only be exercised by Tenant, if at all, if all of the following conditions are satisfied: (a) Landlord</w:t>
      </w:r>
      <w:r>
        <w:rPr>
          <w:rFonts w:ascii="Arial" w:cs="Arial" w:eastAsia="Arial" w:hAnsi="Arial"/>
          <w:sz w:val="19"/>
          <w:szCs w:val="19"/>
          <w:b w:val="1"/>
          <w:bCs w:val="1"/>
          <w:color w:val="auto"/>
        </w:rPr>
        <w:t xml:space="preserve"> </w:t>
      </w:r>
      <w:r>
        <w:rPr>
          <w:rFonts w:ascii="Arial" w:cs="Arial" w:eastAsia="Arial" w:hAnsi="Arial"/>
          <w:sz w:val="19"/>
          <w:szCs w:val="19"/>
          <w:color w:val="auto"/>
        </w:rPr>
        <w:t>receives a written notice of termination from Tenant no later than January 31, 2025 (the "</w:t>
      </w:r>
      <w:r>
        <w:rPr>
          <w:rFonts w:ascii="Arial" w:cs="Arial" w:eastAsia="Arial" w:hAnsi="Arial"/>
          <w:sz w:val="19"/>
          <w:szCs w:val="19"/>
          <w:b w:val="1"/>
          <w:bCs w:val="1"/>
          <w:color w:val="auto"/>
        </w:rPr>
        <w:t>Termination Notice</w:t>
      </w:r>
      <w:r>
        <w:rPr>
          <w:rFonts w:ascii="Arial" w:cs="Arial" w:eastAsia="Arial" w:hAnsi="Arial"/>
          <w:sz w:val="19"/>
          <w:szCs w:val="19"/>
          <w:color w:val="auto"/>
        </w:rPr>
        <w:t>"); (b) an Event of Default does not exist at the time Tenant provides the Termination Notice; and (c) concurrently with providing the Termination Notice, Landlord receives from Tenant a termination fee of $1,019,587.14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46355</wp:posOffset>
            </wp:positionV>
            <wp:extent cx="717740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jc w:val="both"/>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Fee</w:t>
      </w:r>
      <w:r>
        <w:rPr>
          <w:rFonts w:ascii="Arial" w:cs="Arial" w:eastAsia="Arial" w:hAnsi="Arial"/>
          <w:sz w:val="19"/>
          <w:szCs w:val="19"/>
          <w:color w:val="auto"/>
        </w:rPr>
        <w:t>"). In the event Tenant duly exercises its Early Termination Right in accordance with the terms and conditions set forth in this Section 2(b), this Lease shall terminate as of January 31, 2026 (so long as Landlord has received the Termination Fee concurrently with Tenant providing the Termination Notice). Notwithstanding Tenant's exercise of the Early Termination Right, Tenant shall be responsible to perform all of its obligations through and including such termination date.</w:t>
      </w:r>
    </w:p>
    <w:p>
      <w:pPr>
        <w:spacing w:after="0" w:line="188" w:lineRule="exact"/>
        <w:rPr>
          <w:sz w:val="20"/>
          <w:szCs w:val="20"/>
          <w:color w:val="auto"/>
        </w:rPr>
      </w:pPr>
    </w:p>
    <w:p>
      <w:pPr>
        <w:ind w:left="2280" w:hanging="1410"/>
        <w:spacing w:after="0"/>
        <w:tabs>
          <w:tab w:leader="none" w:pos="228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Base Rent</w:t>
      </w:r>
      <w:r>
        <w:rPr>
          <w:rFonts w:ascii="Arial" w:cs="Arial" w:eastAsia="Arial" w:hAnsi="Arial"/>
          <w:sz w:val="19"/>
          <w:szCs w:val="19"/>
          <w:color w:val="auto"/>
        </w:rPr>
        <w:t>.</w:t>
      </w:r>
    </w:p>
    <w:p>
      <w:pPr>
        <w:spacing w:after="0" w:line="230" w:lineRule="exact"/>
        <w:rPr>
          <w:sz w:val="20"/>
          <w:szCs w:val="20"/>
          <w:color w:val="auto"/>
        </w:rPr>
      </w:pPr>
    </w:p>
    <w:p>
      <w:pPr>
        <w:jc w:val="both"/>
        <w:ind w:firstLine="1728"/>
        <w:spacing w:after="0" w:line="271" w:lineRule="auto"/>
        <w:rPr>
          <w:sz w:val="20"/>
          <w:szCs w:val="20"/>
          <w:color w:val="auto"/>
        </w:rPr>
      </w:pPr>
      <w:r>
        <w:rPr>
          <w:rFonts w:ascii="Arial" w:cs="Arial" w:eastAsia="Arial" w:hAnsi="Arial"/>
          <w:sz w:val="18"/>
          <w:szCs w:val="18"/>
          <w:color w:val="auto"/>
        </w:rPr>
        <w:t>(a) Tenant shall continue to pay Base Rent, Additional Rent, and any other amounts due under the Original Lease through January 31, 2023. Notwithstanding anything to the contrary set forth in the Original Lease, effective as of the Third Amendment Commencement Date, and continuing throughout the Third Amendment Term, Tenant shall pay Base Rent for the Premises in accordance with the schedule set forth below in this Section 3(a). Such Base Rent shall be payable in accordance with the terms and conditions of the Original Lease, and in addition to all other amounts due under the Lease (including, without limitation, Additional Rent).</w:t>
      </w:r>
    </w:p>
    <w:p>
      <w:pPr>
        <w:spacing w:after="0" w:line="178" w:lineRule="exact"/>
        <w:rPr>
          <w:sz w:val="20"/>
          <w:szCs w:val="20"/>
          <w:color w:val="auto"/>
        </w:rPr>
      </w:pPr>
    </w:p>
    <w:tbl>
      <w:tblPr>
        <w:tblLayout w:type="fixed"/>
        <w:tblInd w:w="2160" w:type="dxa"/>
        <w:tblCellMar>
          <w:top w:w="0" w:type="dxa"/>
          <w:left w:w="0" w:type="dxa"/>
          <w:bottom w:w="0" w:type="dxa"/>
          <w:right w:w="0" w:type="dxa"/>
        </w:tblCellMar>
      </w:tblPr>
      <w:tr>
        <w:trPr>
          <w:trHeight w:val="224"/>
        </w:trPr>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60" w:type="dxa"/>
            <w:vAlign w:val="bottom"/>
            <w:gridSpan w:val="2"/>
          </w:tcPr>
          <w:p>
            <w:pPr>
              <w:jc w:val="center"/>
              <w:ind w:right="760"/>
              <w:spacing w:after="0"/>
              <w:rPr>
                <w:sz w:val="20"/>
                <w:szCs w:val="20"/>
                <w:color w:val="auto"/>
              </w:rPr>
            </w:pPr>
            <w:r>
              <w:rPr>
                <w:rFonts w:ascii="Arial" w:cs="Arial" w:eastAsia="Arial" w:hAnsi="Arial"/>
                <w:sz w:val="19"/>
                <w:szCs w:val="19"/>
                <w:color w:val="auto"/>
              </w:rPr>
              <w:t>Monthly</w:t>
            </w:r>
          </w:p>
        </w:tc>
        <w:tc>
          <w:tcPr>
            <w:tcW w:w="2380" w:type="dxa"/>
            <w:vAlign w:val="bottom"/>
            <w:gridSpan w:val="3"/>
          </w:tcPr>
          <w:p>
            <w:pPr>
              <w:jc w:val="center"/>
              <w:ind w:left="663"/>
              <w:spacing w:after="0"/>
              <w:rPr>
                <w:sz w:val="20"/>
                <w:szCs w:val="20"/>
                <w:color w:val="auto"/>
              </w:rPr>
            </w:pPr>
            <w:r>
              <w:rPr>
                <w:rFonts w:ascii="Arial" w:cs="Arial" w:eastAsia="Arial" w:hAnsi="Arial"/>
                <w:sz w:val="19"/>
                <w:szCs w:val="19"/>
                <w:color w:val="auto"/>
                <w:w w:val="94"/>
              </w:rPr>
              <w:t>Monthly Rental Rate</w:t>
            </w:r>
          </w:p>
        </w:tc>
      </w:tr>
      <w:tr>
        <w:trPr>
          <w:trHeight w:val="224"/>
        </w:trPr>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60" w:type="dxa"/>
            <w:vAlign w:val="bottom"/>
            <w:gridSpan w:val="2"/>
          </w:tcPr>
          <w:p>
            <w:pPr>
              <w:jc w:val="center"/>
              <w:ind w:right="760"/>
              <w:spacing w:after="0"/>
              <w:rPr>
                <w:sz w:val="20"/>
                <w:szCs w:val="20"/>
                <w:color w:val="auto"/>
              </w:rPr>
            </w:pPr>
            <w:r>
              <w:rPr>
                <w:rFonts w:ascii="Arial" w:cs="Arial" w:eastAsia="Arial" w:hAnsi="Arial"/>
                <w:sz w:val="19"/>
                <w:szCs w:val="19"/>
                <w:color w:val="auto"/>
                <w:w w:val="95"/>
              </w:rPr>
              <w:t>Installment</w:t>
            </w:r>
          </w:p>
        </w:tc>
        <w:tc>
          <w:tcPr>
            <w:tcW w:w="106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9"/>
                <w:szCs w:val="19"/>
                <w:color w:val="auto"/>
                <w:w w:val="90"/>
              </w:rPr>
              <w:t>per Rentable</w:t>
            </w:r>
          </w:p>
        </w:tc>
      </w:tr>
      <w:tr>
        <w:trPr>
          <w:trHeight w:val="202"/>
        </w:trPr>
        <w:tc>
          <w:tcPr>
            <w:tcW w:w="400" w:type="dxa"/>
            <w:vAlign w:val="bottom"/>
          </w:tcPr>
          <w:p>
            <w:pPr>
              <w:spacing w:after="0"/>
              <w:rPr>
                <w:sz w:val="17"/>
                <w:szCs w:val="17"/>
                <w:color w:val="auto"/>
              </w:rPr>
            </w:pPr>
          </w:p>
        </w:tc>
        <w:tc>
          <w:tcPr>
            <w:tcW w:w="500" w:type="dxa"/>
            <w:vAlign w:val="bottom"/>
          </w:tcPr>
          <w:p>
            <w:pPr>
              <w:jc w:val="center"/>
              <w:spacing w:after="0" w:line="202" w:lineRule="exact"/>
              <w:rPr>
                <w:sz w:val="20"/>
                <w:szCs w:val="20"/>
                <w:color w:val="auto"/>
              </w:rPr>
            </w:pPr>
            <w:r>
              <w:rPr>
                <w:rFonts w:ascii="Arial" w:cs="Arial" w:eastAsia="Arial" w:hAnsi="Arial"/>
                <w:sz w:val="19"/>
                <w:szCs w:val="19"/>
                <w:color w:val="auto"/>
                <w:w w:val="90"/>
              </w:rPr>
              <w:t>Period</w:t>
            </w:r>
          </w:p>
        </w:tc>
        <w:tc>
          <w:tcPr>
            <w:tcW w:w="1860" w:type="dxa"/>
            <w:vAlign w:val="bottom"/>
          </w:tcPr>
          <w:p>
            <w:pPr>
              <w:spacing w:after="0"/>
              <w:rPr>
                <w:sz w:val="17"/>
                <w:szCs w:val="17"/>
                <w:color w:val="auto"/>
              </w:rPr>
            </w:pPr>
          </w:p>
        </w:tc>
        <w:tc>
          <w:tcPr>
            <w:tcW w:w="3220" w:type="dxa"/>
            <w:vAlign w:val="bottom"/>
            <w:gridSpan w:val="3"/>
          </w:tcPr>
          <w:p>
            <w:pPr>
              <w:jc w:val="center"/>
              <w:ind w:left="603"/>
              <w:spacing w:after="0" w:line="202" w:lineRule="exact"/>
              <w:rPr>
                <w:sz w:val="20"/>
                <w:szCs w:val="20"/>
                <w:color w:val="auto"/>
              </w:rPr>
            </w:pPr>
            <w:r>
              <w:rPr>
                <w:rFonts w:ascii="Arial" w:cs="Arial" w:eastAsia="Arial" w:hAnsi="Arial"/>
                <w:sz w:val="19"/>
                <w:szCs w:val="19"/>
                <w:color w:val="auto"/>
                <w:w w:val="90"/>
              </w:rPr>
              <w:t>of Base Rent</w:t>
            </w:r>
          </w:p>
        </w:tc>
        <w:tc>
          <w:tcPr>
            <w:tcW w:w="2380" w:type="dxa"/>
            <w:vAlign w:val="bottom"/>
            <w:gridSpan w:val="3"/>
          </w:tcPr>
          <w:p>
            <w:pPr>
              <w:jc w:val="center"/>
              <w:ind w:left="683"/>
              <w:spacing w:after="0" w:line="202" w:lineRule="exact"/>
              <w:rPr>
                <w:sz w:val="20"/>
                <w:szCs w:val="20"/>
                <w:color w:val="auto"/>
              </w:rPr>
            </w:pPr>
            <w:r>
              <w:rPr>
                <w:rFonts w:ascii="Arial" w:cs="Arial" w:eastAsia="Arial" w:hAnsi="Arial"/>
                <w:sz w:val="19"/>
                <w:szCs w:val="19"/>
                <w:color w:val="auto"/>
                <w:w w:val="92"/>
              </w:rPr>
              <w:t>Square Foot*</w:t>
            </w:r>
          </w:p>
        </w:tc>
      </w:tr>
      <w:tr>
        <w:trPr>
          <w:trHeight w:val="20"/>
        </w:trPr>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7"/>
        </w:trPr>
        <w:tc>
          <w:tcPr>
            <w:tcW w:w="2760" w:type="dxa"/>
            <w:vAlign w:val="bottom"/>
            <w:gridSpan w:val="3"/>
          </w:tcPr>
          <w:p>
            <w:pPr>
              <w:jc w:val="center"/>
              <w:ind w:right="1480"/>
              <w:spacing w:after="0"/>
              <w:rPr>
                <w:sz w:val="20"/>
                <w:szCs w:val="20"/>
                <w:color w:val="auto"/>
              </w:rPr>
            </w:pPr>
            <w:r>
              <w:rPr>
                <w:rFonts w:ascii="Arial" w:cs="Arial" w:eastAsia="Arial" w:hAnsi="Arial"/>
                <w:sz w:val="19"/>
                <w:szCs w:val="19"/>
                <w:color w:val="auto"/>
                <w:w w:val="93"/>
              </w:rPr>
              <w:t>2/1/23 – 1/31/24</w:t>
            </w:r>
          </w:p>
        </w:tc>
        <w:tc>
          <w:tcPr>
            <w:tcW w:w="2460" w:type="dxa"/>
            <w:vAlign w:val="bottom"/>
            <w:gridSpan w:val="2"/>
          </w:tcPr>
          <w:p>
            <w:pPr>
              <w:jc w:val="center"/>
              <w:ind w:left="1363"/>
              <w:spacing w:after="0"/>
              <w:rPr>
                <w:sz w:val="20"/>
                <w:szCs w:val="20"/>
                <w:color w:val="auto"/>
              </w:rPr>
            </w:pPr>
            <w:r>
              <w:rPr>
                <w:rFonts w:ascii="Arial" w:cs="Arial" w:eastAsia="Arial" w:hAnsi="Arial"/>
                <w:sz w:val="19"/>
                <w:szCs w:val="19"/>
                <w:color w:val="auto"/>
                <w:w w:val="92"/>
              </w:rPr>
              <w:t>$79,543.75</w:t>
            </w:r>
          </w:p>
        </w:tc>
        <w:tc>
          <w:tcPr>
            <w:tcW w:w="760" w:type="dxa"/>
            <w:vAlign w:val="bottom"/>
          </w:tcPr>
          <w:p>
            <w:pPr>
              <w:spacing w:after="0"/>
              <w:rPr>
                <w:sz w:val="19"/>
                <w:szCs w:val="19"/>
                <w:color w:val="auto"/>
              </w:rPr>
            </w:pPr>
          </w:p>
        </w:tc>
        <w:tc>
          <w:tcPr>
            <w:tcW w:w="2100" w:type="dxa"/>
            <w:vAlign w:val="bottom"/>
            <w:gridSpan w:val="2"/>
          </w:tcPr>
          <w:p>
            <w:pPr>
              <w:jc w:val="center"/>
              <w:ind w:left="963"/>
              <w:spacing w:after="0"/>
              <w:rPr>
                <w:sz w:val="20"/>
                <w:szCs w:val="20"/>
                <w:color w:val="auto"/>
              </w:rPr>
            </w:pPr>
            <w:r>
              <w:rPr>
                <w:rFonts w:ascii="Arial" w:cs="Arial" w:eastAsia="Arial" w:hAnsi="Arial"/>
                <w:sz w:val="19"/>
                <w:szCs w:val="19"/>
                <w:color w:val="auto"/>
                <w:w w:val="92"/>
              </w:rPr>
              <w:t>$3.25</w:t>
            </w:r>
          </w:p>
        </w:tc>
        <w:tc>
          <w:tcPr>
            <w:tcW w:w="280" w:type="dxa"/>
            <w:vAlign w:val="bottom"/>
          </w:tcPr>
          <w:p>
            <w:pPr>
              <w:spacing w:after="0"/>
              <w:rPr>
                <w:sz w:val="19"/>
                <w:szCs w:val="19"/>
                <w:color w:val="auto"/>
              </w:rPr>
            </w:pPr>
          </w:p>
        </w:tc>
      </w:tr>
      <w:tr>
        <w:trPr>
          <w:trHeight w:val="224"/>
        </w:trPr>
        <w:tc>
          <w:tcPr>
            <w:tcW w:w="2760" w:type="dxa"/>
            <w:vAlign w:val="bottom"/>
            <w:gridSpan w:val="3"/>
          </w:tcPr>
          <w:p>
            <w:pPr>
              <w:jc w:val="center"/>
              <w:ind w:right="1480"/>
              <w:spacing w:after="0"/>
              <w:rPr>
                <w:sz w:val="20"/>
                <w:szCs w:val="20"/>
                <w:color w:val="auto"/>
              </w:rPr>
            </w:pPr>
            <w:r>
              <w:rPr>
                <w:rFonts w:ascii="Arial" w:cs="Arial" w:eastAsia="Arial" w:hAnsi="Arial"/>
                <w:sz w:val="19"/>
                <w:szCs w:val="19"/>
                <w:color w:val="auto"/>
                <w:w w:val="93"/>
              </w:rPr>
              <w:t>2/1/24 – 1/31/25</w:t>
            </w:r>
          </w:p>
        </w:tc>
        <w:tc>
          <w:tcPr>
            <w:tcW w:w="2460" w:type="dxa"/>
            <w:vAlign w:val="bottom"/>
            <w:gridSpan w:val="2"/>
          </w:tcPr>
          <w:p>
            <w:pPr>
              <w:jc w:val="center"/>
              <w:ind w:left="1363"/>
              <w:spacing w:after="0"/>
              <w:rPr>
                <w:sz w:val="20"/>
                <w:szCs w:val="20"/>
                <w:color w:val="auto"/>
              </w:rPr>
            </w:pPr>
            <w:r>
              <w:rPr>
                <w:rFonts w:ascii="Arial" w:cs="Arial" w:eastAsia="Arial" w:hAnsi="Arial"/>
                <w:sz w:val="19"/>
                <w:szCs w:val="19"/>
                <w:color w:val="auto"/>
                <w:w w:val="92"/>
              </w:rPr>
              <w:t>$81,930.06</w:t>
            </w:r>
          </w:p>
        </w:tc>
        <w:tc>
          <w:tcPr>
            <w:tcW w:w="760" w:type="dxa"/>
            <w:vAlign w:val="bottom"/>
          </w:tcPr>
          <w:p>
            <w:pPr>
              <w:spacing w:after="0"/>
              <w:rPr>
                <w:sz w:val="19"/>
                <w:szCs w:val="19"/>
                <w:color w:val="auto"/>
              </w:rPr>
            </w:pPr>
          </w:p>
        </w:tc>
        <w:tc>
          <w:tcPr>
            <w:tcW w:w="2100" w:type="dxa"/>
            <w:vAlign w:val="bottom"/>
            <w:gridSpan w:val="2"/>
          </w:tcPr>
          <w:p>
            <w:pPr>
              <w:jc w:val="center"/>
              <w:ind w:left="963"/>
              <w:spacing w:after="0"/>
              <w:rPr>
                <w:sz w:val="20"/>
                <w:szCs w:val="20"/>
                <w:color w:val="auto"/>
              </w:rPr>
            </w:pPr>
            <w:r>
              <w:rPr>
                <w:rFonts w:ascii="Arial" w:cs="Arial" w:eastAsia="Arial" w:hAnsi="Arial"/>
                <w:sz w:val="19"/>
                <w:szCs w:val="19"/>
                <w:color w:val="auto"/>
                <w:w w:val="92"/>
              </w:rPr>
              <w:t>$3.35</w:t>
            </w:r>
          </w:p>
        </w:tc>
        <w:tc>
          <w:tcPr>
            <w:tcW w:w="280" w:type="dxa"/>
            <w:vAlign w:val="bottom"/>
          </w:tcPr>
          <w:p>
            <w:pPr>
              <w:spacing w:after="0"/>
              <w:rPr>
                <w:sz w:val="19"/>
                <w:szCs w:val="19"/>
                <w:color w:val="auto"/>
              </w:rPr>
            </w:pPr>
          </w:p>
        </w:tc>
      </w:tr>
      <w:tr>
        <w:trPr>
          <w:trHeight w:val="224"/>
        </w:trPr>
        <w:tc>
          <w:tcPr>
            <w:tcW w:w="2760" w:type="dxa"/>
            <w:vAlign w:val="bottom"/>
            <w:gridSpan w:val="3"/>
          </w:tcPr>
          <w:p>
            <w:pPr>
              <w:jc w:val="center"/>
              <w:ind w:right="1480"/>
              <w:spacing w:after="0"/>
              <w:rPr>
                <w:sz w:val="20"/>
                <w:szCs w:val="20"/>
                <w:color w:val="auto"/>
              </w:rPr>
            </w:pPr>
            <w:r>
              <w:rPr>
                <w:rFonts w:ascii="Arial" w:cs="Arial" w:eastAsia="Arial" w:hAnsi="Arial"/>
                <w:sz w:val="19"/>
                <w:szCs w:val="19"/>
                <w:color w:val="auto"/>
                <w:w w:val="93"/>
              </w:rPr>
              <w:t>2/1/25 – 1/31/26</w:t>
            </w:r>
          </w:p>
        </w:tc>
        <w:tc>
          <w:tcPr>
            <w:tcW w:w="2460" w:type="dxa"/>
            <w:vAlign w:val="bottom"/>
            <w:gridSpan w:val="2"/>
          </w:tcPr>
          <w:p>
            <w:pPr>
              <w:jc w:val="center"/>
              <w:ind w:left="1363"/>
              <w:spacing w:after="0"/>
              <w:rPr>
                <w:sz w:val="20"/>
                <w:szCs w:val="20"/>
                <w:color w:val="auto"/>
              </w:rPr>
            </w:pPr>
            <w:r>
              <w:rPr>
                <w:rFonts w:ascii="Arial" w:cs="Arial" w:eastAsia="Arial" w:hAnsi="Arial"/>
                <w:sz w:val="19"/>
                <w:szCs w:val="19"/>
                <w:color w:val="auto"/>
                <w:w w:val="92"/>
              </w:rPr>
              <w:t>$84,387.96</w:t>
            </w:r>
          </w:p>
        </w:tc>
        <w:tc>
          <w:tcPr>
            <w:tcW w:w="760" w:type="dxa"/>
            <w:vAlign w:val="bottom"/>
          </w:tcPr>
          <w:p>
            <w:pPr>
              <w:spacing w:after="0"/>
              <w:rPr>
                <w:sz w:val="19"/>
                <w:szCs w:val="19"/>
                <w:color w:val="auto"/>
              </w:rPr>
            </w:pPr>
          </w:p>
        </w:tc>
        <w:tc>
          <w:tcPr>
            <w:tcW w:w="2100" w:type="dxa"/>
            <w:vAlign w:val="bottom"/>
            <w:gridSpan w:val="2"/>
          </w:tcPr>
          <w:p>
            <w:pPr>
              <w:jc w:val="center"/>
              <w:ind w:left="963"/>
              <w:spacing w:after="0"/>
              <w:rPr>
                <w:sz w:val="20"/>
                <w:szCs w:val="20"/>
                <w:color w:val="auto"/>
              </w:rPr>
            </w:pPr>
            <w:r>
              <w:rPr>
                <w:rFonts w:ascii="Arial" w:cs="Arial" w:eastAsia="Arial" w:hAnsi="Arial"/>
                <w:sz w:val="19"/>
                <w:szCs w:val="19"/>
                <w:color w:val="auto"/>
                <w:w w:val="92"/>
              </w:rPr>
              <w:t>$3.45</w:t>
            </w:r>
          </w:p>
        </w:tc>
        <w:tc>
          <w:tcPr>
            <w:tcW w:w="280" w:type="dxa"/>
            <w:vAlign w:val="bottom"/>
          </w:tcPr>
          <w:p>
            <w:pPr>
              <w:spacing w:after="0"/>
              <w:rPr>
                <w:sz w:val="19"/>
                <w:szCs w:val="19"/>
                <w:color w:val="auto"/>
              </w:rPr>
            </w:pPr>
          </w:p>
        </w:tc>
      </w:tr>
      <w:tr>
        <w:trPr>
          <w:trHeight w:val="224"/>
        </w:trPr>
        <w:tc>
          <w:tcPr>
            <w:tcW w:w="2760" w:type="dxa"/>
            <w:vAlign w:val="bottom"/>
            <w:gridSpan w:val="3"/>
          </w:tcPr>
          <w:p>
            <w:pPr>
              <w:jc w:val="center"/>
              <w:ind w:right="1480"/>
              <w:spacing w:after="0"/>
              <w:rPr>
                <w:sz w:val="20"/>
                <w:szCs w:val="20"/>
                <w:color w:val="auto"/>
              </w:rPr>
            </w:pPr>
            <w:r>
              <w:rPr>
                <w:rFonts w:ascii="Arial" w:cs="Arial" w:eastAsia="Arial" w:hAnsi="Arial"/>
                <w:sz w:val="19"/>
                <w:szCs w:val="19"/>
                <w:color w:val="auto"/>
                <w:w w:val="93"/>
              </w:rPr>
              <w:t>2/1/26 – 1/31/27</w:t>
            </w:r>
          </w:p>
        </w:tc>
        <w:tc>
          <w:tcPr>
            <w:tcW w:w="2460" w:type="dxa"/>
            <w:vAlign w:val="bottom"/>
            <w:gridSpan w:val="2"/>
          </w:tcPr>
          <w:p>
            <w:pPr>
              <w:jc w:val="center"/>
              <w:ind w:left="1363"/>
              <w:spacing w:after="0"/>
              <w:rPr>
                <w:sz w:val="20"/>
                <w:szCs w:val="20"/>
                <w:color w:val="auto"/>
              </w:rPr>
            </w:pPr>
            <w:r>
              <w:rPr>
                <w:rFonts w:ascii="Arial" w:cs="Arial" w:eastAsia="Arial" w:hAnsi="Arial"/>
                <w:sz w:val="19"/>
                <w:szCs w:val="19"/>
                <w:color w:val="auto"/>
                <w:w w:val="92"/>
              </w:rPr>
              <w:t>$86,919.60</w:t>
            </w:r>
          </w:p>
        </w:tc>
        <w:tc>
          <w:tcPr>
            <w:tcW w:w="760" w:type="dxa"/>
            <w:vAlign w:val="bottom"/>
          </w:tcPr>
          <w:p>
            <w:pPr>
              <w:spacing w:after="0"/>
              <w:rPr>
                <w:sz w:val="19"/>
                <w:szCs w:val="19"/>
                <w:color w:val="auto"/>
              </w:rPr>
            </w:pPr>
          </w:p>
        </w:tc>
        <w:tc>
          <w:tcPr>
            <w:tcW w:w="2100" w:type="dxa"/>
            <w:vAlign w:val="bottom"/>
            <w:gridSpan w:val="2"/>
          </w:tcPr>
          <w:p>
            <w:pPr>
              <w:jc w:val="center"/>
              <w:ind w:left="963"/>
              <w:spacing w:after="0"/>
              <w:rPr>
                <w:sz w:val="20"/>
                <w:szCs w:val="20"/>
                <w:color w:val="auto"/>
              </w:rPr>
            </w:pPr>
            <w:r>
              <w:rPr>
                <w:rFonts w:ascii="Arial" w:cs="Arial" w:eastAsia="Arial" w:hAnsi="Arial"/>
                <w:sz w:val="19"/>
                <w:szCs w:val="19"/>
                <w:color w:val="auto"/>
                <w:w w:val="92"/>
              </w:rPr>
              <w:t>$3.55</w:t>
            </w:r>
          </w:p>
        </w:tc>
        <w:tc>
          <w:tcPr>
            <w:tcW w:w="280" w:type="dxa"/>
            <w:vAlign w:val="bottom"/>
          </w:tcPr>
          <w:p>
            <w:pPr>
              <w:spacing w:after="0"/>
              <w:rPr>
                <w:sz w:val="19"/>
                <w:szCs w:val="19"/>
                <w:color w:val="auto"/>
              </w:rPr>
            </w:pPr>
          </w:p>
        </w:tc>
      </w:tr>
      <w:tr>
        <w:trPr>
          <w:trHeight w:val="224"/>
        </w:trPr>
        <w:tc>
          <w:tcPr>
            <w:tcW w:w="2760" w:type="dxa"/>
            <w:vAlign w:val="bottom"/>
            <w:gridSpan w:val="3"/>
          </w:tcPr>
          <w:p>
            <w:pPr>
              <w:jc w:val="center"/>
              <w:ind w:right="1480"/>
              <w:spacing w:after="0"/>
              <w:rPr>
                <w:sz w:val="20"/>
                <w:szCs w:val="20"/>
                <w:color w:val="auto"/>
              </w:rPr>
            </w:pPr>
            <w:r>
              <w:rPr>
                <w:rFonts w:ascii="Arial" w:cs="Arial" w:eastAsia="Arial" w:hAnsi="Arial"/>
                <w:sz w:val="19"/>
                <w:szCs w:val="19"/>
                <w:color w:val="auto"/>
                <w:w w:val="93"/>
              </w:rPr>
              <w:t>2/1/27 – 1/31/28</w:t>
            </w:r>
          </w:p>
        </w:tc>
        <w:tc>
          <w:tcPr>
            <w:tcW w:w="2460" w:type="dxa"/>
            <w:vAlign w:val="bottom"/>
            <w:gridSpan w:val="2"/>
          </w:tcPr>
          <w:p>
            <w:pPr>
              <w:jc w:val="center"/>
              <w:ind w:left="1363"/>
              <w:spacing w:after="0"/>
              <w:rPr>
                <w:sz w:val="20"/>
                <w:szCs w:val="20"/>
                <w:color w:val="auto"/>
              </w:rPr>
            </w:pPr>
            <w:r>
              <w:rPr>
                <w:rFonts w:ascii="Arial" w:cs="Arial" w:eastAsia="Arial" w:hAnsi="Arial"/>
                <w:sz w:val="19"/>
                <w:szCs w:val="19"/>
                <w:color w:val="auto"/>
                <w:w w:val="92"/>
              </w:rPr>
              <w:t>$89,527.19</w:t>
            </w:r>
          </w:p>
        </w:tc>
        <w:tc>
          <w:tcPr>
            <w:tcW w:w="760" w:type="dxa"/>
            <w:vAlign w:val="bottom"/>
          </w:tcPr>
          <w:p>
            <w:pPr>
              <w:spacing w:after="0"/>
              <w:rPr>
                <w:sz w:val="19"/>
                <w:szCs w:val="19"/>
                <w:color w:val="auto"/>
              </w:rPr>
            </w:pPr>
          </w:p>
        </w:tc>
        <w:tc>
          <w:tcPr>
            <w:tcW w:w="2100" w:type="dxa"/>
            <w:vAlign w:val="bottom"/>
            <w:gridSpan w:val="2"/>
          </w:tcPr>
          <w:p>
            <w:pPr>
              <w:jc w:val="center"/>
              <w:ind w:left="963"/>
              <w:spacing w:after="0"/>
              <w:rPr>
                <w:sz w:val="20"/>
                <w:szCs w:val="20"/>
                <w:color w:val="auto"/>
              </w:rPr>
            </w:pPr>
            <w:r>
              <w:rPr>
                <w:rFonts w:ascii="Arial" w:cs="Arial" w:eastAsia="Arial" w:hAnsi="Arial"/>
                <w:sz w:val="19"/>
                <w:szCs w:val="19"/>
                <w:color w:val="auto"/>
                <w:w w:val="92"/>
              </w:rPr>
              <w:t>$3.66</w:t>
            </w:r>
          </w:p>
        </w:tc>
        <w:tc>
          <w:tcPr>
            <w:tcW w:w="280" w:type="dxa"/>
            <w:vAlign w:val="bottom"/>
          </w:tcPr>
          <w:p>
            <w:pPr>
              <w:spacing w:after="0"/>
              <w:rPr>
                <w:sz w:val="19"/>
                <w:szCs w:val="19"/>
                <w:color w:val="auto"/>
              </w:rPr>
            </w:pPr>
          </w:p>
        </w:tc>
      </w:tr>
      <w:tr>
        <w:trPr>
          <w:trHeight w:val="246"/>
        </w:trPr>
        <w:tc>
          <w:tcPr>
            <w:tcW w:w="2760" w:type="dxa"/>
            <w:vAlign w:val="bottom"/>
            <w:gridSpan w:val="3"/>
          </w:tcPr>
          <w:p>
            <w:pPr>
              <w:jc w:val="center"/>
              <w:ind w:right="1480"/>
              <w:spacing w:after="0"/>
              <w:rPr>
                <w:sz w:val="20"/>
                <w:szCs w:val="20"/>
                <w:color w:val="auto"/>
              </w:rPr>
            </w:pPr>
            <w:r>
              <w:rPr>
                <w:rFonts w:ascii="Arial" w:cs="Arial" w:eastAsia="Arial" w:hAnsi="Arial"/>
                <w:sz w:val="19"/>
                <w:szCs w:val="19"/>
                <w:color w:val="auto"/>
                <w:w w:val="93"/>
              </w:rPr>
              <w:t>2/1/28 – 7/31/28</w:t>
            </w:r>
          </w:p>
        </w:tc>
        <w:tc>
          <w:tcPr>
            <w:tcW w:w="2460" w:type="dxa"/>
            <w:vAlign w:val="bottom"/>
            <w:gridSpan w:val="2"/>
          </w:tcPr>
          <w:p>
            <w:pPr>
              <w:jc w:val="center"/>
              <w:ind w:left="1363"/>
              <w:spacing w:after="0"/>
              <w:rPr>
                <w:sz w:val="20"/>
                <w:szCs w:val="20"/>
                <w:color w:val="auto"/>
              </w:rPr>
            </w:pPr>
            <w:r>
              <w:rPr>
                <w:rFonts w:ascii="Arial" w:cs="Arial" w:eastAsia="Arial" w:hAnsi="Arial"/>
                <w:sz w:val="19"/>
                <w:szCs w:val="19"/>
                <w:color w:val="auto"/>
                <w:w w:val="92"/>
              </w:rPr>
              <w:t>$92,213.01</w:t>
            </w:r>
          </w:p>
        </w:tc>
        <w:tc>
          <w:tcPr>
            <w:tcW w:w="760" w:type="dxa"/>
            <w:vAlign w:val="bottom"/>
          </w:tcPr>
          <w:p>
            <w:pPr>
              <w:spacing w:after="0"/>
              <w:rPr>
                <w:sz w:val="21"/>
                <w:szCs w:val="21"/>
                <w:color w:val="auto"/>
              </w:rPr>
            </w:pPr>
          </w:p>
        </w:tc>
        <w:tc>
          <w:tcPr>
            <w:tcW w:w="2100" w:type="dxa"/>
            <w:vAlign w:val="bottom"/>
            <w:gridSpan w:val="2"/>
          </w:tcPr>
          <w:p>
            <w:pPr>
              <w:jc w:val="center"/>
              <w:ind w:left="963"/>
              <w:spacing w:after="0"/>
              <w:rPr>
                <w:sz w:val="20"/>
                <w:szCs w:val="20"/>
                <w:color w:val="auto"/>
              </w:rPr>
            </w:pPr>
            <w:r>
              <w:rPr>
                <w:rFonts w:ascii="Arial" w:cs="Arial" w:eastAsia="Arial" w:hAnsi="Arial"/>
                <w:sz w:val="19"/>
                <w:szCs w:val="19"/>
                <w:color w:val="auto"/>
                <w:w w:val="92"/>
              </w:rPr>
              <w:t>$3.77</w:t>
            </w:r>
          </w:p>
        </w:tc>
        <w:tc>
          <w:tcPr>
            <w:tcW w:w="280" w:type="dxa"/>
            <w:vAlign w:val="bottom"/>
          </w:tcPr>
          <w:p>
            <w:pPr>
              <w:spacing w:after="0"/>
              <w:rPr>
                <w:sz w:val="21"/>
                <w:szCs w:val="21"/>
                <w:color w:val="auto"/>
              </w:rPr>
            </w:pPr>
          </w:p>
        </w:tc>
      </w:tr>
    </w:tbl>
    <w:p>
      <w:pPr>
        <w:spacing w:after="0" w:line="202" w:lineRule="exact"/>
        <w:rPr>
          <w:sz w:val="20"/>
          <w:szCs w:val="20"/>
          <w:color w:val="auto"/>
        </w:rPr>
      </w:pPr>
    </w:p>
    <w:p>
      <w:pPr>
        <w:ind w:firstLine="870"/>
        <w:spacing w:after="0" w:line="277" w:lineRule="auto"/>
        <w:tabs>
          <w:tab w:leader="none" w:pos="1038"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amounts identified in the column entitled "Monthly Rental Rate per Rentable Square Foot" are rounded amounts and are provided for informational purposes only.</w:t>
      </w:r>
    </w:p>
    <w:p>
      <w:pPr>
        <w:spacing w:after="0" w:line="169" w:lineRule="exact"/>
        <w:rPr>
          <w:sz w:val="20"/>
          <w:szCs w:val="20"/>
          <w:color w:val="auto"/>
        </w:rPr>
      </w:pPr>
    </w:p>
    <w:p>
      <w:pPr>
        <w:jc w:val="both"/>
        <w:ind w:firstLine="870"/>
        <w:spacing w:after="0" w:line="263" w:lineRule="auto"/>
        <w:tabs>
          <w:tab w:leader="none" w:pos="1723"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the terms and conditions of this Section 3(b), provided that no Event of Default exists and no Event of Default has occurred beyond any applicable notice and cure period, Tenant shall be credited with the payment of monthly Base Rent otherwise due and payable with respect to the Premises for the full calendar months of February, March, April, May, June, and July 2023 only (the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 Base Rent Credit</w:t>
      </w:r>
      <w:r>
        <w:rPr>
          <w:rFonts w:ascii="Arial" w:cs="Arial" w:eastAsia="Arial" w:hAnsi="Arial"/>
          <w:sz w:val="18"/>
          <w:szCs w:val="18"/>
          <w:color w:val="auto"/>
        </w:rPr>
        <w:t>"), as and when the same becomes due and payable (for a total maximum Third Amendment Base Rent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$477,262.50 in the aggregate, subject to the terms hereof). No such Third Amendment Base Rent Credit shall reduce or limit any other amounts which are otherwise payable by Tenant under this Lease (including, without limitation, Additional Rent). Tenant understands and agrees that the foregoing Third Amendment Base Rent Credit is conditioned upon no Event of Default existing and no Event of Default having occurred beyond any applicable notice and cure period. Accordingly, upon the occurrence of any Event of Default beyond any applicable notice and cure period, the foregoing Third Amendment Base Rent Credit shall immediately become null and void, and, following any termination of this Lease by Landlord as a result thereof, any then-unamortized portion of the Third Amendment Base Rent Credit (based upon an amortization period of sixty-six (66) months, representing the Third Amendment Term) shall be included in Landlord's damages under Section 5.2 of the Original Lease, and Tenant shall no longer receive any credit on account of such Third Amendment Base Rent Credit. Tenant agrees and acknowledges that notwithstanding the fact that Landlord may elect not to cause the Third Amendment Base Rent Credit to become null and void on account of any particular Event of Default beyond any applicable notice and cure period, Landlord shall at all times retain the right to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717740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line="278" w:lineRule="auto"/>
        <w:rPr>
          <w:sz w:val="20"/>
          <w:szCs w:val="20"/>
          <w:color w:val="auto"/>
        </w:rPr>
      </w:pPr>
      <w:r>
        <w:rPr>
          <w:rFonts w:ascii="Arial" w:cs="Arial" w:eastAsia="Arial" w:hAnsi="Arial"/>
          <w:sz w:val="19"/>
          <w:szCs w:val="19"/>
          <w:color w:val="auto"/>
        </w:rPr>
        <w:t>the Third Amendment Base Rent Credit to become null and void in the event of any Event of Default occurring beyond any applicable notice and cure period.</w:t>
      </w:r>
    </w:p>
    <w:p>
      <w:pPr>
        <w:spacing w:after="0" w:line="168" w:lineRule="exact"/>
        <w:rPr>
          <w:sz w:val="20"/>
          <w:szCs w:val="20"/>
          <w:color w:val="auto"/>
        </w:rPr>
      </w:pPr>
    </w:p>
    <w:p>
      <w:pPr>
        <w:jc w:val="both"/>
        <w:ind w:firstLine="870"/>
        <w:spacing w:after="0" w:line="252" w:lineRule="auto"/>
        <w:tabs>
          <w:tab w:leader="none" w:pos="1643"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Operating Costs</w:t>
      </w:r>
      <w:r>
        <w:rPr>
          <w:rFonts w:ascii="Arial" w:cs="Arial" w:eastAsia="Arial" w:hAnsi="Arial"/>
          <w:sz w:val="19"/>
          <w:szCs w:val="19"/>
          <w:color w:val="auto"/>
        </w:rPr>
        <w:t>. Notwithstanding anything to the contrary contained in the Lease, effective as of the Third Amendment Commencement Date, (i) the Base Year shall be amended to be calendar year 2023, (ii) Tenant shall not be responsible for Operating Costs Allocable to the Premises from the Third Amendment Commencement Date until January 31, 2024, and (iii) for the period commencing on the Third Amendment Commencement Date and continuing until January 31, 2024 only, any increase of Property Taxes pursuant to Proposition 13 shall not be Tenant's responsibility. The provisions relating to Proposition 8 set forth in the Original Lease are hereby ratified and shall remain in full force and effect.</w:t>
      </w:r>
    </w:p>
    <w:p>
      <w:pPr>
        <w:spacing w:after="0" w:line="194" w:lineRule="exact"/>
        <w:rPr>
          <w:rFonts w:ascii="Arial" w:cs="Arial" w:eastAsia="Arial" w:hAnsi="Arial"/>
          <w:sz w:val="19"/>
          <w:szCs w:val="19"/>
          <w:color w:val="auto"/>
        </w:rPr>
      </w:pPr>
    </w:p>
    <w:p>
      <w:pPr>
        <w:jc w:val="both"/>
        <w:ind w:firstLine="870"/>
        <w:spacing w:after="0" w:line="269" w:lineRule="auto"/>
        <w:tabs>
          <w:tab w:leader="none" w:pos="164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SNDA</w:t>
      </w:r>
      <w:r>
        <w:rPr>
          <w:rFonts w:ascii="Arial" w:cs="Arial" w:eastAsia="Arial" w:hAnsi="Arial"/>
          <w:sz w:val="18"/>
          <w:szCs w:val="18"/>
          <w:color w:val="auto"/>
        </w:rPr>
        <w:t>. Within sixty (60) days after the execution and delivery of this Amendment, Landlord will provide a subordination, non-disturbance and attornment agreement from Landlord's existing lender in form attached hereto as Exhibit A. Landlord shall use commercially reasonable efforts to deliver to Tenant commercially reasonable subordination, non-disturbance and attornment agreements from any ground lessors or mortgagees who come into existence following the date hereof but prior to the expiration of the Lease Term and such shall be a condition precedent to Tenant's agreement to be subordinate to any such ground lessor or mortgagee, which Tenant shall execute, acknowledge and deliver in recordable form, within ten (10) business days after Tenant receives a request therefor.</w:t>
      </w:r>
    </w:p>
    <w:p>
      <w:pPr>
        <w:spacing w:after="0" w:line="173" w:lineRule="exact"/>
        <w:rPr>
          <w:rFonts w:ascii="Arial" w:cs="Arial" w:eastAsia="Arial" w:hAnsi="Arial"/>
          <w:sz w:val="18"/>
          <w:szCs w:val="18"/>
          <w:color w:val="auto"/>
        </w:rPr>
      </w:pPr>
    </w:p>
    <w:p>
      <w:pPr>
        <w:jc w:val="both"/>
        <w:ind w:firstLine="870"/>
        <w:spacing w:after="0" w:line="279" w:lineRule="auto"/>
        <w:tabs>
          <w:tab w:leader="none" w:pos="1643"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Allowance</w:t>
      </w:r>
      <w:r>
        <w:rPr>
          <w:rFonts w:ascii="Arial" w:cs="Arial" w:eastAsia="Arial" w:hAnsi="Arial"/>
          <w:sz w:val="17"/>
          <w:szCs w:val="17"/>
          <w:color w:val="auto"/>
        </w:rPr>
        <w:t>. Commencing on the Effective Date, Tenant shall be entitled to a one-time allowance (the “</w:t>
      </w:r>
      <w:r>
        <w:rPr>
          <w:rFonts w:ascii="Arial" w:cs="Arial" w:eastAsia="Arial" w:hAnsi="Arial"/>
          <w:sz w:val="17"/>
          <w:szCs w:val="17"/>
          <w:b w:val="1"/>
          <w:bCs w:val="1"/>
          <w:color w:val="auto"/>
        </w:rPr>
        <w:t>Allowance</w:t>
      </w:r>
      <w:r>
        <w:rPr>
          <w:rFonts w:ascii="Arial" w:cs="Arial" w:eastAsia="Arial" w:hAnsi="Arial"/>
          <w:sz w:val="17"/>
          <w:szCs w:val="17"/>
          <w:color w:val="auto"/>
        </w:rPr>
        <w:t>”) in the amount of up to $856,625.00 (i.e., $35.00 per rentable square foot of the Premises), as reimbursement for Tenant's actual and reasonable costs incurred for permanent improvements made by Tenant to renovate the Premises, or to purchase and install furniture, fixtures, equipment (including audio-visual equipment) and information technology within the Premises, in accordance with, and subject to, the terms of the Lease. Prior to Landlord making any payment of the Allowance, Tenant shall first deliver to Landlord (a) reasonable supporting documentation evidencing Tenant’s payment of such actual and reasonable costs contemplated by this Section 6, if any, and evidencing that any work for which payment is requested is complete and was performed in accordance with the terms of the Lease and applicable laws (including, without limitation, all permits, licenses, consents and approvals required under applicable laws), and (b) unconditional lien releases for any work performed. Notwithstanding anything to the contrary contained herein, if any portion of the Allowance is not used by Tenant on or before July 31, 2023, such portion shall be deemed waived with no further obligation by Landlord with respect thereto, subject to the final sentence of this Section 6. In no event shall Landlord be obligated to make disbursements pursuant to this Section 6 in a total amount that exceeds the Allowance, and in no event shall Tenant be entitled to any excess, credit, deduction or offset against any amounts payable hereunder by Tenant for any unused portion of the Allowance. Notwithstanding the foregoing, Tenant shall have the right, by written notice to Landlord, to utilize an amount not to exceed $734,250.00 (i.e., $30.00 per rentable square foot of the Premises) of the Allowance not disbursed to Tenant to increase the Third Amendment Base Rent Credit, in which case, subject to and in accordance with the terms of Section 3(b) above, such additional Third Amendment Base Rent Credit shall apply to the Base Rent next coming due during the Third Amendment Term until used or applied, and any Allowance (subject to the maximum amount set forth in this sentence) not disbursed to Tenant by July 31, 2023 shall be deemed to have been elected by Tenant to increase the Third Amendment Base Rent Credit as set forth in this sentence.</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jc w:val="both"/>
        <w:ind w:firstLine="870"/>
        <w:spacing w:after="0" w:line="261" w:lineRule="auto"/>
        <w:tabs>
          <w:tab w:leader="none" w:pos="1643"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Condition</w:t>
      </w:r>
      <w:r>
        <w:rPr>
          <w:rFonts w:ascii="Arial" w:cs="Arial" w:eastAsia="Arial" w:hAnsi="Arial"/>
          <w:sz w:val="19"/>
          <w:szCs w:val="19"/>
          <w:color w:val="auto"/>
        </w:rPr>
        <w:t>. Tenant shall continue to lease the Premises (including the Incremental Expansion Space) "as is," "with all faults," and "without any representations or warranties." Tenant accepts the condition of the Premises and the suitability of same for Tenant's purposes, and Tenant hereby waives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40005</wp:posOffset>
            </wp:positionV>
            <wp:extent cx="717740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jc w:val="both"/>
        <w:spacing w:after="0" w:line="252" w:lineRule="auto"/>
        <w:rPr>
          <w:sz w:val="20"/>
          <w:szCs w:val="20"/>
          <w:color w:val="auto"/>
        </w:rPr>
      </w:pPr>
      <w:r>
        <w:rPr>
          <w:rFonts w:ascii="Arial" w:cs="Arial" w:eastAsia="Arial" w:hAnsi="Arial"/>
          <w:sz w:val="19"/>
          <w:szCs w:val="19"/>
          <w:color w:val="auto"/>
        </w:rPr>
        <w:t>and disclaims any objection to, cause of action based upon, or claim that its obligations hereunder should be reduced or limited because of the condition of the Premises or the Building or the suitability of same for Tenant's purposes. Tenant acknowledges that neither Landlord nor any agent or employee of Landlord has made any representations or warranty with respect to the Premises or the Building or with respect to its suitability for the conduct of Tenant's business and Tenant expressly warrants and represents that Tenant has relied solely on its own investigation and inspection of the Premises and the Building in its decision to enter into this Amendment and to let the Premises in its "as-is" condition.</w:t>
      </w:r>
    </w:p>
    <w:p>
      <w:pPr>
        <w:spacing w:after="0" w:line="196" w:lineRule="exact"/>
        <w:rPr>
          <w:sz w:val="20"/>
          <w:szCs w:val="20"/>
          <w:color w:val="auto"/>
        </w:rPr>
      </w:pPr>
    </w:p>
    <w:p>
      <w:pPr>
        <w:jc w:val="both"/>
        <w:ind w:firstLine="870"/>
        <w:spacing w:after="0" w:line="266" w:lineRule="auto"/>
        <w:tabs>
          <w:tab w:leader="none" w:pos="227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Landlord and Tenant hereby warrant to each other that they have had no dealings with any real estate broker or agent in connection with the negotiation of this Amendment, excepting only Jones Lang LaSalle and IDS Real Estate Group, who represents Landlord, and Jones Lang LaSalle, who represents Tenant (collectively, the "</w:t>
      </w:r>
      <w:r>
        <w:rPr>
          <w:rFonts w:ascii="Arial" w:cs="Arial" w:eastAsia="Arial" w:hAnsi="Arial"/>
          <w:sz w:val="18"/>
          <w:szCs w:val="18"/>
          <w:b w:val="1"/>
          <w:bCs w:val="1"/>
          <w:color w:val="auto"/>
        </w:rPr>
        <w:t>Brokers</w:t>
      </w:r>
      <w:r>
        <w:rPr>
          <w:rFonts w:ascii="Arial" w:cs="Arial" w:eastAsia="Arial" w:hAnsi="Arial"/>
          <w:sz w:val="18"/>
          <w:szCs w:val="18"/>
          <w:color w:val="auto"/>
        </w:rPr>
        <w:t>"), and that they know of no other real estate broker or agent who is entitled to a commission in connection with this Amendment. Landlord shall pay any commission due to the Brokers in connection with this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w:t>
      </w:r>
    </w:p>
    <w:p>
      <w:pPr>
        <w:spacing w:after="0" w:line="184" w:lineRule="exact"/>
        <w:rPr>
          <w:rFonts w:ascii="Arial" w:cs="Arial" w:eastAsia="Arial" w:hAnsi="Arial"/>
          <w:sz w:val="18"/>
          <w:szCs w:val="18"/>
          <w:color w:val="auto"/>
        </w:rPr>
      </w:pPr>
    </w:p>
    <w:p>
      <w:pPr>
        <w:jc w:val="both"/>
        <w:ind w:firstLine="870"/>
        <w:spacing w:after="0" w:line="256" w:lineRule="auto"/>
        <w:tabs>
          <w:tab w:leader="none" w:pos="2277"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Tenant has full power and authority to enter into this Amendment and the person signing on behalf of Tenant has been fully authorized to do so by all necessary corporate or partnership action on the part of Tenant. Landlord has full power and authority to enter into this Amendment and the person signing on behalf of Landlord has been fully authorized to do so by all necessary corporate or partnership action on the part of Landlord.</w:t>
      </w:r>
    </w:p>
    <w:p>
      <w:pPr>
        <w:spacing w:after="0" w:line="190"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9"/>
          <w:szCs w:val="19"/>
          <w:color w:val="auto"/>
        </w:rPr>
        <w:t>10. Lease in Full Force. Except as specifically amended or modified herein and those terms, covenants and conditions for which performance has heretofore been completed, all other terms, covenants and conditions of the Lease shall remain unmodified and in full force and effect. Landlord and Tenant ratify the Lease, as amended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-323850</wp:posOffset>
            </wp:positionV>
            <wp:extent cx="11004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1100455" cy="8255"/>
                    </a:xfrm>
                    <a:prstGeom prst="rect">
                      <a:avLst/>
                    </a:prstGeom>
                    <a:noFill/>
                  </pic:spPr>
                </pic:pic>
              </a:graphicData>
            </a:graphic>
          </wp:anchor>
        </w:drawing>
      </w:r>
    </w:p>
    <w:p>
      <w:pPr>
        <w:spacing w:after="0" w:line="165" w:lineRule="exact"/>
        <w:rPr>
          <w:sz w:val="20"/>
          <w:szCs w:val="20"/>
          <w:color w:val="auto"/>
        </w:rPr>
      </w:pPr>
    </w:p>
    <w:p>
      <w:pPr>
        <w:jc w:val="both"/>
        <w:ind w:firstLine="870"/>
        <w:spacing w:after="0" w:line="296" w:lineRule="auto"/>
        <w:tabs>
          <w:tab w:leader="none" w:pos="2366"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Facsimile/PDF; Counterparts</w:t>
      </w:r>
      <w:r>
        <w:rPr>
          <w:rFonts w:ascii="Arial" w:cs="Arial" w:eastAsia="Arial" w:hAnsi="Arial"/>
          <w:sz w:val="17"/>
          <w:szCs w:val="17"/>
          <w:color w:val="auto"/>
        </w:rPr>
        <w:t>. Each party hereto, and their respective successors and assigns shall be authorized to rely upon the signatures of all of the parties hereto on this Amendment which are delivered by facsimile or PDF as constituting a duly authorized, irrevocable, actual, current delivery of this Amendment with original ink signatures of each person and entity. This Amendment may be executed in counterparts, each of which shall be deemed an original part and all of which together shall constitute a single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211455</wp:posOffset>
            </wp:positionV>
            <wp:extent cx="717740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7740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jc w:val="center"/>
        <w:ind w:right="-120"/>
        <w:spacing w:after="0"/>
        <w:rPr>
          <w:sz w:val="20"/>
          <w:szCs w:val="20"/>
          <w:color w:val="auto"/>
        </w:rPr>
      </w:pPr>
      <w:r>
        <w:rPr>
          <w:rFonts w:ascii="Arial" w:cs="Arial" w:eastAsia="Arial" w:hAnsi="Arial"/>
          <w:sz w:val="17"/>
          <w:szCs w:val="17"/>
          <w:color w:val="auto"/>
        </w:rPr>
        <w:t>IN WITNESS WHEREOF, this Amendment is executed as of the day and year first set forth above.</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LANDLORD</w:t>
      </w:r>
      <w:r>
        <w:rPr>
          <w:rFonts w:ascii="Arial" w:cs="Arial" w:eastAsia="Arial" w:hAnsi="Arial"/>
          <w:sz w:val="19"/>
          <w:szCs w:val="19"/>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RUSSELL RANCH ROAD II LLC,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 Delaware limited liability company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9"/>
                <w:szCs w:val="19"/>
                <w:color w:val="auto"/>
              </w:rPr>
              <w:t>By:</w:t>
            </w:r>
          </w:p>
        </w:tc>
        <w:tc>
          <w:tcPr>
            <w:tcW w:w="4060" w:type="dxa"/>
            <w:vAlign w:val="bottom"/>
            <w:gridSpan w:val="7"/>
          </w:tcPr>
          <w:p>
            <w:pPr>
              <w:ind w:left="380"/>
              <w:spacing w:after="0"/>
              <w:rPr>
                <w:sz w:val="20"/>
                <w:szCs w:val="20"/>
                <w:color w:val="auto"/>
              </w:rPr>
            </w:pPr>
            <w:r>
              <w:rPr>
                <w:rFonts w:ascii="Arial" w:cs="Arial" w:eastAsia="Arial" w:hAnsi="Arial"/>
                <w:sz w:val="19"/>
                <w:szCs w:val="19"/>
                <w:color w:val="auto"/>
              </w:rPr>
              <w:t>Russell Ranch Road, LLC,</w:t>
            </w:r>
          </w:p>
        </w:tc>
      </w:tr>
      <w:tr>
        <w:trPr>
          <w:trHeight w:val="224"/>
        </w:trPr>
        <w:tc>
          <w:tcPr>
            <w:tcW w:w="580" w:type="dxa"/>
            <w:vAlign w:val="bottom"/>
          </w:tcPr>
          <w:p>
            <w:pPr>
              <w:spacing w:after="0"/>
              <w:rPr>
                <w:sz w:val="19"/>
                <w:szCs w:val="19"/>
                <w:color w:val="auto"/>
              </w:rPr>
            </w:pPr>
          </w:p>
        </w:tc>
        <w:tc>
          <w:tcPr>
            <w:tcW w:w="4060" w:type="dxa"/>
            <w:vAlign w:val="bottom"/>
            <w:gridSpan w:val="7"/>
          </w:tcPr>
          <w:p>
            <w:pPr>
              <w:ind w:left="280"/>
              <w:spacing w:after="0"/>
              <w:rPr>
                <w:sz w:val="20"/>
                <w:szCs w:val="20"/>
                <w:color w:val="auto"/>
              </w:rPr>
            </w:pPr>
            <w:r>
              <w:rPr>
                <w:rFonts w:ascii="Arial" w:cs="Arial" w:eastAsia="Arial" w:hAnsi="Arial"/>
                <w:sz w:val="19"/>
                <w:szCs w:val="19"/>
                <w:color w:val="auto"/>
              </w:rPr>
              <w:t>a Delaware limited liability company,</w:t>
            </w:r>
          </w:p>
        </w:tc>
      </w:tr>
      <w:tr>
        <w:trPr>
          <w:trHeight w:val="246"/>
        </w:trPr>
        <w:tc>
          <w:tcPr>
            <w:tcW w:w="580" w:type="dxa"/>
            <w:vAlign w:val="bottom"/>
          </w:tcPr>
          <w:p>
            <w:pPr>
              <w:spacing w:after="0"/>
              <w:rPr>
                <w:sz w:val="21"/>
                <w:szCs w:val="21"/>
                <w:color w:val="auto"/>
              </w:rPr>
            </w:pPr>
          </w:p>
        </w:tc>
        <w:tc>
          <w:tcPr>
            <w:tcW w:w="4060" w:type="dxa"/>
            <w:vAlign w:val="bottom"/>
            <w:gridSpan w:val="7"/>
          </w:tcPr>
          <w:p>
            <w:pPr>
              <w:ind w:left="280"/>
              <w:spacing w:after="0"/>
              <w:rPr>
                <w:sz w:val="20"/>
                <w:szCs w:val="20"/>
                <w:color w:val="auto"/>
              </w:rPr>
            </w:pPr>
            <w:r>
              <w:rPr>
                <w:rFonts w:ascii="Arial" w:cs="Arial" w:eastAsia="Arial" w:hAnsi="Arial"/>
                <w:sz w:val="19"/>
                <w:szCs w:val="19"/>
                <w:color w:val="auto"/>
              </w:rPr>
              <w:t>its Sole Member</w:t>
            </w:r>
          </w:p>
        </w:tc>
      </w:tr>
      <w:tr>
        <w:trPr>
          <w:trHeight w:val="427"/>
        </w:trPr>
        <w:tc>
          <w:tcPr>
            <w:tcW w:w="580" w:type="dxa"/>
            <w:vAlign w:val="bottom"/>
          </w:tcPr>
          <w:p>
            <w:pPr>
              <w:spacing w:after="0"/>
              <w:rPr>
                <w:sz w:val="20"/>
                <w:szCs w:val="20"/>
                <w:color w:val="auto"/>
              </w:rPr>
            </w:pPr>
            <w:r>
              <w:rPr>
                <w:rFonts w:ascii="Arial" w:cs="Arial" w:eastAsia="Arial" w:hAnsi="Arial"/>
                <w:sz w:val="19"/>
                <w:szCs w:val="19"/>
                <w:color w:val="auto"/>
              </w:rPr>
              <w:t>By:</w:t>
            </w:r>
          </w:p>
        </w:tc>
        <w:tc>
          <w:tcPr>
            <w:tcW w:w="4060" w:type="dxa"/>
            <w:vAlign w:val="bottom"/>
            <w:gridSpan w:val="7"/>
          </w:tcPr>
          <w:p>
            <w:pPr>
              <w:ind w:left="380"/>
              <w:spacing w:after="0"/>
              <w:rPr>
                <w:sz w:val="20"/>
                <w:szCs w:val="20"/>
                <w:color w:val="auto"/>
              </w:rPr>
            </w:pPr>
            <w:r>
              <w:rPr>
                <w:rFonts w:ascii="Arial" w:cs="Arial" w:eastAsia="Arial" w:hAnsi="Arial"/>
                <w:sz w:val="19"/>
                <w:szCs w:val="19"/>
                <w:color w:val="auto"/>
              </w:rPr>
              <w:t>MEPT Russell Ranch Road LLC,</w:t>
            </w:r>
          </w:p>
        </w:tc>
      </w:tr>
      <w:tr>
        <w:trPr>
          <w:trHeight w:val="224"/>
        </w:trPr>
        <w:tc>
          <w:tcPr>
            <w:tcW w:w="580" w:type="dxa"/>
            <w:vAlign w:val="bottom"/>
          </w:tcPr>
          <w:p>
            <w:pPr>
              <w:spacing w:after="0"/>
              <w:rPr>
                <w:sz w:val="19"/>
                <w:szCs w:val="19"/>
                <w:color w:val="auto"/>
              </w:rPr>
            </w:pPr>
          </w:p>
        </w:tc>
        <w:tc>
          <w:tcPr>
            <w:tcW w:w="4060" w:type="dxa"/>
            <w:vAlign w:val="bottom"/>
            <w:gridSpan w:val="7"/>
          </w:tcPr>
          <w:p>
            <w:pPr>
              <w:ind w:left="280"/>
              <w:spacing w:after="0"/>
              <w:rPr>
                <w:sz w:val="20"/>
                <w:szCs w:val="20"/>
                <w:color w:val="auto"/>
              </w:rPr>
            </w:pPr>
            <w:r>
              <w:rPr>
                <w:rFonts w:ascii="Arial" w:cs="Arial" w:eastAsia="Arial" w:hAnsi="Arial"/>
                <w:sz w:val="19"/>
                <w:szCs w:val="19"/>
                <w:color w:val="auto"/>
              </w:rPr>
              <w:t>a Delaware limited liability company,</w:t>
            </w:r>
          </w:p>
        </w:tc>
      </w:tr>
      <w:tr>
        <w:trPr>
          <w:trHeight w:val="246"/>
        </w:trPr>
        <w:tc>
          <w:tcPr>
            <w:tcW w:w="580" w:type="dxa"/>
            <w:vAlign w:val="bottom"/>
          </w:tcPr>
          <w:p>
            <w:pPr>
              <w:spacing w:after="0"/>
              <w:rPr>
                <w:sz w:val="21"/>
                <w:szCs w:val="21"/>
                <w:color w:val="auto"/>
              </w:rPr>
            </w:pPr>
          </w:p>
        </w:tc>
        <w:tc>
          <w:tcPr>
            <w:tcW w:w="4060" w:type="dxa"/>
            <w:vAlign w:val="bottom"/>
            <w:gridSpan w:val="7"/>
          </w:tcPr>
          <w:p>
            <w:pPr>
              <w:ind w:left="280"/>
              <w:spacing w:after="0"/>
              <w:rPr>
                <w:sz w:val="20"/>
                <w:szCs w:val="20"/>
                <w:color w:val="auto"/>
              </w:rPr>
            </w:pPr>
            <w:r>
              <w:rPr>
                <w:rFonts w:ascii="Arial" w:cs="Arial" w:eastAsia="Arial" w:hAnsi="Arial"/>
                <w:sz w:val="19"/>
                <w:szCs w:val="19"/>
                <w:color w:val="auto"/>
              </w:rPr>
              <w:t>its Managing Member</w:t>
            </w:r>
          </w:p>
        </w:tc>
      </w:tr>
      <w:tr>
        <w:trPr>
          <w:trHeight w:val="427"/>
        </w:trPr>
        <w:tc>
          <w:tcPr>
            <w:tcW w:w="580" w:type="dxa"/>
            <w:vAlign w:val="bottom"/>
          </w:tcPr>
          <w:p>
            <w:pPr>
              <w:spacing w:after="0"/>
              <w:rPr>
                <w:sz w:val="20"/>
                <w:szCs w:val="20"/>
                <w:color w:val="auto"/>
              </w:rPr>
            </w:pPr>
            <w:r>
              <w:rPr>
                <w:rFonts w:ascii="Arial" w:cs="Arial" w:eastAsia="Arial" w:hAnsi="Arial"/>
                <w:sz w:val="19"/>
                <w:szCs w:val="19"/>
                <w:color w:val="auto"/>
              </w:rPr>
              <w:t>By:</w:t>
            </w:r>
          </w:p>
        </w:tc>
        <w:tc>
          <w:tcPr>
            <w:tcW w:w="4060" w:type="dxa"/>
            <w:vAlign w:val="bottom"/>
            <w:gridSpan w:val="7"/>
          </w:tcPr>
          <w:p>
            <w:pPr>
              <w:ind w:left="340"/>
              <w:spacing w:after="0"/>
              <w:rPr>
                <w:sz w:val="20"/>
                <w:szCs w:val="20"/>
                <w:color w:val="auto"/>
              </w:rPr>
            </w:pPr>
            <w:r>
              <w:rPr>
                <w:rFonts w:ascii="Arial" w:cs="Arial" w:eastAsia="Arial" w:hAnsi="Arial"/>
                <w:sz w:val="19"/>
                <w:szCs w:val="19"/>
                <w:color w:val="auto"/>
                <w:w w:val="95"/>
              </w:rPr>
              <w:t>BGO Diversified US Property Fund REIT LLC,</w:t>
            </w:r>
          </w:p>
        </w:tc>
      </w:tr>
      <w:tr>
        <w:trPr>
          <w:trHeight w:val="246"/>
        </w:trPr>
        <w:tc>
          <w:tcPr>
            <w:tcW w:w="580" w:type="dxa"/>
            <w:vAlign w:val="bottom"/>
          </w:tcPr>
          <w:p>
            <w:pPr>
              <w:spacing w:after="0"/>
              <w:rPr>
                <w:sz w:val="21"/>
                <w:szCs w:val="21"/>
                <w:color w:val="auto"/>
              </w:rPr>
            </w:pPr>
          </w:p>
        </w:tc>
        <w:tc>
          <w:tcPr>
            <w:tcW w:w="1440" w:type="dxa"/>
            <w:vAlign w:val="bottom"/>
            <w:gridSpan w:val="3"/>
          </w:tcPr>
          <w:p>
            <w:pPr>
              <w:ind w:left="280"/>
              <w:spacing w:after="0"/>
              <w:rPr>
                <w:sz w:val="20"/>
                <w:szCs w:val="20"/>
                <w:color w:val="auto"/>
              </w:rPr>
            </w:pPr>
            <w:r>
              <w:rPr>
                <w:rFonts w:ascii="Arial" w:cs="Arial" w:eastAsia="Arial" w:hAnsi="Arial"/>
                <w:sz w:val="19"/>
                <w:szCs w:val="19"/>
                <w:color w:val="auto"/>
              </w:rPr>
              <w:t>its Manager</w:t>
            </w: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427"/>
        </w:trPr>
        <w:tc>
          <w:tcPr>
            <w:tcW w:w="580" w:type="dxa"/>
            <w:vAlign w:val="bottom"/>
          </w:tcPr>
          <w:p>
            <w:pPr>
              <w:spacing w:after="0"/>
              <w:rPr>
                <w:sz w:val="20"/>
                <w:szCs w:val="20"/>
                <w:color w:val="auto"/>
              </w:rPr>
            </w:pPr>
            <w:r>
              <w:rPr>
                <w:rFonts w:ascii="Arial" w:cs="Arial" w:eastAsia="Arial" w:hAnsi="Arial"/>
                <w:sz w:val="19"/>
                <w:szCs w:val="19"/>
                <w:color w:val="auto"/>
              </w:rPr>
              <w:t>By:</w:t>
            </w:r>
          </w:p>
        </w:tc>
        <w:tc>
          <w:tcPr>
            <w:tcW w:w="4060" w:type="dxa"/>
            <w:vAlign w:val="bottom"/>
            <w:gridSpan w:val="7"/>
          </w:tcPr>
          <w:p>
            <w:pPr>
              <w:ind w:left="340"/>
              <w:spacing w:after="0"/>
              <w:rPr>
                <w:sz w:val="20"/>
                <w:szCs w:val="20"/>
                <w:color w:val="auto"/>
              </w:rPr>
            </w:pPr>
            <w:r>
              <w:rPr>
                <w:rFonts w:ascii="Arial" w:cs="Arial" w:eastAsia="Arial" w:hAnsi="Arial"/>
                <w:sz w:val="19"/>
                <w:szCs w:val="19"/>
                <w:color w:val="auto"/>
                <w:w w:val="98"/>
              </w:rPr>
              <w:t>BentallGreenOak (U.S.) Limited Partnership,</w:t>
            </w:r>
          </w:p>
        </w:tc>
      </w:tr>
      <w:tr>
        <w:trPr>
          <w:trHeight w:val="246"/>
        </w:trPr>
        <w:tc>
          <w:tcPr>
            <w:tcW w:w="580" w:type="dxa"/>
            <w:vAlign w:val="bottom"/>
          </w:tcPr>
          <w:p>
            <w:pPr>
              <w:spacing w:after="0"/>
              <w:rPr>
                <w:sz w:val="21"/>
                <w:szCs w:val="21"/>
                <w:color w:val="auto"/>
              </w:rPr>
            </w:pPr>
          </w:p>
        </w:tc>
        <w:tc>
          <w:tcPr>
            <w:tcW w:w="4060" w:type="dxa"/>
            <w:vAlign w:val="bottom"/>
            <w:gridSpan w:val="7"/>
          </w:tcPr>
          <w:p>
            <w:pPr>
              <w:ind w:left="280"/>
              <w:spacing w:after="0"/>
              <w:rPr>
                <w:sz w:val="20"/>
                <w:szCs w:val="20"/>
                <w:color w:val="auto"/>
              </w:rPr>
            </w:pPr>
            <w:r>
              <w:rPr>
                <w:rFonts w:ascii="Arial" w:cs="Arial" w:eastAsia="Arial" w:hAnsi="Arial"/>
                <w:sz w:val="19"/>
                <w:szCs w:val="19"/>
                <w:color w:val="auto"/>
              </w:rPr>
              <w:t>its Authorized Signatory</w:t>
            </w:r>
          </w:p>
        </w:tc>
      </w:tr>
      <w:tr>
        <w:trPr>
          <w:trHeight w:val="427"/>
        </w:trPr>
        <w:tc>
          <w:tcPr>
            <w:tcW w:w="580" w:type="dxa"/>
            <w:vAlign w:val="bottom"/>
          </w:tcPr>
          <w:p>
            <w:pPr>
              <w:spacing w:after="0"/>
              <w:rPr>
                <w:sz w:val="20"/>
                <w:szCs w:val="20"/>
                <w:color w:val="auto"/>
              </w:rPr>
            </w:pPr>
            <w:r>
              <w:rPr>
                <w:rFonts w:ascii="Arial" w:cs="Arial" w:eastAsia="Arial" w:hAnsi="Arial"/>
                <w:sz w:val="19"/>
                <w:szCs w:val="19"/>
                <w:color w:val="auto"/>
              </w:rPr>
              <w:t>By:</w:t>
            </w:r>
          </w:p>
        </w:tc>
        <w:tc>
          <w:tcPr>
            <w:tcW w:w="4060" w:type="dxa"/>
            <w:vAlign w:val="bottom"/>
            <w:gridSpan w:val="7"/>
          </w:tcPr>
          <w:p>
            <w:pPr>
              <w:ind w:left="340"/>
              <w:spacing w:after="0"/>
              <w:rPr>
                <w:sz w:val="20"/>
                <w:szCs w:val="20"/>
                <w:color w:val="auto"/>
              </w:rPr>
            </w:pPr>
            <w:r>
              <w:rPr>
                <w:rFonts w:ascii="Arial" w:cs="Arial" w:eastAsia="Arial" w:hAnsi="Arial"/>
                <w:sz w:val="19"/>
                <w:szCs w:val="19"/>
                <w:color w:val="auto"/>
              </w:rPr>
              <w:t>BentallGreenOak (U.S.) GP LLC,</w:t>
            </w:r>
          </w:p>
        </w:tc>
      </w:tr>
      <w:tr>
        <w:trPr>
          <w:trHeight w:val="246"/>
        </w:trPr>
        <w:tc>
          <w:tcPr>
            <w:tcW w:w="580" w:type="dxa"/>
            <w:vAlign w:val="bottom"/>
          </w:tcPr>
          <w:p>
            <w:pPr>
              <w:spacing w:after="0"/>
              <w:rPr>
                <w:sz w:val="21"/>
                <w:szCs w:val="21"/>
                <w:color w:val="auto"/>
              </w:rPr>
            </w:pPr>
          </w:p>
        </w:tc>
        <w:tc>
          <w:tcPr>
            <w:tcW w:w="4060" w:type="dxa"/>
            <w:vAlign w:val="bottom"/>
            <w:gridSpan w:val="7"/>
          </w:tcPr>
          <w:p>
            <w:pPr>
              <w:ind w:left="280"/>
              <w:spacing w:after="0"/>
              <w:rPr>
                <w:sz w:val="20"/>
                <w:szCs w:val="20"/>
                <w:color w:val="auto"/>
              </w:rPr>
            </w:pPr>
            <w:r>
              <w:rPr>
                <w:rFonts w:ascii="Arial" w:cs="Arial" w:eastAsia="Arial" w:hAnsi="Arial"/>
                <w:sz w:val="19"/>
                <w:szCs w:val="19"/>
                <w:color w:val="auto"/>
              </w:rPr>
              <w:t>its General Partner</w:t>
            </w:r>
          </w:p>
        </w:tc>
      </w:tr>
      <w:tr>
        <w:trPr>
          <w:trHeight w:val="629"/>
        </w:trPr>
        <w:tc>
          <w:tcPr>
            <w:tcW w:w="580" w:type="dxa"/>
            <w:vAlign w:val="bottom"/>
          </w:tcPr>
          <w:p>
            <w:pPr>
              <w:spacing w:after="0"/>
              <w:rPr>
                <w:sz w:val="24"/>
                <w:szCs w:val="24"/>
                <w:color w:val="auto"/>
              </w:rPr>
            </w:pPr>
          </w:p>
        </w:tc>
        <w:tc>
          <w:tcPr>
            <w:tcW w:w="4060" w:type="dxa"/>
            <w:vAlign w:val="bottom"/>
            <w:gridSpan w:val="7"/>
          </w:tcPr>
          <w:p>
            <w:pPr>
              <w:ind w:left="280"/>
              <w:spacing w:after="0"/>
              <w:rPr>
                <w:sz w:val="20"/>
                <w:szCs w:val="20"/>
                <w:color w:val="auto"/>
              </w:rPr>
            </w:pPr>
            <w:r>
              <w:rPr>
                <w:rFonts w:ascii="Arial" w:cs="Arial" w:eastAsia="Arial" w:hAnsi="Arial"/>
                <w:sz w:val="19"/>
                <w:szCs w:val="19"/>
                <w:color w:val="auto"/>
              </w:rPr>
              <w:t>By: /s/ David Policar</w:t>
            </w:r>
          </w:p>
        </w:tc>
      </w:tr>
      <w:tr>
        <w:trPr>
          <w:trHeight w:val="20"/>
        </w:trPr>
        <w:tc>
          <w:tcPr>
            <w:tcW w:w="5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4060" w:type="dxa"/>
            <w:vAlign w:val="bottom"/>
            <w:gridSpan w:val="7"/>
          </w:tcPr>
          <w:p>
            <w:pPr>
              <w:ind w:left="280"/>
              <w:spacing w:after="0" w:line="204" w:lineRule="exact"/>
              <w:rPr>
                <w:sz w:val="20"/>
                <w:szCs w:val="20"/>
                <w:color w:val="auto"/>
              </w:rPr>
            </w:pPr>
            <w:r>
              <w:rPr>
                <w:rFonts w:ascii="Arial" w:cs="Arial" w:eastAsia="Arial" w:hAnsi="Arial"/>
                <w:sz w:val="19"/>
                <w:szCs w:val="19"/>
                <w:color w:val="auto"/>
              </w:rPr>
              <w:t>Name: David Policar</w:t>
            </w:r>
          </w:p>
        </w:tc>
      </w:tr>
      <w:tr>
        <w:trPr>
          <w:trHeight w:val="20"/>
        </w:trPr>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4060" w:type="dxa"/>
            <w:vAlign w:val="bottom"/>
            <w:gridSpan w:val="7"/>
          </w:tcPr>
          <w:p>
            <w:pPr>
              <w:ind w:left="280"/>
              <w:spacing w:after="0" w:line="204" w:lineRule="exact"/>
              <w:rPr>
                <w:sz w:val="20"/>
                <w:szCs w:val="20"/>
                <w:color w:val="auto"/>
              </w:rPr>
            </w:pPr>
            <w:r>
              <w:rPr>
                <w:rFonts w:ascii="Arial" w:cs="Arial" w:eastAsia="Arial" w:hAnsi="Arial"/>
                <w:sz w:val="19"/>
                <w:szCs w:val="19"/>
                <w:color w:val="auto"/>
              </w:rPr>
              <w:t>Its: Principal, Asset Management</w:t>
            </w:r>
          </w:p>
        </w:tc>
      </w:tr>
      <w:tr>
        <w:trPr>
          <w:trHeight w:val="20"/>
        </w:trPr>
        <w:tc>
          <w:tcPr>
            <w:tcW w:w="5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700" w:type="dxa"/>
            <w:vAlign w:val="bottom"/>
            <w:gridSpan w:val="4"/>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53"/>
        </w:trPr>
        <w:tc>
          <w:tcPr>
            <w:tcW w:w="580" w:type="dxa"/>
            <w:vAlign w:val="bottom"/>
          </w:tcPr>
          <w:p>
            <w:pPr>
              <w:spacing w:after="0"/>
              <w:rPr>
                <w:sz w:val="24"/>
                <w:szCs w:val="24"/>
                <w:color w:val="auto"/>
              </w:rPr>
            </w:pPr>
          </w:p>
        </w:tc>
        <w:tc>
          <w:tcPr>
            <w:tcW w:w="4060" w:type="dxa"/>
            <w:vAlign w:val="bottom"/>
            <w:gridSpan w:val="7"/>
          </w:tcPr>
          <w:p>
            <w:pPr>
              <w:ind w:left="280"/>
              <w:spacing w:after="0"/>
              <w:rPr>
                <w:sz w:val="20"/>
                <w:szCs w:val="20"/>
                <w:color w:val="auto"/>
              </w:rPr>
            </w:pPr>
            <w:r>
              <w:rPr>
                <w:rFonts w:ascii="Arial" w:cs="Arial" w:eastAsia="Arial" w:hAnsi="Arial"/>
                <w:sz w:val="19"/>
                <w:szCs w:val="19"/>
                <w:color w:val="auto"/>
              </w:rPr>
              <w:t>By: /s/ Kelli D. Dickerson</w:t>
            </w:r>
          </w:p>
        </w:tc>
      </w:tr>
      <w:tr>
        <w:trPr>
          <w:trHeight w:val="20"/>
        </w:trPr>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1440" w:type="dxa"/>
            <w:vAlign w:val="bottom"/>
            <w:gridSpan w:val="3"/>
          </w:tcPr>
          <w:p>
            <w:pPr>
              <w:ind w:left="280"/>
              <w:spacing w:after="0" w:line="204" w:lineRule="exact"/>
              <w:rPr>
                <w:sz w:val="20"/>
                <w:szCs w:val="20"/>
                <w:color w:val="auto"/>
              </w:rPr>
            </w:pPr>
            <w:r>
              <w:rPr>
                <w:rFonts w:ascii="Arial" w:cs="Arial" w:eastAsia="Arial" w:hAnsi="Arial"/>
                <w:sz w:val="19"/>
                <w:szCs w:val="19"/>
                <w:color w:val="auto"/>
              </w:rPr>
              <w:t>Name:</w:t>
            </w:r>
          </w:p>
        </w:tc>
        <w:tc>
          <w:tcPr>
            <w:tcW w:w="2620" w:type="dxa"/>
            <w:vAlign w:val="bottom"/>
            <w:gridSpan w:val="4"/>
          </w:tcPr>
          <w:p>
            <w:pPr>
              <w:spacing w:after="0" w:line="204" w:lineRule="exact"/>
              <w:rPr>
                <w:sz w:val="20"/>
                <w:szCs w:val="20"/>
                <w:color w:val="auto"/>
              </w:rPr>
            </w:pPr>
            <w:r>
              <w:rPr>
                <w:rFonts w:ascii="Arial" w:cs="Arial" w:eastAsia="Arial" w:hAnsi="Arial"/>
                <w:sz w:val="19"/>
                <w:szCs w:val="19"/>
                <w:color w:val="auto"/>
              </w:rPr>
              <w:t>Kelli D. Dickerson</w:t>
            </w:r>
          </w:p>
        </w:tc>
      </w:tr>
      <w:tr>
        <w:trPr>
          <w:trHeight w:val="20"/>
        </w:trPr>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tcBorders>
              <w:left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860"/>
        <w:spacing w:after="0"/>
        <w:rPr>
          <w:sz w:val="20"/>
          <w:szCs w:val="20"/>
          <w:color w:val="auto"/>
        </w:rPr>
      </w:pPr>
      <w:r>
        <w:rPr>
          <w:rFonts w:ascii="Arial" w:cs="Arial" w:eastAsia="Arial" w:hAnsi="Arial"/>
          <w:sz w:val="19"/>
          <w:szCs w:val="19"/>
          <w:color w:val="auto"/>
        </w:rPr>
        <w:t xml:space="preserve">Its: </w:t>
      </w:r>
      <w:r>
        <w:rPr>
          <w:rFonts w:ascii="Arial" w:cs="Arial" w:eastAsia="Arial" w:hAnsi="Arial"/>
          <w:sz w:val="19"/>
          <w:szCs w:val="19"/>
          <w:u w:val="single" w:color="auto"/>
          <w:color w:val="auto"/>
        </w:rPr>
        <w:t>Principal, Asset Management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MANNKIND CORPORATION,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 Delaware corporation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Stuart Tross</w:t>
      </w:r>
    </w:p>
    <w:p>
      <w:pPr>
        <w:spacing w:after="0" w:line="22"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u w:val="single" w:color="auto"/>
          <w:color w:val="auto"/>
        </w:rPr>
        <w:t>Stuart Tross</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Its: </w:t>
      </w:r>
      <w:r>
        <w:rPr>
          <w:rFonts w:ascii="Arial" w:cs="Arial" w:eastAsia="Arial" w:hAnsi="Arial"/>
          <w:sz w:val="19"/>
          <w:szCs w:val="19"/>
          <w:u w:val="single" w:color="auto"/>
          <w:color w:val="auto"/>
        </w:rPr>
        <w:t>SAT</w:t>
      </w:r>
    </w:p>
    <w:p>
      <w:pPr>
        <w:sectPr>
          <w:pgSz w:w="11900" w:h="16838" w:orient="portrait"/>
          <w:cols w:equalWidth="0" w:num="1">
            <w:col w:w="10139"/>
          </w:cols>
          <w:pgMar w:left="320" w:top="122"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16"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2022 of MannKind Corporation;</w:t>
      </w:r>
    </w:p>
    <w:p>
      <w:pPr>
        <w:spacing w:after="0" w:line="215" w:lineRule="exact"/>
        <w:rPr>
          <w:rFonts w:ascii="Arial" w:cs="Arial" w:eastAsia="Arial" w:hAnsi="Arial"/>
          <w:sz w:val="18"/>
          <w:szCs w:val="18"/>
          <w:color w:val="auto"/>
        </w:rPr>
      </w:pPr>
    </w:p>
    <w:p>
      <w:pPr>
        <w:ind w:left="1000" w:right="60" w:hanging="493"/>
        <w:spacing w:after="0" w:line="254"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1000" w:hanging="493"/>
        <w:spacing w:after="0" w:line="292"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1000" w:right="180" w:hanging="493"/>
        <w:spacing w:after="0" w:line="302" w:lineRule="auto"/>
        <w:tabs>
          <w:tab w:leader="none" w:pos="10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00"/>
        <w:spacing w:after="0"/>
        <w:rPr>
          <w:rFonts w:ascii="Arial" w:cs="Arial" w:eastAsia="Arial" w:hAnsi="Arial"/>
          <w:sz w:val="15"/>
          <w:szCs w:val="15"/>
          <w:color w:val="auto"/>
        </w:rPr>
      </w:pPr>
      <w:r>
        <w:rPr>
          <w:rFonts w:ascii="Arial" w:cs="Arial" w:eastAsia="Arial" w:hAnsi="Arial"/>
          <w:sz w:val="18"/>
          <w:szCs w:val="18"/>
          <w:color w:val="auto"/>
        </w:rPr>
        <w:t>15d-15(f)) for the registrant and have:</w:t>
      </w:r>
    </w:p>
    <w:p>
      <w:pPr>
        <w:spacing w:after="0" w:line="98" w:lineRule="exact"/>
        <w:rPr>
          <w:rFonts w:ascii="Arial" w:cs="Arial" w:eastAsia="Arial" w:hAnsi="Arial"/>
          <w:sz w:val="15"/>
          <w:szCs w:val="15"/>
          <w:color w:val="auto"/>
        </w:rPr>
      </w:pPr>
    </w:p>
    <w:p>
      <w:pPr>
        <w:ind w:left="1500" w:right="140" w:hanging="504"/>
        <w:spacing w:after="0" w:line="276" w:lineRule="auto"/>
        <w:tabs>
          <w:tab w:leader="none" w:pos="15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7"/>
          <w:szCs w:val="17"/>
          <w:color w:val="auto"/>
        </w:rPr>
      </w:pPr>
    </w:p>
    <w:p>
      <w:pPr>
        <w:ind w:left="1500" w:right="60" w:hanging="504"/>
        <w:spacing w:after="0" w:line="254" w:lineRule="auto"/>
        <w:tabs>
          <w:tab w:leader="none" w:pos="1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500" w:right="240" w:hanging="504"/>
        <w:spacing w:after="0" w:line="364" w:lineRule="auto"/>
        <w:tabs>
          <w:tab w:leader="none" w:pos="1500" w:val="left"/>
        </w:tabs>
        <w:numPr>
          <w:ilvl w:val="1"/>
          <w:numId w:val="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5"/>
          <w:szCs w:val="15"/>
          <w:color w:val="auto"/>
        </w:rPr>
      </w:pPr>
    </w:p>
    <w:p>
      <w:pPr>
        <w:ind w:left="1500" w:right="200" w:hanging="504"/>
        <w:spacing w:after="0" w:line="276" w:lineRule="auto"/>
        <w:tabs>
          <w:tab w:leader="none" w:pos="15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1000" w:right="140" w:hanging="493"/>
        <w:spacing w:after="0" w:line="364" w:lineRule="auto"/>
        <w:tabs>
          <w:tab w:leader="none" w:pos="10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5"/>
          <w:szCs w:val="15"/>
          <w:color w:val="auto"/>
        </w:rPr>
      </w:pPr>
    </w:p>
    <w:p>
      <w:pPr>
        <w:ind w:left="1500" w:right="460" w:hanging="504"/>
        <w:spacing w:after="0" w:line="364" w:lineRule="auto"/>
        <w:tabs>
          <w:tab w:leader="none" w:pos="1500" w:val="left"/>
        </w:tabs>
        <w:numPr>
          <w:ilvl w:val="1"/>
          <w:numId w:val="4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5"/>
          <w:szCs w:val="15"/>
          <w:color w:val="auto"/>
        </w:rPr>
      </w:pPr>
    </w:p>
    <w:p>
      <w:pPr>
        <w:ind w:left="1500" w:right="160" w:hanging="504"/>
        <w:spacing w:after="0" w:line="263" w:lineRule="auto"/>
        <w:tabs>
          <w:tab w:leader="none" w:pos="1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19050</wp:posOffset>
            </wp:positionV>
            <wp:extent cx="31527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3152775" cy="8255"/>
                    </a:xfrm>
                    <a:prstGeom prst="rect">
                      <a:avLst/>
                    </a:prstGeom>
                    <a:noFill/>
                  </pic:spPr>
                </pic:pic>
              </a:graphicData>
            </a:graphic>
          </wp:anchor>
        </w:drawing>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ectPr>
          <w:pgSz w:w="11900" w:h="16838" w:orient="portrait"/>
          <w:cols w:equalWidth="0" w:num="1">
            <w:col w:w="11240"/>
          </w:cols>
          <w:pgMar w:left="320" w:top="332"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16"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2022 of MannKind Corporation;</w:t>
      </w:r>
    </w:p>
    <w:p>
      <w:pPr>
        <w:spacing w:after="0" w:line="215" w:lineRule="exact"/>
        <w:rPr>
          <w:rFonts w:ascii="Arial" w:cs="Arial" w:eastAsia="Arial" w:hAnsi="Arial"/>
          <w:sz w:val="18"/>
          <w:szCs w:val="18"/>
          <w:color w:val="auto"/>
        </w:rPr>
      </w:pPr>
    </w:p>
    <w:p>
      <w:pPr>
        <w:ind w:left="1000" w:right="60" w:hanging="493"/>
        <w:spacing w:after="0" w:line="254"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1000" w:hanging="493"/>
        <w:spacing w:after="0" w:line="292"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1000" w:right="180" w:hanging="493"/>
        <w:spacing w:after="0" w:line="302" w:lineRule="auto"/>
        <w:tabs>
          <w:tab w:leader="none" w:pos="10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00"/>
        <w:spacing w:after="0"/>
        <w:rPr>
          <w:rFonts w:ascii="Arial" w:cs="Arial" w:eastAsia="Arial" w:hAnsi="Arial"/>
          <w:sz w:val="15"/>
          <w:szCs w:val="15"/>
          <w:color w:val="auto"/>
        </w:rPr>
      </w:pPr>
      <w:r>
        <w:rPr>
          <w:rFonts w:ascii="Arial" w:cs="Arial" w:eastAsia="Arial" w:hAnsi="Arial"/>
          <w:sz w:val="18"/>
          <w:szCs w:val="18"/>
          <w:color w:val="auto"/>
        </w:rPr>
        <w:t>15d-15(f)) for the registrant and have:</w:t>
      </w:r>
    </w:p>
    <w:p>
      <w:pPr>
        <w:spacing w:after="0" w:line="98" w:lineRule="exact"/>
        <w:rPr>
          <w:rFonts w:ascii="Arial" w:cs="Arial" w:eastAsia="Arial" w:hAnsi="Arial"/>
          <w:sz w:val="15"/>
          <w:szCs w:val="15"/>
          <w:color w:val="auto"/>
        </w:rPr>
      </w:pPr>
    </w:p>
    <w:p>
      <w:pPr>
        <w:ind w:left="1500" w:right="140" w:hanging="504"/>
        <w:spacing w:after="0" w:line="276" w:lineRule="auto"/>
        <w:tabs>
          <w:tab w:leader="none" w:pos="15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7"/>
          <w:szCs w:val="17"/>
          <w:color w:val="auto"/>
        </w:rPr>
      </w:pPr>
    </w:p>
    <w:p>
      <w:pPr>
        <w:ind w:left="1500" w:right="60" w:hanging="504"/>
        <w:spacing w:after="0" w:line="254" w:lineRule="auto"/>
        <w:tabs>
          <w:tab w:leader="none" w:pos="1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500" w:right="240" w:hanging="504"/>
        <w:spacing w:after="0" w:line="364" w:lineRule="auto"/>
        <w:tabs>
          <w:tab w:leader="none" w:pos="1500" w:val="left"/>
        </w:tabs>
        <w:numPr>
          <w:ilvl w:val="1"/>
          <w:numId w:val="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5"/>
          <w:szCs w:val="15"/>
          <w:color w:val="auto"/>
        </w:rPr>
      </w:pPr>
    </w:p>
    <w:p>
      <w:pPr>
        <w:ind w:left="1500" w:right="200" w:hanging="504"/>
        <w:spacing w:after="0" w:line="276" w:lineRule="auto"/>
        <w:tabs>
          <w:tab w:leader="none" w:pos="15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1000" w:right="140" w:hanging="493"/>
        <w:spacing w:after="0" w:line="364" w:lineRule="auto"/>
        <w:tabs>
          <w:tab w:leader="none" w:pos="10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5"/>
          <w:szCs w:val="15"/>
          <w:color w:val="auto"/>
        </w:rPr>
      </w:pPr>
    </w:p>
    <w:p>
      <w:pPr>
        <w:ind w:left="1500" w:right="460" w:hanging="504"/>
        <w:spacing w:after="0" w:line="364" w:lineRule="auto"/>
        <w:tabs>
          <w:tab w:leader="none" w:pos="1500" w:val="left"/>
        </w:tabs>
        <w:numPr>
          <w:ilvl w:val="1"/>
          <w:numId w:val="4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5"/>
          <w:szCs w:val="15"/>
          <w:color w:val="auto"/>
        </w:rPr>
      </w:pPr>
    </w:p>
    <w:p>
      <w:pPr>
        <w:ind w:left="1500" w:right="160" w:hanging="504"/>
        <w:spacing w:after="0" w:line="263" w:lineRule="auto"/>
        <w:tabs>
          <w:tab w:leader="none" w:pos="1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19050</wp:posOffset>
            </wp:positionV>
            <wp:extent cx="31527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3152775" cy="8255"/>
                    </a:xfrm>
                    <a:prstGeom prst="rect">
                      <a:avLst/>
                    </a:prstGeom>
                    <a:noFill/>
                  </pic:spPr>
                </pic:pic>
              </a:graphicData>
            </a:graphic>
          </wp:anchor>
        </w:drawing>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ectPr>
          <w:pgSz w:w="11900" w:h="16838" w:orient="portrait"/>
          <w:cols w:equalWidth="0" w:num="1">
            <w:col w:w="11240"/>
          </w:cols>
          <w:pgMar w:left="320" w:top="332"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4"/>
          <w:szCs w:val="14"/>
          <w:b w:val="1"/>
          <w:bCs w:val="1"/>
          <w:color w:val="auto"/>
        </w:rPr>
        <w:t>1</w:t>
      </w:r>
    </w:p>
    <w:p>
      <w:pPr>
        <w:spacing w:after="0" w:line="220"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2022,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88" w:lineRule="exact"/>
        <w:rPr>
          <w:sz w:val="20"/>
          <w:szCs w:val="20"/>
          <w:color w:val="auto"/>
        </w:rPr>
      </w:pPr>
    </w:p>
    <w:p>
      <w:pPr>
        <w:ind w:left="180" w:hanging="174"/>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09" w:lineRule="exact"/>
        <w:rPr>
          <w:rFonts w:ascii="Arial" w:cs="Arial" w:eastAsia="Arial" w:hAnsi="Arial"/>
          <w:sz w:val="18"/>
          <w:szCs w:val="18"/>
          <w:color w:val="auto"/>
        </w:rPr>
      </w:pPr>
    </w:p>
    <w:p>
      <w:pPr>
        <w:ind w:left="180" w:hanging="174"/>
        <w:spacing w:after="0"/>
        <w:tabs>
          <w:tab w:leader="none" w:pos="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5th day of May, 2022.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5636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Michael E. Castagna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7" w:lineRule="exact"/>
        <w:rPr>
          <w:sz w:val="20"/>
          <w:szCs w:val="20"/>
          <w:color w:val="auto"/>
        </w:rPr>
      </w:pPr>
    </w:p>
    <w:p>
      <w:pPr>
        <w:ind w:left="260" w:right="200" w:hanging="254"/>
        <w:spacing w:after="0" w:line="300" w:lineRule="auto"/>
        <w:tabs>
          <w:tab w:leader="none" w:pos="260" w:val="left"/>
        </w:tabs>
        <w:numPr>
          <w:ilvl w:val="0"/>
          <w:numId w:val="44"/>
        </w:numPr>
        <w:rPr>
          <w:rFonts w:ascii="Arial" w:cs="Arial" w:eastAsia="Arial" w:hAnsi="Arial"/>
          <w:sz w:val="14"/>
          <w:szCs w:val="14"/>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-438150</wp:posOffset>
            </wp:positionV>
            <wp:extent cx="71354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4"/>
          <w:szCs w:val="14"/>
          <w:b w:val="1"/>
          <w:bCs w:val="1"/>
          <w:color w:val="auto"/>
        </w:rPr>
        <w:t>1</w:t>
      </w:r>
    </w:p>
    <w:p>
      <w:pPr>
        <w:spacing w:after="0" w:line="220"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March 31, 2022,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88" w:lineRule="exact"/>
        <w:rPr>
          <w:sz w:val="20"/>
          <w:szCs w:val="20"/>
          <w:color w:val="auto"/>
        </w:rPr>
      </w:pPr>
    </w:p>
    <w:p>
      <w:pPr>
        <w:ind w:left="180" w:hanging="174"/>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09" w:lineRule="exact"/>
        <w:rPr>
          <w:rFonts w:ascii="Arial" w:cs="Arial" w:eastAsia="Arial" w:hAnsi="Arial"/>
          <w:sz w:val="18"/>
          <w:szCs w:val="18"/>
          <w:color w:val="auto"/>
        </w:rPr>
      </w:pPr>
    </w:p>
    <w:p>
      <w:pPr>
        <w:ind w:left="180" w:hanging="174"/>
        <w:spacing w:after="0"/>
        <w:tabs>
          <w:tab w:leader="none" w:pos="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5th day of May, 2022.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5636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Steven B. Binder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7" w:lineRule="exact"/>
        <w:rPr>
          <w:sz w:val="20"/>
          <w:szCs w:val="20"/>
          <w:color w:val="auto"/>
        </w:rPr>
      </w:pPr>
    </w:p>
    <w:p>
      <w:pPr>
        <w:ind w:left="260" w:right="200" w:hanging="254"/>
        <w:spacing w:after="0" w:line="300" w:lineRule="auto"/>
        <w:tabs>
          <w:tab w:leader="none" w:pos="260" w:val="left"/>
        </w:tabs>
        <w:numPr>
          <w:ilvl w:val="0"/>
          <w:numId w:val="46"/>
        </w:numPr>
        <w:rPr>
          <w:rFonts w:ascii="Arial" w:cs="Arial" w:eastAsia="Arial" w:hAnsi="Arial"/>
          <w:sz w:val="14"/>
          <w:szCs w:val="14"/>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-438150</wp:posOffset>
            </wp:positionV>
            <wp:extent cx="71354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upperLetter"/>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3"/>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lowerLetter"/>
      <w:start w:val="2"/>
    </w:lvl>
  </w:abstractNum>
  <w:abstractNum w:abstractNumId="37">
    <w:nsid w:val="70A64E2A"/>
    <w:multiLevelType w:val="hybridMultilevel"/>
    <w:lvl w:ilvl="0">
      <w:lvlJc w:val="left"/>
      <w:lvlText w:val="%1."/>
      <w:numFmt w:val="decimal"/>
      <w:start w:val="4"/>
    </w:lvl>
  </w:abstractNum>
  <w:abstractNum w:abstractNumId="38">
    <w:nsid w:val="6A2342EC"/>
    <w:multiLevelType w:val="hybridMultilevel"/>
    <w:lvl w:ilvl="0">
      <w:lvlJc w:val="left"/>
      <w:lvlText w:val="%1."/>
      <w:numFmt w:val="decimal"/>
      <w:start w:val="8"/>
    </w:lvl>
  </w:abstractNum>
  <w:abstractNum w:abstractNumId="39">
    <w:nsid w:val="2A487CB0"/>
    <w:multiLevelType w:val="hybridMultilevel"/>
    <w:lvl w:ilvl="0">
      <w:lvlJc w:val="left"/>
      <w:lvlText w:val="%1."/>
      <w:numFmt w:val="decimal"/>
      <w:start w:val="1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bullet"/>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89" Type="http://schemas.openxmlformats.org/officeDocument/2006/relationships/hyperlink" Target="http://www.sec.gov/Archives/edgar/data/899460/000119312516676980/d225552dex31.htm" TargetMode="External"/><Relationship Id="rId90" Type="http://schemas.openxmlformats.org/officeDocument/2006/relationships/hyperlink" Target="http://www.sec.gov/Archives/edgar/data/899460/000119312517066630/d313758dex31.htm" TargetMode="External"/><Relationship Id="rId91" Type="http://schemas.openxmlformats.org/officeDocument/2006/relationships/hyperlink" Target="http://www.sec.gov/Archives/edgar/data/899460/000119312517368329/d511527dex31.htm" TargetMode="External"/><Relationship Id="rId92" Type="http://schemas.openxmlformats.org/officeDocument/2006/relationships/hyperlink" Target="http://www.sec.gov/Archives/edgar/data/899460/000119312520153051/d936164dex31.htm" TargetMode="External"/><Relationship Id="rId93" Type="http://schemas.openxmlformats.org/officeDocument/2006/relationships/hyperlink" Target="http://www.sec.gov/Archives/edgar/data/899460/000119312520153051/d936164dex32.htm" TargetMode="External"/><Relationship Id="rId94" Type="http://schemas.openxmlformats.org/officeDocument/2006/relationships/hyperlink" Target="http://www.sec.gov/Archives/edgar/data/899460/000119312517085519/d305327dex42.htm" TargetMode="External"/><Relationship Id="rId95" Type="http://schemas.openxmlformats.org/officeDocument/2006/relationships/hyperlink" Target="http://www.sec.gov/Archives/edgar/data/899460/000119312513279522/d562665dex993.htm" TargetMode="External"/><Relationship Id="rId96" Type="http://schemas.openxmlformats.org/officeDocument/2006/relationships/hyperlink" Target="http://www.sec.gov/Archives/edgar/data/899460/000119312519215305/d757696dex41.htm" TargetMode="External"/><Relationship Id="rId97" Type="http://schemas.openxmlformats.org/officeDocument/2006/relationships/hyperlink" Target="http://www.sec.gov/Archives/edgar/data/899460/000119312519215305/d757696dex46.htm" TargetMode="External"/><Relationship Id="rId98" Type="http://schemas.openxmlformats.org/officeDocument/2006/relationships/hyperlink" Target="http://www.sec.gov/Archives/edgar/data/0000899460/000119312521130221/d174090dex992.htm" TargetMode="External"/><Relationship Id="rId99" Type="http://schemas.openxmlformats.org/officeDocument/2006/relationships/hyperlink" Target="http://www.sec.gov/Archives/edgar/data/899460/000119312519215305/d757696dex47.htm" TargetMode="External"/><Relationship Id="rId100" Type="http://schemas.openxmlformats.org/officeDocument/2006/relationships/hyperlink" Target="http://www.sec.gov/Archives/edgar/data/899460/000119312521070265/d45565dex41.htm" TargetMode="External"/><Relationship Id="rId101" Type="http://schemas.openxmlformats.org/officeDocument/2006/relationships/hyperlink" Target="http://www.sec.gov/Archives/edgar/data/899460/000119312521070265/d45565dex41.htm#ex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2022-05-06T12:02:38Z</dcterms:created>
  <dcterms:modified xsi:type="dcterms:W3CDTF">2022-05-06T12:02:38Z</dcterms:modified>
</cp:coreProperties>
</file>