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27,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MannKind Corporation</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000-50865</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13-3607736</w:t>
            </w:r>
          </w:p>
        </w:tc>
      </w:tr>
      <w:tr>
        <w:trPr>
          <w:trHeight w:val="149"/>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rPr>
              <w:t>1 Casper Street</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rPr>
              <w:t>Danbury, Connecticut</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06810</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(818) 661-5000</w:t>
      </w:r>
    </w:p>
    <w:p>
      <w:pPr>
        <w:spacing w:after="0" w:line="3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248285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MNKD</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Update</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connection with the approval of the Biologics License Application (“BLA”) for Afrezza in June 2014, the U.S. Food and Drug Administration (“FDA”) required us to conduct a five-year, randomized, controlled trial in 8,000-10,000 patients with type 2 diabetes to assess the risk of pulmonary malignancy observed with Afrezza to that observed in a standard of care control group.</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May 27, 2026, the FDA informed us that we were released from this postmarketing requirement.</w:t>
      </w:r>
    </w:p>
    <w:p>
      <w:pPr>
        <w:spacing w:after="0" w:line="117"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only remaining postmarketing requirement for Afrezza is an assessment of its efficacy and safety in pediatric patients. In October 2025, the FDA accepted for review a supplemental BLA for Afrezza in children and adolescents between the ages of 4-17 who are living with type 1 or type 2 diabetes, with a PDUFA target action date of May 29, 2026.</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Clinical Update</w:t>
      </w:r>
    </w:p>
    <w:p>
      <w:pPr>
        <w:spacing w:after="0" w:line="128"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8"/>
          <w:szCs w:val="18"/>
          <w:color w:val="auto"/>
        </w:rPr>
        <w:t>INHALE-1</w:t>
      </w:r>
      <w:r>
        <w:rPr>
          <w:rFonts w:ascii="Times New Roman" w:cs="Times New Roman" w:eastAsia="Times New Roman" w:hAnsi="Times New Roman"/>
          <w:sz w:val="24"/>
          <w:szCs w:val="24"/>
          <w:color w:val="auto"/>
          <w:vertAlign w:val="superscript"/>
        </w:rPr>
        <w:t>st</w:t>
      </w:r>
      <w:r>
        <w:rPr>
          <w:rFonts w:ascii="Times New Roman" w:cs="Times New Roman" w:eastAsia="Times New Roman" w:hAnsi="Times New Roman"/>
          <w:sz w:val="18"/>
          <w:szCs w:val="18"/>
          <w:color w:val="auto"/>
        </w:rPr>
        <w:t>: An additional eight sites have been activated to enroll participants into INHALE-1</w:t>
      </w:r>
      <w:r>
        <w:rPr>
          <w:rFonts w:ascii="Times New Roman" w:cs="Times New Roman" w:eastAsia="Times New Roman" w:hAnsi="Times New Roman"/>
          <w:sz w:val="24"/>
          <w:szCs w:val="24"/>
          <w:color w:val="auto"/>
          <w:vertAlign w:val="superscript"/>
        </w:rPr>
        <w:t>st</w:t>
      </w:r>
      <w:r>
        <w:rPr>
          <w:rFonts w:ascii="Times New Roman" w:cs="Times New Roman" w:eastAsia="Times New Roman" w:hAnsi="Times New Roman"/>
          <w:sz w:val="18"/>
          <w:szCs w:val="18"/>
          <w:color w:val="auto"/>
        </w:rPr>
        <w:t>, a study to evaluate the efficacy and safety of Afrezza plus basal insulin for youth aged 10-17 with newly-diagnosed type 1 diabetes. Up to 100 participants are expected to be enrolled in this study across 10 clinical sites. This single-arm, multi-center, clinical study will follow participants for 13 weeks during the main phase followed by an optional extension phase for participants continuing to use Afrezza in combination with basal insulin for up to 26 weeks. The primary endpoint is the percentage of participants with a continuous glucose meter who measured time in range of 70-180 mg/dL ≥70% during 14 days prior to the 13-week visit. Data from this study is expected to be available in late 2027.</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Statements in this report that are not statements of historical fact are forward-looking statements. Words such as “plans,” “expects,” “intend,” “will,” “anticipate,” “potential” and similar expressions are intended to identify forward-looking statements. Forward-looking statements include statements regarding the future development of Afrezza; expectations regarding our ongoing and planned clinical trials, including the expected number of patients to be enrolled and clinical sites for and timing for data readouts for INHALE-1</w:t>
      </w:r>
      <w:r>
        <w:rPr>
          <w:rFonts w:ascii="Times New Roman" w:cs="Times New Roman" w:eastAsia="Times New Roman" w:hAnsi="Times New Roman"/>
          <w:sz w:val="24"/>
          <w:szCs w:val="24"/>
          <w:color w:val="auto"/>
          <w:vertAlign w:val="superscript"/>
        </w:rPr>
        <w:t>st</w:t>
      </w:r>
      <w:r>
        <w:rPr>
          <w:rFonts w:ascii="Times New Roman" w:cs="Times New Roman" w:eastAsia="Times New Roman" w:hAnsi="Times New Roman"/>
          <w:sz w:val="18"/>
          <w:szCs w:val="18"/>
          <w:color w:val="auto"/>
        </w:rPr>
        <w:t>, and the expected PDUFA target action date for Afrezza in children and adolescents. These forward-looking statements are based upon our current expectations. Actual results and the timing of events could differ materially from those anticipated in such forward-looking statements as a result of various risks and uncertainties, which include, without limitation, risks associated with developing product candidates; risks and uncertainties related to unforeseen delays that may impact the timing of clinical trial enrollment and progression, and reporting data; risks associated with safety and other complications of our products and product candidates; risks associated with the regulatory review process; and other risks detailed in our filings with the Securities and Exchange Commission (“SEC”), including under the heading “Risk Factors” in our Quarterly Report on Form 10-Q for the quarter ended March 31, 2026, filed with the SEC on May 6, 2026. You are cautioned not to place undue reliance on these forward-looking statements, which speak only as of the date of this report. All forward-looking statements are qualified in their entirety by this cautionary statement, and we undertake no obligation to revise or update any forward-looking statements to reflect events or circumstances after the date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b w:val="1"/>
                <w:bCs w:val="1"/>
                <w:color w:val="auto"/>
              </w:rPr>
              <w:t>MannKind Corporation</w:t>
            </w:r>
          </w:p>
        </w:tc>
      </w:tr>
      <w:tr>
        <w:trPr>
          <w:trHeight w:val="459"/>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May 28, 2026</w:t>
            </w:r>
          </w:p>
        </w:tc>
        <w:tc>
          <w:tcPr>
            <w:tcW w:w="266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Thomson, Ph.D., J.D.</w:t>
            </w:r>
          </w:p>
        </w:tc>
      </w:tr>
      <w:tr>
        <w:trPr>
          <w:trHeight w:val="191"/>
        </w:trPr>
        <w:tc>
          <w:tcPr>
            <w:tcW w:w="354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David Thomson, Ph.D., J.D.</w:t>
            </w:r>
          </w:p>
        </w:tc>
      </w:tr>
      <w:tr>
        <w:trPr>
          <w:trHeight w:val="234"/>
        </w:trPr>
        <w:tc>
          <w:tcPr>
            <w:tcW w:w="354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General Counsel and Secretary</w:t>
            </w:r>
          </w:p>
        </w:tc>
      </w:tr>
      <w:tr>
        <w:trPr>
          <w:trHeight w:val="979"/>
        </w:trPr>
        <w:tc>
          <w:tcPr>
            <w:tcW w:w="354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5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2026-05-28T08:10:17Z</dcterms:created>
  <dcterms:modified xsi:type="dcterms:W3CDTF">2026-05-28T08:10:17Z</dcterms:modified>
</cp:coreProperties>
</file>