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73025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80645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77" w:lineRule="exact"/>
        <w:rPr>
          <w:rFonts w:ascii="MS PGothic" w:cs="MS PGothic" w:eastAsia="MS PGothic" w:hAnsi="MS PGothic"/>
          <w:sz w:val="14"/>
          <w:szCs w:val="14"/>
          <w:color w:val="auto"/>
          <w:highlight w:val="black"/>
        </w:rPr>
      </w:pPr>
    </w:p>
    <w:p>
      <w:pPr>
        <w:ind w:left="4100"/>
        <w:spacing w:after="0"/>
        <w:rPr>
          <w:rFonts w:ascii="MS PGothic" w:cs="MS PGothic" w:eastAsia="MS PGothic" w:hAnsi="MS PGothic"/>
          <w:sz w:val="14"/>
          <w:szCs w:val="14"/>
          <w:color w:val="auto"/>
          <w:highlight w:val="black"/>
        </w:rPr>
      </w:pPr>
      <w:r>
        <w:rPr>
          <w:rFonts w:ascii="Arial" w:cs="Arial" w:eastAsia="Arial" w:hAnsi="Arial"/>
          <w:sz w:val="16"/>
          <w:szCs w:val="16"/>
          <w:b w:val="1"/>
          <w:bCs w:val="1"/>
          <w:color w:val="auto"/>
        </w:rPr>
        <w:t>For the fiscal year ended December 31, 2021</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26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gridSpan w:val="3"/>
          </w:tcPr>
          <w:p>
            <w:pPr>
              <w:spacing w:after="0"/>
              <w:rPr>
                <w:sz w:val="16"/>
                <w:szCs w:val="16"/>
                <w:color w:val="auto"/>
              </w:rPr>
            </w:pPr>
          </w:p>
        </w:tc>
        <w:tc>
          <w:tcPr>
            <w:tcW w:w="100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0" w:type="dxa"/>
            <w:vAlign w:val="bottom"/>
            <w:gridSpan w:val="8"/>
          </w:tcPr>
          <w:p>
            <w:pPr>
              <w:jc w:val="center"/>
              <w:ind w:right="1511"/>
              <w:spacing w:after="0"/>
              <w:rPr>
                <w:sz w:val="20"/>
                <w:szCs w:val="20"/>
                <w:color w:val="auto"/>
              </w:rPr>
            </w:pPr>
            <w:r>
              <w:rPr>
                <w:rFonts w:ascii="Arial" w:cs="Arial" w:eastAsia="Arial" w:hAnsi="Arial"/>
                <w:sz w:val="16"/>
                <w:szCs w:val="16"/>
                <w:b w:val="1"/>
                <w:bCs w:val="1"/>
                <w:color w:val="auto"/>
                <w:w w:val="91"/>
              </w:rPr>
              <w:t>Commission file number: 000-50865</w:t>
            </w: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gridSpan w:val="8"/>
          </w:tcPr>
          <w:p>
            <w:pPr>
              <w:jc w:val="center"/>
              <w:ind w:right="1511"/>
              <w:spacing w:after="0"/>
              <w:rPr>
                <w:sz w:val="20"/>
                <w:szCs w:val="20"/>
                <w:color w:val="auto"/>
              </w:rPr>
            </w:pPr>
            <w:r>
              <w:rPr>
                <w:rFonts w:ascii="Arial" w:cs="Arial" w:eastAsia="Arial" w:hAnsi="Arial"/>
                <w:sz w:val="27"/>
                <w:szCs w:val="27"/>
                <w:b w:val="1"/>
                <w:bCs w:val="1"/>
                <w:color w:val="auto"/>
                <w:w w:val="95"/>
              </w:rPr>
              <w:t>MannKind Corporation</w:t>
            </w: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gridSpan w:val="10"/>
          </w:tcPr>
          <w:p>
            <w:pPr>
              <w:jc w:val="center"/>
              <w:ind w:right="111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ind w:left="2006"/>
              <w:spacing w:after="0"/>
              <w:rPr>
                <w:sz w:val="20"/>
                <w:szCs w:val="20"/>
                <w:color w:val="auto"/>
              </w:rPr>
            </w:pPr>
            <w:r>
              <w:rPr>
                <w:rFonts w:ascii="Arial" w:cs="Arial" w:eastAsia="Arial" w:hAnsi="Arial"/>
                <w:sz w:val="16"/>
                <w:szCs w:val="16"/>
                <w:b w:val="1"/>
                <w:bCs w:val="1"/>
                <w:color w:val="auto"/>
                <w:w w:val="93"/>
              </w:rPr>
              <w:t>Delaware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60" w:type="dxa"/>
            <w:vAlign w:val="bottom"/>
            <w:gridSpan w:val="7"/>
          </w:tcPr>
          <w:p>
            <w:pPr>
              <w:jc w:val="right"/>
              <w:ind w:right="430"/>
              <w:spacing w:after="0"/>
              <w:rPr>
                <w:sz w:val="20"/>
                <w:szCs w:val="20"/>
                <w:color w:val="auto"/>
              </w:rPr>
            </w:pPr>
            <w:r>
              <w:rPr>
                <w:rFonts w:ascii="Arial" w:cs="Arial" w:eastAsia="Arial" w:hAnsi="Arial"/>
                <w:sz w:val="16"/>
                <w:szCs w:val="16"/>
                <w:b w:val="1"/>
                <w:bCs w:val="1"/>
                <w:color w:val="auto"/>
              </w:rPr>
              <w:t>13-3607736</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4"/>
              </w:rPr>
              <w:t>(State or other jurisdiction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(I.R.S. Employer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4"/>
              </w:rPr>
              <w:t>incorporation or organization)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Identification No.)</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340"/>
              <w:spacing w:after="0"/>
              <w:rPr>
                <w:sz w:val="20"/>
                <w:szCs w:val="20"/>
                <w:color w:val="auto"/>
              </w:rPr>
            </w:pPr>
            <w:r>
              <w:rPr>
                <w:rFonts w:ascii="Arial" w:cs="Arial" w:eastAsia="Arial" w:hAnsi="Arial"/>
                <w:sz w:val="13"/>
                <w:szCs w:val="13"/>
                <w:b w:val="1"/>
                <w:bCs w:val="1"/>
                <w:color w:val="auto"/>
              </w:rPr>
              <w:t>1 Casper Street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3540" w:type="dxa"/>
            <w:vAlign w:val="bottom"/>
          </w:tcPr>
          <w:p>
            <w:pPr>
              <w:jc w:val="center"/>
              <w:ind w:left="2026"/>
              <w:spacing w:after="0"/>
              <w:rPr>
                <w:sz w:val="20"/>
                <w:szCs w:val="20"/>
                <w:color w:val="auto"/>
              </w:rPr>
            </w:pPr>
            <w:r>
              <w:rPr>
                <w:rFonts w:ascii="Arial" w:cs="Arial" w:eastAsia="Arial" w:hAnsi="Arial"/>
                <w:sz w:val="13"/>
                <w:szCs w:val="13"/>
                <w:b w:val="1"/>
                <w:bCs w:val="1"/>
                <w:color w:val="auto"/>
                <w:w w:val="94"/>
              </w:rPr>
              <w:t>Danbury, Connecticut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60" w:type="dxa"/>
            <w:vAlign w:val="bottom"/>
            <w:gridSpan w:val="7"/>
          </w:tcPr>
          <w:p>
            <w:pPr>
              <w:jc w:val="right"/>
              <w:ind w:right="650"/>
              <w:spacing w:after="0"/>
              <w:rPr>
                <w:sz w:val="20"/>
                <w:szCs w:val="20"/>
                <w:color w:val="auto"/>
              </w:rPr>
            </w:pPr>
            <w:r>
              <w:rPr>
                <w:rFonts w:ascii="Arial" w:cs="Arial" w:eastAsia="Arial" w:hAnsi="Arial"/>
                <w:sz w:val="13"/>
                <w:szCs w:val="13"/>
                <w:b w:val="1"/>
                <w:bCs w:val="1"/>
                <w:color w:val="auto"/>
              </w:rPr>
              <w:t>06810</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(Zip Code)</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0" w:type="dxa"/>
            <w:vAlign w:val="bottom"/>
            <w:gridSpan w:val="10"/>
          </w:tcPr>
          <w:p>
            <w:pPr>
              <w:jc w:val="center"/>
              <w:ind w:right="113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3060" w:type="dxa"/>
            <w:vAlign w:val="bottom"/>
            <w:gridSpan w:val="5"/>
          </w:tcPr>
          <w:p>
            <w:pPr>
              <w:jc w:val="center"/>
              <w:ind w:left="1039"/>
              <w:spacing w:after="0"/>
              <w:rPr>
                <w:sz w:val="20"/>
                <w:szCs w:val="20"/>
                <w:color w:val="auto"/>
              </w:rPr>
            </w:pPr>
            <w:r>
              <w:rPr>
                <w:rFonts w:ascii="Arial" w:cs="Arial" w:eastAsia="Arial" w:hAnsi="Arial"/>
                <w:sz w:val="16"/>
                <w:szCs w:val="16"/>
                <w:b w:val="1"/>
                <w:bCs w:val="1"/>
                <w:color w:val="auto"/>
                <w:w w:val="93"/>
              </w:rPr>
              <w:t>(818) 661-5000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5080" w:type="dxa"/>
            <w:vAlign w:val="bottom"/>
            <w:gridSpan w:val="11"/>
          </w:tcPr>
          <w:p>
            <w:pPr>
              <w:jc w:val="center"/>
              <w:ind w:right="85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tcBorders>
              <w:bottom w:val="single" w:sz="8" w:color="auto"/>
            </w:tcBorders>
          </w:tcPr>
          <w:p>
            <w:pPr>
              <w:jc w:val="center"/>
              <w:ind w:left="226"/>
              <w:spacing w:after="0"/>
              <w:rPr>
                <w:sz w:val="20"/>
                <w:szCs w:val="20"/>
                <w:color w:val="auto"/>
              </w:rPr>
            </w:pPr>
            <w:r>
              <w:rPr>
                <w:rFonts w:ascii="Arial" w:cs="Arial" w:eastAsia="Arial" w:hAnsi="Arial"/>
                <w:sz w:val="14"/>
                <w:szCs w:val="14"/>
                <w:b w:val="1"/>
                <w:bCs w:val="1"/>
                <w:color w:val="auto"/>
                <w:w w:val="93"/>
              </w:rPr>
              <w:t>Title of Each Class</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center"/>
              <w:ind w:left="595"/>
              <w:spacing w:after="0"/>
              <w:rPr>
                <w:sz w:val="20"/>
                <w:szCs w:val="20"/>
                <w:color w:val="auto"/>
              </w:rPr>
            </w:pPr>
            <w:r>
              <w:rPr>
                <w:rFonts w:ascii="Arial" w:cs="Arial" w:eastAsia="Arial" w:hAnsi="Arial"/>
                <w:sz w:val="14"/>
                <w:szCs w:val="14"/>
                <w:b w:val="1"/>
                <w:bCs w:val="1"/>
                <w:color w:val="auto"/>
                <w:w w:val="92"/>
              </w:rPr>
              <w:t>Trading Symbol(s)</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0"/>
        </w:trPr>
        <w:tc>
          <w:tcPr>
            <w:tcW w:w="3540" w:type="dxa"/>
            <w:vAlign w:val="bottom"/>
          </w:tcPr>
          <w:p>
            <w:pPr>
              <w:jc w:val="center"/>
              <w:ind w:left="226"/>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2"/>
          </w:tcPr>
          <w:p>
            <w:pPr>
              <w:jc w:val="center"/>
              <w:ind w:left="595"/>
              <w:spacing w:after="0"/>
              <w:rPr>
                <w:sz w:val="20"/>
                <w:szCs w:val="20"/>
                <w:color w:val="auto"/>
              </w:rPr>
            </w:pPr>
            <w:r>
              <w:rPr>
                <w:rFonts w:ascii="Arial" w:cs="Arial" w:eastAsia="Arial" w:hAnsi="Arial"/>
                <w:sz w:val="14"/>
                <w:szCs w:val="14"/>
                <w:b w:val="1"/>
                <w:bCs w:val="1"/>
                <w:color w:val="auto"/>
              </w:rPr>
              <w:t>MNKD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5080" w:type="dxa"/>
            <w:vAlign w:val="bottom"/>
            <w:gridSpan w:val="11"/>
          </w:tcPr>
          <w:p>
            <w:pPr>
              <w:jc w:val="center"/>
              <w:ind w:right="851"/>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2"/>
          </w:tcPr>
          <w:p>
            <w:pPr>
              <w:jc w:val="center"/>
              <w:ind w:left="335"/>
              <w:spacing w:after="0"/>
              <w:rPr>
                <w:sz w:val="20"/>
                <w:szCs w:val="20"/>
                <w:color w:val="auto"/>
              </w:rPr>
            </w:pPr>
            <w:r>
              <w:rPr>
                <w:rFonts w:ascii="Arial" w:cs="Arial" w:eastAsia="Arial" w:hAnsi="Arial"/>
                <w:sz w:val="16"/>
                <w:szCs w:val="16"/>
                <w:b w:val="1"/>
                <w:bCs w:val="1"/>
                <w:color w:val="auto"/>
                <w:w w:val="89"/>
              </w:rPr>
              <w:t>None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2"/>
          </w:tcPr>
          <w:p>
            <w:pPr>
              <w:jc w:val="center"/>
              <w:ind w:left="335"/>
              <w:spacing w:after="0"/>
              <w:rPr>
                <w:sz w:val="20"/>
                <w:szCs w:val="20"/>
                <w:color w:val="auto"/>
              </w:rPr>
            </w:pPr>
            <w:r>
              <w:rPr>
                <w:rFonts w:ascii="Arial" w:cs="Arial" w:eastAsia="Arial" w:hAnsi="Arial"/>
                <w:sz w:val="13"/>
                <w:szCs w:val="13"/>
                <w:b w:val="1"/>
                <w:bCs w:val="1"/>
                <w:color w:val="auto"/>
                <w:w w:val="93"/>
              </w:rPr>
              <w:t>(Title of Class)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20" w:type="dxa"/>
            <w:vAlign w:val="bottom"/>
            <w:gridSpan w:val="4"/>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1000" w:type="dxa"/>
            <w:vAlign w:val="bottom"/>
            <w:gridSpan w:val="2"/>
          </w:tcPr>
          <w:p>
            <w:pPr>
              <w:spacing w:after="0"/>
              <w:rPr>
                <w:sz w:val="8"/>
                <w:szCs w:val="8"/>
                <w:color w:val="auto"/>
              </w:rPr>
            </w:pPr>
          </w:p>
        </w:tc>
        <w:tc>
          <w:tcPr>
            <w:tcW w:w="8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17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8"/>
        </w:trPr>
        <w:tc>
          <w:tcPr>
            <w:tcW w:w="8620" w:type="dxa"/>
            <w:vAlign w:val="bottom"/>
            <w:gridSpan w:val="1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84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20" w:type="dxa"/>
            <w:vAlign w:val="bottom"/>
            <w:gridSpan w:val="1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840" w:type="dxa"/>
            <w:vAlign w:val="bottom"/>
          </w:tcPr>
          <w:p>
            <w:pPr>
              <w:jc w:val="center"/>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7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right="3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14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right="100" w:firstLine="477"/>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ind w:right="140" w:firstLine="477"/>
        <w:spacing w:after="0" w:line="22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left="480"/>
        <w:spacing w:after="0" w:line="184" w:lineRule="exact"/>
        <w:tabs>
          <w:tab w:leader="none" w:pos="7300" w:val="left"/>
          <w:tab w:leader="none" w:pos="7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7" w:lineRule="exact"/>
        <w:rPr>
          <w:sz w:val="24"/>
          <w:szCs w:val="24"/>
          <w:color w:val="auto"/>
        </w:rPr>
      </w:pPr>
    </w:p>
    <w:p>
      <w:pPr>
        <w:ind w:right="220" w:firstLine="477"/>
        <w:spacing w:after="0" w:line="293" w:lineRule="auto"/>
        <w:rPr>
          <w:sz w:val="20"/>
          <w:szCs w:val="20"/>
          <w:color w:val="auto"/>
        </w:rPr>
      </w:pPr>
      <w:r>
        <w:rPr>
          <w:rFonts w:ascii="Arial" w:cs="Arial" w:eastAsia="Arial" w:hAnsi="Arial"/>
          <w:sz w:val="16"/>
          <w:szCs w:val="16"/>
          <w:color w:val="auto"/>
        </w:rPr>
        <w:t>As of June 30, 2021, the aggregate market value of the voting and non-voting common equity held by non-affiliates of the registrant, computed by reference to the last sale price of such stock as of such date on the Nasdaq Global Market, was approximately $1,266,168,274.</w:t>
      </w:r>
    </w:p>
    <w:p>
      <w:pPr>
        <w:spacing w:after="0" w:line="10"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As of February 11, 2022, there were 251,798,303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86360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440" w:firstLine="477"/>
        <w:spacing w:after="0" w:line="328" w:lineRule="auto"/>
        <w:rPr>
          <w:sz w:val="20"/>
          <w:szCs w:val="20"/>
          <w:color w:val="auto"/>
        </w:rPr>
      </w:pPr>
      <w:r>
        <w:rPr>
          <w:rFonts w:ascii="Arial" w:cs="Arial" w:eastAsia="Arial" w:hAnsi="Arial"/>
          <w:sz w:val="15"/>
          <w:szCs w:val="15"/>
          <w:color w:val="auto"/>
        </w:rPr>
        <w:t>Portions of the registrant’s definitive Proxy Statement (the “Proxy Statement”) for the 2022 Annual Meeting of Stockholders to be filed with the Securities and Exchange Commission pursuant to Regulation 14A not later than May 2,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388620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1.</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1A.</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1B.</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4.</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6.</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7.</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7A.</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8.</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9.</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9A.</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9B.</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Item 9C.</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10.</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11.</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12.</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13.</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14.</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15.</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16.</w:t>
      </w:r>
    </w:p>
    <w:p>
      <w:pPr>
        <w:spacing w:after="0" w:line="34"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6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rPr>
              <w:t>MANNKIND CORPORATION</w:t>
            </w:r>
          </w:p>
        </w:tc>
        <w:tc>
          <w:tcPr>
            <w:tcW w:w="800" w:type="dxa"/>
            <w:vAlign w:val="bottom"/>
          </w:tcPr>
          <w:p>
            <w:pPr>
              <w:spacing w:after="0"/>
              <w:rPr>
                <w:sz w:val="20"/>
                <w:szCs w:val="20"/>
                <w:color w:val="auto"/>
              </w:rPr>
            </w:pPr>
          </w:p>
        </w:tc>
      </w:tr>
      <w:tr>
        <w:trPr>
          <w:trHeight w:val="414"/>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6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w w:val="93"/>
              </w:rPr>
              <w:t>Annual Report on Form 10-K</w:t>
            </w:r>
          </w:p>
        </w:tc>
        <w:tc>
          <w:tcPr>
            <w:tcW w:w="80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20" w:type="dxa"/>
            <w:vAlign w:val="bottom"/>
            <w:gridSpan w:val="12"/>
          </w:tcPr>
          <w:p>
            <w:pPr>
              <w:jc w:val="center"/>
              <w:ind w:right="2700"/>
              <w:spacing w:after="0"/>
              <w:rPr>
                <w:sz w:val="20"/>
                <w:szCs w:val="20"/>
                <w:color w:val="auto"/>
              </w:rPr>
            </w:pPr>
            <w:r>
              <w:rPr>
                <w:rFonts w:ascii="Arial" w:cs="Arial" w:eastAsia="Arial" w:hAnsi="Arial"/>
                <w:sz w:val="18"/>
                <w:szCs w:val="18"/>
                <w:b w:val="1"/>
                <w:bCs w:val="1"/>
                <w:color w:val="auto"/>
                <w:w w:val="90"/>
              </w:rPr>
              <w:t>For the Fiscal Year Ended December 31, 2021</w:t>
            </w:r>
          </w:p>
        </w:tc>
        <w:tc>
          <w:tcPr>
            <w:tcW w:w="80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6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58"/>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9"/>
          </w:tcPr>
          <w:p>
            <w:pPr>
              <w:jc w:val="center"/>
              <w:ind w:right="3980"/>
              <w:spacing w:after="0"/>
              <w:rPr>
                <w:sz w:val="20"/>
                <w:szCs w:val="20"/>
                <w:color w:val="auto"/>
              </w:rPr>
            </w:pPr>
            <w:r>
              <w:rPr>
                <w:rFonts w:ascii="Arial" w:cs="Arial" w:eastAsia="Arial" w:hAnsi="Arial"/>
                <w:sz w:val="18"/>
                <w:szCs w:val="18"/>
                <w:b w:val="1"/>
                <w:bCs w:val="1"/>
                <w:color w:val="auto"/>
                <w:w w:val="98"/>
              </w:rPr>
              <w:t>PART I</w:t>
            </w:r>
          </w:p>
        </w:tc>
        <w:tc>
          <w:tcPr>
            <w:tcW w:w="800" w:type="dxa"/>
            <w:vAlign w:val="bottom"/>
          </w:tcPr>
          <w:p>
            <w:pPr>
              <w:spacing w:after="0"/>
              <w:rPr>
                <w:sz w:val="24"/>
                <w:szCs w:val="24"/>
                <w:color w:val="auto"/>
              </w:rPr>
            </w:pPr>
          </w:p>
        </w:tc>
      </w:tr>
      <w:tr>
        <w:trPr>
          <w:trHeight w:val="190"/>
        </w:trPr>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320" w:type="dxa"/>
            <w:vAlign w:val="bottom"/>
            <w:gridSpan w:val="21"/>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r>
      <w:tr>
        <w:trPr>
          <w:trHeight w:val="209"/>
        </w:trPr>
        <w:tc>
          <w:tcPr>
            <w:tcW w:w="896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896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692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762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896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6"/>
        </w:trPr>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40" w:type="dxa"/>
            <w:vAlign w:val="bottom"/>
            <w:gridSpan w:val="9"/>
          </w:tcPr>
          <w:p>
            <w:pPr>
              <w:jc w:val="center"/>
              <w:ind w:right="3980"/>
              <w:spacing w:after="0"/>
              <w:rPr>
                <w:sz w:val="20"/>
                <w:szCs w:val="20"/>
                <w:color w:val="auto"/>
              </w:rPr>
            </w:pPr>
            <w:r>
              <w:rPr>
                <w:rFonts w:ascii="Arial" w:cs="Arial" w:eastAsia="Arial" w:hAnsi="Arial"/>
                <w:sz w:val="18"/>
                <w:szCs w:val="18"/>
                <w:b w:val="1"/>
                <w:bCs w:val="1"/>
                <w:color w:val="auto"/>
              </w:rPr>
              <w:t>PART II</w:t>
            </w:r>
          </w:p>
        </w:tc>
        <w:tc>
          <w:tcPr>
            <w:tcW w:w="800" w:type="dxa"/>
            <w:vAlign w:val="bottom"/>
          </w:tcPr>
          <w:p>
            <w:pPr>
              <w:spacing w:after="0"/>
              <w:rPr>
                <w:sz w:val="20"/>
                <w:szCs w:val="20"/>
                <w:color w:val="auto"/>
              </w:rPr>
            </w:pPr>
          </w:p>
        </w:tc>
      </w:tr>
      <w:tr>
        <w:trPr>
          <w:trHeight w:val="190"/>
        </w:trPr>
        <w:tc>
          <w:tcPr>
            <w:tcW w:w="8340" w:type="dxa"/>
            <w:vAlign w:val="bottom"/>
            <w:tcBorders>
              <w:bottom w:val="single" w:sz="8" w:color="0000EE"/>
            </w:tcBorders>
            <w:gridSpan w:val="21"/>
          </w:tcPr>
          <w:p>
            <w:pPr>
              <w:spacing w:after="0" w:line="190"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Market for the Registrant’s Common Equity, Related Stockholder Matters and Issuer Purchases of Equity Securities</w:t>
              </w:r>
            </w:hyperlink>
          </w:p>
        </w:tc>
        <w:tc>
          <w:tcPr>
            <w:tcW w:w="620" w:type="dxa"/>
            <w:vAlign w:val="bottom"/>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r>
      <w:tr>
        <w:trPr>
          <w:trHeight w:val="210"/>
        </w:trPr>
        <w:tc>
          <w:tcPr>
            <w:tcW w:w="896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[Reserved]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5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460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8960" w:type="dxa"/>
            <w:vAlign w:val="bottom"/>
            <w:gridSpan w:val="2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8960" w:type="dxa"/>
            <w:vAlign w:val="bottom"/>
            <w:gridSpan w:val="2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6500" w:type="dxa"/>
            <w:vAlign w:val="bottom"/>
            <w:tcBorders>
              <w:top w:val="single" w:sz="8" w:color="0000EE"/>
            </w:tcBorders>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246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8"/>
                <w:szCs w:val="18"/>
                <w:color w:val="auto"/>
              </w:rPr>
            </w:pPr>
          </w:p>
        </w:tc>
        <w:tc>
          <w:tcPr>
            <w:tcW w:w="720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9"/>
        </w:trPr>
        <w:tc>
          <w:tcPr>
            <w:tcW w:w="49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Disclosure Regarding Foreign Jurisdictions that Prevent Inspections</w:t>
              </w:r>
            </w:hyperlink>
          </w:p>
        </w:tc>
        <w:tc>
          <w:tcPr>
            <w:tcW w:w="406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6"/>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40" w:type="dxa"/>
            <w:vAlign w:val="bottom"/>
            <w:gridSpan w:val="9"/>
          </w:tcPr>
          <w:p>
            <w:pPr>
              <w:jc w:val="center"/>
              <w:ind w:right="4000"/>
              <w:spacing w:after="0"/>
              <w:rPr>
                <w:sz w:val="20"/>
                <w:szCs w:val="20"/>
                <w:color w:val="auto"/>
              </w:rPr>
            </w:pPr>
            <w:r>
              <w:rPr>
                <w:rFonts w:ascii="Arial" w:cs="Arial" w:eastAsia="Arial" w:hAnsi="Arial"/>
                <w:sz w:val="18"/>
                <w:szCs w:val="18"/>
                <w:b w:val="1"/>
                <w:bCs w:val="1"/>
                <w:color w:val="auto"/>
              </w:rPr>
              <w:t>PART III</w:t>
            </w:r>
          </w:p>
        </w:tc>
        <w:tc>
          <w:tcPr>
            <w:tcW w:w="800" w:type="dxa"/>
            <w:vAlign w:val="bottom"/>
          </w:tcPr>
          <w:p>
            <w:pPr>
              <w:spacing w:after="0"/>
              <w:rPr>
                <w:sz w:val="20"/>
                <w:szCs w:val="20"/>
                <w:color w:val="auto"/>
              </w:rPr>
            </w:pPr>
          </w:p>
        </w:tc>
      </w:tr>
      <w:tr>
        <w:trPr>
          <w:trHeight w:val="190"/>
        </w:trPr>
        <w:tc>
          <w:tcPr>
            <w:tcW w:w="410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Directors, Executive Officers and Corporate Governance</w:t>
              </w:r>
            </w:hyperlink>
          </w:p>
        </w:tc>
        <w:tc>
          <w:tcPr>
            <w:tcW w:w="4860" w:type="dxa"/>
            <w:vAlign w:val="bottom"/>
            <w:gridSpan w:val="8"/>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53</w:t>
            </w:r>
          </w:p>
        </w:tc>
      </w:tr>
      <w:tr>
        <w:trPr>
          <w:trHeight w:val="209"/>
        </w:trPr>
        <w:tc>
          <w:tcPr>
            <w:tcW w:w="896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896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7280" w:type="dxa"/>
            <w:vAlign w:val="bottom"/>
            <w:tcBorders>
              <w:top w:val="single" w:sz="8" w:color="0000EE"/>
            </w:tcBorders>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168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5440" w:type="dxa"/>
            <w:vAlign w:val="bottom"/>
            <w:tcBorders>
              <w:top w:val="single" w:sz="8" w:color="0000EE"/>
            </w:tcBorders>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Principal Accounting Fees and Services</w:t>
              </w:r>
            </w:hyperlink>
          </w:p>
        </w:tc>
        <w:tc>
          <w:tcPr>
            <w:tcW w:w="352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6"/>
        </w:trPr>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40" w:type="dxa"/>
            <w:vAlign w:val="bottom"/>
            <w:gridSpan w:val="9"/>
          </w:tcPr>
          <w:p>
            <w:pPr>
              <w:jc w:val="center"/>
              <w:ind w:right="4000"/>
              <w:spacing w:after="0"/>
              <w:rPr>
                <w:sz w:val="20"/>
                <w:szCs w:val="20"/>
                <w:color w:val="auto"/>
              </w:rPr>
            </w:pPr>
            <w:r>
              <w:rPr>
                <w:rFonts w:ascii="Arial" w:cs="Arial" w:eastAsia="Arial" w:hAnsi="Arial"/>
                <w:sz w:val="18"/>
                <w:szCs w:val="18"/>
                <w:b w:val="1"/>
                <w:bCs w:val="1"/>
                <w:color w:val="auto"/>
              </w:rPr>
              <w:t>PART IV</w:t>
            </w:r>
          </w:p>
        </w:tc>
        <w:tc>
          <w:tcPr>
            <w:tcW w:w="800" w:type="dxa"/>
            <w:vAlign w:val="bottom"/>
          </w:tcPr>
          <w:p>
            <w:pPr>
              <w:spacing w:after="0"/>
              <w:rPr>
                <w:sz w:val="20"/>
                <w:szCs w:val="20"/>
                <w:color w:val="auto"/>
              </w:rPr>
            </w:pPr>
          </w:p>
        </w:tc>
      </w:tr>
      <w:tr>
        <w:trPr>
          <w:trHeight w:val="190"/>
        </w:trPr>
        <w:tc>
          <w:tcPr>
            <w:tcW w:w="290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Exhibits. Financial Statement Schedules</w:t>
              </w:r>
            </w:hyperlink>
          </w:p>
        </w:tc>
        <w:tc>
          <w:tcPr>
            <w:tcW w:w="6060" w:type="dxa"/>
            <w:vAlign w:val="bottom"/>
            <w:gridSpan w:val="10"/>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r>
      <w:tr>
        <w:trPr>
          <w:trHeight w:val="210"/>
        </w:trPr>
        <w:tc>
          <w:tcPr>
            <w:tcW w:w="8960" w:type="dxa"/>
            <w:vAlign w:val="bottom"/>
            <w:gridSpan w:val="2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Form 10-K Summary</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0"/>
        </w:trPr>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913130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00" w:space="580"/>
            <w:col w:w="976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77"/>
        <w:spacing w:after="0" w:line="284" w:lineRule="auto"/>
        <w:rPr>
          <w:sz w:val="20"/>
          <w:szCs w:val="20"/>
          <w:color w:val="auto"/>
        </w:rPr>
      </w:pPr>
      <w:r>
        <w:rPr>
          <w:rFonts w:ascii="Arial" w:cs="Arial" w:eastAsia="Arial" w:hAnsi="Arial"/>
          <w:sz w:val="16"/>
          <w:szCs w:val="16"/>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or any other product candidates or therapies that we may develop; our ability to manufacture sufficient quantities of Afrezza and obtain insulin supply as needed; our ability to successfully commercialize our Technosphere drug delivery platform; our estimates for future performance; our estimates regarding anticipated operating losses, future revenues, capital requirements and our needs for additional financing;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like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 Afrezza®, Technosphere®, BluHale® and MannKind Corporation are our trademarks in the United States. We have also applied for or have registered company trademarks in other jurisdictions. This document also contains trademarks and service marks of other companies that are the property of their respective owners.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20" w:firstLine="542"/>
        <w:spacing w:after="0" w:line="257" w:lineRule="auto"/>
        <w:rPr>
          <w:sz w:val="20"/>
          <w:szCs w:val="20"/>
          <w:color w:val="auto"/>
        </w:rPr>
      </w:pPr>
      <w:r>
        <w:rPr>
          <w:rFonts w:ascii="Arial" w:cs="Arial" w:eastAsia="Arial" w:hAnsi="Arial"/>
          <w:sz w:val="18"/>
          <w:szCs w:val="18"/>
          <w:i w:val="1"/>
          <w:iCs w:val="1"/>
          <w:color w:val="auto"/>
        </w:rPr>
        <w:t>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 of this Annual Report on Form 10-K and should be carefully considered, together with other information in this Annual Report on Form 10-K and our other filings with the Securities and Exchange Commission (“SEC”) before making investment decisions regarding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880" w:right="10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Afrezza may only achieve a limited degree of commercial success. The continued commercialization and development of Afrezza will require substantial capital that we may not be able to obtain.</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as an effective manufacturing organization, we may be unable to support commercialization of Afrezza or Tyvaso DPI.</w:t>
      </w:r>
    </w:p>
    <w:p>
      <w:pPr>
        <w:spacing w:after="0" w:line="117" w:lineRule="exact"/>
        <w:rPr>
          <w:rFonts w:ascii="Arial" w:cs="Arial" w:eastAsia="Arial" w:hAnsi="Arial"/>
          <w:sz w:val="18"/>
          <w:szCs w:val="18"/>
          <w:color w:val="auto"/>
        </w:rPr>
      </w:pPr>
    </w:p>
    <w:p>
      <w:pPr>
        <w:ind w:left="880" w:right="120" w:hanging="332"/>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rFonts w:ascii="Arial" w:cs="Arial" w:eastAsia="Arial" w:hAnsi="Arial"/>
          <w:sz w:val="17"/>
          <w:szCs w:val="17"/>
          <w:color w:val="auto"/>
        </w:rPr>
      </w:pPr>
    </w:p>
    <w:p>
      <w:pPr>
        <w:ind w:left="880" w:right="4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Afrezza or any other product that we develop does not become widely accepted by physicians, patients, third-party payers and the healthcare community, we may be unable to generate significant revenue, if any.</w:t>
      </w:r>
    </w:p>
    <w:p>
      <w:pPr>
        <w:spacing w:after="0" w:line="62" w:lineRule="exact"/>
        <w:rPr>
          <w:rFonts w:ascii="Arial" w:cs="Arial" w:eastAsia="Arial" w:hAnsi="Arial"/>
          <w:sz w:val="18"/>
          <w:szCs w:val="18"/>
          <w:color w:val="auto"/>
        </w:rPr>
      </w:pPr>
    </w:p>
    <w:p>
      <w:pPr>
        <w:ind w:left="880" w:right="10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operations.</w:t>
      </w:r>
    </w:p>
    <w:p>
      <w:pPr>
        <w:spacing w:after="0" w:line="117" w:lineRule="exact"/>
        <w:rPr>
          <w:rFonts w:ascii="Arial" w:cs="Arial" w:eastAsia="Arial" w:hAnsi="Arial"/>
          <w:sz w:val="18"/>
          <w:szCs w:val="18"/>
          <w:color w:val="auto"/>
        </w:rPr>
      </w:pPr>
    </w:p>
    <w:p>
      <w:pPr>
        <w:ind w:left="880" w:right="10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that our results of operations will fluctuate for the foreseeable future, which may make it difficult to predict our future performance from period to period.</w:t>
      </w:r>
    </w:p>
    <w:p>
      <w:pPr>
        <w:spacing w:after="0" w:line="62" w:lineRule="exact"/>
        <w:rPr>
          <w:rFonts w:ascii="Arial" w:cs="Arial" w:eastAsia="Arial" w:hAnsi="Arial"/>
          <w:sz w:val="18"/>
          <w:szCs w:val="18"/>
          <w:color w:val="auto"/>
        </w:rPr>
      </w:pPr>
    </w:p>
    <w:p>
      <w:pPr>
        <w:ind w:left="880" w:right="80" w:hanging="332"/>
        <w:spacing w:after="0" w:line="31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40" w:lineRule="exact"/>
        <w:rPr>
          <w:rFonts w:ascii="Arial" w:cs="Arial" w:eastAsia="Arial" w:hAnsi="Arial"/>
          <w:sz w:val="16"/>
          <w:szCs w:val="16"/>
          <w:color w:val="auto"/>
        </w:rPr>
      </w:pPr>
    </w:p>
    <w:p>
      <w:pPr>
        <w:ind w:left="880" w:right="100" w:hanging="332"/>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7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develop and commercialize our product candidates.</w:t>
      </w:r>
    </w:p>
    <w:p>
      <w:pPr>
        <w:spacing w:after="0" w:line="117" w:lineRule="exact"/>
        <w:rPr>
          <w:rFonts w:ascii="Arial" w:cs="Arial" w:eastAsia="Arial" w:hAnsi="Arial"/>
          <w:sz w:val="18"/>
          <w:szCs w:val="18"/>
          <w:color w:val="auto"/>
        </w:rPr>
      </w:pPr>
    </w:p>
    <w:p>
      <w:pPr>
        <w:ind w:left="88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we expect to incur losses in the future and we may not generate positive cash flow from operations in the future.</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substantial amount of debt, and we may be unable to make required payments of interest and principal as they become due.</w:t>
      </w:r>
    </w:p>
    <w:p>
      <w:pPr>
        <w:spacing w:after="0" w:line="128" w:lineRule="exact"/>
        <w:rPr>
          <w:rFonts w:ascii="Arial" w:cs="Arial" w:eastAsia="Arial" w:hAnsi="Arial"/>
          <w:sz w:val="17"/>
          <w:szCs w:val="17"/>
          <w:color w:val="auto"/>
        </w:rPr>
      </w:pPr>
    </w:p>
    <w:p>
      <w:pPr>
        <w:ind w:left="880" w:right="16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Afrezza or our product candidates may be rendered obsolete by rapid technological change.</w:t>
      </w:r>
    </w:p>
    <w:p>
      <w:pPr>
        <w:spacing w:after="0" w:line="117" w:lineRule="exact"/>
        <w:rPr>
          <w:rFonts w:ascii="Arial" w:cs="Arial" w:eastAsia="Arial" w:hAnsi="Arial"/>
          <w:sz w:val="18"/>
          <w:szCs w:val="18"/>
          <w:color w:val="auto"/>
        </w:rPr>
      </w:pPr>
    </w:p>
    <w:p>
      <w:pPr>
        <w:ind w:left="880" w:right="74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testing of Afrezza or our product candidates may not yield successful results, and even if it does, we may still be unable to successfully commercialize our product candidates.</w:t>
      </w:r>
    </w:p>
    <w:p>
      <w:pPr>
        <w:spacing w:after="0" w:line="62" w:lineRule="exact"/>
        <w:rPr>
          <w:rFonts w:ascii="Arial" w:cs="Arial" w:eastAsia="Arial" w:hAnsi="Arial"/>
          <w:sz w:val="18"/>
          <w:szCs w:val="18"/>
          <w:color w:val="auto"/>
        </w:rPr>
      </w:pPr>
    </w:p>
    <w:p>
      <w:pPr>
        <w:ind w:left="880" w:right="240" w:hanging="332"/>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8" w:lineRule="exact"/>
        <w:rPr>
          <w:rFonts w:ascii="Arial" w:cs="Arial" w:eastAsia="Arial" w:hAnsi="Arial"/>
          <w:sz w:val="18"/>
          <w:szCs w:val="18"/>
          <w:color w:val="auto"/>
        </w:rPr>
      </w:pPr>
    </w:p>
    <w:p>
      <w:pPr>
        <w:ind w:left="880" w:right="4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undertake internal restructuring activities in the future that could result in disruptions to our business or otherwise materially harm our results of operations or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4" w:name="page5"/>
    <w:bookmarkEnd w:id="4"/>
    <w:p>
      <w:pPr>
        <w:ind w:left="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400" w:right="120" w:hanging="332"/>
        <w:spacing w:after="0" w:line="286" w:lineRule="auto"/>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rFonts w:ascii="Arial" w:cs="Arial" w:eastAsia="Arial" w:hAnsi="Arial"/>
          <w:sz w:val="17"/>
          <w:szCs w:val="17"/>
          <w:color w:val="auto"/>
        </w:rPr>
      </w:pPr>
    </w:p>
    <w:p>
      <w:pPr>
        <w:ind w:left="400" w:right="120" w:hanging="332"/>
        <w:spacing w:after="0" w:line="263"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5" w:lineRule="exact"/>
        <w:rPr>
          <w:rFonts w:ascii="Arial" w:cs="Arial" w:eastAsia="Arial" w:hAnsi="Arial"/>
          <w:sz w:val="18"/>
          <w:szCs w:val="18"/>
          <w:color w:val="auto"/>
        </w:rPr>
      </w:pPr>
    </w:p>
    <w:p>
      <w:pPr>
        <w:ind w:left="400" w:hanging="33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stringent, ongoing government regulation.</w:t>
      </w:r>
    </w:p>
    <w:p>
      <w:pPr>
        <w:spacing w:after="0" w:line="117" w:lineRule="exact"/>
        <w:rPr>
          <w:rFonts w:ascii="Arial" w:cs="Arial" w:eastAsia="Arial" w:hAnsi="Arial"/>
          <w:sz w:val="18"/>
          <w:szCs w:val="18"/>
          <w:color w:val="auto"/>
        </w:rPr>
      </w:pPr>
    </w:p>
    <w:p>
      <w:pPr>
        <w:ind w:left="400" w:right="220" w:hanging="332"/>
        <w:spacing w:after="0" w:line="342"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15" w:lineRule="exact"/>
        <w:rPr>
          <w:rFonts w:ascii="Arial" w:cs="Arial" w:eastAsia="Arial" w:hAnsi="Arial"/>
          <w:sz w:val="16"/>
          <w:szCs w:val="16"/>
          <w:color w:val="auto"/>
        </w:rPr>
      </w:pPr>
    </w:p>
    <w:p>
      <w:pPr>
        <w:ind w:left="400" w:hanging="332"/>
        <w:spacing w:after="0" w:line="286" w:lineRule="auto"/>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400" w:right="140" w:hanging="332"/>
        <w:spacing w:after="0" w:line="277"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commitments. We may be forced to take other actions to satisfy our obligations or we may experience a financial failure.</w:t>
      </w:r>
    </w:p>
    <w:p>
      <w:pPr>
        <w:spacing w:after="0" w:line="62" w:lineRule="exact"/>
        <w:rPr>
          <w:rFonts w:ascii="Arial" w:cs="Arial" w:eastAsia="Arial" w:hAnsi="Arial"/>
          <w:sz w:val="18"/>
          <w:szCs w:val="18"/>
          <w:color w:val="auto"/>
        </w:rPr>
      </w:pPr>
    </w:p>
    <w:p>
      <w:pPr>
        <w:ind w:left="400" w:hanging="33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is volatile and may affect the market price of our common stock and other securities.</w:t>
      </w:r>
    </w:p>
    <w:p>
      <w:pPr>
        <w:spacing w:after="0" w:line="117" w:lineRule="exact"/>
        <w:rPr>
          <w:rFonts w:ascii="Arial" w:cs="Arial" w:eastAsia="Arial" w:hAnsi="Arial"/>
          <w:sz w:val="18"/>
          <w:szCs w:val="18"/>
          <w:color w:val="auto"/>
        </w:rPr>
      </w:pPr>
    </w:p>
    <w:p>
      <w:pPr>
        <w:ind w:left="400" w:right="380" w:hanging="332"/>
        <w:spacing w:after="0" w:line="277"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sale of our common stock or the exchange or conversion of our convertible debt into common stock could negatively affect the market price of our common stock and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400" w:right="100" w:hanging="332"/>
        <w:spacing w:after="0" w:line="27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00" w:top="675"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right="900" w:firstLine="477"/>
        <w:spacing w:after="0" w:line="277" w:lineRule="auto"/>
        <w:rPr>
          <w:sz w:val="20"/>
          <w:szCs w:val="20"/>
          <w:color w:val="auto"/>
        </w:rPr>
      </w:pPr>
      <w:r>
        <w:rPr>
          <w:rFonts w:ascii="Arial" w:cs="Arial" w:eastAsia="Arial" w:hAnsi="Arial"/>
          <w:sz w:val="18"/>
          <w:szCs w:val="18"/>
          <w:color w:val="auto"/>
        </w:rPr>
        <w:t>Unless the context requires otherwise, the words “MannKind,” “we,” “Company,” “us” and “our” refer to MannKind Corporation and its subsidiaries.</w:t>
      </w:r>
    </w:p>
    <w:p>
      <w:pPr>
        <w:spacing w:after="0" w:line="170" w:lineRule="exact"/>
        <w:rPr>
          <w:sz w:val="20"/>
          <w:szCs w:val="20"/>
          <w:color w:val="auto"/>
        </w:rPr>
      </w:pPr>
    </w:p>
    <w:p>
      <w:pPr>
        <w:ind w:right="40" w:firstLine="477"/>
        <w:spacing w:after="0" w:line="296" w:lineRule="auto"/>
        <w:rPr>
          <w:sz w:val="20"/>
          <w:szCs w:val="20"/>
          <w:color w:val="auto"/>
        </w:rPr>
      </w:pPr>
      <w:r>
        <w:rPr>
          <w:rFonts w:ascii="Arial" w:cs="Arial" w:eastAsia="Arial" w:hAnsi="Arial"/>
          <w:sz w:val="16"/>
          <w:szCs w:val="16"/>
          <w:color w:val="auto"/>
        </w:rPr>
        <w:t>We are a biopharmaceutical company focused on the development and commercialization of inhaled therapeutic products for patients with endocrine and orphan lung diseases. Our lead product is Afrezza (insulin human) Inhalation Powder, which was approved by the U.S. Food and Drug Administration (“FDA”) in June 2014. Afrezza is an ultra rapid-acting inhaled insulin indicated to improve glycemic control in adults with diabetes. According to the Centers for Disease Control and Prevention, 37.3 million people in the United States had diabetes in 2019. Globally, the International Diabetes Federation has estimated that approximately 537 million adults had diabetes in 2021 and approximately 783 million will have diabetes by 2045.</w:t>
      </w:r>
    </w:p>
    <w:p>
      <w:pPr>
        <w:spacing w:after="0" w:line="161" w:lineRule="exact"/>
        <w:rPr>
          <w:sz w:val="20"/>
          <w:szCs w:val="20"/>
          <w:color w:val="auto"/>
        </w:rPr>
      </w:pPr>
    </w:p>
    <w:p>
      <w:pPr>
        <w:ind w:right="360" w:firstLine="477"/>
        <w:spacing w:after="0" w:line="263" w:lineRule="auto"/>
        <w:rPr>
          <w:sz w:val="20"/>
          <w:szCs w:val="20"/>
          <w:color w:val="auto"/>
        </w:rPr>
      </w:pPr>
      <w:r>
        <w:rPr>
          <w:rFonts w:ascii="Arial" w:cs="Arial" w:eastAsia="Arial" w:hAnsi="Arial"/>
          <w:sz w:val="18"/>
          <w:szCs w:val="18"/>
          <w:color w:val="auto"/>
        </w:rPr>
        <w:t>Afrezza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184" w:lineRule="exact"/>
        <w:rPr>
          <w:sz w:val="20"/>
          <w:szCs w:val="20"/>
          <w:color w:val="auto"/>
        </w:rPr>
      </w:pPr>
    </w:p>
    <w:p>
      <w:pPr>
        <w:ind w:right="100" w:firstLine="477"/>
        <w:spacing w:after="0" w:line="254" w:lineRule="auto"/>
        <w:rPr>
          <w:sz w:val="20"/>
          <w:szCs w:val="20"/>
          <w:color w:val="auto"/>
        </w:rPr>
      </w:pPr>
      <w:r>
        <w:rPr>
          <w:rFonts w:ascii="Arial" w:cs="Arial" w:eastAsia="Arial" w:hAnsi="Arial"/>
          <w:sz w:val="18"/>
          <w:szCs w:val="18"/>
          <w:color w:val="auto"/>
        </w:rPr>
        <w:t>In the U.S., we are solely responsible for the commercialization of Afrezza. Our sales representatives promote Afrezza to endocrinologists and selected primary care physicians located throughout the United States. Our sales efforts are aided by support programs, such as our AfrezzaAssist program that helps patients and physicians navigate through access, reimbursement and training questions, and savings programs, such as our co-pay assistance program for patients with commercial insurance and our cash pay program for patients with no insurance. Outside of the U.S., our strategy has been to establish regional partnerships in foreign jurisdictions where there are commercial opportunities, subject to the receipt of necessary foreign regulatory approvals. Our partner in Brazil, Biomm S.A. (“Biomm”), commenced commercialization of Afrezza in January 2020. Our partner in India, Cipla Ltd. (“Cipla”), is currently conducting a clinical study of Afrezza in order to meet the requirements for a regulatory submission to the Drug Controller General of India.</w:t>
      </w:r>
    </w:p>
    <w:p>
      <w:pPr>
        <w:spacing w:after="0" w:line="192" w:lineRule="exact"/>
        <w:rPr>
          <w:sz w:val="20"/>
          <w:szCs w:val="20"/>
          <w:color w:val="auto"/>
        </w:rPr>
      </w:pPr>
    </w:p>
    <w:p>
      <w:pPr>
        <w:ind w:right="100" w:firstLine="477"/>
        <w:spacing w:after="0" w:line="255" w:lineRule="auto"/>
        <w:rPr>
          <w:sz w:val="20"/>
          <w:szCs w:val="20"/>
          <w:color w:val="auto"/>
        </w:rPr>
      </w:pPr>
      <w:r>
        <w:rPr>
          <w:rFonts w:ascii="Arial" w:cs="Arial" w:eastAsia="Arial" w:hAnsi="Arial"/>
          <w:sz w:val="18"/>
          <w:szCs w:val="18"/>
          <w:color w:val="auto"/>
        </w:rPr>
        <w:t>As part of the approval of Afrezza, the FDA required us to conduct certain additional clinical studies of Afrezza in pediatric patients. In the third quarter of 2021, we initiated a Phase 3 clinical trial to evaluate the safety and efficacy of Afrezza in combination with basal insulin versus multiple daily injections of insulin in children and adolescents aged 4-17 who are living with type 1 or type 2 diabetes. This study, known as the INHALE-1 study, is a 26-week open-label, randomized clinical trial with a 26-week extension period. The primary endpoint is change in HbA1c level after 26 weeks. Secondary endpoints include change in fasting plasma glucose after 26 weeks, and rate of hypoglycemic events. We do not expect to complete the INHALE-1 study until 2023 at the earliest.</w:t>
      </w:r>
    </w:p>
    <w:p>
      <w:pPr>
        <w:spacing w:after="0" w:line="192"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When Afrezza was approved, the FDA also required us to conduct a five-year, randomized, controlled trial in 8,000-10,000 patients with type 2 diabetes to assess the long-term safety of Afrezza. In discussions with the FDA during 2021, the agency indicated that this requirement could potentially be satisfied through a retrospective analysis or a prospective registry study rather than a randomized controlled trial. The details of such a modified requirement will be elaborated in further discussions with the FDA that are planned for later in 2022.</w:t>
      </w:r>
    </w:p>
    <w:p>
      <w:pPr>
        <w:spacing w:after="0" w:line="187" w:lineRule="exact"/>
        <w:rPr>
          <w:sz w:val="20"/>
          <w:szCs w:val="20"/>
          <w:color w:val="auto"/>
        </w:rPr>
      </w:pPr>
    </w:p>
    <w:p>
      <w:pPr>
        <w:ind w:firstLine="477"/>
        <w:spacing w:after="0" w:line="290" w:lineRule="auto"/>
        <w:rPr>
          <w:sz w:val="20"/>
          <w:szCs w:val="20"/>
          <w:color w:val="auto"/>
        </w:rPr>
      </w:pPr>
      <w:r>
        <w:rPr>
          <w:rFonts w:ascii="Arial" w:cs="Arial" w:eastAsia="Arial" w:hAnsi="Arial"/>
          <w:sz w:val="16"/>
          <w:szCs w:val="16"/>
          <w:color w:val="auto"/>
        </w:rPr>
        <w:t>Afrezza utilizes our proprietary Technosphere formulation technology, which we believe represents a versatile drug delivery platform that may allow the oral inhalation of a wide range of active pharmaceutical ingredients. We have successfully prepared Technosphere formulations of anionic and cationic drugs, hydrophobic and hydrophilic drugs, proteins, peptides and small molecules. Technosphere powders are based on our proprietary excipient, fumaryl diketopiperazine (“FDKP”), which is a pH-sensitive organic molecule that self-assembles into small particles under acidic conditions. Certain drugs can be loaded onto these particles by combining a solution of the drug with a solution or suspension of Technosphere material, which is then dried to powder form. The resulting powder has a consistent and narrow range of particle sizes with good aerodynamic properties that enable efficient delivery deep into the lungs. Technosphere powders dissolve quickly when the particles contact the moist lung surface with its neutral pH, releasing the drug molecules to diffuse across a thin layer of cells into the arterial circulation, bypassing the liver to provide excellent systemic exposure.</w:t>
      </w:r>
    </w:p>
    <w:p>
      <w:pPr>
        <w:spacing w:after="0" w:line="165" w:lineRule="exact"/>
        <w:rPr>
          <w:sz w:val="20"/>
          <w:szCs w:val="20"/>
          <w:color w:val="auto"/>
        </w:rPr>
      </w:pPr>
    </w:p>
    <w:p>
      <w:pPr>
        <w:ind w:right="100" w:firstLine="477"/>
        <w:spacing w:after="0" w:line="291" w:lineRule="auto"/>
        <w:rPr>
          <w:sz w:val="20"/>
          <w:szCs w:val="20"/>
          <w:color w:val="auto"/>
        </w:rPr>
      </w:pPr>
      <w:r>
        <w:rPr>
          <w:rFonts w:ascii="Arial" w:cs="Arial" w:eastAsia="Arial" w:hAnsi="Arial"/>
          <w:sz w:val="16"/>
          <w:szCs w:val="16"/>
          <w:color w:val="auto"/>
        </w:rPr>
        <w:t>We have also created an innovative line of breath-powered, dry powder inhalers. Our inhalers are easy to use, cost-effective and can be produced in both a reusable (chronic treatment) and a single-use (acute treatment) format. Both the reusable and single-use inhaler formats use the same internal air-flow design. Being breath-powered, our inhalers require only the patient’s inhalation effort to deliver the powder. To administer the inhalation powder, a patient loads a cartridge into our inhaler and inhales through the mouthpiece. Upon inhalation, the dry powder is lifted out of the cartridge and broken up (or de-agglomerated) into small particles. The inhalers are engineered to produce an aggressive airstream that de-agglomerates the powder while keeping the powder moving relatively slowly. This slow-moving powder effectively navigates the patient’s airways to reach the deep lung with minimal deposition at the back of the throat. Our inhalers show very little change in performance (i.e., efficient cartridge emptying) over a wide range of inhalation efforts.</w:t>
      </w:r>
    </w:p>
    <w:p>
      <w:pPr>
        <w:spacing w:after="0" w:line="166"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Using our formulation and inhaler technology, we advanced an inhaled formulation of treprostinil Technosphere into clinical development in June 2018. In September 2018, we entered into a license and collaboration agreement (the “UT License Agreement”) with United Therapeutics Corporation (“United Therapeutics” or “UT”), pursuant to which UT assumed responsibility for global development, regulatory and commercial activities with respect to a product that UT has branded as Tyvaso DPI, while we retained responsibility for manufacturing clinical and commercial supplies. In April 2021, United Therapeutics submitted a new drug application (“NDA”) to the FDA seeking approval of Tyvaso DPI for the treatment of pulmonary arterial hypertension (PAH) and pulmonary hypertension associated with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right="100"/>
        <w:spacing w:after="0" w:line="253" w:lineRule="auto"/>
        <w:rPr>
          <w:sz w:val="20"/>
          <w:szCs w:val="20"/>
          <w:color w:val="auto"/>
        </w:rPr>
      </w:pPr>
      <w:r>
        <w:rPr>
          <w:rFonts w:ascii="Arial" w:cs="Arial" w:eastAsia="Arial" w:hAnsi="Arial"/>
          <w:sz w:val="18"/>
          <w:szCs w:val="18"/>
          <w:color w:val="auto"/>
        </w:rPr>
        <w:t>interstitial lung disease (PH-ILD). In October 2021, the FDA provided UT with a complete response letter (CRL) in which it declined to approve the Tyvaso DPI NDA, citing an open inspection issue at a third-party analytical testing facility for the treprostinil drug substance as the single deficiency preventing approval of Tyvaso DPI. The CRL noted, but did not cite as a deficiency, that the FDA had not yet completed its review of a citizen petition submitted to the FDA in July 2021 concerning the safety of an excipient in Tyvaso DPI. In December 2021, UT resubmitted the NDA to the FDA, addressing the single deficiency cited in the CRL. In January 2022, the FDA accepted the resubmitted NDA for review, and designated it as a class 1 resubmission with an expected two-month review period ending in February 2022. In mid-February 2022, the FDA requested additional information from UT concerning the pulmonary safety of Tyvaso DPI related to the citizen petition. UT promptly responded to the FDA’s request. The FDA subsequently indicated that the response constitutes a major amendment to the Tyvaso DPI NDA, which extends to May 2022 the FDA’s deadline to complete its review of the pending NDA.</w:t>
      </w:r>
    </w:p>
    <w:p>
      <w:pPr>
        <w:spacing w:after="0" w:line="196"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In December 2020, we acquired QrumPharma, Inc., a privately held pharmaceutical company developing inhalation treatments for severe chronic and recurrent pulmonary infections, including nontuberculous mycobacterial (NTM) lung disease. The lead program from this acquisition (MNKD-101) is an inhaled, nebulized formulation of clofazimine, which could potentially provide several clinical advantages over the current solid oral dosage form of this drug. MNKD-101 is currently being evaluated in an initial clinical study in Australia. The FDA has designated MNKD-101 as both an orphan drug and a qualified infectious disease product for the treatment of pulmonary NTM infections. In addition to continuing the development of MNKD-101, we are evaluating the feasibility of developing a dry-powder formulation of clofazimine using our Technosphere technology.</w:t>
      </w:r>
    </w:p>
    <w:p>
      <w:pPr>
        <w:spacing w:after="0" w:line="178"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We have formulated other drugs and biologics for the treatment of orphan lung disease and plan to continue their development as dictated by the results achieved in preclinical studies and by resource requirements. We have also partnered with several third parties that have proprietary rights to certain compounds in order to evaluate the feasibility of developing dry-powder formulations of such compounds. We may seek to convert certain of these exploratory programs into full development programs funded by the external parties.</w:t>
      </w:r>
    </w:p>
    <w:p>
      <w:pPr>
        <w:spacing w:after="0" w:line="187"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To aid in the development of oral inhalation products, we have created a number of innovative tools, including a novel inhalation profiling apparatus, known as BluHale that uses miniature sensors to assess the drug delivery process at the level of an individual inhaler. The BluHale apparatus provides real-time data regarding patient usage and delivery system performance that is transmitted to a user interface, such as a smartphone application. During 2020, we released a BluHale Professional version of the apparatus for use as a training tool in certain physician’s offices. A consumer version of the apparatus, with additional features, is in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We use our Danbury, Connecticut facility to formulate both the Afrezza and Tyvaso DPI inhalation powders, fill plastic cartridges with the powders and package the cartridges into blister packs. We utilize a contract packager to assemble the final kits of Afrezza and Tyvaso DPI cartridges along with inhalers and package inserts.</w:t>
      </w:r>
    </w:p>
    <w:p>
      <w:pPr>
        <w:spacing w:after="0" w:line="184"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The quality management systems of our Danbury facility have been certified to be in conformance with the ISO 13485:2016 standard.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We were also inspected by the Agência Nacional de Vigilância Sanitária (“ANVISA”) (Brazil National Health Surveillance Agency) in May 2018. ANVISA renewed its certificate in 2020 on the basis of a virtual inspection. The FDA and other foreign jurisdictions are expected to conduct additional inspections of our facility from time to time.</w:t>
      </w:r>
    </w:p>
    <w:p>
      <w:pPr>
        <w:spacing w:after="0" w:line="192"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We believe that our Danbury facility has enough capacity to satisfy the current demand for Afrezza and, if approved, Tyvaso DPI. In addition, we are currently expanding production capacity with additional filling lines and other equipment in order to meet the demand for Tyvaso DPI projected by UT over the next several years. The costs of this expansion project are being borne by UT.</w:t>
      </w:r>
    </w:p>
    <w:p>
      <w:pPr>
        <w:spacing w:after="0" w:line="184" w:lineRule="exact"/>
        <w:rPr>
          <w:sz w:val="20"/>
          <w:szCs w:val="20"/>
          <w:color w:val="auto"/>
        </w:rPr>
      </w:pPr>
    </w:p>
    <w:p>
      <w:pPr>
        <w:ind w:right="60" w:firstLine="477"/>
        <w:spacing w:after="0" w:line="286" w:lineRule="auto"/>
        <w:rPr>
          <w:sz w:val="20"/>
          <w:szCs w:val="20"/>
          <w:color w:val="auto"/>
        </w:rPr>
      </w:pPr>
      <w:r>
        <w:rPr>
          <w:rFonts w:ascii="Arial" w:cs="Arial" w:eastAsia="Arial" w:hAnsi="Arial"/>
          <w:sz w:val="16"/>
          <w:szCs w:val="16"/>
          <w:color w:val="auto"/>
        </w:rPr>
        <w:t>Currently, the only source of insulin that we have qualified for Afrezza is manufactured by Amphastar France Pharmaceuticals S.A.S. (“Amphastar”). In April 2014, we entered into a supply agreement with Amphastar (as amended, the “Insulin Supply Agreement”) to purchase certain annual minimum quantities with an aggregate purchase commitment of €120.1 million over a term that currently extends through December 31, 2027. As of December 31, 2021, there was $82.8 million remaining in aggregate purchase commitments under this agreement. See additional information in Note 13</w:t>
      </w:r>
    </w:p>
    <w:p>
      <w:pPr>
        <w:spacing w:after="0" w:line="1" w:lineRule="exact"/>
        <w:rPr>
          <w:sz w:val="20"/>
          <w:szCs w:val="20"/>
          <w:color w:val="auto"/>
        </w:rPr>
      </w:pPr>
    </w:p>
    <w:p>
      <w:pPr>
        <w:ind w:left="480" w:right="1160" w:hanging="477"/>
        <w:spacing w:after="0" w:line="492" w:lineRule="auto"/>
        <w:rPr>
          <w:sz w:val="20"/>
          <w:szCs w:val="20"/>
          <w:color w:val="auto"/>
        </w:rPr>
      </w:pPr>
      <w:r>
        <w:rPr>
          <w:rFonts w:ascii="Arial" w:cs="Arial" w:eastAsia="Arial" w:hAnsi="Arial"/>
          <w:sz w:val="18"/>
          <w:szCs w:val="18"/>
          <w:color w:val="auto"/>
        </w:rPr>
        <w:t>– Commitments and Contingencies to the consolidated financial statements for further information related to the Insulin Supply Agreement. The treprostinil used to produce Tyvaso DPI is supplied to us at no cost by United Therapeutics.</w:t>
      </w:r>
    </w:p>
    <w:p>
      <w:pPr>
        <w:spacing w:after="0" w:line="1"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Currently, we purchase FDKP, the primary component of our Technosphere powders, from a major chemical manufacturer with facilities in Europe and North America.</w:t>
      </w:r>
    </w:p>
    <w:p>
      <w:pPr>
        <w:spacing w:after="0" w:line="170" w:lineRule="exact"/>
        <w:rPr>
          <w:sz w:val="20"/>
          <w:szCs w:val="20"/>
          <w:color w:val="auto"/>
        </w:rPr>
      </w:pPr>
    </w:p>
    <w:p>
      <w:pPr>
        <w:jc w:val="both"/>
        <w:ind w:right="40" w:firstLine="477"/>
        <w:spacing w:after="0" w:line="263" w:lineRule="auto"/>
        <w:rPr>
          <w:sz w:val="20"/>
          <w:szCs w:val="20"/>
          <w:color w:val="auto"/>
        </w:rPr>
      </w:pPr>
      <w:r>
        <w:rPr>
          <w:rFonts w:ascii="Arial" w:cs="Arial" w:eastAsia="Arial" w:hAnsi="Arial"/>
          <w:sz w:val="18"/>
          <w:szCs w:val="18"/>
          <w:color w:val="auto"/>
        </w:rPr>
        <w:t>We have a supply agreement with the contract manufacturer that produces the plastic-molded parts for our inhaler and the corresponding cartridges. We expect to be able to qualify an additional vendor of plastic-molding contract manufacturing services, if warranted by demand. We assemble the inhalers at our Connecticut facility.</w:t>
      </w:r>
    </w:p>
    <w:p>
      <w:pPr>
        <w:spacing w:after="0" w:line="184" w:lineRule="exact"/>
        <w:rPr>
          <w:sz w:val="20"/>
          <w:szCs w:val="20"/>
          <w:color w:val="auto"/>
        </w:rPr>
      </w:pPr>
    </w:p>
    <w:p>
      <w:pPr>
        <w:ind w:right="340" w:firstLine="477"/>
        <w:spacing w:after="0" w:line="277" w:lineRule="auto"/>
        <w:rPr>
          <w:sz w:val="20"/>
          <w:szCs w:val="20"/>
          <w:color w:val="auto"/>
        </w:rPr>
      </w:pPr>
      <w:r>
        <w:rPr>
          <w:rFonts w:ascii="Arial" w:cs="Arial" w:eastAsia="Arial" w:hAnsi="Arial"/>
          <w:sz w:val="18"/>
          <w:szCs w:val="18"/>
          <w:color w:val="auto"/>
        </w:rPr>
        <w:t>We also have an agreement with the contractor that performs the final packaging of Afrezza overwraps, inhalers and printed material into patient kits. We expect to be able to qualify an additional vendor of packaging services, if warranted by demand.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ind w:left="480"/>
        <w:spacing w:after="0"/>
        <w:rPr>
          <w:sz w:val="20"/>
          <w:szCs w:val="20"/>
          <w:color w:val="auto"/>
        </w:rPr>
      </w:pPr>
      <w:r>
        <w:rPr>
          <w:rFonts w:ascii="Arial" w:cs="Arial" w:eastAsia="Arial" w:hAnsi="Arial"/>
          <w:sz w:val="18"/>
          <w:szCs w:val="18"/>
          <w:color w:val="auto"/>
        </w:rPr>
        <w:t>The BluHale device is assembled for us by a contract manufacturer using components that are sourced from multiple vendors.</w:t>
      </w:r>
    </w:p>
    <w:p>
      <w:pPr>
        <w:spacing w:after="0" w:line="225"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In general, our suppliers and contract manufacturers are sophisticated and mature organizations, often with multinational operations, that have significant experience with pharmaceutical and medical device manufacturing. Our quality and manufacturing personnel conduct extensive inspections to qualify new vendors and periodic GMP audits of their operations on an ongoing basis. With the expansion of our supply chain into the electronic components that are required for BluHale devices, we have begun to require our vendors to confirm that conflict minerals are not knowingly or intentionally added during the manufacturing process for, or are unnecessary to the functionality or production of, the components that we source from such vendors.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for all inventions in the United States, Europe, Japan and, depending on the nature of the invention, selected other jurisdictions. We have obtained, are seeking, and will continue to seek patent protection on the compositions of matter, methods of treatment and manufacturing processes flowing from our research and development efforts.</w:t>
      </w:r>
    </w:p>
    <w:p>
      <w:pPr>
        <w:spacing w:after="0" w:line="192" w:lineRule="exact"/>
        <w:rPr>
          <w:sz w:val="20"/>
          <w:szCs w:val="20"/>
          <w:color w:val="auto"/>
        </w:rPr>
      </w:pPr>
    </w:p>
    <w:p>
      <w:pPr>
        <w:ind w:right="100" w:firstLine="477"/>
        <w:spacing w:after="0" w:line="270" w:lineRule="auto"/>
        <w:rPr>
          <w:sz w:val="20"/>
          <w:szCs w:val="20"/>
          <w:color w:val="auto"/>
        </w:rPr>
      </w:pPr>
      <w:r>
        <w:rPr>
          <w:rFonts w:ascii="Arial" w:cs="Arial" w:eastAsia="Arial" w:hAnsi="Arial"/>
          <w:sz w:val="17"/>
          <w:szCs w:val="17"/>
          <w:color w:val="auto"/>
        </w:rPr>
        <w:t>Our Technosphere drug delivery platform, including Afrezza, enjoys patent protection relating to the powder, its manufacture, its use for pulmonary delivery of drugs as well as protection related to our inhalers and associated cartridges. We have additional patent coverage relating to methods for the treatment of diabetes using Afrezza. Overall, Afrezza is protected by approximately 640 issued patents in the United States and selected jurisdictions around the world, the longest-lived of which will expire in 2032. We also have over 65 applications pending that may provide additional protection for Afrezza if and when they are allowed. Similarly, Tyvaso DPI is protected by approximately 400 issued patents in the United States and elsewhere and an additional 50 pending applications. The longest-lived patent protection for Tyvaso DPI will expire in 2035. Our entire portfolio consists of approximately 1,100 issued patents and approximately 170 patent applications that provide protection for MNKD-101, our drug delivery platform, Technosphere-based products, our BluHale inhalation-profiling apparatus and various development tools. We expect to file further patent applications as our research and development efforts continue.</w:t>
      </w:r>
    </w:p>
    <w:p>
      <w:pPr>
        <w:spacing w:after="0" w:line="181" w:lineRule="exact"/>
        <w:rPr>
          <w:sz w:val="20"/>
          <w:szCs w:val="20"/>
          <w:color w:val="auto"/>
        </w:rPr>
      </w:pPr>
    </w:p>
    <w:p>
      <w:pPr>
        <w:ind w:firstLine="477"/>
        <w:spacing w:after="0" w:line="296" w:lineRule="auto"/>
        <w:rPr>
          <w:sz w:val="20"/>
          <w:szCs w:val="20"/>
          <w:color w:val="auto"/>
        </w:rPr>
      </w:pPr>
      <w:r>
        <w:rPr>
          <w:rFonts w:ascii="Arial" w:cs="Arial" w:eastAsia="Arial" w:hAnsi="Arial"/>
          <w:sz w:val="16"/>
          <w:szCs w:val="16"/>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 For some of our inventions, particularly manufacturing processes and improvements, we have chosen to rely on trade secrets and know-how, which are not protected by patents, to maintain our competitive position.</w:t>
      </w:r>
    </w:p>
    <w:p>
      <w:pPr>
        <w:spacing w:after="0" w:line="161" w:lineRule="exact"/>
        <w:rPr>
          <w:sz w:val="20"/>
          <w:szCs w:val="20"/>
          <w:color w:val="auto"/>
        </w:rPr>
      </w:pPr>
    </w:p>
    <w:p>
      <w:pPr>
        <w:ind w:right="100" w:firstLine="477"/>
        <w:spacing w:after="0" w:line="301" w:lineRule="auto"/>
        <w:rPr>
          <w:sz w:val="20"/>
          <w:szCs w:val="20"/>
          <w:color w:val="auto"/>
        </w:rPr>
      </w:pPr>
      <w:r>
        <w:rPr>
          <w:rFonts w:ascii="Arial" w:cs="Arial" w:eastAsia="Arial" w:hAnsi="Arial"/>
          <w:sz w:val="16"/>
          <w:szCs w:val="16"/>
          <w:color w:val="auto"/>
        </w:rPr>
        <w:t>We use trademarks and service marks to protect our corporate brand as well as the branding associated with Afrezza, our Technosphere formulation technology, our device platform and the product support programs that we have developed. Our current portfolio consists of 178 registered trademarks and 60 applications in the U.S. and selected foreign jurisdictions. We routinely monitor competing trademarks and, when necessary, oppose marks that we believe would be confusing to consumers. We also enforce against the unauthorized use or misappropriation of our marks.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477"/>
        <w:spacing w:after="0" w:line="275" w:lineRule="auto"/>
        <w:rPr>
          <w:sz w:val="20"/>
          <w:szCs w:val="20"/>
          <w:color w:val="auto"/>
        </w:rPr>
      </w:pPr>
      <w:r>
        <w:rPr>
          <w:rFonts w:ascii="Arial" w:cs="Arial" w:eastAsia="Arial" w:hAnsi="Arial"/>
          <w:sz w:val="17"/>
          <w:szCs w:val="17"/>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Diabetes Treatments</w:t>
      </w:r>
    </w:p>
    <w:p>
      <w:pPr>
        <w:spacing w:after="0" w:line="117" w:lineRule="exact"/>
        <w:rPr>
          <w:sz w:val="20"/>
          <w:szCs w:val="20"/>
          <w:color w:val="auto"/>
        </w:rPr>
      </w:pPr>
    </w:p>
    <w:p>
      <w:pPr>
        <w:ind w:right="120" w:firstLine="477"/>
        <w:spacing w:after="0" w:line="269"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a lower cost, than Afrezza. There can be no assurance that existing or new competitors will not introduce products or processes competitive with or superior to our product candidates.</w:t>
      </w:r>
    </w:p>
    <w:p>
      <w:pPr>
        <w:spacing w:after="0" w:line="179"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color w:val="auto"/>
        </w:rPr>
        <w:t>Currently, we believe that Afrezza has a unique “ultra rapid-acting” pharmacokinetic profile, i.e., entering the bloodstream in less than one minute, with the first measurable effects occurring approximately 12 minutes after administration, and peak glucose-lowering effects within 35 or 45 minutes after administration of a 4 or 12 unit dose, respectively. There are several formulations of “rapid-acting” insulin analogs that reach their maximum glucose-lowering effect within one to three hours after injection. The principal products in this category are insulin lispro, which is marketed by Eli Lilly &amp; Company as Humalog® and by Sanofi S.A. as Admelog®; insulin aspart, which is marketed by Novo Nordisk A/S as Novolog® ; and insulin glulisine, which is marketed by Sanofi S.A. as Apidra®. New formulations of two of these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 w:name="page9"/>
    <w:bookmarkEnd w:id="8"/>
    <w:p>
      <w:pPr>
        <w:ind w:right="60"/>
        <w:spacing w:after="0" w:line="263" w:lineRule="auto"/>
        <w:rPr>
          <w:sz w:val="20"/>
          <w:szCs w:val="20"/>
          <w:color w:val="auto"/>
        </w:rPr>
      </w:pPr>
      <w:r>
        <w:rPr>
          <w:rFonts w:ascii="Arial" w:cs="Arial" w:eastAsia="Arial" w:hAnsi="Arial"/>
          <w:sz w:val="18"/>
          <w:szCs w:val="18"/>
          <w:color w:val="auto"/>
        </w:rPr>
        <w:t>products – Fiasp®, a version of insulin aspart from Novo Nordisk, and Lyumjev™, a version of insulin lispro from Eli Lilly &amp; Company – have been positioned by their manufacturers as fast(er) insulins. According to prescribing information, these products have their first measurable effects within 17-30 minutes after administration and reach peak glucose-lowering effects after 90-120 minutes.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Inhaled Drug Delivery Systems</w:t>
      </w:r>
    </w:p>
    <w:p>
      <w:pPr>
        <w:spacing w:after="0" w:line="117" w:lineRule="exact"/>
        <w:rPr>
          <w:sz w:val="20"/>
          <w:szCs w:val="20"/>
          <w:color w:val="auto"/>
        </w:rPr>
      </w:pPr>
    </w:p>
    <w:p>
      <w:pPr>
        <w:ind w:firstLine="477"/>
        <w:spacing w:after="0" w:line="263" w:lineRule="auto"/>
        <w:rPr>
          <w:sz w:val="20"/>
          <w:szCs w:val="20"/>
          <w:color w:val="auto"/>
        </w:rPr>
      </w:pPr>
      <w:r>
        <w:rPr>
          <w:rFonts w:ascii="Arial" w:cs="Arial" w:eastAsia="Arial" w:hAnsi="Arial"/>
          <w:sz w:val="18"/>
          <w:szCs w:val="18"/>
          <w:color w:val="auto"/>
        </w:rPr>
        <w:t>Our drug delivery platform competes with other inhaled delivery systems, including AER-901 being developed by Aerami Therapeutics. AER-901 is a formulation of imatinib, administered with a small handheld electronic inhaler that is being developed for the treatment of pulmonary arterial hypertension.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 w:firstLine="477"/>
        <w:spacing w:after="0" w:line="271" w:lineRule="auto"/>
        <w:rPr>
          <w:sz w:val="20"/>
          <w:szCs w:val="20"/>
          <w:color w:val="auto"/>
        </w:rPr>
      </w:pPr>
      <w:r>
        <w:rPr>
          <w:rFonts w:ascii="Arial" w:cs="Arial" w:eastAsia="Arial" w:hAnsi="Arial"/>
          <w:sz w:val="17"/>
          <w:szCs w:val="17"/>
          <w:color w:val="auto"/>
        </w:rPr>
        <w:t>The FDA and comparable regulatory agencies in state and local jurisdictions impose substantial requirements upon the research, clinical development, testing, manufacture, labeling, storage, shipping, approval, recordkeeping, advertising, promotion, sale and distribution of medical devices and new drug and biologic products. In addition, to the extent that our products are marketed abroad, they are also subject to export requirements and to regulation by foreign governments. The regulatory approval process is generally lengthy, expensive and uncertain. Failure to comply with applicable FDA and other regulatory requirements can result in sanctions being imposed on us, including warning letters, hold letters on clinical research, product recalls or seizures,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civil or criminal fines or other penalties.</w:t>
      </w:r>
    </w:p>
    <w:p>
      <w:pPr>
        <w:spacing w:after="0" w:line="178" w:lineRule="exact"/>
        <w:rPr>
          <w:sz w:val="20"/>
          <w:szCs w:val="20"/>
          <w:color w:val="auto"/>
        </w:rPr>
      </w:pPr>
    </w:p>
    <w:p>
      <w:pPr>
        <w:ind w:right="40" w:firstLine="477"/>
        <w:spacing w:after="0" w:line="287" w:lineRule="auto"/>
        <w:rPr>
          <w:sz w:val="20"/>
          <w:szCs w:val="20"/>
          <w:color w:val="auto"/>
        </w:rPr>
      </w:pPr>
      <w:r>
        <w:rPr>
          <w:rFonts w:ascii="Arial" w:cs="Arial" w:eastAsia="Arial" w:hAnsi="Arial"/>
          <w:sz w:val="16"/>
          <w:szCs w:val="16"/>
          <w:color w:val="auto"/>
        </w:rPr>
        <w:t>With an approved product such as Afrezza, we are subject to continuing regulation by the FDA, including post marketing study commitments or requirements, record-keeping requirements, reporting of adverse experiences with the product, submitting periodic reports, drug sampling and distribution requirements, notifying the FDA and gaining its approval of certain manufacturing or labeling changes, and complying with certain electronic records and signature requirements. All manufacturing sites are subject to inspection by the FDA and other national regulatory bodies and must comply with current good manufacturing practices (“cGMPs”), quality system regulations for medical devices (“QSR”) and other requirements enforced by these regulatory bodies. As a result, our drug-manufacturing facility in Connecticut is subject to federal registration and listing requirements and, if applicable, to state licensing requirements and so too are the facilities of our insulin supplier and the supplier(s) of FDKP. Likewise, the supplier of our inhaler and cartridges is subject to QSR, which requires manufacturers to follow elaborate design, testing, control, documentation and other quality assurance procedures during the manufacturing process of medical devices, among other requirements. A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w:t>
      </w:r>
    </w:p>
    <w:p>
      <w:pPr>
        <w:spacing w:after="0" w:line="168" w:lineRule="exact"/>
        <w:rPr>
          <w:sz w:val="20"/>
          <w:szCs w:val="20"/>
          <w:color w:val="auto"/>
        </w:rPr>
      </w:pPr>
    </w:p>
    <w:p>
      <w:pPr>
        <w:ind w:right="120" w:firstLine="477"/>
        <w:spacing w:after="0" w:line="296" w:lineRule="auto"/>
        <w:rPr>
          <w:sz w:val="20"/>
          <w:szCs w:val="20"/>
          <w:color w:val="auto"/>
        </w:rPr>
      </w:pPr>
      <w:r>
        <w:rPr>
          <w:rFonts w:ascii="Arial" w:cs="Arial" w:eastAsia="Arial" w:hAnsi="Arial"/>
          <w:sz w:val="16"/>
          <w:szCs w:val="16"/>
          <w:color w:val="auto"/>
        </w:rPr>
        <w:t>In addition, the FDA imposes a number of complex regulations on entities that advertise and promote drugs, which include, among other requirements, standards for and regulation of direct-to-consumer advertising, industry sponsored scientific and educational activities, and promotional activities involving the Internet, and restrictions on off-label promotion. The FDA has very broad enforcement authority,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61" w:lineRule="exact"/>
        <w:rPr>
          <w:sz w:val="20"/>
          <w:szCs w:val="20"/>
          <w:color w:val="auto"/>
        </w:rPr>
      </w:pPr>
    </w:p>
    <w:p>
      <w:pPr>
        <w:ind w:right="140" w:firstLine="477"/>
        <w:spacing w:after="0" w:line="275" w:lineRule="auto"/>
        <w:rPr>
          <w:sz w:val="20"/>
          <w:szCs w:val="20"/>
          <w:color w:val="auto"/>
        </w:rPr>
      </w:pPr>
      <w:r>
        <w:rPr>
          <w:rFonts w:ascii="Arial" w:cs="Arial" w:eastAsia="Arial" w:hAnsi="Arial"/>
          <w:sz w:val="17"/>
          <w:szCs w:val="17"/>
          <w:color w:val="auto"/>
        </w:rPr>
        <w:t>Products manufactured in the United States and marketed outside the United States are subject to certain FDA regulations, as well as regulation by the country in which the products are to be sold. We are also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w:t>
      </w:r>
    </w:p>
    <w:p>
      <w:pPr>
        <w:spacing w:after="0" w:line="117" w:lineRule="exact"/>
        <w:rPr>
          <w:sz w:val="20"/>
          <w:szCs w:val="20"/>
          <w:color w:val="auto"/>
        </w:rPr>
      </w:pPr>
    </w:p>
    <w:p>
      <w:pPr>
        <w:ind w:right="40" w:firstLine="477"/>
        <w:spacing w:after="0" w:line="287" w:lineRule="auto"/>
        <w:rPr>
          <w:sz w:val="20"/>
          <w:szCs w:val="20"/>
          <w:color w:val="auto"/>
        </w:rPr>
      </w:pPr>
      <w:r>
        <w:rPr>
          <w:rFonts w:ascii="Arial" w:cs="Arial" w:eastAsia="Arial" w:hAnsi="Arial"/>
          <w:sz w:val="16"/>
          <w:szCs w:val="16"/>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payers, such as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payers often provide reimbursement for products and services based on the level at which the government (through the Medicare or Medicaid programs) provides reimbursement for such products and services. In the United States, the European Union and other potentially significant markets for our product candidates, government authorities and other third-party payers are increasingly attempting to limit or regulate the price of medical products and services, particularly for new and innovative products and therapies, which has resulted in lower average selling prices. Further, the increased emphasis on managed healthcare in the United States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Pricing pressures can arise from rules and practices of managed care organizations, judicial decisions and governmental laws and regulations related to Medicare, Medicaid, healthcare reform, pharmaceutical reimbursement policies and pricing in general.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9" w:name="page10"/>
    <w:bookmarkEnd w:id="9"/>
    <w:p>
      <w:pPr>
        <w:ind w:right="20" w:firstLine="477"/>
        <w:spacing w:after="0" w:line="269" w:lineRule="auto"/>
        <w:rPr>
          <w:sz w:val="20"/>
          <w:szCs w:val="20"/>
          <w:color w:val="auto"/>
        </w:rPr>
      </w:pPr>
      <w:r>
        <w:rPr>
          <w:rFonts w:ascii="Arial" w:cs="Arial" w:eastAsia="Arial" w:hAnsi="Arial"/>
          <w:sz w:val="17"/>
          <w:szCs w:val="17"/>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the Patient Protection and Affordable Care Act, as amended by the Health Care and Education Reconciliation Act (collectively, “PPACA”), which was enacted in March 2010. In the years since the PPACA was enacted, there have been a number of executive, judicial and congressional challenges to certain aspects of PPACA. While Congress has not passed comprehensive repeal legislation, several bills affecting the implementation of certain provisions of the PPACA have been signed into law. For example, legislation enacted in 2017, informally titled the Tax Cuts and Jobs Act of 2017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Subsequently, a Texas U.S. District Court Judge ruled in December 2018 that the PPACA is unconstitutional in its entirety because the “individual mandate” was repealed by Congress as part of the Tax Act. Ultimately, in June 2021 the Supreme Court dismissed this challenge to the constitutionality of the PPACA, so it remains in effect in its current form. However,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90"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Moreover, in the United States,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 action will be taken in response to the COVID-19 pandemic.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Fraud and Abuse and Transparency Laws</w:t>
      </w:r>
    </w:p>
    <w:p>
      <w:pPr>
        <w:spacing w:after="0" w:line="117"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Similarly,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spacing w:after="0" w:line="188" w:lineRule="exact"/>
        <w:rPr>
          <w:sz w:val="20"/>
          <w:szCs w:val="20"/>
          <w:color w:val="auto"/>
        </w:rPr>
      </w:pPr>
    </w:p>
    <w:p>
      <w:pPr>
        <w:ind w:right="140" w:firstLine="477"/>
        <w:spacing w:after="0" w:line="259" w:lineRule="auto"/>
        <w:rPr>
          <w:sz w:val="20"/>
          <w:szCs w:val="20"/>
          <w:color w:val="auto"/>
        </w:rPr>
      </w:pPr>
      <w:r>
        <w:rPr>
          <w:rFonts w:ascii="Arial" w:cs="Arial" w:eastAsia="Arial" w:hAnsi="Arial"/>
          <w:sz w:val="18"/>
          <w:szCs w:val="18"/>
          <w:color w:val="auto"/>
        </w:rPr>
        <w:t>The federal healthcare Anti-Kickback Statute prohibits, among other things, persons or entities from knowingly and willfully soliciting, offering, receiving or providing remuneration, directly or indirectly, overtly or covertly,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87" w:lineRule="exact"/>
        <w:rPr>
          <w:sz w:val="20"/>
          <w:szCs w:val="20"/>
          <w:color w:val="auto"/>
        </w:rPr>
      </w:pPr>
    </w:p>
    <w:p>
      <w:pPr>
        <w:ind w:right="140" w:firstLine="477"/>
        <w:spacing w:after="0" w:line="301" w:lineRule="auto"/>
        <w:rPr>
          <w:sz w:val="20"/>
          <w:szCs w:val="20"/>
          <w:color w:val="auto"/>
        </w:rPr>
      </w:pPr>
      <w:r>
        <w:rPr>
          <w:rFonts w:ascii="Arial" w:cs="Arial" w:eastAsia="Arial" w:hAnsi="Arial"/>
          <w:sz w:val="16"/>
          <w:szCs w:val="16"/>
          <w:color w:val="auto"/>
        </w:rPr>
        <w:t>In addition, federal civil and criminal false claims laws, including the civil False Claims Act, which can be enforced through civil whistleblower or qui tam actions, and civil monetary penalty laws impose criminal and civil penalties against individuals or entities for, among other things, knowingly presenting, or causing to be presented, to the federal government, including the Medicare and Medicaid programs, claims for payment or approval that are false or fraudulent or making a false statement to avoid, decrease or conceal an obligation to pay money to the federal government.</w:t>
      </w:r>
    </w:p>
    <w:p>
      <w:pPr>
        <w:spacing w:after="0" w:line="157" w:lineRule="exact"/>
        <w:rPr>
          <w:sz w:val="20"/>
          <w:szCs w:val="20"/>
          <w:color w:val="auto"/>
        </w:rPr>
      </w:pPr>
    </w:p>
    <w:p>
      <w:pPr>
        <w:ind w:right="200" w:firstLine="477"/>
        <w:spacing w:after="0" w:line="259" w:lineRule="auto"/>
        <w:rPr>
          <w:sz w:val="20"/>
          <w:szCs w:val="20"/>
          <w:color w:val="auto"/>
        </w:rPr>
      </w:pPr>
      <w:r>
        <w:rPr>
          <w:rFonts w:ascii="Arial" w:cs="Arial" w:eastAsia="Arial" w:hAnsi="Arial"/>
          <w:sz w:val="18"/>
          <w:szCs w:val="18"/>
          <w:color w:val="auto"/>
        </w:rPr>
        <w:t>The federal Health Insurance Portability and Accountability Act of 1996 (“HIPAA”) imposes criminal and civil liability for, among other things, executing a scheme to defraud any healthcare benefit program and also created federal criminal laws that prohibit knowingly and willfully falsifying, concealing or covering up a material fact or making any materially false statements in connection with the delivery of or payment for healthcare benefits, items or services.</w:t>
      </w:r>
    </w:p>
    <w:p>
      <w:pPr>
        <w:spacing w:after="0" w:line="187"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(i) report information related to certain payments or other transfers of value made or distributed to physicians (defined to include doctors, dentists, optometrists, podiatrists and chiropractors), certain other healthcare professionals (such as physician assistants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ind w:right="180"/>
        <w:spacing w:after="0" w:line="308" w:lineRule="auto"/>
        <w:rPr>
          <w:sz w:val="20"/>
          <w:szCs w:val="20"/>
          <w:color w:val="auto"/>
        </w:rPr>
      </w:pPr>
      <w:r>
        <w:rPr>
          <w:rFonts w:ascii="Arial" w:cs="Arial" w:eastAsia="Arial" w:hAnsi="Arial"/>
          <w:sz w:val="17"/>
          <w:szCs w:val="17"/>
          <w:color w:val="auto"/>
        </w:rPr>
        <w:t>nurse practitioners), and teaching hospitals, or to entities or individuals at the request of, or designated on behalf of, the physicians and teaching hospitals and (ii) report annually certain ownership and investment interests held by physicians and their immediate family members.</w:t>
      </w:r>
    </w:p>
    <w:p>
      <w:pPr>
        <w:spacing w:after="0" w:line="146"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In 2020, we reported approximately $383,700 in payments to physicians under the Physician Payments Sunshine Act, which consisted of $216,140 in speaking fees, $121,740 in meals, $31,600 in consulting fees and $14,220 in other payments. We also reported approximately $294,190 in research payments to teaching hospitals. Our report for payments to physicians and teaching hospitals for 2021 is due to be submitted to the Centers for Medicare &amp; Medicaid Services (“CMS”) by March 31, 2022.</w:t>
      </w:r>
    </w:p>
    <w:p>
      <w:pPr>
        <w:spacing w:after="0" w:line="187" w:lineRule="exact"/>
        <w:rPr>
          <w:sz w:val="20"/>
          <w:szCs w:val="20"/>
          <w:color w:val="auto"/>
        </w:rPr>
      </w:pPr>
    </w:p>
    <w:p>
      <w:pPr>
        <w:ind w:right="60" w:firstLine="477"/>
        <w:spacing w:after="0" w:line="293" w:lineRule="auto"/>
        <w:rPr>
          <w:sz w:val="20"/>
          <w:szCs w:val="20"/>
          <w:color w:val="auto"/>
        </w:rPr>
      </w:pPr>
      <w:r>
        <w:rPr>
          <w:rFonts w:ascii="Arial" w:cs="Arial" w:eastAsia="Arial" w:hAnsi="Arial"/>
          <w:sz w:val="16"/>
          <w:szCs w:val="16"/>
          <w:color w:val="auto"/>
        </w:rPr>
        <w:t>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comply with industry’s compliance guidelines and relevant compliance guidance promulgated by the federal government and register pharmaceutical sales representatives and limit expenditure for, or payments to, individual medical or health professionals. In addition, certain state and local laws require pharmaceutical companies to report expenses relating to the marketing and promotion of pharmaceutical products and to report gifts and payments to individual physicians in the states; register pharmaceutical sales representatives, and report pricing with respect to certain drug products.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w:t>
      </w:r>
    </w:p>
    <w:p>
      <w:pPr>
        <w:spacing w:after="0" w:line="117" w:lineRule="exact"/>
        <w:rPr>
          <w:sz w:val="20"/>
          <w:szCs w:val="20"/>
          <w:color w:val="auto"/>
        </w:rPr>
      </w:pPr>
    </w:p>
    <w:p>
      <w:pPr>
        <w:ind w:right="40" w:firstLine="477"/>
        <w:spacing w:after="0" w:line="271" w:lineRule="auto"/>
        <w:rPr>
          <w:sz w:val="20"/>
          <w:szCs w:val="20"/>
          <w:color w:val="auto"/>
        </w:rPr>
      </w:pPr>
      <w:r>
        <w:rPr>
          <w:rFonts w:ascii="Arial" w:cs="Arial" w:eastAsia="Arial" w:hAnsi="Arial"/>
          <w:sz w:val="17"/>
          <w:szCs w:val="17"/>
          <w:color w:val="auto"/>
        </w:rPr>
        <w:t>We are subject to data privacy and security regulation by both the federal government and the states in which we conduct our business.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which include certain healthcare providers, health plans, and healthcare clearinghouses,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w:t>
      </w:r>
    </w:p>
    <w:p>
      <w:pPr>
        <w:spacing w:after="0" w:line="70"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State laws also govern the privacy and security of personal data, including health information in certain circumstances, many of which differ from each other in significant ways and may not have the same effect, thus complicating compliance efforts.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it is anticipated that the California Privacy Rights Act of 2020 (“CPRA”), effective January 1, 2023, will expand the CCPA. Additionally,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U.S. federal and state consumer protection laws require us to publish statements that accurately and fairly describe how we handle personal data and choices individuals may have about the way we handle their personal data.</w:t>
      </w:r>
    </w:p>
    <w:p>
      <w:pPr>
        <w:spacing w:after="0" w:line="74"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Foreign data privacy and security laws impose significant and complex compliance obligations on entities that are subject to those laws. As one example, the European Union’s General Data Protection Regulation 2016/679 (“EU GDPR”), contains provisions specifically directed at the processing of health information, higher sanctions and extra-territoriality measures that are intended to bring non-EU companies under the data security and privacy legal framework specified in the regulation. We anticipate that over time we may expand our business operations to include operations in the EU, including potentially conducting preclinical and clinical trials. With such expansion, we would be subject to increased governmental regulation in the EU countries in which we might operate, including the EU GDPR.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117" w:lineRule="exact"/>
        <w:rPr>
          <w:sz w:val="20"/>
          <w:szCs w:val="20"/>
          <w:color w:val="auto"/>
        </w:rPr>
      </w:pPr>
    </w:p>
    <w:p>
      <w:pPr>
        <w:ind w:right="220" w:firstLine="477"/>
        <w:spacing w:after="0" w:line="263" w:lineRule="auto"/>
        <w:rPr>
          <w:sz w:val="20"/>
          <w:szCs w:val="20"/>
          <w:color w:val="auto"/>
        </w:rPr>
      </w:pPr>
      <w:r>
        <w:rPr>
          <w:rFonts w:ascii="Arial" w:cs="Arial" w:eastAsia="Arial" w:hAnsi="Arial"/>
          <w:sz w:val="18"/>
          <w:szCs w:val="18"/>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w:t>
      </w:r>
    </w:p>
    <w:p>
      <w:pPr>
        <w:spacing w:after="0" w:line="184"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significant criminal, civil and administrative penalties, damages, fines, imprisonment, disgorgement, exclusion from government healthcare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Ethical Business Practices and Sustainability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Ethical Marketing</w:t>
      </w:r>
    </w:p>
    <w:p>
      <w:pPr>
        <w:spacing w:after="0" w:line="117"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We require that our employees abide by our Code of Business Conduct and Ethics, our policy on interactions with healthcare professionals and patients, U.S. federal and state laws and applicable foreign laws. We are committed to protecting the health and well-being of patients by ensuring that medically sound knowledge of the benefits and risks of our products is understood and communicated thoroughly and accurately to patients, physicians and global health authorities.</w:t>
      </w:r>
    </w:p>
    <w:p>
      <w:pPr>
        <w:spacing w:after="0" w:line="187" w:lineRule="exact"/>
        <w:rPr>
          <w:sz w:val="20"/>
          <w:szCs w:val="20"/>
          <w:color w:val="auto"/>
        </w:rPr>
      </w:pPr>
    </w:p>
    <w:p>
      <w:pPr>
        <w:ind w:right="160" w:firstLine="477"/>
        <w:spacing w:after="0" w:line="275" w:lineRule="auto"/>
        <w:rPr>
          <w:sz w:val="20"/>
          <w:szCs w:val="20"/>
          <w:color w:val="auto"/>
        </w:rPr>
      </w:pPr>
      <w:r>
        <w:rPr>
          <w:rFonts w:ascii="Arial" w:cs="Arial" w:eastAsia="Arial" w:hAnsi="Arial"/>
          <w:sz w:val="17"/>
          <w:szCs w:val="17"/>
          <w:color w:val="auto"/>
        </w:rPr>
        <w:t>Our policy on interactions with healthcare professionals and patients requires that our employees promote our products fairly, truthfully, accurately and on-label. Off-label promotion of our products is explicitly prohibited, as are sales activities that would interfere with a healthcare provider’s independent medical judgment or the doctor-patient relationship. All sales staff received compliance training upon hire and on an annual basis. We also routinely monitor sales calls. We expect that consistent enforcement of, and training on, our Code of Business Conduct and Ethics and our policy on interactions with healthcare professionals and patients will help us to avoid the incidence of unethical marketing practices.</w:t>
      </w:r>
    </w:p>
    <w:p>
      <w:pPr>
        <w:spacing w:after="0" w:line="17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part of our commitment to patient support and education, our employees and consultants may attend and participate in certain patient events, such as health fairs or local disease awareness and advocacy events. In all cases, interactions with patients and patient groups may only be conducted in settings that are suitable for patient education and separate from the usual place(s) of clinical business of healthcare providers or institutions. In addition, our sponsorship of such events, if any, must be clearly disclosed through prominent signage.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Safety</w:t>
      </w:r>
    </w:p>
    <w:p>
      <w:pPr>
        <w:spacing w:after="0" w:line="11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The safety of our products at all stages – from clinical trials to the administration and use and through to safe disposal – is a key area of attention for us. We manufacture our approved and investigational products in accordance with the applicable cGMPs, QSR and other requirements enforced by the FDA and other regulatory bodies that have oversight over our products. We acknowledge, however, that there are inherent risks associated with the use of drug products. We attempt to minimize these through stringent adherence to quality control procedures and proactive recall processes whenever a safety concern is identified. To date, we have not issued a recall for any product.</w:t>
      </w:r>
    </w:p>
    <w:p>
      <w:pPr>
        <w:spacing w:after="0" w:line="188" w:lineRule="exact"/>
        <w:rPr>
          <w:sz w:val="20"/>
          <w:szCs w:val="20"/>
          <w:color w:val="auto"/>
        </w:rPr>
      </w:pPr>
    </w:p>
    <w:p>
      <w:pPr>
        <w:jc w:val="both"/>
        <w:ind w:right="60" w:firstLine="477"/>
        <w:spacing w:after="0" w:line="301" w:lineRule="auto"/>
        <w:rPr>
          <w:sz w:val="20"/>
          <w:szCs w:val="20"/>
          <w:color w:val="auto"/>
        </w:rPr>
      </w:pPr>
      <w:r>
        <w:rPr>
          <w:rFonts w:ascii="Arial" w:cs="Arial" w:eastAsia="Arial" w:hAnsi="Arial"/>
          <w:sz w:val="16"/>
          <w:szCs w:val="16"/>
          <w:color w:val="auto"/>
        </w:rPr>
        <w:t>In addition, all sales packs of Afrezza that are placed in the distribution chain are serialized in accordance with the requirements of the Drug Quality and Security Act, which requires drug manufacturers to assign a unique identifier to each sales pack (and each aggregate of such sales pack, such as a case or pallet). These identifiers remain on such pack or aggregate through the whole supply chain until its consumption or destruction. This system is intended to improve detection and removal of drugs that may be counterfeit, stolen, contaminated, or otherwise harmful from the drug supply chain.</w:t>
      </w:r>
    </w:p>
    <w:p>
      <w:pPr>
        <w:spacing w:after="0" w:line="157"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All of our employees are required to adhere to a standard operating procedure for capturing and reporting adverse events, safety information, and product complaints/adverse incidents involving any drug products marketed by us. These reports, as well as those that are collected by our third-party call center, are evaluated, processed and reported to regulatory authorities in accordance with FDA regulations and guidance on the post-marketing reporting of adverse experiences involving drugs, medical devices and combination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of Clinical Trial Participants</w:t>
      </w:r>
    </w:p>
    <w:p>
      <w:pPr>
        <w:spacing w:after="0" w:line="117"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color w:val="auto"/>
        </w:rPr>
        <w:t>When we are actively conducting clinical trials, the safety of our clinical trials plays a crucial role in the development of new products and our continuing prosperity. We take numerous steps to maximize the safety of our clinical trial participants.</w:t>
      </w:r>
    </w:p>
    <w:p>
      <w:pPr>
        <w:spacing w:after="0" w:line="170" w:lineRule="exact"/>
        <w:rPr>
          <w:sz w:val="20"/>
          <w:szCs w:val="20"/>
          <w:color w:val="auto"/>
        </w:rPr>
      </w:pPr>
    </w:p>
    <w:p>
      <w:pPr>
        <w:ind w:right="160" w:firstLine="477"/>
        <w:spacing w:after="0" w:line="257" w:lineRule="auto"/>
        <w:rPr>
          <w:sz w:val="20"/>
          <w:szCs w:val="20"/>
          <w:color w:val="auto"/>
        </w:rPr>
      </w:pPr>
      <w:r>
        <w:rPr>
          <w:rFonts w:ascii="Arial" w:cs="Arial" w:eastAsia="Arial" w:hAnsi="Arial"/>
          <w:sz w:val="18"/>
          <w:szCs w:val="18"/>
          <w:color w:val="auto"/>
        </w:rPr>
        <w:t>The health of subjects in clinical trials is a priority for us and we are committed to conducting clinical trials according to uniformly high ethical standards. We apply those standards to trials that we sponsor and conduct directly as well as those conducted on our behalf by clinical research organizations. We conduct trials in accordance with all applicable laws, the standards of International Conference on Harmonisation of Technical Requirements for Registration of Pharmaceuticals for Human Use Guidelines and following the ethical principles that have their origin in the Declaration of Helsinki.</w:t>
      </w:r>
    </w:p>
    <w:p>
      <w:pPr>
        <w:spacing w:after="0" w:line="188"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We require that a three-stage informed consent process be implemented in all trials to ensure that participants understand the risks and benefits of the procedures, how personal medical data is collected and used, and that participation in the trial is voluntary, among other information. We retain documentation that all participants in our trials have provided informed consent.</w:t>
      </w:r>
    </w:p>
    <w:p>
      <w:pPr>
        <w:spacing w:after="0" w:line="184" w:lineRule="exact"/>
        <w:rPr>
          <w:sz w:val="20"/>
          <w:szCs w:val="20"/>
          <w:color w:val="auto"/>
        </w:rPr>
      </w:pPr>
    </w:p>
    <w:p>
      <w:pPr>
        <w:jc w:val="both"/>
        <w:ind w:right="300" w:firstLine="477"/>
        <w:spacing w:after="0" w:line="263" w:lineRule="auto"/>
        <w:rPr>
          <w:sz w:val="20"/>
          <w:szCs w:val="20"/>
          <w:color w:val="auto"/>
        </w:rPr>
      </w:pPr>
      <w:r>
        <w:rPr>
          <w:rFonts w:ascii="Arial" w:cs="Arial" w:eastAsia="Arial" w:hAnsi="Arial"/>
          <w:sz w:val="18"/>
          <w:szCs w:val="18"/>
          <w:color w:val="auto"/>
        </w:rPr>
        <w:t>We monitor clinical trials through audits and inspections conducted by us and by clinical research organizations (CROs) that we engage. We also inspect our CROs prior to, and during, an engagement. These inspections verify that our policies, good clinical practices and applicable laws are being adhered to.</w:t>
      </w:r>
    </w:p>
    <w:p>
      <w:pPr>
        <w:spacing w:after="0" w:line="184" w:lineRule="exact"/>
        <w:rPr>
          <w:sz w:val="20"/>
          <w:szCs w:val="20"/>
          <w:color w:val="auto"/>
        </w:rPr>
      </w:pPr>
    </w:p>
    <w:p>
      <w:pPr>
        <w:jc w:val="both"/>
        <w:ind w:right="200" w:firstLine="477"/>
        <w:spacing w:after="0" w:line="263" w:lineRule="auto"/>
        <w:rPr>
          <w:sz w:val="20"/>
          <w:szCs w:val="20"/>
          <w:color w:val="auto"/>
        </w:rPr>
      </w:pPr>
      <w:r>
        <w:rPr>
          <w:rFonts w:ascii="Arial" w:cs="Arial" w:eastAsia="Arial" w:hAnsi="Arial"/>
          <w:sz w:val="18"/>
          <w:szCs w:val="18"/>
          <w:color w:val="auto"/>
        </w:rPr>
        <w:t>Our ability to ensure the safety of clinical trial participants is critical to securing regulatory approval and continued product development success. Moreover, our inability to conduct safe and effective clinical trials could increase our development costs over time. We will continue to hold ourselves to high standards in our oversight and management of clinical trials.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12" w:name="page13"/>
    <w:bookmarkEnd w:id="12"/>
    <w:p>
      <w:pPr>
        <w:ind w:right="140" w:firstLine="477"/>
        <w:spacing w:after="0" w:line="257" w:lineRule="auto"/>
        <w:rPr>
          <w:sz w:val="20"/>
          <w:szCs w:val="20"/>
          <w:color w:val="auto"/>
        </w:rPr>
      </w:pPr>
      <w:r>
        <w:rPr>
          <w:rFonts w:ascii="Arial" w:cs="Arial" w:eastAsia="Arial" w:hAnsi="Arial"/>
          <w:sz w:val="18"/>
          <w:szCs w:val="18"/>
          <w:color w:val="auto"/>
        </w:rPr>
        <w:t>Our policy is to disclose the basic results of all clinical trials that we conduct to test the effectiveness of investigational drugs intended to treat serious or life-threatening diseases or conditions (i.e., phase 2-4 clinical studies). Additionally, we may voluntarily disclose the results of initial safety studies (i.e., phase 1 clinical studies). We strive to disclose these results within one year of study completion or within 30 days of marketing authorization approval. In our disclosure of clinical trial results, our policy is to include all serious adverse events and those non-serious adverse events that have a frequency of at least five percent.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Corruption and Bribery</w:t>
      </w:r>
    </w:p>
    <w:p>
      <w:pPr>
        <w:spacing w:after="0" w:line="117" w:lineRule="exact"/>
        <w:rPr>
          <w:sz w:val="20"/>
          <w:szCs w:val="20"/>
          <w:color w:val="auto"/>
        </w:rPr>
      </w:pPr>
    </w:p>
    <w:p>
      <w:pPr>
        <w:ind w:right="60" w:firstLine="477"/>
        <w:spacing w:after="0" w:line="272" w:lineRule="auto"/>
        <w:rPr>
          <w:sz w:val="20"/>
          <w:szCs w:val="20"/>
          <w:color w:val="auto"/>
        </w:rPr>
      </w:pPr>
      <w:r>
        <w:rPr>
          <w:rFonts w:ascii="Arial" w:cs="Arial" w:eastAsia="Arial" w:hAnsi="Arial"/>
          <w:sz w:val="17"/>
          <w:szCs w:val="17"/>
          <w:color w:val="auto"/>
        </w:rPr>
        <w:t>Our Code of Business Conduct and Ethics reflects the business practices and principles of behavior that we expect of every employee, officer and director. All new employees are trained on the Code of Business Conduct and Ethics and existing employees are required to acknowledge annually that they have refreshed their familiarity with the policies contained within it. Our Code of Business Conduct and Ethics includes clear guidelines on anti-bribery and anti-corruption practices. In addition, we have adopted a separate anti-corruption policy. Currently, we have very limited operations outside the United States; however, as we expand our global reach through collaborations or through our own growth, we acknowledge that certain regions may pose a higher risk for corrupt practices. We intend to continue our internal training programs and oversight over collaborators on anti-bribery, anti-corruption and other unethical practices in order to reduce these risks.</w:t>
      </w:r>
    </w:p>
    <w:p>
      <w:pPr>
        <w:spacing w:after="0" w:line="177"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Bribing healthcare professionals to use or recommend our products can create adverse publicity and damage our ability to use a critical channel of influence. We have adopted and implemented PhRMA’s Code on Interactions with Healthcare Professionals as part of our policy on interactions with healthcare professionals and patients. We believe that training on, and enforcement of, these codes will limit the incidence of unethical interactions between our personnel and healthcare professionals.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long-lived assets are located in the United States and totaled $36.6 million and $25.9 million as of December 31, 2021 and 2020,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21" w:lineRule="exact"/>
        <w:rPr>
          <w:sz w:val="20"/>
          <w:szCs w:val="20"/>
          <w:color w:val="auto"/>
        </w:rPr>
      </w:pPr>
    </w:p>
    <w:p>
      <w:pPr>
        <w:ind w:right="120" w:firstLine="477"/>
        <w:spacing w:after="0" w:line="290" w:lineRule="auto"/>
        <w:rPr>
          <w:sz w:val="20"/>
          <w:szCs w:val="20"/>
          <w:color w:val="auto"/>
        </w:rPr>
      </w:pPr>
      <w:r>
        <w:rPr>
          <w:rFonts w:ascii="Arial" w:cs="Arial" w:eastAsia="Arial" w:hAnsi="Arial"/>
          <w:sz w:val="16"/>
          <w:szCs w:val="16"/>
          <w:color w:val="auto"/>
        </w:rPr>
        <w:t>Our human capital helps us develop and commercialize new products, conduct clinical trials and navigate government regulations. Our ability to recruit, develop and retain highly skilled talent is a significant determinant of our success. Our Code of Business Conduct and Ethics codifies our commitment to diversity and to providing equal opportunity and a positive working environment in all aspects of employment. We also have policies setting forth our expectations for nondiscrimination and a harassment-free work environment. Specifically, our policy is that no aspect of employment, including hiring and promotional opportunities, will be subject to unlawful discrimination or harassment (including sexual harassment) based on race, creed, color, religion, national origin, ancestry, gender (including pregnancy, breastfeeding or medical conditions related to pregnancy or breastfeeding), age, physical or intellectual disability, sexual orientation, gender identity, gender expression, gender stereotyping, marital status, military or veteran status, citizenship, genetic characteristic or information, or any other characteristic protected by applicable federal, state or local law.</w:t>
      </w:r>
    </w:p>
    <w:p>
      <w:pPr>
        <w:spacing w:after="0" w:line="165" w:lineRule="exact"/>
        <w:rPr>
          <w:sz w:val="20"/>
          <w:szCs w:val="20"/>
          <w:color w:val="auto"/>
        </w:rPr>
      </w:pPr>
    </w:p>
    <w:p>
      <w:pPr>
        <w:ind w:right="320" w:firstLine="477"/>
        <w:spacing w:after="0" w:line="290" w:lineRule="auto"/>
        <w:rPr>
          <w:sz w:val="20"/>
          <w:szCs w:val="20"/>
          <w:color w:val="auto"/>
        </w:rPr>
      </w:pPr>
      <w:r>
        <w:rPr>
          <w:rFonts w:ascii="Arial" w:cs="Arial" w:eastAsia="Arial" w:hAnsi="Arial"/>
          <w:sz w:val="17"/>
          <w:szCs w:val="17"/>
          <w:color w:val="auto"/>
        </w:rPr>
        <w:t>As of December 31, 2021, we had 349 total at-will employees, of which 348 were full-time. Of our full-time employees, 147 were engaged in manufacturing, 41 in research and development, 50 in general and administrative and 110 in selling and marketing. Seventeen of these employees had a Ph.D. degree and/or M.D. degree and were engaged in activities relating to research and development, manufacturing, quality assurance or business development. As of December 31, 2021, our workforce was distributed along genders and ethnic minorities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Grade Levels</w:t>
            </w:r>
          </w:p>
        </w:tc>
        <w:tc>
          <w:tcPr>
            <w:tcW w:w="252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Number</w:t>
            </w:r>
          </w:p>
        </w:tc>
        <w:tc>
          <w:tcPr>
            <w:tcW w:w="18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Female (%)</w:t>
            </w:r>
          </w:p>
        </w:tc>
        <w:tc>
          <w:tcPr>
            <w:tcW w:w="20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Ethnic minority (%)</w:t>
            </w: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Vice President and above</w:t>
            </w:r>
          </w:p>
        </w:tc>
        <w:tc>
          <w:tcPr>
            <w:tcW w:w="2520" w:type="dxa"/>
            <w:vAlign w:val="bottom"/>
            <w:shd w:val="clear" w:color="auto" w:fill="CFF0FC"/>
          </w:tcPr>
          <w:p>
            <w:pPr>
              <w:jc w:val="center"/>
              <w:ind w:left="734"/>
              <w:spacing w:after="0"/>
              <w:rPr>
                <w:sz w:val="20"/>
                <w:szCs w:val="20"/>
                <w:color w:val="auto"/>
              </w:rPr>
            </w:pPr>
            <w:r>
              <w:rPr>
                <w:rFonts w:ascii="Arial" w:cs="Arial" w:eastAsia="Arial" w:hAnsi="Arial"/>
                <w:sz w:val="18"/>
                <w:szCs w:val="18"/>
                <w:color w:val="auto"/>
                <w:w w:val="89"/>
              </w:rPr>
              <w:t>14</w:t>
            </w:r>
          </w:p>
        </w:tc>
        <w:tc>
          <w:tcPr>
            <w:tcW w:w="180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4"/>
              </w:rPr>
              <w:t>21%</w:t>
            </w:r>
          </w:p>
        </w:tc>
        <w:tc>
          <w:tcPr>
            <w:tcW w:w="200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88"/>
              </w:rPr>
              <w:t>14%</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Executive Director, Director and Senior Manager</w:t>
            </w:r>
          </w:p>
        </w:tc>
        <w:tc>
          <w:tcPr>
            <w:tcW w:w="2520" w:type="dxa"/>
            <w:vAlign w:val="bottom"/>
          </w:tcPr>
          <w:p>
            <w:pPr>
              <w:jc w:val="center"/>
              <w:ind w:left="734"/>
              <w:spacing w:after="0"/>
              <w:rPr>
                <w:sz w:val="20"/>
                <w:szCs w:val="20"/>
                <w:color w:val="auto"/>
              </w:rPr>
            </w:pPr>
            <w:r>
              <w:rPr>
                <w:rFonts w:ascii="Arial" w:cs="Arial" w:eastAsia="Arial" w:hAnsi="Arial"/>
                <w:sz w:val="18"/>
                <w:szCs w:val="18"/>
                <w:color w:val="auto"/>
                <w:w w:val="89"/>
              </w:rPr>
              <w:t>97</w:t>
            </w:r>
          </w:p>
        </w:tc>
        <w:tc>
          <w:tcPr>
            <w:tcW w:w="1800" w:type="dxa"/>
            <w:vAlign w:val="bottom"/>
          </w:tcPr>
          <w:p>
            <w:pPr>
              <w:jc w:val="center"/>
              <w:ind w:left="94"/>
              <w:spacing w:after="0"/>
              <w:rPr>
                <w:sz w:val="20"/>
                <w:szCs w:val="20"/>
                <w:color w:val="auto"/>
              </w:rPr>
            </w:pPr>
            <w:r>
              <w:rPr>
                <w:rFonts w:ascii="Arial" w:cs="Arial" w:eastAsia="Arial" w:hAnsi="Arial"/>
                <w:sz w:val="18"/>
                <w:szCs w:val="18"/>
                <w:color w:val="auto"/>
                <w:w w:val="94"/>
              </w:rPr>
              <w:t>44%</w:t>
            </w:r>
          </w:p>
        </w:tc>
        <w:tc>
          <w:tcPr>
            <w:tcW w:w="2000" w:type="dxa"/>
            <w:vAlign w:val="bottom"/>
          </w:tcPr>
          <w:p>
            <w:pPr>
              <w:jc w:val="center"/>
              <w:ind w:left="74"/>
              <w:spacing w:after="0"/>
              <w:rPr>
                <w:sz w:val="20"/>
                <w:szCs w:val="20"/>
                <w:color w:val="auto"/>
              </w:rPr>
            </w:pPr>
            <w:r>
              <w:rPr>
                <w:rFonts w:ascii="Arial" w:cs="Arial" w:eastAsia="Arial" w:hAnsi="Arial"/>
                <w:sz w:val="18"/>
                <w:szCs w:val="18"/>
                <w:color w:val="auto"/>
                <w:w w:val="88"/>
              </w:rPr>
              <w:t>28%</w:t>
            </w: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Managers and below</w:t>
            </w:r>
          </w:p>
        </w:tc>
        <w:tc>
          <w:tcPr>
            <w:tcW w:w="2520" w:type="dxa"/>
            <w:vAlign w:val="bottom"/>
            <w:shd w:val="clear" w:color="auto" w:fill="CFF0FC"/>
          </w:tcPr>
          <w:p>
            <w:pPr>
              <w:jc w:val="center"/>
              <w:ind w:left="754"/>
              <w:spacing w:after="0"/>
              <w:rPr>
                <w:sz w:val="20"/>
                <w:szCs w:val="20"/>
                <w:color w:val="auto"/>
              </w:rPr>
            </w:pPr>
            <w:r>
              <w:rPr>
                <w:rFonts w:ascii="Arial" w:cs="Arial" w:eastAsia="Arial" w:hAnsi="Arial"/>
                <w:sz w:val="18"/>
                <w:szCs w:val="18"/>
                <w:color w:val="auto"/>
                <w:w w:val="93"/>
              </w:rPr>
              <w:t>238</w:t>
            </w:r>
          </w:p>
        </w:tc>
        <w:tc>
          <w:tcPr>
            <w:tcW w:w="180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4"/>
              </w:rPr>
              <w:t>43%</w:t>
            </w:r>
          </w:p>
        </w:tc>
        <w:tc>
          <w:tcPr>
            <w:tcW w:w="200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88"/>
              </w:rPr>
              <w:t>43%</w:t>
            </w:r>
          </w:p>
        </w:tc>
      </w:t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All employees</w:t>
            </w:r>
          </w:p>
        </w:tc>
        <w:tc>
          <w:tcPr>
            <w:tcW w:w="2520" w:type="dxa"/>
            <w:vAlign w:val="bottom"/>
          </w:tcPr>
          <w:p>
            <w:pPr>
              <w:jc w:val="center"/>
              <w:ind w:left="754"/>
              <w:spacing w:after="0"/>
              <w:rPr>
                <w:sz w:val="20"/>
                <w:szCs w:val="20"/>
                <w:color w:val="auto"/>
              </w:rPr>
            </w:pPr>
            <w:r>
              <w:rPr>
                <w:rFonts w:ascii="Arial" w:cs="Arial" w:eastAsia="Arial" w:hAnsi="Arial"/>
                <w:sz w:val="18"/>
                <w:szCs w:val="18"/>
                <w:b w:val="1"/>
                <w:bCs w:val="1"/>
                <w:color w:val="auto"/>
                <w:w w:val="93"/>
              </w:rPr>
              <w:t>349</w:t>
            </w:r>
          </w:p>
        </w:tc>
        <w:tc>
          <w:tcPr>
            <w:tcW w:w="1800" w:type="dxa"/>
            <w:vAlign w:val="bottom"/>
          </w:tcPr>
          <w:p>
            <w:pPr>
              <w:jc w:val="center"/>
              <w:ind w:left="114"/>
              <w:spacing w:after="0"/>
              <w:rPr>
                <w:sz w:val="20"/>
                <w:szCs w:val="20"/>
                <w:color w:val="auto"/>
              </w:rPr>
            </w:pPr>
            <w:r>
              <w:rPr>
                <w:rFonts w:ascii="Arial" w:cs="Arial" w:eastAsia="Arial" w:hAnsi="Arial"/>
                <w:sz w:val="18"/>
                <w:szCs w:val="18"/>
                <w:b w:val="1"/>
                <w:bCs w:val="1"/>
                <w:color w:val="auto"/>
                <w:w w:val="99"/>
              </w:rPr>
              <w:t>43%</w:t>
            </w:r>
          </w:p>
        </w:tc>
        <w:tc>
          <w:tcPr>
            <w:tcW w:w="2000" w:type="dxa"/>
            <w:vAlign w:val="bottom"/>
          </w:tcPr>
          <w:p>
            <w:pPr>
              <w:jc w:val="center"/>
              <w:ind w:left="74"/>
              <w:spacing w:after="0"/>
              <w:rPr>
                <w:sz w:val="20"/>
                <w:szCs w:val="20"/>
                <w:color w:val="auto"/>
              </w:rPr>
            </w:pPr>
            <w:r>
              <w:rPr>
                <w:rFonts w:ascii="Arial" w:cs="Arial" w:eastAsia="Arial" w:hAnsi="Arial"/>
                <w:sz w:val="18"/>
                <w:szCs w:val="18"/>
                <w:b w:val="1"/>
                <w:bCs w:val="1"/>
                <w:color w:val="auto"/>
                <w:w w:val="99"/>
              </w:rPr>
              <w:t>38%</w:t>
            </w:r>
          </w:p>
        </w:tc>
      </w:tr>
    </w:tbl>
    <w:p>
      <w:pPr>
        <w:spacing w:after="0" w:line="251" w:lineRule="exact"/>
        <w:rPr>
          <w:sz w:val="20"/>
          <w:szCs w:val="20"/>
          <w:color w:val="auto"/>
        </w:rPr>
      </w:pPr>
    </w:p>
    <w:p>
      <w:pPr>
        <w:ind w:right="620" w:firstLine="477"/>
        <w:spacing w:after="0" w:line="277" w:lineRule="auto"/>
        <w:rPr>
          <w:sz w:val="20"/>
          <w:szCs w:val="20"/>
          <w:color w:val="auto"/>
        </w:rPr>
      </w:pPr>
      <w:r>
        <w:rPr>
          <w:rFonts w:ascii="Arial" w:cs="Arial" w:eastAsia="Arial" w:hAnsi="Arial"/>
          <w:sz w:val="18"/>
          <w:szCs w:val="18"/>
          <w:color w:val="auto"/>
        </w:rPr>
        <w:t>None of our employees are subject to a collective bargaining agreement. We believe relations with our employees are good. In managing our business, we monitor several human capital measures, including:</w:t>
      </w:r>
    </w:p>
    <w:p>
      <w:pPr>
        <w:spacing w:after="0" w:line="62" w:lineRule="exact"/>
        <w:rPr>
          <w:sz w:val="20"/>
          <w:szCs w:val="20"/>
          <w:color w:val="auto"/>
        </w:rPr>
      </w:pPr>
    </w:p>
    <w:p>
      <w:pPr>
        <w:ind w:left="960" w:right="240" w:hanging="480"/>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against a set of specified corporate objectives for each calendar year, some of which are milestone-based, such as achieving deliverables under our collaboration agreements, and some of which are quantitative, such as achieving target net sales of Afrezza. These objectives are intended to stretch employees and serve as development opportunities but also form the basis for our incentive compensation programs.</w:t>
      </w:r>
    </w:p>
    <w:p>
      <w:pPr>
        <w:spacing w:after="0" w:line="78" w:lineRule="exact"/>
        <w:rPr>
          <w:rFonts w:ascii="Arial" w:cs="Arial" w:eastAsia="Arial" w:hAnsi="Arial"/>
          <w:sz w:val="18"/>
          <w:szCs w:val="18"/>
          <w:color w:val="auto"/>
        </w:rPr>
      </w:pPr>
    </w:p>
    <w:p>
      <w:pPr>
        <w:ind w:left="960" w:right="40" w:hanging="480"/>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churn rate – the number of new hires and terminations each month as a percentage of the employee base – as well as the number of regrettable losses. These metrics help us to identify areas within the company where there may be a need for greater management attention and intervention.</w:t>
      </w:r>
    </w:p>
    <w:p>
      <w:pPr>
        <w:spacing w:after="0" w:line="75" w:lineRule="exact"/>
        <w:rPr>
          <w:rFonts w:ascii="Arial" w:cs="Arial" w:eastAsia="Arial" w:hAnsi="Arial"/>
          <w:sz w:val="18"/>
          <w:szCs w:val="18"/>
          <w:color w:val="auto"/>
        </w:rPr>
      </w:pPr>
    </w:p>
    <w:p>
      <w:pPr>
        <w:ind w:left="960" w:right="20" w:hanging="480"/>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responses to periodic employee surveys, which are designed to give us insight into employees’ perception of company culture and areas where management’s efforts are perceived positively or negatively as well as open-ended feedback in the form of anonymous comments and questions. We strive to conduct employee surveys approximately every six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ind w:right="220" w:firstLine="477"/>
        <w:spacing w:after="0" w:line="277" w:lineRule="auto"/>
        <w:rPr>
          <w:sz w:val="20"/>
          <w:szCs w:val="20"/>
          <w:color w:val="auto"/>
        </w:rPr>
      </w:pPr>
      <w:r>
        <w:rPr>
          <w:rFonts w:ascii="Arial" w:cs="Arial" w:eastAsia="Arial" w:hAnsi="Arial"/>
          <w:sz w:val="18"/>
          <w:szCs w:val="18"/>
          <w:color w:val="auto"/>
        </w:rPr>
        <w:t>We offer our employees a portfolio of rewards (our “Total Rewards Program”) to recruit and retain a high level of talent across the Company. Our Total Rewards program is offered to each employee and currently consists of the seven components:</w:t>
      </w:r>
    </w:p>
    <w:p>
      <w:pPr>
        <w:spacing w:after="0" w:line="62" w:lineRule="exact"/>
        <w:rPr>
          <w:sz w:val="20"/>
          <w:szCs w:val="20"/>
          <w:color w:val="auto"/>
        </w:rPr>
      </w:pPr>
    </w:p>
    <w:p>
      <w:pPr>
        <w:ind w:left="960" w:hanging="48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salary – We offer a market-competitive base salary.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Annual bonus program – We offer quarterly sales incentive bonuses to our sales force and annual bonuses to the remainder of our employees.</w:t>
      </w:r>
    </w:p>
    <w:p>
      <w:pPr>
        <w:spacing w:after="0" w:line="140" w:lineRule="exact"/>
        <w:rPr>
          <w:rFonts w:ascii="Arial" w:cs="Arial" w:eastAsia="Arial" w:hAnsi="Arial"/>
          <w:sz w:val="16"/>
          <w:szCs w:val="16"/>
          <w:color w:val="auto"/>
        </w:rPr>
      </w:pPr>
    </w:p>
    <w:p>
      <w:pPr>
        <w:ind w:left="960" w:right="6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equity program – we offer a new hire and annual equity awards that consist of time- and, in some cases, performance-based restricted stock units and non-qualified stock options.</w:t>
      </w:r>
    </w:p>
    <w:p>
      <w:pPr>
        <w:spacing w:after="0" w:line="62" w:lineRule="exact"/>
        <w:rPr>
          <w:rFonts w:ascii="Arial" w:cs="Arial" w:eastAsia="Arial" w:hAnsi="Arial"/>
          <w:sz w:val="18"/>
          <w:szCs w:val="18"/>
          <w:color w:val="auto"/>
        </w:rPr>
      </w:pPr>
    </w:p>
    <w:p>
      <w:pPr>
        <w:ind w:left="960" w:right="40" w:hanging="480"/>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and wellness program – A variety of insurance plans that allow employees to select among different options, including a health maintenance organization, a preferred provider organization and a high-deductible health plan, as well as flexible spending and health savings accounts.</w:t>
      </w:r>
    </w:p>
    <w:p>
      <w:pPr>
        <w:spacing w:after="0" w:line="75" w:lineRule="exact"/>
        <w:rPr>
          <w:rFonts w:ascii="Arial" w:cs="Arial" w:eastAsia="Arial" w:hAnsi="Arial"/>
          <w:sz w:val="18"/>
          <w:szCs w:val="18"/>
          <w:color w:val="auto"/>
        </w:rPr>
      </w:pPr>
    </w:p>
    <w:p>
      <w:pPr>
        <w:ind w:left="960" w:right="16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Paid time off program – In addition to the paid time off that is accrued throughout the year, we offer paid holidays, including two week-long company shutdowns in July and December.</w:t>
      </w:r>
    </w:p>
    <w:p>
      <w:pPr>
        <w:spacing w:after="0" w:line="62" w:lineRule="exact"/>
        <w:rPr>
          <w:rFonts w:ascii="Arial" w:cs="Arial" w:eastAsia="Arial" w:hAnsi="Arial"/>
          <w:sz w:val="18"/>
          <w:szCs w:val="18"/>
          <w:color w:val="auto"/>
        </w:rPr>
      </w:pPr>
    </w:p>
    <w:p>
      <w:pPr>
        <w:ind w:left="960" w:right="2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Retirement savings program – A 401(k) retirement plan pursuant to which we match 50% of employee contributions up to a specified limit on their annual eligible earnings.</w:t>
      </w:r>
    </w:p>
    <w:p>
      <w:pPr>
        <w:spacing w:after="0" w:line="62" w:lineRule="exact"/>
        <w:rPr>
          <w:rFonts w:ascii="Arial" w:cs="Arial" w:eastAsia="Arial" w:hAnsi="Arial"/>
          <w:sz w:val="18"/>
          <w:szCs w:val="18"/>
          <w:color w:val="auto"/>
        </w:rPr>
      </w:pPr>
    </w:p>
    <w:p>
      <w:pPr>
        <w:ind w:left="960" w:right="20" w:hanging="480"/>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Employee stock purchase plan (“ESPP”) program – The ESPP provides the opportunity to purchase shares of our common stock through payroll deductions every six months at a 15% discount to the market price at the beginning or end of each offering period, whichever is lower.</w:t>
      </w:r>
    </w:p>
    <w:p>
      <w:pPr>
        <w:spacing w:after="0" w:line="15" w:lineRule="exact"/>
        <w:rPr>
          <w:rFonts w:ascii="Arial" w:cs="Arial" w:eastAsia="Arial" w:hAnsi="Arial"/>
          <w:sz w:val="16"/>
          <w:szCs w:val="16"/>
          <w:color w:val="auto"/>
        </w:rPr>
      </w:pPr>
    </w:p>
    <w:p>
      <w:pPr>
        <w:ind w:left="960" w:right="76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Recognition Program – We provide a company-wide Spot and Peer to Peer Recognition Program to more directly reward performance and behaviors and drive cultural improvement.</w:t>
      </w:r>
    </w:p>
    <w:p>
      <w:pPr>
        <w:spacing w:after="0" w:line="62"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The majority of our employees are essential workers involved in the production of medicine for chronic diseases. As such, they cannot work remotely and must perform their job duties in our Connecticut facility according to a 24/7 shift schedule. Other employees have work responsibilities that can be performed somewhat asynchronously and in different locations. For such employees, our general preference is that in-office employees be in the office during core business hours at least four days per week in order to maximize the productivity gains that come from having a collaborative culture and a common workplace; however, we also recognize that such employees can be equally productive working from home some of the time or with a flexible workday that they can structure around significant events outside of the workplace, such as commute times or childcare responsibilities.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Occupational Health and Safety</w:t>
      </w:r>
    </w:p>
    <w:p>
      <w:pPr>
        <w:spacing w:after="0" w:line="117"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color w:val="auto"/>
        </w:rPr>
        <w:t>Hazardous materials are inherent in our operations, and it is not possible to eliminate completely the risk of accidental exposure from our operations. We have established procedures to comply with governmental regulations regarding workplace safety, including training employees to enable them to recognize risks and empower them to learn, discover, work safely, and to minimize injuries, illnesses, environmental impact and regulatory risks. In 2021, our total illness and injury incidence rate was 0.3 per 100 employees compared to the 2020 industry average of 1.6, as reported by the U.S. Department of Labor, and our DART (days away/restricted or job transfer) incident rate was 0.0 per 100 employees compared to the 2020 industry average of 1.2. We will continue our efforts to ensure a high level of workplace safety.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color w:val="auto"/>
        </w:rPr>
        <w:t>We were incorporated in the State of Delaware on February 14, 1991. Our principal executive offices are located at 1 Casper Street, Danbury, Connecticut 06810, and our general telephone number is (818) 661-5000.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our websites are not incorporated into this Annual Report. Further, our references to the URLs for these websites are intended to be inactive textual reference only.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121"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We seek advice from a number of leading scientists and physicians on scientific, technical and medical matters. These advisors are leading scientists in endocrinology, pulmonology and other areas of scientific or clinical interest. Our scientific advisors are consulted regularly to assess, among other things:</w:t>
      </w:r>
    </w:p>
    <w:p>
      <w:pPr>
        <w:spacing w:after="0" w:line="76" w:lineRule="exact"/>
        <w:rPr>
          <w:sz w:val="20"/>
          <w:szCs w:val="20"/>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4" w:name="page15"/>
    <w:bookmarkEnd w:id="14"/>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partial listing of our current scientific advisors is maintained on our corporate website at www.mannkindcorp.com.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current executive officers and their 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08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E. Castagna, Pharm.D.</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c>
          <w:tcPr>
            <w:tcW w:w="7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Steven B. Binder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Alejandro Galindo</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Joseph Kocinsky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Stuart A. Tross, Ph.D.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People and Workplace Officer</w:t>
            </w:r>
          </w:p>
        </w:tc>
      </w:tr>
      <w:tr>
        <w:trPr>
          <w:trHeight w:val="244"/>
        </w:trPr>
        <w:tc>
          <w:tcPr>
            <w:tcW w:w="3500" w:type="dxa"/>
            <w:vAlign w:val="bottom"/>
            <w:gridSpan w:val="2"/>
          </w:tcPr>
          <w:p>
            <w:pPr>
              <w:spacing w:after="0"/>
              <w:rPr>
                <w:sz w:val="20"/>
                <w:szCs w:val="20"/>
                <w:color w:val="auto"/>
              </w:rPr>
            </w:pPr>
            <w:r>
              <w:rPr>
                <w:rFonts w:ascii="Arial" w:cs="Arial" w:eastAsia="Arial" w:hAnsi="Arial"/>
                <w:sz w:val="18"/>
                <w:szCs w:val="18"/>
                <w:color w:val="auto"/>
              </w:rPr>
              <w:t>David B. Thomson, Ph.D., J.D.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56"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i w:val="1"/>
          <w:iCs w:val="1"/>
          <w:color w:val="auto"/>
        </w:rPr>
        <w:t xml:space="preserve">Michael E. Castagna, Pharm.D. </w:t>
      </w:r>
      <w:r>
        <w:rPr>
          <w:rFonts w:ascii="Arial" w:cs="Arial" w:eastAsia="Arial" w:hAnsi="Arial"/>
          <w:sz w:val="18"/>
          <w:szCs w:val="18"/>
          <w:color w:val="auto"/>
        </w:rPr>
        <w:t>has been our Chief Executive Officer since May 2017 and was our Chief Commercial Officer from March 2016</w:t>
      </w:r>
      <w:r>
        <w:rPr>
          <w:rFonts w:ascii="Arial" w:cs="Arial" w:eastAsia="Arial" w:hAnsi="Arial"/>
          <w:sz w:val="18"/>
          <w:szCs w:val="18"/>
          <w:i w:val="1"/>
          <w:iCs w:val="1"/>
          <w:color w:val="auto"/>
        </w:rPr>
        <w:t xml:space="preserve"> </w:t>
      </w:r>
      <w:r>
        <w:rPr>
          <w:rFonts w:ascii="Arial" w:cs="Arial" w:eastAsia="Arial" w:hAnsi="Arial"/>
          <w:sz w:val="18"/>
          <w:szCs w:val="18"/>
          <w:color w:val="auto"/>
        </w:rPr>
        <w:t>until May 2017. From November 2012 until he joined us, Dr.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Pharma D. from Massachusetts College of Pharmacy &amp; Sciences and an MBA from The Wharton School of Business at the University of Pennsylvania.</w:t>
      </w:r>
    </w:p>
    <w:p>
      <w:pPr>
        <w:spacing w:after="0" w:line="192" w:lineRule="exact"/>
        <w:rPr>
          <w:sz w:val="20"/>
          <w:szCs w:val="20"/>
          <w:color w:val="auto"/>
        </w:rPr>
      </w:pPr>
    </w:p>
    <w:p>
      <w:pPr>
        <w:ind w:right="20" w:firstLine="477"/>
        <w:spacing w:after="0" w:line="289" w:lineRule="auto"/>
        <w:rPr>
          <w:sz w:val="20"/>
          <w:szCs w:val="20"/>
          <w:color w:val="auto"/>
        </w:rPr>
      </w:pPr>
      <w:r>
        <w:rPr>
          <w:rFonts w:ascii="Arial" w:cs="Arial" w:eastAsia="Arial" w:hAnsi="Arial"/>
          <w:sz w:val="16"/>
          <w:szCs w:val="16"/>
          <w:i w:val="1"/>
          <w:iCs w:val="1"/>
          <w:color w:val="auto"/>
        </w:rPr>
        <w:t xml:space="preserve">Steven B. Binder </w:t>
      </w:r>
      <w:r>
        <w:rPr>
          <w:rFonts w:ascii="Arial" w:cs="Arial" w:eastAsia="Arial" w:hAnsi="Arial"/>
          <w:sz w:val="16"/>
          <w:szCs w:val="16"/>
          <w:color w:val="auto"/>
        </w:rPr>
        <w:t>has been our Chief Financial Officer since July 2017. Before joining us, since 2013 Mr. Binder served as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spacing w:after="0" w:line="166"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i w:val="1"/>
          <w:iCs w:val="1"/>
          <w:color w:val="auto"/>
        </w:rPr>
        <w:t xml:space="preserve">Alejandro Galindo </w:t>
      </w:r>
      <w:r>
        <w:rPr>
          <w:rFonts w:ascii="Arial" w:cs="Arial" w:eastAsia="Arial" w:hAnsi="Arial"/>
          <w:sz w:val="17"/>
          <w:szCs w:val="17"/>
          <w:color w:val="auto"/>
        </w:rPr>
        <w:t>has been our Chief Commercial Officer since August 2020. Before joining us, he served as Vice President and President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Advanced Insulin Management Business Unit at Medtronic from 2014 to 2020. Prior to Medtronic, Mr. Galindo spent nine years at General Electric (GE) Healthcare in a variety of leadership roles, leading emerging markets, strategic corporate development and global supply chain operations. Prior to joining GE’s Healthcare division, he spent eleven years in various global leadership positions for the company’s energy and appliance sectors, overseeing advanced manufacturing engineering and product development. Mr. Galindo received a B.Sc. in Industrial &amp; Systems Engineering from Monterrey Institute of Technology, Mexico and M.B.A. and M.S. degrees from Indiana University.</w:t>
      </w:r>
    </w:p>
    <w:p>
      <w:pPr>
        <w:spacing w:after="0" w:line="178" w:lineRule="exact"/>
        <w:rPr>
          <w:sz w:val="20"/>
          <w:szCs w:val="20"/>
          <w:color w:val="auto"/>
        </w:rPr>
      </w:pPr>
    </w:p>
    <w:p>
      <w:pPr>
        <w:ind w:right="260" w:firstLine="477"/>
        <w:spacing w:after="0" w:line="301" w:lineRule="auto"/>
        <w:rPr>
          <w:sz w:val="20"/>
          <w:szCs w:val="20"/>
          <w:color w:val="auto"/>
        </w:rPr>
      </w:pPr>
      <w:r>
        <w:rPr>
          <w:rFonts w:ascii="Arial" w:cs="Arial" w:eastAsia="Arial" w:hAnsi="Arial"/>
          <w:sz w:val="16"/>
          <w:szCs w:val="16"/>
          <w:i w:val="1"/>
          <w:iCs w:val="1"/>
          <w:color w:val="auto"/>
        </w:rPr>
        <w:t xml:space="preserve">Joseph Kocinsky </w:t>
      </w:r>
      <w:r>
        <w:rPr>
          <w:rFonts w:ascii="Arial" w:cs="Arial" w:eastAsia="Arial" w:hAnsi="Arial"/>
          <w:sz w:val="16"/>
          <w:szCs w:val="16"/>
          <w:color w:val="auto"/>
        </w:rPr>
        <w:t>has been our Chief Technology Officer since October 2015. Mr. Kocinsky has over 30 years of experience in the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in technical operations and product development. Prior to joining us in 2003, he held a variety of technical and management positions with increased responsibility at Schering-Plough Corp. Mr. Kocinsky holds a bachelor’s degree in chemical engineering and a master’s degree in Biomedical Engineering from New Jersey Institute of Technology and a master’s degree in Business Administration from Seton Hall University.</w:t>
      </w:r>
    </w:p>
    <w:p>
      <w:pPr>
        <w:spacing w:after="0" w:line="157" w:lineRule="exact"/>
        <w:rPr>
          <w:sz w:val="20"/>
          <w:szCs w:val="20"/>
          <w:color w:val="auto"/>
        </w:rPr>
      </w:pPr>
    </w:p>
    <w:p>
      <w:pPr>
        <w:ind w:right="220" w:firstLine="477"/>
        <w:spacing w:after="0" w:line="262" w:lineRule="auto"/>
        <w:rPr>
          <w:sz w:val="20"/>
          <w:szCs w:val="20"/>
          <w:color w:val="auto"/>
        </w:rPr>
      </w:pPr>
      <w:r>
        <w:rPr>
          <w:rFonts w:ascii="Arial" w:cs="Arial" w:eastAsia="Arial" w:hAnsi="Arial"/>
          <w:sz w:val="18"/>
          <w:szCs w:val="18"/>
          <w:i w:val="1"/>
          <w:iCs w:val="1"/>
          <w:color w:val="auto"/>
        </w:rPr>
        <w:t xml:space="preserve">Stuart A. Tross, Ph.D. </w:t>
      </w:r>
      <w:r>
        <w:rPr>
          <w:rFonts w:ascii="Arial" w:cs="Arial" w:eastAsia="Arial" w:hAnsi="Arial"/>
          <w:sz w:val="18"/>
          <w:szCs w:val="18"/>
          <w:color w:val="auto"/>
        </w:rPr>
        <w:t>has been our Chief People and Workplace Officer since December 2016, with responsibilities for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spacing w:after="0" w:line="183" w:lineRule="exact"/>
        <w:rPr>
          <w:sz w:val="20"/>
          <w:szCs w:val="20"/>
          <w:color w:val="auto"/>
        </w:rPr>
      </w:pPr>
    </w:p>
    <w:p>
      <w:pPr>
        <w:ind w:right="240" w:firstLine="477"/>
        <w:spacing w:after="0" w:line="311" w:lineRule="auto"/>
        <w:rPr>
          <w:sz w:val="20"/>
          <w:szCs w:val="20"/>
          <w:color w:val="auto"/>
        </w:rPr>
      </w:pPr>
      <w:r>
        <w:rPr>
          <w:rFonts w:ascii="Arial" w:cs="Arial" w:eastAsia="Arial" w:hAnsi="Arial"/>
          <w:sz w:val="16"/>
          <w:szCs w:val="16"/>
          <w:i w:val="1"/>
          <w:iCs w:val="1"/>
          <w:color w:val="auto"/>
        </w:rPr>
        <w:t xml:space="preserve">David B. Thomson, Ph.D., J.D. </w:t>
      </w:r>
      <w:r>
        <w:rPr>
          <w:rFonts w:ascii="Arial" w:cs="Arial" w:eastAsia="Arial" w:hAnsi="Arial"/>
          <w:sz w:val="16"/>
          <w:szCs w:val="16"/>
          <w:color w:val="auto"/>
        </w:rPr>
        <w:t>has been our General Counsel and Corporate Secretary since January 2002. Prior to joining us, he practiced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corporate/commercial and securities law at a major Toronto law firm. Earlier in his career, Dr. Thomson was a post-doctoral fellow at the Rockefeller University. Dr. Thomson obtained his B.S degree, M Sc. degree and Ph.D. from Queens University and obtained his J.D. from the University of Toronto.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Afrezza may only achieve a limited degree of commercial success. The continued commercialization and development of Afrezza will require substantial capital that we may not be able to obtain.</w:t>
      </w:r>
    </w:p>
    <w:p>
      <w:pPr>
        <w:spacing w:after="0" w:line="62" w:lineRule="exact"/>
        <w:rPr>
          <w:sz w:val="20"/>
          <w:szCs w:val="20"/>
          <w:color w:val="auto"/>
        </w:rPr>
      </w:pPr>
    </w:p>
    <w:p>
      <w:pPr>
        <w:jc w:val="both"/>
        <w:ind w:right="340" w:firstLine="477"/>
        <w:spacing w:after="0" w:line="263" w:lineRule="auto"/>
        <w:rPr>
          <w:sz w:val="20"/>
          <w:szCs w:val="20"/>
          <w:color w:val="auto"/>
        </w:rPr>
      </w:pPr>
      <w:r>
        <w:rPr>
          <w:rFonts w:ascii="Arial" w:cs="Arial" w:eastAsia="Arial" w:hAnsi="Arial"/>
          <w:sz w:val="18"/>
          <w:szCs w:val="18"/>
          <w:color w:val="auto"/>
        </w:rPr>
        <w:t>We have expended significant time, money and effort in the commercialization and development of Afrezza, which has been on the market since February 2015. To date, Afrezza sales have been modest by comparison to other mealtime insulins. If we remain on the existing growth curve, we may never generate significant revenues from Afrezza in the United States.</w:t>
      </w:r>
    </w:p>
    <w:p>
      <w:pPr>
        <w:spacing w:after="0" w:line="184" w:lineRule="exact"/>
        <w:rPr>
          <w:sz w:val="20"/>
          <w:szCs w:val="20"/>
          <w:color w:val="auto"/>
        </w:rPr>
      </w:pPr>
    </w:p>
    <w:p>
      <w:pPr>
        <w:ind w:right="40" w:firstLine="477"/>
        <w:spacing w:after="0" w:line="269" w:lineRule="auto"/>
        <w:rPr>
          <w:sz w:val="20"/>
          <w:szCs w:val="20"/>
          <w:color w:val="auto"/>
        </w:rPr>
      </w:pPr>
      <w:r>
        <w:rPr>
          <w:rFonts w:ascii="Arial" w:cs="Arial" w:eastAsia="Arial" w:hAnsi="Arial"/>
          <w:sz w:val="17"/>
          <w:szCs w:val="17"/>
          <w:color w:val="auto"/>
        </w:rPr>
        <w:t>Successful commercialization of Afrezza is subject to many risks, including some that are outside our control. There are numerous examples of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and availability relative to alternative products and lack of coverage or adequate reimbursement by payers. We may need to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to physicians and to ensure that a consistent and appropriate message about Afrezza is being delivered to our potential customers. If we are unable to effectively train our sales force and equip them with effective medical and sales materials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79"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If we are unable to maintain payer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4" w:lineRule="exact"/>
        <w:rPr>
          <w:sz w:val="20"/>
          <w:szCs w:val="20"/>
          <w:color w:val="auto"/>
        </w:rPr>
      </w:pPr>
    </w:p>
    <w:p>
      <w:pPr>
        <w:ind w:right="40" w:firstLine="477"/>
        <w:spacing w:after="0" w:line="289" w:lineRule="auto"/>
        <w:rPr>
          <w:sz w:val="20"/>
          <w:szCs w:val="20"/>
          <w:color w:val="auto"/>
        </w:rPr>
      </w:pPr>
      <w:r>
        <w:rPr>
          <w:rFonts w:ascii="Arial" w:cs="Arial" w:eastAsia="Arial" w:hAnsi="Arial"/>
          <w:sz w:val="16"/>
          <w:szCs w:val="16"/>
          <w:color w:val="auto"/>
        </w:rPr>
        <w:t>We are responsible for the NDA for Afrezza and its maintenance. We may fail to comply with maintenance requirements, including timely submitting required reports. Furthermore, as part of the approval of Afrezza, the FDA required us to conduct certain additional clinical studies of Afrezza. These studies will require significant capital resources, some of which may not be available to us. We have initiated one of these studies, a Phase 3 clinical trial to evaluate the safety and efficacy of Afrezza in 4-17 year-old children and adolescents. We have engaged a clinical research organization to assist us with conducting this study and have budgeted the projected costs of the study in our operating plans.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66"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If we fail to achieve better commercial success with Afrezza in the United States, our prospects for generating significant revenues from this product will be materially and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as an effective manufacturing organization, we may be unable to support commercialization of Afrezza or Tyvaso DPI.</w:t>
      </w:r>
    </w:p>
    <w:p>
      <w:pPr>
        <w:spacing w:after="0" w:line="117"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color w:val="auto"/>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spacing w:after="0" w:line="184"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and yields and quality control and assurance. We may experience shortages of qualified personnel, which could impact our ability to meet production schedules. There is also a need to comply with strictly enforced federal, state and foreign regulations, including inspections.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If the FDA makes any major observations during future inspections, the corrective actions required could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onerous and time-consuming.</w:t>
      </w:r>
    </w:p>
    <w:p>
      <w:pPr>
        <w:spacing w:after="0" w:line="117"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30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cGMP for drug products, and the production of the Afrezza/Tyvaso DPI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or Tyvaso DPI.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160" w:firstLine="477"/>
        <w:spacing w:after="0" w:line="263"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payers and the healthcare community. Failure to achieve market acceptance would limit our ability to generate revenue and would adversely affect our results of operations.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degree of market acceptance of Afrezza and other products that we may develop in the future depends on many factors, including the following:</w:t>
      </w:r>
    </w:p>
    <w:p>
      <w:pPr>
        <w:spacing w:after="0" w:line="140" w:lineRule="exact"/>
        <w:rPr>
          <w:sz w:val="20"/>
          <w:szCs w:val="20"/>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17"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17" w:lineRule="exact"/>
        <w:rPr>
          <w:rFonts w:ascii="Arial" w:cs="Arial" w:eastAsia="Arial" w:hAnsi="Arial"/>
          <w:sz w:val="18"/>
          <w:szCs w:val="18"/>
          <w:color w:val="auto"/>
        </w:rPr>
      </w:pPr>
    </w:p>
    <w:p>
      <w:pPr>
        <w:ind w:left="960" w:right="32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200" w:firstLine="477"/>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8"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38"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Afrezza and our product candidates for which we may receive regulatory approval will depend significantly on access to third-party payers’ drug formularies, which are the lists of medications for which third-party payers provide coverage and reimbursement. The industry competition to be included in such formularies often leads to downward pricing pressures on pharmaceutical companies. Also, third-party payers may refuse to include a</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7" w:name="page18"/>
    <w:bookmarkEnd w:id="17"/>
    <w:p>
      <w:pPr>
        <w:ind w:right="60"/>
        <w:spacing w:after="0" w:line="270" w:lineRule="auto"/>
        <w:rPr>
          <w:sz w:val="20"/>
          <w:szCs w:val="20"/>
          <w:color w:val="auto"/>
        </w:rPr>
      </w:pPr>
      <w:r>
        <w:rPr>
          <w:rFonts w:ascii="Arial" w:cs="Arial" w:eastAsia="Arial" w:hAnsi="Arial"/>
          <w:sz w:val="17"/>
          <w:szCs w:val="17"/>
          <w:color w:val="auto"/>
        </w:rPr>
        <w:t>particular branded drug in their formularies or otherwise restrict patient access to a branded drug when a less costly generic equivalent or other alternative is available. Even if favorable coverage and reimbursement status is attained for Afrezza or our product candidates for which we or our collaborators receive regulatory approval,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1" w:lineRule="exact"/>
        <w:rPr>
          <w:sz w:val="20"/>
          <w:szCs w:val="20"/>
          <w:color w:val="auto"/>
        </w:rPr>
      </w:pPr>
    </w:p>
    <w:p>
      <w:pPr>
        <w:ind w:right="80" w:firstLine="477"/>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7"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If we or any future marketing partner is unable to obtain and maintain coverage of, and adequate payment levels reimbursement for, Afrezza or any of our other product candidates that receive marketing approval from third-party payers,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88" w:lineRule="exact"/>
        <w:rPr>
          <w:sz w:val="20"/>
          <w:szCs w:val="20"/>
          <w:color w:val="auto"/>
        </w:rPr>
      </w:pPr>
    </w:p>
    <w:p>
      <w:pPr>
        <w:ind w:right="60" w:firstLine="477"/>
        <w:spacing w:after="0" w:line="275"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payers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operations.</w:t>
      </w:r>
    </w:p>
    <w:p>
      <w:pPr>
        <w:spacing w:after="0" w:line="117"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As of December 31, 2021, we had cash and cash equivalents of $124.2 million, short-term investments of $79.9 million and long-term investments of $56.6 million, and we had $288.4 million principal amount of outstanding debt.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84" w:lineRule="exact"/>
        <w:rPr>
          <w:sz w:val="20"/>
          <w:szCs w:val="20"/>
          <w:color w:val="auto"/>
        </w:rPr>
      </w:pPr>
    </w:p>
    <w:p>
      <w:pPr>
        <w:ind w:left="960" w:right="30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to which revenue from Afrezza exceeds or does not exceed the minimum revenue covenants under the MidCap credit facility, if applicable;</w:t>
      </w:r>
    </w:p>
    <w:p>
      <w:pPr>
        <w:spacing w:after="0" w:line="62" w:lineRule="exact"/>
        <w:rPr>
          <w:rFonts w:ascii="Arial" w:cs="Arial" w:eastAsia="Arial" w:hAnsi="Arial"/>
          <w:sz w:val="18"/>
          <w:szCs w:val="18"/>
          <w:color w:val="auto"/>
        </w:rPr>
      </w:pPr>
    </w:p>
    <w:p>
      <w:pPr>
        <w:ind w:left="960" w:right="58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Tyvaso DPI and our Technosphere drug delivery platform, including through collaborations;</w:t>
      </w:r>
    </w:p>
    <w:p>
      <w:pPr>
        <w:spacing w:after="0" w:line="62" w:lineRule="exact"/>
        <w:rPr>
          <w:rFonts w:ascii="Arial" w:cs="Arial" w:eastAsia="Arial" w:hAnsi="Arial"/>
          <w:sz w:val="18"/>
          <w:szCs w:val="18"/>
          <w:color w:val="auto"/>
        </w:rPr>
      </w:pPr>
    </w:p>
    <w:p>
      <w:pPr>
        <w:ind w:left="960" w:right="2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40" w:lineRule="exact"/>
        <w:rPr>
          <w:rFonts w:ascii="Arial" w:cs="Arial" w:eastAsia="Arial" w:hAnsi="Arial"/>
          <w:sz w:val="16"/>
          <w:szCs w:val="16"/>
          <w:color w:val="auto"/>
        </w:rPr>
      </w:pPr>
    </w:p>
    <w:p>
      <w:pPr>
        <w:ind w:left="960" w:right="4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make lease payments and milestone payments;</w:t>
      </w:r>
    </w:p>
    <w:p>
      <w:pPr>
        <w:spacing w:after="0" w:line="117" w:lineRule="exact"/>
        <w:rPr>
          <w:rFonts w:ascii="Arial" w:cs="Arial" w:eastAsia="Arial" w:hAnsi="Arial"/>
          <w:sz w:val="18"/>
          <w:szCs w:val="18"/>
          <w:color w:val="auto"/>
        </w:rPr>
      </w:pPr>
    </w:p>
    <w:p>
      <w:pPr>
        <w:ind w:left="960" w:right="16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actions taken by the FDA and other regulatory authorities affecting Afrezza, Tyvaso DPI and our product candidates and competitive products;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8" w:name="page19"/>
    <w:bookmarkEnd w:id="18"/>
    <w:p>
      <w:pPr>
        <w:ind w:left="960" w:right="140" w:hanging="480"/>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37" w:lineRule="exact"/>
        <w:rPr>
          <w:sz w:val="20"/>
          <w:szCs w:val="20"/>
          <w:color w:val="auto"/>
        </w:rPr>
      </w:pPr>
    </w:p>
    <w:p>
      <w:pPr>
        <w:ind w:right="60" w:firstLine="477"/>
        <w:spacing w:after="0" w:line="301"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ongoing COVID-19 pandemic continues to have the potential for disruption of global financial markets. This disruption, if sustained or recurrent, could prevent us or make it more difficult for us to access capital.</w:t>
      </w:r>
    </w:p>
    <w:p>
      <w:pPr>
        <w:spacing w:after="0" w:line="157" w:lineRule="exact"/>
        <w:rPr>
          <w:sz w:val="20"/>
          <w:szCs w:val="20"/>
          <w:color w:val="auto"/>
        </w:rPr>
      </w:pPr>
    </w:p>
    <w:p>
      <w:pPr>
        <w:ind w:firstLine="477"/>
        <w:spacing w:after="0" w:line="285" w:lineRule="auto"/>
        <w:rPr>
          <w:sz w:val="20"/>
          <w:szCs w:val="20"/>
          <w:color w:val="auto"/>
        </w:rPr>
      </w:pPr>
      <w:r>
        <w:rPr>
          <w:rFonts w:ascii="Arial" w:cs="Arial" w:eastAsia="Arial" w:hAnsi="Arial"/>
          <w:sz w:val="16"/>
          <w:szCs w:val="16"/>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22"/>
          <w:szCs w:val="22"/>
          <w:color w:val="auto"/>
        </w:rPr>
        <w:t xml:space="preserve">may </w:t>
      </w:r>
      <w:r>
        <w:rPr>
          <w:rFonts w:ascii="Arial" w:cs="Arial" w:eastAsia="Arial" w:hAnsi="Arial"/>
          <w:sz w:val="17"/>
          <w:szCs w:val="17"/>
          <w:color w:val="auto"/>
        </w:rPr>
        <w:t>also raise additional capital by pursuing opportunities for the licensing or sale of certain intellectual property and other assets. We cannot offer</w:t>
      </w:r>
      <w:r>
        <w:rPr>
          <w:rFonts w:ascii="Arial" w:cs="Arial" w:eastAsia="Arial" w:hAnsi="Arial"/>
          <w:sz w:val="22"/>
          <w:szCs w:val="22"/>
          <w:color w:val="auto"/>
        </w:rPr>
        <w:t xml:space="preserve"> </w:t>
      </w:r>
      <w:r>
        <w:rPr>
          <w:rFonts w:ascii="Arial" w:cs="Arial" w:eastAsia="Arial" w:hAnsi="Arial"/>
          <w:sz w:val="17"/>
          <w:szCs w:val="17"/>
          <w:color w:val="auto"/>
        </w:rPr>
        <w:t xml:space="preserve">assurances, however, that any strategic </w:t>
      </w:r>
      <w:r>
        <w:rPr>
          <w:rFonts w:ascii="Arial" w:cs="Arial" w:eastAsia="Arial" w:hAnsi="Arial"/>
          <w:sz w:val="21"/>
          <w:szCs w:val="21"/>
          <w:color w:val="auto"/>
        </w:rPr>
        <w:t>collaboration</w:t>
      </w:r>
      <w:r>
        <w:rPr>
          <w:rFonts w:ascii="Arial" w:cs="Arial" w:eastAsia="Arial" w:hAnsi="Arial"/>
          <w:sz w:val="17"/>
          <w:szCs w:val="17"/>
          <w:color w:val="auto"/>
        </w:rPr>
        <w:t>,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92" w:lineRule="exact"/>
        <w:rPr>
          <w:sz w:val="20"/>
          <w:szCs w:val="20"/>
          <w:color w:val="auto"/>
        </w:rPr>
      </w:pPr>
    </w:p>
    <w:p>
      <w:pPr>
        <w:ind w:right="180" w:firstLine="477"/>
        <w:spacing w:after="0" w:line="26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238" w:lineRule="exact"/>
        <w:rPr>
          <w:sz w:val="20"/>
          <w:szCs w:val="20"/>
          <w:color w:val="auto"/>
        </w:rPr>
      </w:pPr>
    </w:p>
    <w:p>
      <w:pPr>
        <w:ind w:right="100" w:firstLine="477"/>
        <w:spacing w:after="0" w:line="291" w:lineRule="auto"/>
        <w:rPr>
          <w:sz w:val="20"/>
          <w:szCs w:val="20"/>
          <w:color w:val="auto"/>
        </w:rPr>
      </w:pPr>
      <w:r>
        <w:rPr>
          <w:rFonts w:ascii="Arial" w:cs="Arial" w:eastAsia="Arial" w:hAnsi="Arial"/>
          <w:sz w:val="16"/>
          <w:szCs w:val="16"/>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w:t>
      </w:r>
    </w:p>
    <w:p>
      <w:pPr>
        <w:spacing w:after="0" w:line="184" w:lineRule="exact"/>
        <w:rPr>
          <w:sz w:val="20"/>
          <w:szCs w:val="20"/>
          <w:color w:val="auto"/>
        </w:rPr>
      </w:pPr>
    </w:p>
    <w:p>
      <w:pPr>
        <w:ind w:right="800" w:firstLine="477"/>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41"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In particular, the ongoing COVID-19 pandemic could materially affect our operations, including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188" w:lineRule="exact"/>
        <w:rPr>
          <w:sz w:val="20"/>
          <w:szCs w:val="20"/>
          <w:color w:val="auto"/>
        </w:rPr>
      </w:pPr>
    </w:p>
    <w:p>
      <w:pPr>
        <w:ind w:right="60" w:firstLine="477"/>
        <w:spacing w:after="0" w:line="254" w:lineRule="auto"/>
        <w:rPr>
          <w:sz w:val="20"/>
          <w:szCs w:val="20"/>
          <w:color w:val="auto"/>
        </w:rPr>
      </w:pPr>
      <w:r>
        <w:rPr>
          <w:rFonts w:ascii="Arial" w:cs="Arial" w:eastAsia="Arial" w:hAnsi="Arial"/>
          <w:sz w:val="18"/>
          <w:szCs w:val="18"/>
          <w:color w:val="auto"/>
        </w:rPr>
        <w:t>The ongoing COVID-19 pandemic has resulted in a number of restrictions to reduce the spread of the disease, many of which have been eased or lifted in recent months. The emergence of new variants of the SARS-CoV-2 virus raises the possibility that recurring cycles of infection and corresponding restrictions will be imposed in the future, notwithstanding vaccination and other public health efforts. The effects of the restrictions related to the COVID-19 pandemic and our related policies addressing the pandemic, including the evolving nature of such policies, may negatively impact productivity, disrupt our business and delay our development programs, regulatory and commercialization timelines. We may also face challenges or disruptions as employees return back to the workplace, including re-integration challenges by our employees and distractions to management related to such transition. These and similar, and perhaps more severe, disruptions in our operations due to the COVID-19 pandemic could negatively impact our business, operating results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ind w:firstLine="477"/>
        <w:spacing w:after="0" w:line="273"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in 2022, a prolonged supply interruption of certain components could adversely affect our ability to conduct commercialization activities and planned clinical trials. In addition, we believe that the COVID-19 pandemic has the potential to continue to negatively impact the distribution of Afrezza by our partner in Brazil.</w:t>
      </w:r>
    </w:p>
    <w:p>
      <w:pPr>
        <w:spacing w:after="0" w:line="178" w:lineRule="exact"/>
        <w:rPr>
          <w:sz w:val="20"/>
          <w:szCs w:val="20"/>
          <w:color w:val="auto"/>
        </w:rPr>
      </w:pPr>
    </w:p>
    <w:p>
      <w:pPr>
        <w:ind w:right="180" w:firstLine="477"/>
        <w:spacing w:after="0" w:line="279" w:lineRule="auto"/>
        <w:rPr>
          <w:sz w:val="20"/>
          <w:szCs w:val="20"/>
          <w:color w:val="auto"/>
        </w:rPr>
      </w:pPr>
      <w:r>
        <w:rPr>
          <w:rFonts w:ascii="Arial" w:cs="Arial" w:eastAsia="Arial" w:hAnsi="Arial"/>
          <w:sz w:val="17"/>
          <w:szCs w:val="17"/>
          <w:color w:val="auto"/>
        </w:rPr>
        <w:t>Sales and demand for Afrezza have been adversely affected by the COVID-19 pandemic, and we expect this trend to continue for at least the near-term. Although our sales representatives are conducting in-person sales calls to the extent permitted by state and local public health authorities and by the policies of individual healthcare providers that they interact with, they have not fully returned to conducting in-person office visits with healthcare providers, which impacts their productivity. Disruptions in the prescription volume of Afrezza could also occur:</w:t>
      </w:r>
    </w:p>
    <w:p>
      <w:pPr>
        <w:spacing w:after="0" w:line="63" w:lineRule="exact"/>
        <w:rPr>
          <w:sz w:val="20"/>
          <w:szCs w:val="20"/>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periods of high unemployment, or</w:t>
      </w:r>
    </w:p>
    <w:p>
      <w:pPr>
        <w:spacing w:after="0" w:line="117" w:lineRule="exact"/>
        <w:rPr>
          <w:rFonts w:ascii="Arial" w:cs="Arial" w:eastAsia="Arial" w:hAnsi="Arial"/>
          <w:sz w:val="18"/>
          <w:szCs w:val="18"/>
          <w:color w:val="auto"/>
        </w:rPr>
      </w:pPr>
    </w:p>
    <w:p>
      <w:pPr>
        <w:ind w:left="960" w:right="460" w:hanging="480"/>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payers, distributors, logistics providers and other third parties that are necessary for Afrezza to be prescribed and reimbursed.</w:t>
      </w:r>
    </w:p>
    <w:p>
      <w:pPr>
        <w:spacing w:after="0" w:line="170" w:lineRule="exact"/>
        <w:rPr>
          <w:sz w:val="20"/>
          <w:szCs w:val="20"/>
          <w:color w:val="auto"/>
        </w:rPr>
      </w:pPr>
    </w:p>
    <w:p>
      <w:pPr>
        <w:ind w:right="140" w:firstLine="477"/>
        <w:spacing w:after="0" w:line="257" w:lineRule="auto"/>
        <w:rPr>
          <w:sz w:val="20"/>
          <w:szCs w:val="20"/>
          <w:color w:val="auto"/>
        </w:rPr>
      </w:pPr>
      <w:r>
        <w:rPr>
          <w:rFonts w:ascii="Arial" w:cs="Arial" w:eastAsia="Arial" w:hAnsi="Arial"/>
          <w:sz w:val="18"/>
          <w:szCs w:val="18"/>
          <w:color w:val="auto"/>
        </w:rPr>
        <w:t>In addition, our ongoing or planned clinical trials of Afrezza or those conducted by our Cipla or our other regional partners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8"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which could negatively affect our liquidity. In addition, a recession or market correction resulting from the spread of COVID-19 could materially affect our business and the value of our common stock.</w:t>
      </w:r>
    </w:p>
    <w:p>
      <w:pPr>
        <w:spacing w:after="0" w:line="188" w:lineRule="exact"/>
        <w:rPr>
          <w:sz w:val="20"/>
          <w:szCs w:val="20"/>
          <w:color w:val="auto"/>
        </w:rPr>
      </w:pPr>
    </w:p>
    <w:p>
      <w:pPr>
        <w:ind w:right="180" w:firstLine="477"/>
        <w:spacing w:after="0" w:line="259" w:lineRule="auto"/>
        <w:rPr>
          <w:sz w:val="20"/>
          <w:szCs w:val="20"/>
          <w:color w:val="auto"/>
        </w:rPr>
      </w:pPr>
      <w:r>
        <w:rPr>
          <w:rFonts w:ascii="Arial" w:cs="Arial" w:eastAsia="Arial" w:hAnsi="Arial"/>
          <w:sz w:val="18"/>
          <w:szCs w:val="18"/>
          <w:color w:val="auto"/>
        </w:rPr>
        <w:t>We are still in the midst of the COVID-19 pandemic. 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76" w:lineRule="exact"/>
        <w:rPr>
          <w:sz w:val="20"/>
          <w:szCs w:val="20"/>
          <w:color w:val="auto"/>
        </w:rPr>
      </w:pPr>
    </w:p>
    <w:p>
      <w:pPr>
        <w:ind w:right="40" w:firstLine="477"/>
        <w:spacing w:after="0" w:line="271"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178" w:lineRule="exact"/>
        <w:rPr>
          <w:sz w:val="20"/>
          <w:szCs w:val="20"/>
          <w:color w:val="auto"/>
        </w:rPr>
      </w:pPr>
    </w:p>
    <w:p>
      <w:pPr>
        <w:ind w:right="40" w:firstLine="477"/>
        <w:spacing w:after="0" w:line="269"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80" w:firstLine="477"/>
        <w:spacing w:after="0" w:line="272" w:lineRule="auto"/>
        <w:rPr>
          <w:sz w:val="20"/>
          <w:szCs w:val="20"/>
          <w:color w:val="auto"/>
        </w:rPr>
      </w:pPr>
      <w:r>
        <w:rPr>
          <w:rFonts w:ascii="Arial" w:cs="Arial" w:eastAsia="Arial" w:hAnsi="Arial"/>
          <w:sz w:val="17"/>
          <w:szCs w:val="17"/>
          <w:color w:val="auto"/>
        </w:rPr>
        <w:t>Other than Tyvaso DPI, which we licensed to UT in September 2018 after we conducted a Phase 1 clinical study, 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our need to support the launch preparations of Tyvaso DPI and our ongoing attention on the development and commercialization of Afrezza, we may not be able to advance these programs into clinical development unless we are able to obtain specific funding for these programs or enter into collaborations with third parties.</w:t>
      </w:r>
    </w:p>
    <w:p>
      <w:pPr>
        <w:spacing w:after="0" w:line="177"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Even if our research programs identify product candidates that initially show promise, these candidates may fail to progress through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100" w:firstLine="477"/>
        <w:spacing w:after="0" w:line="272" w:lineRule="auto"/>
        <w:rPr>
          <w:sz w:val="20"/>
          <w:szCs w:val="20"/>
          <w:color w:val="auto"/>
        </w:rPr>
      </w:pPr>
      <w:r>
        <w:rPr>
          <w:rFonts w:ascii="Arial" w:cs="Arial" w:eastAsia="Arial" w:hAnsi="Arial"/>
          <w:sz w:val="17"/>
          <w:szCs w:val="17"/>
          <w:color w:val="auto"/>
        </w:rPr>
        <w:t>We are not currently profitable and have rarely generated positive net cash flow from operations. As of December 31, 2021, we had an accumulated deficit of $3.1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and advance product candidates in our pipeline. In addition, under our Insulin Supply Agreement with Amphastar, we agreed to purchase certain annual minimum quantities of insulin through 2027. As of December 31, 2021, there was $82.8 million remaining in aggregate purchase commitments under this agreement. We may not have the necessary capital resources to service this contractual commitment.</w:t>
      </w:r>
    </w:p>
    <w:p>
      <w:pPr>
        <w:spacing w:after="0" w:line="177" w:lineRule="exact"/>
        <w:rPr>
          <w:sz w:val="20"/>
          <w:szCs w:val="20"/>
          <w:color w:val="auto"/>
        </w:rPr>
      </w:pPr>
    </w:p>
    <w:p>
      <w:pPr>
        <w:ind w:right="360" w:firstLine="477"/>
        <w:spacing w:after="0" w:line="286" w:lineRule="auto"/>
        <w:rPr>
          <w:sz w:val="20"/>
          <w:szCs w:val="20"/>
          <w:color w:val="auto"/>
        </w:rPr>
      </w:pPr>
      <w:r>
        <w:rPr>
          <w:rFonts w:ascii="Arial" w:cs="Arial" w:eastAsia="Arial" w:hAnsi="Arial"/>
          <w:sz w:val="17"/>
          <w:szCs w:val="17"/>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notes to our consolidated financial statements in this Annual Report on Form 10-K provide details about our various debt obligations.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2021, we had </w:t>
      </w:r>
      <w:r>
        <w:rPr>
          <w:rFonts w:ascii="Arial" w:cs="Arial" w:eastAsia="Arial" w:hAnsi="Arial"/>
          <w:sz w:val="21"/>
          <w:szCs w:val="21"/>
          <w:color w:val="auto"/>
        </w:rPr>
        <w:t>$288.4</w:t>
      </w:r>
      <w:r>
        <w:rPr>
          <w:rFonts w:ascii="Arial" w:cs="Arial" w:eastAsia="Arial" w:hAnsi="Arial"/>
          <w:sz w:val="18"/>
          <w:szCs w:val="18"/>
          <w:color w:val="auto"/>
        </w:rPr>
        <w:t xml:space="preserve"> million principal amount of outstanding debt, consisting of:</w:t>
      </w:r>
    </w:p>
    <w:p>
      <w:pPr>
        <w:spacing w:after="0" w:line="85" w:lineRule="exact"/>
        <w:rPr>
          <w:sz w:val="20"/>
          <w:szCs w:val="20"/>
          <w:color w:val="auto"/>
        </w:rPr>
      </w:pPr>
    </w:p>
    <w:p>
      <w:pPr>
        <w:ind w:left="960" w:right="100" w:hanging="480"/>
        <w:spacing w:after="0" w:line="30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49" w:lineRule="exact"/>
        <w:rPr>
          <w:rFonts w:ascii="Arial" w:cs="Arial" w:eastAsia="Arial" w:hAnsi="Arial"/>
          <w:sz w:val="16"/>
          <w:szCs w:val="16"/>
          <w:color w:val="auto"/>
        </w:rPr>
      </w:pPr>
    </w:p>
    <w:p>
      <w:pPr>
        <w:ind w:left="960" w:right="320" w:hanging="480"/>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75" w:lineRule="exact"/>
        <w:rPr>
          <w:rFonts w:ascii="Arial" w:cs="Arial" w:eastAsia="Arial" w:hAnsi="Arial"/>
          <w:sz w:val="18"/>
          <w:szCs w:val="18"/>
          <w:color w:val="auto"/>
        </w:rPr>
      </w:pPr>
    </w:p>
    <w:p>
      <w:pPr>
        <w:ind w:left="960" w:right="40" w:hanging="480"/>
        <w:spacing w:after="0" w:line="259"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$18.4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pay interest in-kind or in shares.</w:t>
      </w:r>
    </w:p>
    <w:p>
      <w:pPr>
        <w:spacing w:after="0" w:line="187"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In March 2021, the Chief Executive of the United Kingdom Financial Conduct Authority, which regulates LIBOR, announced that the one-month LIBOR will either cease to be provided by any administrator or no longer be representative, effective immediately after June 30, 2023. The United States Federal Reserve has also advised banks to cease entering into new contracts that use LIBOR as a reference rate. Before one-month LIBOR is phased out, we may need to renegotiate the MidCap credit facility to replace one-month LIBOR with a new standard, which has not yet been agreed upon. The Alternative Reference Rate Committee, a committee convened by the Federal Reserve that includes major market participants, has identified the Secured Overnight Financing Rate (“SOFR”), a new index calculated by short-term repurchase agreements, backed by Treasury securities, as its preferred alternative rate for LIBOR. We are not able to predict how markets will respond to SOFR or other alternative reference rates as the transition away from the LIBOR benchmarks. Accordingly, the outcome of these reforms is uncertain and any changes in the methods by which LIBOR is determined or regulatory activity related to LIBOR’s phase-out could cause LIBOR to perform differently than in the past or cease to exist. The consequences of these developments cannot entirely be predicted, but could result in higher interest rates on our loans under the MidCap credit facility. Furthermore, we cannot predict or quantify the time, effort and cost required to transition to the use of new benchmark rates, including with respect to negotiating and implementing any necessary changes to existing contractual agreements, and implementing changes to our systems and processes. We cannot provide assurance that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interest rate changes will not have a material negative impact on our business, financial position, or operating results.</w:t>
      </w:r>
    </w:p>
    <w:p>
      <w:pPr>
        <w:spacing w:after="0" w:line="225" w:lineRule="exact"/>
        <w:rPr>
          <w:sz w:val="20"/>
          <w:szCs w:val="20"/>
          <w:color w:val="auto"/>
        </w:rPr>
      </w:pPr>
    </w:p>
    <w:p>
      <w:pPr>
        <w:ind w:right="160" w:firstLine="477"/>
        <w:spacing w:after="0" w:line="259" w:lineRule="auto"/>
        <w:rPr>
          <w:sz w:val="20"/>
          <w:szCs w:val="20"/>
          <w:color w:val="auto"/>
        </w:rPr>
      </w:pPr>
      <w:r>
        <w:rPr>
          <w:rFonts w:ascii="Arial" w:cs="Arial" w:eastAsia="Arial" w:hAnsi="Arial"/>
          <w:sz w:val="18"/>
          <w:szCs w:val="18"/>
          <w:color w:val="auto"/>
        </w:rPr>
        <w:t>Under the MidCap credit facility, we must comply with a minimum cash covenant of $10.0 million at all times prior to the approval by the FDA of Tyvaso DPI and we may be required to comply with additional covenants in the future under certain circumstances. Further, the MidCap credit facility requires us, and any debt arrangements we may enter into in the future may require us, to comply with various covenants that limit our ability to, among other things:</w:t>
      </w:r>
    </w:p>
    <w:p>
      <w:pPr>
        <w:spacing w:after="0" w:line="79" w:lineRule="exact"/>
        <w:rPr>
          <w:sz w:val="20"/>
          <w:szCs w:val="20"/>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25" w:lineRule="exact"/>
        <w:rPr>
          <w:sz w:val="20"/>
          <w:szCs w:val="20"/>
          <w:color w:val="auto"/>
        </w:rPr>
      </w:pPr>
    </w:p>
    <w:p>
      <w:pPr>
        <w:ind w:right="520" w:firstLine="477"/>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or the minimum cash covenant, any outstanding borrowings, together with accrued interest, under the MidCap credit facility could be declared immediately due and payable.</w:t>
      </w:r>
    </w:p>
    <w:p>
      <w:pPr>
        <w:spacing w:after="0" w:line="187"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ind w:firstLine="477"/>
        <w:spacing w:after="0" w:line="293"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or repay, our outstanding term loan under the MidCap credit facility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140" w:firstLine="477"/>
        <w:spacing w:after="0" w:line="272" w:lineRule="auto"/>
        <w:rPr>
          <w:sz w:val="20"/>
          <w:szCs w:val="20"/>
          <w:color w:val="auto"/>
        </w:rPr>
      </w:pPr>
      <w:r>
        <w:rPr>
          <w:rFonts w:ascii="Arial" w:cs="Arial" w:eastAsia="Arial" w:hAnsi="Arial"/>
          <w:sz w:val="17"/>
          <w:szCs w:val="17"/>
          <w:color w:val="auto"/>
        </w:rPr>
        <w:t>We anticipate that revenues from our existing or future licensing arrangements for our Technosphere platform technology that involve license, milestone, royalty or other payments to us will depend on our ability to achieve the performance obligations specified in such arrangements. 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9" w:lineRule="exact"/>
        <w:rPr>
          <w:sz w:val="20"/>
          <w:szCs w:val="20"/>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42" w:lineRule="exact"/>
        <w:rPr>
          <w:rFonts w:ascii="Arial" w:cs="Arial" w:eastAsia="Arial" w:hAnsi="Arial"/>
          <w:sz w:val="17"/>
          <w:szCs w:val="17"/>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2" w:name="page23"/>
    <w:bookmarkEnd w:id="22"/>
    <w:p>
      <w:pPr>
        <w:ind w:left="960" w:hanging="480"/>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extent to which our clinical studies compete for clinical sites and eligible subjects with clinical studies sponsored by other companies;</w:t>
      </w:r>
    </w:p>
    <w:p>
      <w:pPr>
        <w:spacing w:after="0" w:line="142" w:lineRule="exact"/>
        <w:rPr>
          <w:rFonts w:ascii="Arial" w:cs="Arial" w:eastAsia="Arial" w:hAnsi="Arial"/>
          <w:sz w:val="17"/>
          <w:szCs w:val="17"/>
          <w:color w:val="auto"/>
        </w:rPr>
      </w:pPr>
    </w:p>
    <w:p>
      <w:pPr>
        <w:ind w:left="960" w:hanging="48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30"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160" w:firstLine="477"/>
        <w:spacing w:after="0" w:line="27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40" w:firstLine="477"/>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successfully commercialize our product candidates.</w:t>
      </w:r>
    </w:p>
    <w:p>
      <w:pPr>
        <w:spacing w:after="0" w:line="62"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ind w:left="960" w:hanging="480"/>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9"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30" w:lineRule="exact"/>
        <w:rPr>
          <w:rFonts w:ascii="Arial" w:cs="Arial" w:eastAsia="Arial" w:hAnsi="Arial"/>
          <w:sz w:val="18"/>
          <w:szCs w:val="18"/>
          <w:color w:val="auto"/>
        </w:rPr>
      </w:pPr>
    </w:p>
    <w:p>
      <w:pPr>
        <w:ind w:left="960" w:right="58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75"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60" w:firstLine="477"/>
        <w:spacing w:after="0" w:line="275" w:lineRule="auto"/>
        <w:rPr>
          <w:sz w:val="20"/>
          <w:szCs w:val="20"/>
          <w:color w:val="auto"/>
        </w:rPr>
      </w:pPr>
      <w:r>
        <w:rPr>
          <w:rFonts w:ascii="Arial" w:cs="Arial" w:eastAsia="Arial" w:hAnsi="Arial"/>
          <w:sz w:val="17"/>
          <w:szCs w:val="17"/>
          <w:color w:val="auto"/>
        </w:rPr>
        <w:t>The testing, manufacturing, marketing and sales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$10.0 million. Our insurance coverage may not be adequate to satisfy any liability that may arise, and because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ind w:right="20"/>
        <w:spacing w:after="0" w:line="259" w:lineRule="auto"/>
        <w:rPr>
          <w:sz w:val="20"/>
          <w:szCs w:val="20"/>
          <w:color w:val="auto"/>
        </w:rPr>
      </w:pPr>
      <w:r>
        <w:rPr>
          <w:rFonts w:ascii="Arial" w:cs="Arial" w:eastAsia="Arial" w:hAnsi="Arial"/>
          <w:sz w:val="18"/>
          <w:szCs w:val="18"/>
          <w:color w:val="auto"/>
        </w:rPr>
        <w:t>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8"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We have relationships with scientific advisors at academic and other institutions to conduct research or assist us in formulating our research,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or clinical strategy. These scientific advisors are not our employees and may have commitments to, and other obligations with, other entities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limit their availability to us. We have limited control over the activities of these scientific advisors and can generally expect these individuals to</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2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84"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117"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24" w:name="page25"/>
    <w:bookmarkEnd w:id="24"/>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Biden administration and Congress have proposed various U.S. federal tax law changes, which if enacted could have a material impact on our business, cash flow, financial conditions or results of operations.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ind w:right="80" w:firstLine="477"/>
        <w:spacing w:after="0" w:line="267" w:lineRule="auto"/>
        <w:rPr>
          <w:sz w:val="20"/>
          <w:szCs w:val="20"/>
          <w:color w:val="auto"/>
        </w:rPr>
      </w:pPr>
      <w:r>
        <w:rPr>
          <w:rFonts w:ascii="Arial" w:cs="Arial" w:eastAsia="Arial" w:hAnsi="Arial"/>
          <w:sz w:val="17"/>
          <w:szCs w:val="17"/>
          <w:color w:val="auto"/>
        </w:rPr>
        <w:t>As of December 31, 2021, we had federal and state net operating loss carryforwards of $2.2 billion and $1.3 billion, respectively, which we assess annually. A portion of our federal and state net operating loss carryforwards have begun to expire. Net operating loss carryforwards that expire unused will be unavailable to offset future income tax liabilities. Under current law, federal net operating losses incurred in tax years beginning after December 31, 2017, may be carried forward indefinitely, but the deductibility of such federal net operating losses in tax years beginning after December 31, 2020, is limited to 80% of taxable income.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2021, to determine whether additional limitations may be placed on our net operating loss carryforwards and other tax attributes, and no additional changes in ownership that met the Section 382 ownership change threshold were identified through December 31, 2021. There is a risk that changes in ownership may occur in tax years after December 31, 2021.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9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220" w:firstLine="477"/>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40" w:firstLine="477"/>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60" w:firstLine="477"/>
        <w:spacing w:after="0" w:line="286" w:lineRule="auto"/>
        <w:rPr>
          <w:sz w:val="20"/>
          <w:szCs w:val="20"/>
          <w:color w:val="auto"/>
        </w:rPr>
      </w:pPr>
      <w:r>
        <w:rPr>
          <w:rFonts w:ascii="Arial" w:cs="Arial" w:eastAsia="Arial" w:hAnsi="Arial"/>
          <w:sz w:val="17"/>
          <w:szCs w:val="17"/>
          <w:color w:val="auto"/>
        </w:rPr>
        <w:t>At least for the foreseeable future, we expect that our manufacturing facility in Connecticut will be the sole location for the manufacturing of Afrezza and Tyvaso DPI. This facility and the manufacturing equipment we use would be costly to replace and could require substantial lead-time to repair or replace. We depend on our facilities and on collaborators, contractors and vendors for the continued operation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5" w:name="page26"/>
    <w:bookmarkEnd w:id="25"/>
    <w:p>
      <w:pPr>
        <w:ind w:right="60"/>
        <w:spacing w:after="0" w:line="291" w:lineRule="auto"/>
        <w:rPr>
          <w:sz w:val="20"/>
          <w:szCs w:val="20"/>
          <w:color w:val="auto"/>
        </w:rPr>
      </w:pPr>
      <w:r>
        <w:rPr>
          <w:rFonts w:ascii="Arial" w:cs="Arial" w:eastAsia="Arial" w:hAnsi="Arial"/>
          <w:sz w:val="16"/>
          <w:szCs w:val="16"/>
          <w:color w:val="auto"/>
        </w:rPr>
        <w:t>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ongoing COVID-19 pandemic),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operations also produce hazardous waste products. We are subject to federal, state and local laws and regulations (i) governing how we use, manufacture,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store, handle and dispose of these materials (ii) imposing liability for costs of cleaning up, and damages to natural resources from past spills, waste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disposals on and off-site, or other releases of hazardous materials or regulated substances, and (iii) regulating workplace safety. Moreover, the risk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accidental contamination or injury from hazardous materials cannot be completely eliminated, and in the event of an accident, we could be held liable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damages that may result, and any liability could fall outside the coverage or exceed the limits of our insurance. Currently, our general liability policy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coverage up to $1.0 million per occurrence and $2.0 million in the aggregate and is supplemented by an umbrella policy that provides a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of coverage; however, our insurance policy excludes pollution liability coverage and we do not carry a separate hazardous materials policy.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 we could be required to incur significant costs to comply with environmental laws and regulations in the future. Finally, current or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laws and regulations may impair our research, development or production efforts or have an adverse impact on our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financial condition.</w:t>
      </w:r>
    </w:p>
    <w:p>
      <w:pPr>
        <w:spacing w:after="0" w:line="211" w:lineRule="exact"/>
        <w:rPr>
          <w:sz w:val="20"/>
          <w:szCs w:val="20"/>
          <w:color w:val="auto"/>
        </w:rPr>
      </w:pPr>
    </w:p>
    <w:p>
      <w:pPr>
        <w:ind w:right="80" w:firstLine="477"/>
        <w:spacing w:after="0" w:line="289" w:lineRule="auto"/>
        <w:rPr>
          <w:sz w:val="20"/>
          <w:szCs w:val="20"/>
          <w:color w:val="auto"/>
        </w:rPr>
      </w:pPr>
      <w:r>
        <w:rPr>
          <w:rFonts w:ascii="Arial" w:cs="Arial" w:eastAsia="Arial" w:hAnsi="Arial"/>
          <w:sz w:val="16"/>
          <w:szCs w:val="16"/>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274" w:lineRule="exact"/>
        <w:rPr>
          <w:sz w:val="20"/>
          <w:szCs w:val="20"/>
          <w:color w:val="auto"/>
        </w:rPr>
      </w:pPr>
    </w:p>
    <w:p>
      <w:pPr>
        <w:ind w:right="360"/>
        <w:spacing w:after="0" w:line="340" w:lineRule="auto"/>
        <w:rPr>
          <w:sz w:val="20"/>
          <w:szCs w:val="20"/>
          <w:color w:val="auto"/>
        </w:rPr>
      </w:pPr>
      <w:r>
        <w:rPr>
          <w:rFonts w:ascii="Arial" w:cs="Arial" w:eastAsia="Arial" w:hAnsi="Arial"/>
          <w:sz w:val="15"/>
          <w:szCs w:val="15"/>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23"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color w:val="auto"/>
        </w:rPr>
        <w:t>We, and third parties acting on our behalf, employ and are increasingly dependent upon information technology systems, infrastructure, applications, websites and other resources. Our business requires collecting, manipulating, analyzing, storing and otherwise processing large amounts of data, including proprietary data, sensitive data, personal data and other confidential information. In addition,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w:t>
      </w:r>
    </w:p>
    <w:p>
      <w:pPr>
        <w:spacing w:after="0" w:line="178" w:lineRule="exact"/>
        <w:rPr>
          <w:sz w:val="20"/>
          <w:szCs w:val="20"/>
          <w:color w:val="auto"/>
        </w:rPr>
      </w:pPr>
    </w:p>
    <w:p>
      <w:pPr>
        <w:ind w:right="20" w:firstLine="477"/>
        <w:spacing w:after="0" w:line="283" w:lineRule="auto"/>
        <w:rPr>
          <w:sz w:val="20"/>
          <w:szCs w:val="20"/>
          <w:color w:val="auto"/>
        </w:rPr>
      </w:pPr>
      <w:r>
        <w:rPr>
          <w:rFonts w:ascii="Arial" w:cs="Arial" w:eastAsia="Arial" w:hAnsi="Arial"/>
          <w:sz w:val="16"/>
          <w:szCs w:val="16"/>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w:t>
      </w:r>
    </w:p>
    <w:p>
      <w:pPr>
        <w:spacing w:after="0" w:line="2"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us and our services. The COVID-19 pandemic and our remote workforce poses increased risks to our information technology systems and data, as more of our employees work from home, utilizing network connections outside our premises. Future or past business transactions (such as acquisitions or integrations) could expose us to additional cybersecurity risks and vulnerabilities,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as our systems could be negatively affected by vulnerabilities present in acquired or integrated entities’ systems and technologies.</w:t>
      </w:r>
    </w:p>
    <w:p>
      <w:pPr>
        <w:spacing w:after="0" w:line="225" w:lineRule="exact"/>
        <w:rPr>
          <w:sz w:val="20"/>
          <w:szCs w:val="20"/>
          <w:color w:val="auto"/>
        </w:rPr>
      </w:pPr>
    </w:p>
    <w:p>
      <w:pPr>
        <w:ind w:right="20" w:firstLine="477"/>
        <w:spacing w:after="0" w:line="267"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because such threats and techniques change frequently, are often sophisticated in nature, and may not be detected until after a security incident has occurred.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We use UKG Pro, a product offered through UKG that is not in the Kronos Private Cloud, for human capital management. UKG is not aware of an impact on UKG Pro and the incident did not appear to have any negative impact on our operations or the sensitive information we may process. Thus, despite our efforts to identify and remediate vulnerabilities, if any, in our information technology systems, our efforts may not be successful. Further, we may experience delays in developing and deploying remedial measures designed to address any such identified vulnerabilities.</w:t>
      </w:r>
    </w:p>
    <w:p>
      <w:pPr>
        <w:spacing w:after="0" w:line="83" w:lineRule="exact"/>
        <w:rPr>
          <w:sz w:val="20"/>
          <w:szCs w:val="20"/>
          <w:color w:val="auto"/>
        </w:rPr>
      </w:pPr>
    </w:p>
    <w:p>
      <w:pPr>
        <w:ind w:right="60" w:firstLine="477"/>
        <w:spacing w:after="0" w:line="269"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87"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right="80" w:firstLine="477"/>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firstLine="477"/>
        <w:spacing w:after="0" w:line="290" w:lineRule="auto"/>
        <w:rPr>
          <w:sz w:val="20"/>
          <w:szCs w:val="20"/>
          <w:color w:val="auto"/>
        </w:rPr>
      </w:pPr>
      <w:r>
        <w:rPr>
          <w:rFonts w:ascii="Arial" w:cs="Arial" w:eastAsia="Arial" w:hAnsi="Arial"/>
          <w:sz w:val="16"/>
          <w:szCs w:val="16"/>
          <w:color w:val="auto"/>
        </w:rPr>
        <w:t xml:space="preserve">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w:t>
      </w:r>
      <w:r>
        <w:rPr>
          <w:rFonts w:ascii="Arial" w:cs="Arial" w:eastAsia="Arial" w:hAnsi="Arial"/>
          <w:sz w:val="19"/>
          <w:szCs w:val="19"/>
          <w:color w:val="auto"/>
        </w:rPr>
        <w:t>the public markets</w:t>
      </w:r>
      <w:r>
        <w:rPr>
          <w:rFonts w:ascii="Arial" w:cs="Arial" w:eastAsia="Arial" w:hAnsi="Arial"/>
          <w:sz w:val="16"/>
          <w:szCs w:val="16"/>
          <w:color w:val="auto"/>
        </w:rPr>
        <w:t xml:space="preserve"> </w:t>
      </w:r>
      <w:r>
        <w:rPr>
          <w:rFonts w:ascii="Arial" w:cs="Arial" w:eastAsia="Arial" w:hAnsi="Arial"/>
          <w:sz w:val="19"/>
          <w:szCs w:val="19"/>
          <w:color w:val="auto"/>
        </w:rPr>
        <w:t>and obtain necessary capital in order to properly capitalize and continue our operations.</w:t>
      </w:r>
    </w:p>
    <w:p>
      <w:pPr>
        <w:spacing w:after="0" w:line="2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187"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that ended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ind w:right="120" w:firstLine="477"/>
        <w:spacing w:after="0" w:line="253"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United Kingdom or the European Union. For example, Great Britain is no longer covered by the centralized procedures for obtaining EU-wide marketing authorization from the EMA and,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w:t>
      </w:r>
    </w:p>
    <w:p>
      <w:pPr>
        <w:spacing w:after="0" w:line="196"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While the Trade and Cooperation Agreement provides for the tariff-free trade of medicinal products between the United Kingdom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 These developments, or the perception that any of them could occur, may significantly reduce global trade and, in particular, trade between the impacted nations and the United Kingdom.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320" w:firstLine="477"/>
        <w:spacing w:after="0" w:line="286" w:lineRule="auto"/>
        <w:rPr>
          <w:sz w:val="20"/>
          <w:szCs w:val="20"/>
          <w:color w:val="auto"/>
        </w:rPr>
      </w:pPr>
      <w:r>
        <w:rPr>
          <w:rFonts w:ascii="Arial" w:cs="Arial" w:eastAsia="Arial" w:hAnsi="Arial"/>
          <w:sz w:val="17"/>
          <w:szCs w:val="17"/>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220" w:firstLine="477"/>
        <w:spacing w:after="0" w:line="293" w:lineRule="auto"/>
        <w:rPr>
          <w:sz w:val="20"/>
          <w:szCs w:val="20"/>
          <w:color w:val="auto"/>
        </w:rPr>
      </w:pPr>
      <w:r>
        <w:rPr>
          <w:rFonts w:ascii="Arial" w:cs="Arial" w:eastAsia="Arial" w:hAnsi="Arial"/>
          <w:sz w:val="16"/>
          <w:szCs w:val="16"/>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200" w:firstLine="477"/>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8" w:name="page29"/>
    <w:bookmarkEnd w:id="28"/>
    <w:p>
      <w:pPr>
        <w:ind w:right="28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ind w:right="60" w:firstLine="477"/>
        <w:spacing w:after="0" w:line="27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70" w:lineRule="exact"/>
        <w:rPr>
          <w:sz w:val="20"/>
          <w:szCs w:val="20"/>
          <w:color w:val="auto"/>
        </w:rPr>
      </w:pPr>
    </w:p>
    <w:p>
      <w:pPr>
        <w:ind w:right="40" w:firstLine="477"/>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The manufacture, marketing and sale of drug products is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7" w:lineRule="exact"/>
        <w:rPr>
          <w:sz w:val="20"/>
          <w:szCs w:val="20"/>
          <w:color w:val="auto"/>
        </w:rPr>
      </w:pPr>
    </w:p>
    <w:p>
      <w:pPr>
        <w:ind w:firstLine="477"/>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72" w:lineRule="exact"/>
        <w:rPr>
          <w:sz w:val="20"/>
          <w:szCs w:val="20"/>
          <w:color w:val="auto"/>
        </w:rPr>
      </w:pPr>
    </w:p>
    <w:p>
      <w:pPr>
        <w:ind w:right="160" w:firstLine="477"/>
        <w:spacing w:after="0" w:line="27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960" w:right="700" w:hanging="480"/>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56"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revisions to the approved labeling to add new safety information;</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960" w:right="560" w:hanging="480"/>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regulations also can result in adverse publicity or increased scrutiny of company activities by the U.S. Congress or other legislators.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have also adopted regulations and reporting requirements surrounding the promotion of pharmaceuticals. Failure to comply with state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affect our ability to promote or sell our products in certain states.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9" w:name="page30"/>
    <w:bookmarkEnd w:id="29"/>
    <w:p>
      <w:pPr>
        <w:ind w:right="80" w:firstLine="477"/>
        <w:spacing w:after="0" w:line="296"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61"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has prompted the FDA to request additional information concerning Tyvaso DPI and to delay the review deadline for the Tyvaso DPI NDA from February 2022 to May 2022. If successful, a citizen petition can significantly delay, or even prevent, the approval of a drug product.</w:t>
      </w:r>
    </w:p>
    <w:p>
      <w:pPr>
        <w:spacing w:after="0" w:line="166"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as amended by the Health Care Education and Reconciliation Act (collectively, the “PPACA”) substantially changed the way healthcare is financed by both governmental and private insurers and continues to significantly affect the healthcare industry. Among the provisions of PPACA of importance to us are the following:</w:t>
      </w:r>
    </w:p>
    <w:p>
      <w:pPr>
        <w:spacing w:after="0" w:line="80" w:lineRule="exact"/>
        <w:rPr>
          <w:sz w:val="20"/>
          <w:szCs w:val="20"/>
          <w:color w:val="auto"/>
        </w:rPr>
      </w:pPr>
    </w:p>
    <w:p>
      <w:pPr>
        <w:ind w:left="960" w:right="16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960" w:right="28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(“AMP”) for most branded and generic drugs, respectively;</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960" w:right="60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960" w:right="320" w:hanging="480"/>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960" w:right="20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960" w:right="520" w:hanging="480"/>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960" w:right="60" w:hanging="480"/>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report annually to CMS certain financial arrangements with physicians, certain other healthcare professionals, and teaching hospitals, and reporting any ownership and investment interests held by physicians and their immediate family members and applicable group purchasing organizations during the preceding calendar year, as described in more detail below;</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17" w:lineRule="exact"/>
        <w:rPr>
          <w:rFonts w:ascii="Arial" w:cs="Arial" w:eastAsia="Arial" w:hAnsi="Arial"/>
          <w:sz w:val="18"/>
          <w:szCs w:val="18"/>
          <w:color w:val="auto"/>
        </w:rPr>
      </w:pPr>
    </w:p>
    <w:p>
      <w:pPr>
        <w:ind w:left="960" w:right="34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0" w:firstLine="477"/>
        <w:spacing w:after="0" w:line="286" w:lineRule="auto"/>
        <w:rPr>
          <w:sz w:val="20"/>
          <w:szCs w:val="20"/>
          <w:color w:val="auto"/>
        </w:rPr>
      </w:pPr>
      <w:r>
        <w:rPr>
          <w:rFonts w:ascii="Arial" w:cs="Arial" w:eastAsia="Arial" w:hAnsi="Arial"/>
          <w:sz w:val="17"/>
          <w:szCs w:val="17"/>
          <w:color w:val="auto"/>
        </w:rPr>
        <w:t>There have been executive, judicial and congressional challenges to certain provisions of the PPACA, although the constitutionality of the PPACA appears to now be settled.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ind w:right="20" w:firstLine="477"/>
        <w:spacing w:after="0" w:line="255"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92" w:lineRule="exact"/>
        <w:rPr>
          <w:sz w:val="20"/>
          <w:szCs w:val="20"/>
          <w:color w:val="auto"/>
        </w:rPr>
      </w:pPr>
    </w:p>
    <w:p>
      <w:pPr>
        <w:ind w:right="20" w:firstLine="477"/>
        <w:spacing w:after="0" w:line="285"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In addition, Congress is considering additional health reform measures.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For example, it is possible that additional governmental action will be taken in response to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69"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16" w:lineRule="exact"/>
        <w:rPr>
          <w:sz w:val="20"/>
          <w:szCs w:val="20"/>
          <w:color w:val="auto"/>
        </w:rPr>
      </w:pPr>
    </w:p>
    <w:p>
      <w:pPr>
        <w:ind w:right="140" w:firstLine="477"/>
        <w:spacing w:after="0" w:line="257"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80" w:lineRule="exact"/>
        <w:rPr>
          <w:sz w:val="20"/>
          <w:szCs w:val="20"/>
          <w:color w:val="auto"/>
        </w:rPr>
      </w:pPr>
    </w:p>
    <w:p>
      <w:pPr>
        <w:ind w:left="960" w:right="220" w:hanging="480"/>
        <w:spacing w:after="0" w:line="293"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56" w:lineRule="exact"/>
        <w:rPr>
          <w:rFonts w:ascii="Arial" w:cs="Arial" w:eastAsia="Arial" w:hAnsi="Arial"/>
          <w:sz w:val="16"/>
          <w:szCs w:val="16"/>
          <w:color w:val="auto"/>
        </w:rPr>
      </w:pPr>
    </w:p>
    <w:p>
      <w:pPr>
        <w:ind w:left="960" w:right="40" w:hanging="480"/>
        <w:spacing w:after="0" w:line="273"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ind w:left="960" w:right="140" w:hanging="480"/>
        <w:spacing w:after="0" w:line="25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other healthcare providers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1" w:name="page32"/>
    <w:bookmarkEnd w:id="31"/>
    <w:p>
      <w:pPr>
        <w:ind w:left="960" w:hanging="480"/>
        <w:spacing w:after="0" w:line="290"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65" w:lineRule="exact"/>
        <w:rPr>
          <w:sz w:val="20"/>
          <w:szCs w:val="20"/>
          <w:color w:val="auto"/>
        </w:rPr>
      </w:pPr>
    </w:p>
    <w:p>
      <w:pPr>
        <w:ind w:right="100" w:firstLine="477"/>
        <w:spacing w:after="0" w:line="268" w:lineRule="auto"/>
        <w:rPr>
          <w:sz w:val="20"/>
          <w:szCs w:val="20"/>
          <w:color w:val="auto"/>
        </w:rPr>
      </w:pPr>
      <w:r>
        <w:rPr>
          <w:rFonts w:ascii="Arial" w:cs="Arial" w:eastAsia="Arial" w:hAnsi="Arial"/>
          <w:sz w:val="17"/>
          <w:szCs w:val="17"/>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2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57" w:lineRule="exact"/>
        <w:rPr>
          <w:sz w:val="20"/>
          <w:szCs w:val="20"/>
          <w:color w:val="auto"/>
        </w:rPr>
      </w:pPr>
    </w:p>
    <w:p>
      <w:pPr>
        <w:ind w:right="20" w:firstLine="477"/>
        <w:spacing w:after="0" w:line="275" w:lineRule="auto"/>
        <w:rPr>
          <w:sz w:val="20"/>
          <w:szCs w:val="20"/>
          <w:color w:val="auto"/>
        </w:rPr>
      </w:pPr>
      <w:r>
        <w:rPr>
          <w:rFonts w:ascii="Arial" w:cs="Arial" w:eastAsia="Arial" w:hAnsi="Arial"/>
          <w:sz w:val="17"/>
          <w:szCs w:val="17"/>
          <w:color w:val="auto"/>
        </w:rPr>
        <w:t>In the ordinary course of business, we collect, receive, store, process, generate, use, transfer, disclose, make accessible, protect, secure, dispose of, transmit, and share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76" w:lineRule="exact"/>
        <w:rPr>
          <w:sz w:val="20"/>
          <w:szCs w:val="20"/>
          <w:color w:val="auto"/>
        </w:rPr>
      </w:pPr>
    </w:p>
    <w:p>
      <w:pPr>
        <w:jc w:val="both"/>
        <w:ind w:right="120" w:firstLine="477"/>
        <w:spacing w:after="0" w:line="287"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In addition, the CCPA imposes obligations on covered businesses.</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it is anticipated that the CPRA, effective January 1, 2023, will expand the CCPA. Additionally,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98" w:lineRule="exact"/>
        <w:rPr>
          <w:sz w:val="20"/>
          <w:szCs w:val="20"/>
          <w:color w:val="auto"/>
        </w:rPr>
      </w:pPr>
    </w:p>
    <w:p>
      <w:pPr>
        <w:jc w:val="both"/>
        <w:ind w:right="280" w:firstLine="477"/>
        <w:spacing w:after="0" w:line="257" w:lineRule="auto"/>
        <w:rPr>
          <w:sz w:val="20"/>
          <w:szCs w:val="20"/>
          <w:color w:val="auto"/>
        </w:rPr>
      </w:pPr>
      <w:r>
        <w:rPr>
          <w:rFonts w:ascii="Arial" w:cs="Arial" w:eastAsia="Arial" w:hAnsi="Arial"/>
          <w:sz w:val="18"/>
          <w:szCs w:val="18"/>
          <w:color w:val="auto"/>
        </w:rPr>
        <w:t>Outside the United States, an increasing number of laws, regulations, and industry standards apply to data privacy and security. For example, the GDPR, the United Kingdom’s GDPR (“UK GDPR”), and Brazil’s General Data Protection Law (Lei Geral de Proteção de Dados Pessoais, or “LGPD”) (Law No. 13,709/2018)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w:t>
      </w:r>
    </w:p>
    <w:p>
      <w:pPr>
        <w:spacing w:after="0" w:line="188" w:lineRule="exact"/>
        <w:rPr>
          <w:sz w:val="20"/>
          <w:szCs w:val="20"/>
          <w:color w:val="auto"/>
        </w:rPr>
      </w:pPr>
    </w:p>
    <w:p>
      <w:pPr>
        <w:ind w:right="120" w:firstLine="477"/>
        <w:spacing w:after="0" w:line="279" w:lineRule="auto"/>
        <w:rPr>
          <w:sz w:val="20"/>
          <w:szCs w:val="20"/>
          <w:color w:val="auto"/>
        </w:rPr>
      </w:pPr>
      <w:r>
        <w:rPr>
          <w:rFonts w:ascii="Arial" w:cs="Arial" w:eastAsia="Arial" w:hAnsi="Arial"/>
          <w:sz w:val="17"/>
          <w:szCs w:val="17"/>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The more reliant our business is on the ability to effectuate cross-border data transfers, the more impact we may experience in light of any changes in the legal landscape.</w:t>
      </w:r>
    </w:p>
    <w:p>
      <w:pPr>
        <w:spacing w:after="0" w:line="171"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In addition, privacy advocates and industry groups have proposed, and may propose, standards with which we are legally or contractually bound to comply.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2" w:name="page33"/>
    <w:bookmarkEnd w:id="32"/>
    <w:p>
      <w:pPr>
        <w:ind w:firstLine="477"/>
        <w:spacing w:after="0" w:line="286" w:lineRule="auto"/>
        <w:rPr>
          <w:sz w:val="20"/>
          <w:szCs w:val="20"/>
          <w:color w:val="auto"/>
        </w:rPr>
      </w:pPr>
      <w:r>
        <w:rPr>
          <w:rFonts w:ascii="Arial" w:cs="Arial" w:eastAsia="Arial" w:hAnsi="Arial"/>
          <w:sz w:val="16"/>
          <w:szCs w:val="16"/>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vendor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57" w:lineRule="exact"/>
        <w:rPr>
          <w:sz w:val="20"/>
          <w:szCs w:val="20"/>
          <w:color w:val="auto"/>
        </w:rPr>
      </w:pPr>
    </w:p>
    <w:p>
      <w:pPr>
        <w:ind w:right="20" w:firstLine="477"/>
        <w:spacing w:after="0" w:line="286"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on March 11, 2021, President Biden signed the American Rescue Plan Act of 2021 into law, which eliminates the statutory Medicaid drug rebate cap, currently set at 100% of a drug’s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1" w:lineRule="exact"/>
        <w:rPr>
          <w:sz w:val="20"/>
          <w:szCs w:val="20"/>
          <w:color w:val="auto"/>
        </w:rPr>
      </w:pPr>
    </w:p>
    <w:p>
      <w:pPr>
        <w:ind w:right="20" w:firstLine="477"/>
        <w:spacing w:after="0" w:line="270" w:lineRule="auto"/>
        <w:rPr>
          <w:sz w:val="20"/>
          <w:szCs w:val="20"/>
          <w:color w:val="auto"/>
        </w:rPr>
      </w:pPr>
      <w:r>
        <w:rPr>
          <w:rFonts w:ascii="Arial" w:cs="Arial" w:eastAsia="Arial" w:hAnsi="Arial"/>
          <w:sz w:val="17"/>
          <w:szCs w:val="17"/>
          <w:color w:val="auto"/>
        </w:rPr>
        <w:t>In addition, the Office of Inspector General of the U.S. Department of Health and Human Services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ind w:right="320" w:firstLine="477"/>
        <w:spacing w:after="0" w:line="279" w:lineRule="auto"/>
        <w:rPr>
          <w:sz w:val="20"/>
          <w:szCs w:val="20"/>
          <w:color w:val="auto"/>
        </w:rPr>
      </w:pPr>
      <w:r>
        <w:rPr>
          <w:rFonts w:ascii="Arial" w:cs="Arial" w:eastAsia="Arial" w:hAnsi="Arial"/>
          <w:sz w:val="17"/>
          <w:szCs w:val="17"/>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5" w:lineRule="exact"/>
        <w:rPr>
          <w:sz w:val="20"/>
          <w:szCs w:val="20"/>
          <w:color w:val="auto"/>
        </w:rPr>
      </w:pPr>
    </w:p>
    <w:p>
      <w:pPr>
        <w:ind w:firstLine="477"/>
        <w:spacing w:after="0" w:line="293" w:lineRule="auto"/>
        <w:rPr>
          <w:sz w:val="20"/>
          <w:szCs w:val="20"/>
          <w:color w:val="auto"/>
        </w:rPr>
      </w:pPr>
      <w:r>
        <w:rPr>
          <w:rFonts w:ascii="Arial" w:cs="Arial" w:eastAsia="Arial" w:hAnsi="Arial"/>
          <w:sz w:val="16"/>
          <w:szCs w:val="16"/>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64"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2026, 2028, 2029 or 2030. In addition, patents providing protection for our inhaler and cartridges have terms extending into 2023, 2031 or 2032. Our method of treatment claims extends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200" w:firstLine="477"/>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2" w:lineRule="exact"/>
        <w:rPr>
          <w:sz w:val="20"/>
          <w:szCs w:val="20"/>
          <w:color w:val="auto"/>
        </w:rPr>
      </w:pPr>
    </w:p>
    <w:p>
      <w:pPr>
        <w:ind w:right="20" w:firstLine="477"/>
        <w:spacing w:after="0" w:line="287"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180" w:firstLine="477"/>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34" w:name="page35"/>
    <w:bookmarkEnd w:id="34"/>
    <w:p>
      <w:pPr>
        <w:ind w:right="60" w:firstLine="477"/>
        <w:spacing w:after="0" w:line="269"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85" w:lineRule="exact"/>
        <w:rPr>
          <w:sz w:val="20"/>
          <w:szCs w:val="20"/>
          <w:color w:val="auto"/>
        </w:rPr>
      </w:pPr>
    </w:p>
    <w:p>
      <w:pPr>
        <w:ind w:right="20" w:firstLine="477"/>
        <w:spacing w:after="0" w:line="288" w:lineRule="auto"/>
        <w:rPr>
          <w:sz w:val="20"/>
          <w:szCs w:val="20"/>
          <w:color w:val="auto"/>
        </w:rPr>
      </w:pPr>
      <w:r>
        <w:rPr>
          <w:rFonts w:ascii="Arial" w:cs="Arial" w:eastAsia="Arial" w:hAnsi="Arial"/>
          <w:sz w:val="17"/>
          <w:szCs w:val="17"/>
          <w:color w:val="auto"/>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w:t>
      </w:r>
      <w:r>
        <w:rPr>
          <w:rFonts w:ascii="Arial" w:cs="Arial" w:eastAsia="Arial" w:hAnsi="Arial"/>
          <w:sz w:val="20"/>
          <w:szCs w:val="20"/>
          <w:color w:val="auto"/>
        </w:rPr>
        <w:t>investors</w:t>
      </w:r>
      <w:r>
        <w:rPr>
          <w:rFonts w:ascii="Arial" w:cs="Arial" w:eastAsia="Arial" w:hAnsi="Arial"/>
          <w:sz w:val="17"/>
          <w:szCs w:val="17"/>
          <w:color w:val="auto"/>
        </w:rPr>
        <w:t xml:space="preserve"> </w:t>
      </w:r>
      <w:r>
        <w:rPr>
          <w:rFonts w:ascii="Arial" w:cs="Arial" w:eastAsia="Arial" w:hAnsi="Arial"/>
          <w:sz w:val="20"/>
          <w:szCs w:val="20"/>
          <w:color w:val="auto"/>
        </w:rPr>
        <w:t>perceive these results to be negative, the market price of our common stock and other securities may decline.</w:t>
      </w:r>
    </w:p>
    <w:p>
      <w:pPr>
        <w:spacing w:after="0" w:line="2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jc w:val="both"/>
        <w:ind w:right="40" w:firstLine="477"/>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ind w:right="100" w:firstLine="477"/>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firstLine="477"/>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7"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Moreover, certain components of Afrezza or our product candidates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Although we do not believe that Afrezza or our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1" w:lineRule="exact"/>
        <w:rPr>
          <w:sz w:val="20"/>
          <w:szCs w:val="20"/>
          <w:color w:val="auto"/>
        </w:rPr>
      </w:pPr>
    </w:p>
    <w:p>
      <w:pPr>
        <w:ind w:right="60" w:firstLine="477"/>
        <w:spacing w:after="0" w:line="279"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5" w:name="page36"/>
    <w:bookmarkEnd w:id="35"/>
    <w:p>
      <w:pPr>
        <w:ind w:right="640"/>
        <w:spacing w:after="0" w:line="277" w:lineRule="auto"/>
        <w:rPr>
          <w:sz w:val="20"/>
          <w:szCs w:val="20"/>
          <w:color w:val="auto"/>
        </w:rPr>
      </w:pPr>
      <w:r>
        <w:rPr>
          <w:rFonts w:ascii="Arial" w:cs="Arial" w:eastAsia="Arial" w:hAnsi="Arial"/>
          <w:sz w:val="18"/>
          <w:szCs w:val="18"/>
          <w:color w:val="auto"/>
        </w:rPr>
        <w:t>which would adversely affect our business, financial condition and results of operations and cause the market price of our common stock and other securities to decline.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60" w:firstLine="477"/>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commitments. We may be forced to take other actions to satisfy our obligations or we may experience a financial failure.</w:t>
      </w:r>
    </w:p>
    <w:p>
      <w:pPr>
        <w:spacing w:after="0" w:line="62"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Our ability to make scheduled payments on our lease and debt obligations will depend on our financial and operating performance, which is subject to the commercial success of Afrezza and, if approved, Tyvaso DPI,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540" w:firstLine="477"/>
        <w:spacing w:after="0" w:line="28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65" w:lineRule="exact"/>
        <w:rPr>
          <w:sz w:val="20"/>
          <w:szCs w:val="20"/>
          <w:color w:val="auto"/>
        </w:rPr>
      </w:pPr>
    </w:p>
    <w:p>
      <w:pPr>
        <w:ind w:right="280" w:firstLine="477"/>
        <w:spacing w:after="0" w:line="308" w:lineRule="auto"/>
        <w:rPr>
          <w:sz w:val="20"/>
          <w:szCs w:val="20"/>
          <w:color w:val="auto"/>
        </w:rPr>
      </w:pPr>
      <w:r>
        <w:rPr>
          <w:rFonts w:ascii="Arial" w:cs="Arial" w:eastAsia="Arial" w:hAnsi="Arial"/>
          <w:sz w:val="17"/>
          <w:szCs w:val="17"/>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8" w:lineRule="exact"/>
        <w:rPr>
          <w:sz w:val="20"/>
          <w:szCs w:val="20"/>
          <w:color w:val="auto"/>
        </w:rPr>
      </w:pPr>
    </w:p>
    <w:p>
      <w:pPr>
        <w:ind w:left="960" w:right="140" w:hanging="480"/>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estimates of Afrezza sales, Tyvaso DPI royalties, prescriptions or other operating metrics;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42" w:lineRule="exact"/>
        <w:rPr>
          <w:rFonts w:ascii="Arial" w:cs="Arial" w:eastAsia="Arial" w:hAnsi="Arial"/>
          <w:sz w:val="17"/>
          <w:szCs w:val="17"/>
          <w:color w:val="auto"/>
        </w:rPr>
      </w:pPr>
    </w:p>
    <w:p>
      <w:pPr>
        <w:ind w:left="960" w:hanging="480"/>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30"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6" w:name="page37"/>
    <w:bookmarkEnd w:id="36"/>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Tyvaso DPI or other product candidates;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trades of short sellers;</w:t>
      </w:r>
    </w:p>
    <w:p>
      <w:pPr>
        <w:spacing w:after="0" w:line="130" w:lineRule="exact"/>
        <w:rPr>
          <w:rFonts w:ascii="Arial" w:cs="Arial" w:eastAsia="Arial" w:hAnsi="Arial"/>
          <w:sz w:val="18"/>
          <w:szCs w:val="18"/>
          <w:color w:val="auto"/>
        </w:rPr>
      </w:pPr>
    </w:p>
    <w:p>
      <w:pPr>
        <w:ind w:left="960" w:right="260" w:hanging="480"/>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42" w:lineRule="exact"/>
        <w:rPr>
          <w:rFonts w:ascii="Arial" w:cs="Arial" w:eastAsia="Arial" w:hAnsi="Arial"/>
          <w:sz w:val="17"/>
          <w:szCs w:val="17"/>
          <w:color w:val="auto"/>
        </w:rPr>
      </w:pPr>
    </w:p>
    <w:p>
      <w:pPr>
        <w:ind w:left="960" w:right="340" w:hanging="480"/>
        <w:spacing w:after="0" w:line="279"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discussion of Afrezza, Tyvaso DPI,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2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If we fail to continue to meet all applicable listing requirements, our common stock may be delisted from </w:t>
      </w:r>
      <w:r>
        <w:rPr>
          <w:rFonts w:ascii="Arial" w:cs="Arial" w:eastAsia="Arial" w:hAnsi="Arial"/>
          <w:sz w:val="21"/>
          <w:szCs w:val="21"/>
          <w:b w:val="1"/>
          <w:bCs w:val="1"/>
          <w:i w:val="1"/>
          <w:iCs w:val="1"/>
          <w:color w:val="auto"/>
        </w:rPr>
        <w:t>the Nasdaq</w:t>
      </w:r>
      <w:r>
        <w:rPr>
          <w:rFonts w:ascii="Arial" w:cs="Arial" w:eastAsia="Arial" w:hAnsi="Arial"/>
          <w:sz w:val="18"/>
          <w:szCs w:val="18"/>
          <w:b w:val="1"/>
          <w:bCs w:val="1"/>
          <w:i w:val="1"/>
          <w:iCs w:val="1"/>
          <w:color w:val="auto"/>
        </w:rPr>
        <w:t xml:space="preserve"> Global Market, which could have an adverse impact on the liquidity and market price of our common stock.</w:t>
      </w:r>
    </w:p>
    <w:p>
      <w:pPr>
        <w:spacing w:after="0" w:line="57"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common stock could negatively affect the market price of our common stock and other securities.</w:t>
      </w:r>
    </w:p>
    <w:p>
      <w:pPr>
        <w:spacing w:after="0" w:line="62" w:lineRule="exact"/>
        <w:rPr>
          <w:sz w:val="20"/>
          <w:szCs w:val="20"/>
          <w:color w:val="auto"/>
        </w:rPr>
      </w:pPr>
    </w:p>
    <w:p>
      <w:pPr>
        <w:ind w:right="100" w:firstLine="477"/>
        <w:spacing w:after="0" w:line="273" w:lineRule="auto"/>
        <w:rPr>
          <w:sz w:val="20"/>
          <w:szCs w:val="20"/>
          <w:color w:val="auto"/>
        </w:rPr>
      </w:pPr>
      <w:r>
        <w:rPr>
          <w:rFonts w:ascii="Arial" w:cs="Arial" w:eastAsia="Arial" w:hAnsi="Arial"/>
          <w:sz w:val="17"/>
          <w:szCs w:val="17"/>
          <w:color w:val="auto"/>
        </w:rPr>
        <w:t>As of February 11, 2022, we had 251,798,303 shares of common stock outstanding.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the Mann Group promissory notes, or the Senior convertible notes,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78" w:lineRule="exact"/>
        <w:rPr>
          <w:sz w:val="20"/>
          <w:szCs w:val="20"/>
          <w:color w:val="auto"/>
        </w:rPr>
      </w:pPr>
    </w:p>
    <w:p>
      <w:pPr>
        <w:ind w:right="360" w:firstLine="477"/>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70"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firstLine="477"/>
        <w:spacing w:after="0" w:line="289"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8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asserting a breach of fiduciary duty owed by any of our current or former directors, officers or other employees to us or our stockholders;</w:t>
      </w:r>
    </w:p>
    <w:p>
      <w:pPr>
        <w:spacing w:after="0" w:line="62" w:lineRule="exact"/>
        <w:rPr>
          <w:rFonts w:ascii="Arial" w:cs="Arial" w:eastAsia="Arial" w:hAnsi="Arial"/>
          <w:sz w:val="18"/>
          <w:szCs w:val="18"/>
          <w:color w:val="auto"/>
        </w:rPr>
      </w:pPr>
    </w:p>
    <w:p>
      <w:pPr>
        <w:jc w:val="both"/>
        <w:ind w:left="960" w:right="260" w:hanging="480"/>
        <w:spacing w:after="0" w:line="263"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75"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w:t>
      </w:r>
    </w:p>
    <w:p>
      <w:pPr>
        <w:spacing w:after="0" w:line="62" w:lineRule="exact"/>
        <w:rPr>
          <w:rFonts w:ascii="Arial" w:cs="Arial" w:eastAsia="Arial" w:hAnsi="Arial"/>
          <w:sz w:val="18"/>
          <w:szCs w:val="18"/>
          <w:color w:val="auto"/>
        </w:rPr>
      </w:pPr>
    </w:p>
    <w:p>
      <w:pPr>
        <w:ind w:left="960" w:right="40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as to which the Delaware General Corporation Law confers jurisdiction to the Court of Chancery of the State of Delaware;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officers or other employees that is governed by the internal affairs doctrine.</w:t>
      </w:r>
    </w:p>
    <w:p>
      <w:pPr>
        <w:spacing w:after="0" w:line="248" w:lineRule="exact"/>
        <w:rPr>
          <w:sz w:val="20"/>
          <w:szCs w:val="20"/>
          <w:color w:val="auto"/>
        </w:rPr>
      </w:pPr>
    </w:p>
    <w:p>
      <w:pPr>
        <w:ind w:right="20" w:firstLine="477"/>
        <w:spacing w:after="0" w:line="289" w:lineRule="auto"/>
        <w:rPr>
          <w:sz w:val="20"/>
          <w:szCs w:val="20"/>
          <w:color w:val="auto"/>
        </w:rPr>
      </w:pPr>
      <w:r>
        <w:rPr>
          <w:rFonts w:ascii="Arial" w:cs="Arial" w:eastAsia="Arial" w:hAnsi="Arial"/>
          <w:sz w:val="16"/>
          <w:szCs w:val="16"/>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66"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60" w:firstLine="477"/>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jc w:val="both"/>
        <w:ind w:right="20" w:firstLine="477"/>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38" w:name="page39"/>
    <w:bookmarkEnd w:id="38"/>
    <w:p>
      <w:pPr>
        <w:ind w:right="20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firstLine="477"/>
        <w:spacing w:after="0" w:line="293" w:lineRule="auto"/>
        <w:rPr>
          <w:sz w:val="20"/>
          <w:szCs w:val="20"/>
          <w:color w:val="auto"/>
        </w:rPr>
      </w:pPr>
      <w:r>
        <w:rPr>
          <w:rFonts w:ascii="Arial" w:cs="Arial" w:eastAsia="Arial" w:hAnsi="Arial"/>
          <w:sz w:val="16"/>
          <w:szCs w:val="16"/>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64" w:lineRule="exact"/>
        <w:rPr>
          <w:sz w:val="20"/>
          <w:szCs w:val="20"/>
          <w:color w:val="auto"/>
        </w:rPr>
      </w:pPr>
    </w:p>
    <w:p>
      <w:pPr>
        <w:jc w:val="both"/>
        <w:ind w:right="80" w:firstLine="477"/>
        <w:spacing w:after="0" w:line="286" w:lineRule="auto"/>
        <w:rPr>
          <w:sz w:val="20"/>
          <w:szCs w:val="20"/>
          <w:color w:val="auto"/>
        </w:rPr>
      </w:pPr>
      <w:r>
        <w:rPr>
          <w:rFonts w:ascii="Arial" w:cs="Arial" w:eastAsia="Arial" w:hAnsi="Arial"/>
          <w:sz w:val="17"/>
          <w:szCs w:val="17"/>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7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In 2001, we acquired a facility in Danbury, Connecticut that included two buildings comprising of approximately 190,000 square feet encompassing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The Danbury facility contains our principle executive offices. We believe the Danbury facility has sufficient space, including unimproved manufacturing space, to satisfy anticipated commercial demand for Afrezza and Tyvaso DPI. Our obligations under the MidCap Credit Facility are secured by a portion of our facility in Danbury, Connecticut and other assets.</w:t>
      </w:r>
    </w:p>
    <w:p>
      <w:pPr>
        <w:spacing w:after="0" w:line="192" w:lineRule="exact"/>
        <w:rPr>
          <w:sz w:val="20"/>
          <w:szCs w:val="20"/>
          <w:color w:val="auto"/>
        </w:rPr>
      </w:pPr>
    </w:p>
    <w:p>
      <w:pPr>
        <w:ind w:right="80" w:firstLine="477"/>
        <w:spacing w:after="0" w:line="259" w:lineRule="auto"/>
        <w:rPr>
          <w:sz w:val="20"/>
          <w:szCs w:val="20"/>
          <w:color w:val="auto"/>
        </w:rPr>
      </w:pPr>
      <w:r>
        <w:rPr>
          <w:rFonts w:ascii="Arial" w:cs="Arial" w:eastAsia="Arial" w:hAnsi="Arial"/>
          <w:sz w:val="18"/>
          <w:szCs w:val="18"/>
          <w:color w:val="auto"/>
        </w:rPr>
        <w:t>On November 8, 2021, we sold a portion of the Danbury facility to an affiliate of Creative Manufacturing Properties (the “Purchaser”) for a sales price of $102.3 million and entered into a 20-year lease agreement with the Purchaser, with four renewal options of five years each. See Note 5 – Property and Equipment and Note 13 – Commitments and Contingencies in the consolidated financial statements included in Part II, Item 8 – Financial Statements and Supplementary Data.</w:t>
      </w:r>
    </w:p>
    <w:p>
      <w:pPr>
        <w:spacing w:after="0" w:line="187" w:lineRule="exact"/>
        <w:rPr>
          <w:sz w:val="20"/>
          <w:szCs w:val="20"/>
          <w:color w:val="auto"/>
        </w:rPr>
      </w:pPr>
    </w:p>
    <w:p>
      <w:pPr>
        <w:jc w:val="both"/>
        <w:ind w:right="240" w:firstLine="477"/>
        <w:spacing w:after="0" w:line="263" w:lineRule="auto"/>
        <w:rPr>
          <w:sz w:val="20"/>
          <w:szCs w:val="20"/>
          <w:color w:val="auto"/>
        </w:rPr>
      </w:pPr>
      <w:r>
        <w:rPr>
          <w:rFonts w:ascii="Arial" w:cs="Arial" w:eastAsia="Arial" w:hAnsi="Arial"/>
          <w:sz w:val="18"/>
          <w:szCs w:val="18"/>
          <w:color w:val="auto"/>
        </w:rPr>
        <w:t>As of December 31, 2021, we also leased a total of approximately 24,475 square feet of office space in Westlake Village, California pursuant to a lease that expires in January 2023. See Note 13 – Commitments and Contingencies in the consolidated financial statements included in Part II, Item 8 – Financial Statements and Supplementary Data.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460" w:firstLine="477"/>
        <w:spacing w:after="0" w:line="277" w:lineRule="auto"/>
        <w:rPr>
          <w:sz w:val="20"/>
          <w:szCs w:val="20"/>
          <w:color w:val="auto"/>
        </w:rPr>
      </w:pPr>
      <w:r>
        <w:rPr>
          <w:rFonts w:ascii="Arial" w:cs="Arial" w:eastAsia="Arial" w:hAnsi="Arial"/>
          <w:sz w:val="18"/>
          <w:szCs w:val="18"/>
          <w:color w:val="auto"/>
        </w:rPr>
        <w:t>See Note 13 – Commitments and Contingencies in the consolidated financial statements included in Part II, Item 8 – Financial Statements and Supplementary Data.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26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Market</w:t>
      </w:r>
    </w:p>
    <w:p>
      <w:pPr>
        <w:ind w:right="120" w:firstLine="477"/>
        <w:spacing w:after="0" w:line="263" w:lineRule="auto"/>
        <w:rPr>
          <w:sz w:val="20"/>
          <w:szCs w:val="20"/>
          <w:color w:val="auto"/>
        </w:rPr>
      </w:pPr>
      <w:r>
        <w:rPr>
          <w:rFonts w:ascii="Arial" w:cs="Arial" w:eastAsia="Arial" w:hAnsi="Arial"/>
          <w:sz w:val="18"/>
          <w:szCs w:val="18"/>
          <w:color w:val="auto"/>
        </w:rPr>
        <w:t>Our common stock has been traded on The Nasdaq Global Market under the symbol “MNKD” since July 28, 2004. The closing sales price of our common stock on The Nasdaq Global Market was $4.06 on February 11, 2022 and there were 105 registered holders of record of our common stock as of that date.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MidCap Credit Facility, we are restricted from declaring and distributing a cash dividend to our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180" w:firstLine="477"/>
        <w:spacing w:after="0" w:line="263" w:lineRule="auto"/>
        <w:rPr>
          <w:sz w:val="20"/>
          <w:szCs w:val="20"/>
          <w:color w:val="auto"/>
        </w:rPr>
      </w:pPr>
      <w:r>
        <w:rPr>
          <w:rFonts w:ascii="Arial" w:cs="Arial" w:eastAsia="Arial" w:hAnsi="Arial"/>
          <w:sz w:val="18"/>
          <w:szCs w:val="18"/>
          <w:color w:val="auto"/>
        </w:rPr>
        <w:t xml:space="preserve">In October 2021, MidCap exercised 1,171,614 and 111,853 warrants issued in association with Tranches 1 and 2, respectively, under the MidCap credit facility, as amended, to purchase an aggregate of 1,283,467 shares of the Company’s common stock through a cashless exercise that resulted in the net issuance of 964,113 shares. See Note 7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ind w:right="260" w:firstLine="477"/>
        <w:spacing w:after="0" w:line="277" w:lineRule="auto"/>
        <w:rPr>
          <w:sz w:val="20"/>
          <w:szCs w:val="20"/>
          <w:color w:val="auto"/>
        </w:rPr>
      </w:pPr>
      <w:r>
        <w:rPr>
          <w:rFonts w:ascii="Arial" w:cs="Arial" w:eastAsia="Arial" w:hAnsi="Arial"/>
          <w:sz w:val="18"/>
          <w:szCs w:val="18"/>
          <w:color w:val="auto"/>
        </w:rPr>
        <w:t>We relied on an exemption from registration provided by Section 3(a)(9) of the Securities Act of 1933, as amended, for the issuance of the shares described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20" w:firstLine="477"/>
        <w:spacing w:after="0" w:line="311"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our consolidated financial statements and notes thereto included in this Annual Report on Form 10-K. We have elected the presentation requirements under Rule 12b-2 of the Exchange Act as a smaller reporting company and have herein included a two-year discussion of our financial condition and results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color w:val="auto"/>
        </w:rPr>
        <w:t>We are a biopharmaceutical company focused on the development and commercialization of inhaled therapeutic products for patients with endocrine and orphan lung diseases. Our lead product is Afrezza (insulin human) Inhalation Powder, an ultra rapid-acting inhaled insulin indicated to improve glycemic control in adults with diabetes, which was approved by the FDA in June 2014. We collaborate with a number of third parties to formulate their drugs on our Technosphere drug delivery platform. Since September 2018, we have been collaborating with United Therapeutics to develop an inhaled formulation of treprostinil known as Tyvaso DPI. In April 2021, United Therapeutics submitted an NDA to the FDA seeking approval of Tyvaso DPI for the treatment of PAH and PH-ILD. The NDA was resubmitted in December 2021 following a CRL in October 2021. The FDA is expected to complete its review of the pending NDA for Tyvaso DPI by May 2022.</w:t>
      </w:r>
    </w:p>
    <w:p>
      <w:pPr>
        <w:spacing w:after="0" w:line="177"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color w:val="auto"/>
        </w:rPr>
        <w:t>Our business is subject to significant risks, including but not limited to our ability to commercialize Afrezza successfully and our ability to manufacture sufficient quantities of Afrezza and Tyvaso DPI. Other significant risks also include the risks inherent in drug development, clinical trials and the regulatory approval process for our product candidates, which in some cases depends upon the efforts of our partners.</w:t>
      </w:r>
    </w:p>
    <w:p>
      <w:pPr>
        <w:spacing w:after="0" w:line="184" w:lineRule="exact"/>
        <w:rPr>
          <w:sz w:val="20"/>
          <w:szCs w:val="20"/>
          <w:color w:val="auto"/>
        </w:rPr>
      </w:pPr>
    </w:p>
    <w:p>
      <w:pPr>
        <w:jc w:val="both"/>
        <w:ind w:right="60" w:firstLine="477"/>
        <w:spacing w:after="0" w:line="311" w:lineRule="auto"/>
        <w:rPr>
          <w:sz w:val="20"/>
          <w:szCs w:val="20"/>
          <w:color w:val="auto"/>
        </w:rPr>
      </w:pPr>
      <w:r>
        <w:rPr>
          <w:rFonts w:ascii="Arial" w:cs="Arial" w:eastAsia="Arial" w:hAnsi="Arial"/>
          <w:sz w:val="16"/>
          <w:szCs w:val="16"/>
          <w:color w:val="auto"/>
        </w:rPr>
        <w:t>We continue to manage the risk to our business posed by the global COVID-19 pandemic. We do not yet know the full extent of potential delays or impacts on our business, our collaboration arrangements, commercialization efforts, healthcare systems or to the global economy as a whole. The COVID-19 pandemic has the potential to have additional adverse impacts on our operations. We will continue to monitor the COVID-19 situation closely.</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2021, we had an accumulated deficit of $3.1 billion and a stockholders’ deficit of $209.3 million. We had net loss of</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$80.9 million and $57.2 million in the years ended December 31, 2021 and 2020, respectively. To date, we have funded our operations through the sale of convertible debt securities and equity, from the receipt of upfront and milestone payments from certain collaborations, from borrowings, from sales of Afrezza and, most recently, from the proceeds of a sale-leaseback of our manufacturing facility in Danbury, CT.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77"/>
        <w:spacing w:after="0" w:line="290" w:lineRule="auto"/>
        <w:rPr>
          <w:sz w:val="20"/>
          <w:szCs w:val="20"/>
          <w:color w:val="auto"/>
        </w:rPr>
      </w:pPr>
      <w:r>
        <w:rPr>
          <w:rFonts w:ascii="Arial" w:cs="Arial" w:eastAsia="Arial" w:hAnsi="Arial"/>
          <w:sz w:val="16"/>
          <w:szCs w:val="16"/>
          <w:color w:val="auto"/>
        </w:rPr>
        <w:t>The preparation of our consolidated financial statements is in accordance with accounting principles generally accepted in the United States of America (“GAAP”).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320" w:firstLine="477"/>
        <w:spacing w:after="0" w:line="257" w:lineRule="auto"/>
        <w:rPr>
          <w:sz w:val="20"/>
          <w:szCs w:val="20"/>
          <w:color w:val="auto"/>
        </w:rPr>
      </w:pPr>
      <w:r>
        <w:rPr>
          <w:rFonts w:ascii="Arial" w:cs="Arial" w:eastAsia="Arial" w:hAnsi="Arial"/>
          <w:sz w:val="18"/>
          <w:szCs w:val="18"/>
          <w:color w:val="auto"/>
        </w:rPr>
        <w:t>We consider our critical accounting policies to be those related to revenue recognition and gross-to-net adjustments, inventory costing and recoverability, recognized loss on purchase commitments, impairment of long-lived assets, milestone rights liability, clinical trial expenses, stock-based compensation and accounting for income taxes. These critical accounting policies are also considered significant accounting policies and are more fully described in Note 2 – Summary of Significant Accounting Policies of the Notes to Consolidated Financial Statements included in Part II, Item 8 — Financial Statements and Supplementary Data.</w:t>
      </w:r>
    </w:p>
    <w:p>
      <w:pPr>
        <w:spacing w:after="0" w:line="188" w:lineRule="exact"/>
        <w:rPr>
          <w:sz w:val="20"/>
          <w:szCs w:val="20"/>
          <w:color w:val="auto"/>
        </w:rPr>
      </w:pPr>
    </w:p>
    <w:p>
      <w:pPr>
        <w:ind w:right="200" w:firstLine="477"/>
        <w:spacing w:after="0" w:line="257" w:lineRule="auto"/>
        <w:rPr>
          <w:sz w:val="20"/>
          <w:szCs w:val="20"/>
          <w:color w:val="auto"/>
        </w:rPr>
      </w:pPr>
      <w:r>
        <w:rPr>
          <w:rFonts w:ascii="Arial" w:cs="Arial" w:eastAsia="Arial" w:hAnsi="Arial"/>
          <w:sz w:val="18"/>
          <w:szCs w:val="18"/>
          <w:b w:val="1"/>
          <w:bCs w:val="1"/>
          <w:i w:val="1"/>
          <w:iCs w:val="1"/>
          <w:color w:val="auto"/>
        </w:rPr>
        <w:t xml:space="preserve">Revenue Recognition – Net Revenue – Commercial Product Sales </w:t>
      </w:r>
      <w:r>
        <w:rPr>
          <w:rFonts w:ascii="Arial" w:cs="Arial" w:eastAsia="Arial" w:hAnsi="Arial"/>
          <w:sz w:val="18"/>
          <w:szCs w:val="18"/>
          <w:color w:val="auto"/>
        </w:rPr>
        <w:t>— We sell Afrezza to a limited number of wholesale distributors and specialty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retail pharmacies in the U.S. (collectively, “Customers”). Wholesale distributors subsequently resell our products to retail pharmacies and certain medical centers or hospitals. Specialty pharmacies sell directly to patients. In addition to distribution agreements with Customers, we enter into arrangements with payers that provide for government mandated and/or privately negotiated rebates, chargebacks, and discounts with respect to the purchase of our products.</w:t>
      </w:r>
    </w:p>
    <w:p>
      <w:pPr>
        <w:spacing w:after="0" w:line="188" w:lineRule="exact"/>
        <w:rPr>
          <w:sz w:val="20"/>
          <w:szCs w:val="20"/>
          <w:color w:val="auto"/>
        </w:rPr>
      </w:pPr>
    </w:p>
    <w:p>
      <w:pPr>
        <w:ind w:right="160" w:firstLine="477"/>
        <w:spacing w:after="0" w:line="296" w:lineRule="auto"/>
        <w:rPr>
          <w:sz w:val="20"/>
          <w:szCs w:val="20"/>
          <w:color w:val="auto"/>
        </w:rPr>
      </w:pPr>
      <w:r>
        <w:rPr>
          <w:rFonts w:ascii="Arial" w:cs="Arial" w:eastAsia="Arial" w:hAnsi="Arial"/>
          <w:sz w:val="16"/>
          <w:szCs w:val="16"/>
          <w:color w:val="auto"/>
        </w:rPr>
        <w:t>We recognize revenue on product sales when the Customer obtains control of our product, which occurs at delivery for wholesale distributors and generally at delivery for specialty pharmacies. We recognize revenue on product sales to a retail pharmacy as the product is dispensed to patients. Product revenues are recorded net of applicable reserves for variable consideration.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us and our, payers, and other indirect customers relating to the sale of our products.</w:t>
      </w:r>
    </w:p>
    <w:p>
      <w:pPr>
        <w:spacing w:after="0" w:line="161"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i w:val="1"/>
          <w:iCs w:val="1"/>
          <w:color w:val="auto"/>
        </w:rPr>
        <w:t xml:space="preserve">Reserves for Variable Consideration </w:t>
      </w:r>
      <w:r>
        <w:rPr>
          <w:rFonts w:ascii="Arial" w:cs="Arial" w:eastAsia="Arial" w:hAnsi="Arial"/>
          <w:sz w:val="17"/>
          <w:szCs w:val="17"/>
          <w:color w:val="auto"/>
        </w:rPr>
        <w:t>— Revenues from product sales are recorded at the net sales price (transaction price), which includes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us and our Customers, payers, and other indirect customers relating to the sale of our products. These reserves are based on the amounts earned, or to be claimed on the related sales, and result in a reduction of accounts receivable or establishment of a current liability. Significant judgments are required in making these estimates.</w:t>
      </w:r>
    </w:p>
    <w:p>
      <w:pPr>
        <w:spacing w:after="0" w:line="178"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 xml:space="preserve">Where appropriate, these estimates take into consideration a range of possible outcomes, which are probability-weighted in accordance with the expected value method in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for relevant factors such as current contractual and statutory requirements, specific known market events and trends, industry data, and forecasted customer buying and payment patterns. Overall, these reserves reduce recognized revenue to our best estimates of the amount of consideration to which we are entitled based on the terms of the respective underlying contracts.</w:t>
      </w:r>
    </w:p>
    <w:p>
      <w:pPr>
        <w:spacing w:after="0" w:line="188" w:lineRule="exact"/>
        <w:rPr>
          <w:sz w:val="20"/>
          <w:szCs w:val="20"/>
          <w:color w:val="auto"/>
        </w:rPr>
      </w:pPr>
    </w:p>
    <w:p>
      <w:pPr>
        <w:ind w:right="120" w:firstLine="477"/>
        <w:spacing w:after="0" w:line="254"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Our analysis also contemplates application of the constraint in accordance with the guidance, under which we determined a material reversal of revenue would not occur in a future period for the estimates detailed below as of December 31, 2021 and, therefore, the transaction price was not reduced further during the year ended December 31, 2021. Actual amounts of consideration ultimately received may differ from the Company’s estimates. If actual results in the future vary from our estimates, we will adjust these estimates, which would affect net revenue — commercial product sales and earnings in the period such variances become known.</w:t>
      </w:r>
    </w:p>
    <w:p>
      <w:pPr>
        <w:spacing w:after="0" w:line="195"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84"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Our reserves for variable consideration are reflected in our gross-to-net adjustments which were 38.8% of gross revenue, or $24.9 million, for the year ended December 31, 2021, compared to 40.6% of gross revenue, or $22.1 million, for the year ended December 31, 2020. If there is a 10% difference between the estimates for accruals and the actual liability in the reserves for variable consideration, the impact to our revenue for commercial product sales would be $0.9 million or a 1% change in the gross-to-net adjustment percentage for the year ended December 31, 2021.</w:t>
      </w:r>
    </w:p>
    <w:p>
      <w:pPr>
        <w:spacing w:after="0" w:line="171"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 xml:space="preserve">These reserves are further detailed under Reserves for Variable Consideration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Consolidated Financial Statements included in Part II, Item 8 — Financial Statements and Supplementary Data.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2" w:name="page43"/>
    <w:bookmarkEnd w:id="42"/>
    <w:p>
      <w:pPr>
        <w:ind w:right="40" w:firstLine="477"/>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 Collaborations and Services </w:t>
      </w:r>
      <w:r>
        <w:rPr>
          <w:rFonts w:ascii="Arial" w:cs="Arial" w:eastAsia="Arial" w:hAnsi="Arial"/>
          <w:sz w:val="16"/>
          <w:szCs w:val="16"/>
          <w:color w:val="auto"/>
        </w:rPr>
        <w:t>— We enter into licensing or research agreements under which we license certain rights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product candidates to third parties or conduct research services to third parties. The terms of these arrangements may include, but are not limited to, payment to us of one or more of the following: up-front license fees; development, regulatory, and commercial milestone payments; payments for commercial manufacturing and clinical supply services we provide; and royalties on net sales of licensed products and sublicenses of the rights. As part of the accounting for these arrangements, we must develop assumptions that require judgment such as determining the performance obligation in the contract and determining the stand-alone selling price for each performance obligation identified in the contract. With respect to our significant collaboration and service agreement with UT that includes a long-term customer supply agreement (“CSA”), we have identified three distinct performance obligations: (1) R&amp;D Services and License; (2) Next-Gen R&amp;D Services; and (3) a material right for manufacturing services (“Manufacturing Services”). Pre-production activities under the CSA, such as facility expansion services and other administrative services, were considered bundled services under the Manufacturing Services performance obligation as required by ASC 606. See Note 8 – </w:t>
      </w:r>
      <w:r>
        <w:rPr>
          <w:rFonts w:ascii="Arial" w:cs="Arial" w:eastAsia="Arial" w:hAnsi="Arial"/>
          <w:sz w:val="16"/>
          <w:szCs w:val="16"/>
          <w:i w:val="1"/>
          <w:iCs w:val="1"/>
          <w:color w:val="auto"/>
        </w:rPr>
        <w:t>Collaboration, Licensing and Other Arrangements</w:t>
      </w:r>
      <w:r>
        <w:rPr>
          <w:rFonts w:ascii="Arial" w:cs="Arial" w:eastAsia="Arial" w:hAnsi="Arial"/>
          <w:sz w:val="16"/>
          <w:szCs w:val="16"/>
          <w:color w:val="auto"/>
        </w:rPr>
        <w:t xml:space="preserve"> of the Notes to Consolidated Financial Statements included in Part II, Item 8 — Financial Statements and Supplementary Data.</w:t>
      </w:r>
    </w:p>
    <w:p>
      <w:pPr>
        <w:spacing w:after="0" w:line="172" w:lineRule="exact"/>
        <w:rPr>
          <w:sz w:val="20"/>
          <w:szCs w:val="20"/>
          <w:color w:val="auto"/>
        </w:rPr>
      </w:pPr>
    </w:p>
    <w:p>
      <w:pPr>
        <w:ind w:right="80" w:firstLine="477"/>
        <w:spacing w:after="0" w:line="273" w:lineRule="auto"/>
        <w:rPr>
          <w:sz w:val="20"/>
          <w:szCs w:val="20"/>
          <w:color w:val="auto"/>
        </w:rPr>
      </w:pPr>
      <w:r>
        <w:rPr>
          <w:rFonts w:ascii="Arial" w:cs="Arial" w:eastAsia="Arial" w:hAnsi="Arial"/>
          <w:sz w:val="17"/>
          <w:szCs w:val="17"/>
          <w:color w:val="auto"/>
        </w:rPr>
        <w:t>If an arrangement has multiple performance obligations, the allocation of the transaction price is determined from observable market inputs, and we use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we expect will not be recognized within the next 12 months are classified as long-term deferred revenue.</w:t>
      </w:r>
    </w:p>
    <w:p>
      <w:pPr>
        <w:spacing w:after="0" w:line="178" w:lineRule="exact"/>
        <w:rPr>
          <w:sz w:val="20"/>
          <w:szCs w:val="20"/>
          <w:color w:val="auto"/>
        </w:rPr>
      </w:pPr>
    </w:p>
    <w:p>
      <w:pPr>
        <w:ind w:right="200" w:firstLine="477"/>
        <w:spacing w:after="0" w:line="286" w:lineRule="auto"/>
        <w:rPr>
          <w:sz w:val="20"/>
          <w:szCs w:val="20"/>
          <w:color w:val="auto"/>
        </w:rPr>
      </w:pPr>
      <w:r>
        <w:rPr>
          <w:rFonts w:ascii="Arial" w:cs="Arial" w:eastAsia="Arial" w:hAnsi="Arial"/>
          <w:sz w:val="17"/>
          <w:szCs w:val="17"/>
          <w:color w:val="auto"/>
        </w:rPr>
        <w:t>If there is a 10% difference in the estimates used to determine the transaction price for the CSA entered into in August 2021 with UT, the related allocation of the transaction price between performance obligations, the difference between the estimates for accruals and the actual liability for deferred revenue and revenue recognized for collaborations and services would be $0.2 million for the year ended December 31, 2021.</w:t>
      </w:r>
    </w:p>
    <w:p>
      <w:pPr>
        <w:spacing w:after="0" w:line="165"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 Share-based payments to employees, including grants of nonqualified stock options (“options”),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performance-based awards, restricted stock units with market conditions (“Market RSUs”), and the compensatory elements of employee stock purchase plans, are recognized in the consolidated statements of operations based upon the fair value of the awards at the grant date. We use the Black-Scholes option valuation model to estimate the grant date fair value of employee options and the compensatory elements of employee stock purchase plans. Restricted stock units are valued based on the market price on the grant date. We evaluate stock awards with performance conditions as to the probability that the performance conditions will be met and estimates the date at which the performance conditions will be met in order to properly recognize stock-based compensation expense over the requisite service period. The grant date fair value and the effect of the market conditions for the Market RSUs was estimated using a Monte Carlo valuation.</w:t>
      </w:r>
    </w:p>
    <w:p>
      <w:pPr>
        <w:spacing w:after="0" w:line="178" w:lineRule="exact"/>
        <w:rPr>
          <w:sz w:val="20"/>
          <w:szCs w:val="20"/>
          <w:color w:val="auto"/>
        </w:rPr>
      </w:pPr>
    </w:p>
    <w:p>
      <w:pPr>
        <w:ind w:right="20" w:firstLine="477"/>
        <w:spacing w:after="0" w:line="286" w:lineRule="auto"/>
        <w:rPr>
          <w:sz w:val="20"/>
          <w:szCs w:val="20"/>
          <w:color w:val="auto"/>
        </w:rPr>
      </w:pPr>
      <w:r>
        <w:rPr>
          <w:rFonts w:ascii="Arial" w:cs="Arial" w:eastAsia="Arial" w:hAnsi="Arial"/>
          <w:sz w:val="17"/>
          <w:szCs w:val="17"/>
          <w:color w:val="auto"/>
        </w:rPr>
        <w:t>The grant date fair value for the Market RSUs was $9.30 per unit for the Market RSUs granted during the year ended December 31, 2021, compared to $3.77 per unit for the Market RSUs granted during the year ended December 31, 2020. If there is a 10% difference in the grant date fair value of the Market RSUs, the impact to our stock-based compensation expense would be $0.4 million for the year ended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Uncertainties</w:t>
      </w:r>
    </w:p>
    <w:p>
      <w:pPr>
        <w:spacing w:after="0" w:line="117" w:lineRule="exact"/>
        <w:rPr>
          <w:sz w:val="20"/>
          <w:szCs w:val="20"/>
          <w:color w:val="auto"/>
        </w:rPr>
      </w:pPr>
    </w:p>
    <w:p>
      <w:pPr>
        <w:ind w:right="160" w:firstLine="477"/>
        <w:spacing w:after="0" w:line="286" w:lineRule="auto"/>
        <w:rPr>
          <w:sz w:val="20"/>
          <w:szCs w:val="20"/>
          <w:color w:val="auto"/>
        </w:rPr>
      </w:pPr>
      <w:r>
        <w:rPr>
          <w:rFonts w:ascii="Arial" w:cs="Arial" w:eastAsia="Arial" w:hAnsi="Arial"/>
          <w:sz w:val="17"/>
          <w:szCs w:val="17"/>
          <w:color w:val="auto"/>
        </w:rPr>
        <w:t>We continue to experience the impact of the COVID-19 pandemic on our marketing of Afrezza, the accrual rate of our Afrezza pediatrics trial, our Brazil partner’s (Biomm) ability to market Afrezza and delays in the start of our clinical study in India. COVID-19 has impacted the supply chain for manufacturing Afrezza and Tyvaso DPI where we have increased safety stock of raw materials to mitigate supply chain risk.</w:t>
      </w:r>
    </w:p>
    <w:p>
      <w:pPr>
        <w:spacing w:after="0" w:line="165" w:lineRule="exact"/>
        <w:rPr>
          <w:sz w:val="20"/>
          <w:szCs w:val="20"/>
          <w:color w:val="auto"/>
        </w:rPr>
      </w:pPr>
    </w:p>
    <w:p>
      <w:pPr>
        <w:ind w:right="200" w:firstLine="477"/>
        <w:spacing w:after="0" w:line="277" w:lineRule="auto"/>
        <w:rPr>
          <w:sz w:val="20"/>
          <w:szCs w:val="20"/>
          <w:color w:val="auto"/>
        </w:rPr>
      </w:pPr>
      <w:r>
        <w:rPr>
          <w:rFonts w:ascii="Arial" w:cs="Arial" w:eastAsia="Arial" w:hAnsi="Arial"/>
          <w:sz w:val="18"/>
          <w:szCs w:val="18"/>
          <w:color w:val="auto"/>
        </w:rPr>
        <w:t>Our manufacturing of Tyvaso DPI may not meet the required demand of our partner, UT. If we fail as an effective manufacturing organization, we may be unable to support commercialization of Tyvaso DPI, if approved.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Years ended December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comparison of the revenue categories for the years ended December 31, 2021 and 2020 (dollars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 Change</w:t>
            </w:r>
          </w:p>
        </w:tc>
        <w:tc>
          <w:tcPr>
            <w:tcW w:w="1160" w:type="dxa"/>
            <w:vAlign w:val="bottom"/>
          </w:tcPr>
          <w:p>
            <w:pPr>
              <w:ind w:left="16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19"/>
                <w:szCs w:val="19"/>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1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Gross revenue from product sales</w:t>
            </w:r>
          </w:p>
        </w:tc>
        <w:tc>
          <w:tcPr>
            <w:tcW w:w="1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64,023</w:t>
            </w:r>
          </w:p>
        </w:tc>
        <w:tc>
          <w:tcPr>
            <w:tcW w:w="2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54,457</w:t>
            </w:r>
          </w:p>
        </w:tc>
        <w:tc>
          <w:tcPr>
            <w:tcW w:w="1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9,566</w:t>
            </w: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5"/>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6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chargebacks, product returns and other</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6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discounts</w:t>
            </w: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(24,855)</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(22,133)</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2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1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32,324</w:t>
            </w:r>
          </w:p>
        </w:tc>
        <w:tc>
          <w:tcPr>
            <w:tcW w:w="1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6,844</w:t>
            </w: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23"/>
        </w:trPr>
        <w:tc>
          <w:tcPr>
            <w:tcW w:w="460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11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65,144</w:t>
            </w:r>
          </w:p>
        </w:tc>
        <w:tc>
          <w:tcPr>
            <w:tcW w:w="1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10,298</w:t>
            </w: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4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477"/>
        <w:spacing w:after="0" w:line="272" w:lineRule="auto"/>
        <w:rPr>
          <w:sz w:val="20"/>
          <w:szCs w:val="20"/>
          <w:color w:val="auto"/>
        </w:rPr>
      </w:pPr>
      <w:r>
        <w:rPr>
          <w:rFonts w:ascii="Arial" w:cs="Arial" w:eastAsia="Arial" w:hAnsi="Arial"/>
          <w:sz w:val="17"/>
          <w:szCs w:val="17"/>
          <w:color w:val="auto"/>
        </w:rPr>
        <w:t>Gross revenue from the sales of Afrezza increased by $9.6 million, or 18%, for the year ended December 31, 2021 compared to the prior year. The increase primarily reflects higher product demand including a more favorable mix of Afrezza cartridges and price. The gross-to-net adjustment was 38.8% of gross revenue, or $24.9 million, for the year ended December 31, 2021, compared to 40.6% of gross revenue, or $22.1 million, for the prior year. The decrease in the gross-to-net percentage was primarily driven by a decrease in wholesale distribution fees as a result of the termination of our free goods program on December 31, 2020, and a decrease in product returns including an adjustment related to the start of an agreement with a retail pharmacy, partially offset by an increase in co-pay assistance. As a result, net revenue from sales of Afrezza increased by $6.8 million, or 21%, for the year ended December 31, 2021 compared to the prior year.</w:t>
      </w:r>
    </w:p>
    <w:p>
      <w:pPr>
        <w:spacing w:after="0" w:line="177" w:lineRule="exact"/>
        <w:rPr>
          <w:sz w:val="20"/>
          <w:szCs w:val="20"/>
          <w:color w:val="auto"/>
        </w:rPr>
      </w:pPr>
    </w:p>
    <w:p>
      <w:pPr>
        <w:ind w:right="100" w:firstLine="477"/>
        <w:spacing w:after="0" w:line="301" w:lineRule="auto"/>
        <w:rPr>
          <w:sz w:val="20"/>
          <w:szCs w:val="20"/>
          <w:color w:val="auto"/>
        </w:rPr>
      </w:pPr>
      <w:r>
        <w:rPr>
          <w:rFonts w:ascii="Arial" w:cs="Arial" w:eastAsia="Arial" w:hAnsi="Arial"/>
          <w:sz w:val="16"/>
          <w:szCs w:val="16"/>
          <w:color w:val="auto"/>
        </w:rPr>
        <w:t xml:space="preserve">Net revenue from collaborations and services increased by $3.5 million, or 11%, for the year ended December 31, 2021 compared to the prior year. The increase in collaborations and services revenue was primarily attributed to additional development work associated with our collaboration with UT. In August 2021, we entered into the CSA with UT. Revenue associated with the CSA is deferred as of December 31, 2021. See Note 8 – </w:t>
      </w:r>
      <w:r>
        <w:rPr>
          <w:rFonts w:ascii="Arial" w:cs="Arial" w:eastAsia="Arial" w:hAnsi="Arial"/>
          <w:sz w:val="16"/>
          <w:szCs w:val="16"/>
          <w:i w:val="1"/>
          <w:iCs w:val="1"/>
          <w:color w:val="auto"/>
        </w:rPr>
        <w:t>Collaboration,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Licensing and Other Arrangements </w:t>
      </w:r>
      <w:r>
        <w:rPr>
          <w:rFonts w:ascii="Arial" w:cs="Arial" w:eastAsia="Arial" w:hAnsi="Arial"/>
          <w:sz w:val="16"/>
          <w:szCs w:val="16"/>
          <w:color w:val="auto"/>
        </w:rPr>
        <w:t>in the consolidated financial statements included in Part II, Item 8 – Financial Statements and Supplementary Data.</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 gross profit</w:t>
      </w:r>
    </w:p>
    <w:p>
      <w:pPr>
        <w:spacing w:after="0" w:line="117"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color w:val="auto"/>
        </w:rPr>
        <w:t>The following table provides a comparison of the commercial product gross profit categories for the years ended December 31, 2021 and 2020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120" w:type="dxa"/>
            <w:vAlign w:val="bottom"/>
          </w:tcPr>
          <w:p>
            <w:pPr>
              <w:ind w:left="14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19"/>
                <w:szCs w:val="19"/>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39,168</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32,324</w:t>
            </w:r>
          </w:p>
        </w:tc>
        <w:tc>
          <w:tcPr>
            <w:tcW w:w="2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6,844</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(16,833)</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(15,084)</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63"/>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 (loss):</w:t>
            </w:r>
          </w:p>
        </w:tc>
        <w:tc>
          <w:tcPr>
            <w:tcW w:w="11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22,335</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17,240</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5,095</w:t>
            </w:r>
          </w:p>
        </w:tc>
        <w:tc>
          <w:tcPr>
            <w:tcW w:w="26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60" w:firstLine="477"/>
        <w:spacing w:after="0" w:line="270" w:lineRule="auto"/>
        <w:rPr>
          <w:sz w:val="20"/>
          <w:szCs w:val="20"/>
          <w:color w:val="auto"/>
        </w:rPr>
      </w:pPr>
      <w:r>
        <w:rPr>
          <w:rFonts w:ascii="Arial" w:cs="Arial" w:eastAsia="Arial" w:hAnsi="Arial"/>
          <w:sz w:val="17"/>
          <w:szCs w:val="17"/>
          <w:color w:val="auto"/>
        </w:rPr>
        <w:t>Commercial product gross profit for the year ended December 31, 2021 increased by $5.1 million, or 30%, compared to the prior year. Gross margin for the year ended December 31, 2021 increased to 57% from 53% for the prior year. The increase in gross profit and gross margin was attributable to an increase in Afrezza sales, partially offset by an increase in cost of goods sold. Cost of goods sold increased by $1.8 million, or 12%, for the year ended December 31, 2021 compared to the prior year, primarily due to a $2.0 million fee for the amendment of the Insulin Supply Agreement, a $1.5 million increase in inventory write-offs and a $1.0 million increase related to decreased manufacturing activities. The increase in cost of goods sold was partially offset by $2.3 million in reduced manufacturing-related spending, $0.5 million of costs associated with lower cost per unit and the termination of the free goods program in December 31, 2020. On a non-GAAP basis, which excludes the $2.0 million insulin supply amendment fee, gross margin was 62% for the year ended December 31, 2021 compared to 53% for the prior year. See the reconciliation to non-GAAP net loss and Earnings per Common Share (“EPS”) under Non-GAAP Measures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comparison of the expense categories for the years ended December 31, 2021 and 2020 (dollars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2"/>
              </w:rPr>
              <w:t>Year Ended December 31,</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 Change</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r>
      <w:tr>
        <w:trPr>
          <w:trHeight w:val="223"/>
        </w:trPr>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Expenses:</w:t>
            </w: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16,833</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15,084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r>
        <w:trPr>
          <w:trHeight w:val="229"/>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 — collaborations and services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12,467</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w:t>
            </w:r>
          </w:p>
        </w:tc>
      </w:tr>
      <w:tr>
        <w:trPr>
          <w:trHeight w:val="229"/>
        </w:trPr>
        <w:tc>
          <w:tcPr>
            <w:tcW w:w="456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13,233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(13,233)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r>
      <w:tr>
        <w:trPr>
          <w:trHeight w:val="229"/>
        </w:trPr>
        <w:tc>
          <w:tcPr>
            <w:tcW w:w="4560" w:type="dxa"/>
            <w:vAlign w:val="bottom"/>
            <w:gridSpan w:val="2"/>
          </w:tcPr>
          <w:p>
            <w:pPr>
              <w:spacing w:after="0"/>
              <w:rPr>
                <w:sz w:val="20"/>
                <w:szCs w:val="20"/>
                <w:color w:val="auto"/>
              </w:rPr>
            </w:pPr>
            <w:r>
              <w:rPr>
                <w:rFonts w:ascii="Arial" w:cs="Arial" w:eastAsia="Arial" w:hAnsi="Arial"/>
                <w:sz w:val="18"/>
                <w:szCs w:val="18"/>
                <w:color w:val="auto"/>
              </w:rPr>
              <w:t>Selling</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34,365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11,163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30"/>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r>
      <w:tr>
        <w:trPr>
          <w:trHeight w:val="229"/>
        </w:trPr>
        <w:tc>
          <w:tcPr>
            <w:tcW w:w="4560" w:type="dxa"/>
            <w:vAlign w:val="bottom"/>
            <w:gridSpan w:val="2"/>
          </w:tcPr>
          <w:p>
            <w:pPr>
              <w:spacing w:after="0"/>
              <w:rPr>
                <w:sz w:val="20"/>
                <w:szCs w:val="20"/>
                <w:color w:val="auto"/>
              </w:rPr>
            </w:pPr>
            <w:r>
              <w:rPr>
                <w:rFonts w:ascii="Arial" w:cs="Arial" w:eastAsia="Arial" w:hAnsi="Arial"/>
                <w:sz w:val="18"/>
                <w:szCs w:val="18"/>
                <w:color w:val="auto"/>
              </w:rPr>
              <w:t>Impairment of assets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(1,783)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29"/>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loss on foreign currency translation</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(6,567)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(14,573)</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on purchase commitments</w:t>
            </w: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122,464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113,057</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9,407</w:t>
            </w:r>
          </w:p>
        </w:tc>
        <w:tc>
          <w:tcPr>
            <w:tcW w:w="2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r>
      <w:tr>
        <w:trPr>
          <w:trHeight w:val="20"/>
        </w:trPr>
        <w:tc>
          <w:tcPr>
            <w:tcW w:w="2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16"/>
        </w:trPr>
        <w:tc>
          <w:tcPr>
            <w:tcW w:w="2120" w:type="dxa"/>
            <w:vAlign w:val="bottom"/>
            <w:tcBorders>
              <w:bottom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25" w:lineRule="exact"/>
        <w:rPr>
          <w:sz w:val="20"/>
          <w:szCs w:val="20"/>
          <w:color w:val="auto"/>
        </w:rPr>
      </w:pPr>
    </w:p>
    <w:p>
      <w:pPr>
        <w:ind w:right="360" w:firstLine="477"/>
        <w:spacing w:after="0" w:line="342" w:lineRule="auto"/>
        <w:rPr>
          <w:sz w:val="20"/>
          <w:szCs w:val="20"/>
          <w:color w:val="auto"/>
        </w:rPr>
      </w:pPr>
      <w:r>
        <w:rPr>
          <w:rFonts w:ascii="Arial" w:cs="Arial" w:eastAsia="Arial" w:hAnsi="Arial"/>
          <w:sz w:val="16"/>
          <w:szCs w:val="16"/>
          <w:color w:val="auto"/>
        </w:rPr>
        <w:t>Cost of revenue – collaborations and services increased by $12.5 million, or 130%, for the year ended December 31, 2021 compared to the prior year. The increase was primarily attributable to an increase in manufacturing activities in preparation for supplying commercial product to UT.</w:t>
      </w:r>
    </w:p>
    <w:p>
      <w:pPr>
        <w:spacing w:after="0" w:line="124"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In-process research and development expense of $13.2 million for the year ended December 31, 2020 related to the acquisition of QrumPharma for total consideration of approximately $12.7 million and transaction costs of approximately $0.5 million. The acquisition of QrumPharma was accounted for as an asset acquisition and expensed on the date of acquisition as substantially all of the fair value of the assets acquired was concentrated in a single asset that consisted of in-process research and development in a pre-clinical development state. See Note 3 – Acquisition in the consolidated financial statements included in Part II, Item 8 – Financial Statements and Supplementary Data.</w:t>
      </w:r>
    </w:p>
    <w:p>
      <w:pPr>
        <w:spacing w:after="0" w:line="176"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Research and development expenses increased by $6.1 million, or 97%, for the year ended December 31, 2021 compared to the prior year. The increase was mainly attributable to costs incurred for development activities on our product pipeline and the Afrezza pediatrics clinical study (INHALE-1) as well as personnel costs primarily associated with additional headcount.</w:t>
      </w:r>
    </w:p>
    <w:p>
      <w:pPr>
        <w:spacing w:after="0" w:line="184" w:lineRule="exact"/>
        <w:rPr>
          <w:sz w:val="20"/>
          <w:szCs w:val="20"/>
          <w:color w:val="auto"/>
        </w:rPr>
      </w:pPr>
    </w:p>
    <w:p>
      <w:pPr>
        <w:ind w:right="120" w:firstLine="477"/>
        <w:spacing w:after="0" w:line="286" w:lineRule="auto"/>
        <w:rPr>
          <w:sz w:val="20"/>
          <w:szCs w:val="20"/>
          <w:color w:val="auto"/>
        </w:rPr>
      </w:pPr>
      <w:r>
        <w:rPr>
          <w:rFonts w:ascii="Arial" w:cs="Arial" w:eastAsia="Arial" w:hAnsi="Arial"/>
          <w:sz w:val="17"/>
          <w:szCs w:val="17"/>
          <w:color w:val="auto"/>
        </w:rPr>
        <w:t>Selling expenses increased by $11.2 million, or 32%, for the year ended December 31, 2021 compared to the prior year. The increase was primarily attributable to higher promotional expenses, patient support services, and personnel-related expenses driven by increased headcount to support Afrezza growth and our voluntary reduction in compensation expense in the prior year in response to the COVID-19 pandemic.</w:t>
      </w:r>
    </w:p>
    <w:p>
      <w:pPr>
        <w:spacing w:after="0" w:line="165" w:lineRule="exact"/>
        <w:rPr>
          <w:sz w:val="20"/>
          <w:szCs w:val="20"/>
          <w:color w:val="auto"/>
        </w:rPr>
      </w:pPr>
    </w:p>
    <w:p>
      <w:pPr>
        <w:ind w:right="120" w:firstLine="477"/>
        <w:spacing w:after="0" w:line="259" w:lineRule="auto"/>
        <w:rPr>
          <w:sz w:val="20"/>
          <w:szCs w:val="20"/>
          <w:color w:val="auto"/>
        </w:rPr>
      </w:pPr>
      <w:r>
        <w:rPr>
          <w:rFonts w:ascii="Arial" w:cs="Arial" w:eastAsia="Arial" w:hAnsi="Arial"/>
          <w:sz w:val="18"/>
          <w:szCs w:val="18"/>
          <w:color w:val="auto"/>
        </w:rPr>
        <w:t>General and administrative expenses increased by $7.2 million, or 29%, for the year ended December 31, 2021 compared to the prior year. This increase was primarily attributable to increased personnel costs associated with increased headcount and stock-based compensation in addition to our voluntary reduction in compensation expense in the prior year in response to the COVID-19 pandemic. Additional increases consisted of professional fees and business development expenses.</w:t>
      </w:r>
    </w:p>
    <w:p>
      <w:pPr>
        <w:spacing w:after="0" w:line="187" w:lineRule="exact"/>
        <w:rPr>
          <w:sz w:val="20"/>
          <w:szCs w:val="20"/>
          <w:color w:val="auto"/>
        </w:rPr>
      </w:pPr>
    </w:p>
    <w:p>
      <w:pPr>
        <w:ind w:right="240" w:firstLine="477"/>
        <w:spacing w:after="0" w:line="279" w:lineRule="auto"/>
        <w:rPr>
          <w:sz w:val="20"/>
          <w:szCs w:val="20"/>
          <w:color w:val="auto"/>
        </w:rPr>
      </w:pPr>
      <w:r>
        <w:rPr>
          <w:rFonts w:ascii="Arial" w:cs="Arial" w:eastAsia="Arial" w:hAnsi="Arial"/>
          <w:sz w:val="17"/>
          <w:szCs w:val="17"/>
          <w:color w:val="auto"/>
        </w:rPr>
        <w:t>During the year ended December 31, 2021, an impairment of $0.1 million was recognized for the write-off of a contract asset related to a co-promotion collaboration arrangement. During the year ended December 31, 2020, an impairment of $1.9 million was recognized for a commitment asset and debt issuance costs related to the future funding commitments of the MidCap Credit Facility (see Note 1 – Description of Business and Note 7 – Borrowings in the consolidated financial statements included in Part II, Item 8 – Financial Statements and Supplementary Data.</w:t>
      </w:r>
    </w:p>
    <w:p>
      <w:pPr>
        <w:spacing w:after="0" w:line="171"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Under the Insulin Supply Agreement with Amphastar, payment obligations are denominated in Euros. We are required to record the foreign currency translation impact of the U.S. dollar to Euro exchange rate associated with the recognized loss on purchase commitments. The foreign currency translation resulted in a gain of $6.6 million for the year ended December 31, 2021 compared to a loss of $8.0 million for the prior year. This impact was due to the translation of the U.S. dollar to Euro exchange rates.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320" w:firstLine="477"/>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years ended December 31, 2021 and 2020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2"/>
              </w:rPr>
              <w:t>Year Ended December 31,</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120" w:type="dxa"/>
            <w:vAlign w:val="bottom"/>
            <w:tcBorders>
              <w:bottom w:val="single" w:sz="8" w:color="CFF0FC"/>
            </w:tcBorders>
          </w:tcPr>
          <w:p>
            <w:pPr>
              <w:spacing w:after="0"/>
              <w:rPr>
                <w:sz w:val="19"/>
                <w:szCs w:val="19"/>
                <w:color w:val="auto"/>
              </w:rPr>
            </w:pPr>
          </w:p>
        </w:tc>
        <w:tc>
          <w:tcPr>
            <w:tcW w:w="36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 Change</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FF0FC"/>
            </w:tcBorders>
          </w:tcPr>
          <w:p>
            <w:pPr>
              <w:spacing w:after="0"/>
              <w:rPr>
                <w:sz w:val="19"/>
                <w:szCs w:val="19"/>
                <w:color w:val="auto"/>
              </w:rPr>
            </w:pPr>
          </w:p>
        </w:tc>
      </w:tr>
      <w:tr>
        <w:trPr>
          <w:trHeight w:val="223"/>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Interest expense on financing liability</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(15,204)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(9,471)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(17,200)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(16,936)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23"/>
        </w:trPr>
        <w:tc>
          <w:tcPr>
            <w:tcW w:w="5740" w:type="dxa"/>
            <w:vAlign w:val="bottom"/>
            <w:gridSpan w:val="2"/>
          </w:tcPr>
          <w:p>
            <w:pPr>
              <w:ind w:left="500"/>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24,359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r>
      <w:tr>
        <w:trPr>
          <w:trHeight w:val="20"/>
        </w:trPr>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15"/>
        </w:trPr>
        <w:tc>
          <w:tcPr>
            <w:tcW w:w="2120" w:type="dxa"/>
            <w:vAlign w:val="bottom"/>
            <w:tcBorders>
              <w:bottom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25" w:lineRule="exact"/>
        <w:rPr>
          <w:sz w:val="20"/>
          <w:szCs w:val="20"/>
          <w:color w:val="auto"/>
        </w:rPr>
      </w:pPr>
    </w:p>
    <w:p>
      <w:pPr>
        <w:ind w:right="300" w:firstLine="477"/>
        <w:spacing w:after="0" w:line="277" w:lineRule="auto"/>
        <w:rPr>
          <w:sz w:val="20"/>
          <w:szCs w:val="20"/>
          <w:color w:val="auto"/>
        </w:rPr>
      </w:pPr>
      <w:r>
        <w:rPr>
          <w:rFonts w:ascii="Arial" w:cs="Arial" w:eastAsia="Arial" w:hAnsi="Arial"/>
          <w:sz w:val="18"/>
          <w:szCs w:val="18"/>
          <w:color w:val="auto"/>
        </w:rPr>
        <w:t>Interest expense on financing liability was $1.3 million for the year ended December 31, 2021 and represented interest incurred on the sale lease-back transaction for our manufacturing facility in Danbury, CT.</w:t>
      </w:r>
    </w:p>
    <w:p>
      <w:pPr>
        <w:spacing w:after="0" w:line="170" w:lineRule="exact"/>
        <w:rPr>
          <w:sz w:val="20"/>
          <w:szCs w:val="20"/>
          <w:color w:val="auto"/>
        </w:rPr>
      </w:pPr>
    </w:p>
    <w:p>
      <w:pPr>
        <w:ind w:right="60" w:firstLine="477"/>
        <w:spacing w:after="0" w:line="255" w:lineRule="auto"/>
        <w:rPr>
          <w:sz w:val="20"/>
          <w:szCs w:val="20"/>
          <w:color w:val="auto"/>
        </w:rPr>
      </w:pPr>
      <w:r>
        <w:rPr>
          <w:rFonts w:ascii="Arial" w:cs="Arial" w:eastAsia="Arial" w:hAnsi="Arial"/>
          <w:sz w:val="18"/>
          <w:szCs w:val="18"/>
          <w:color w:val="auto"/>
        </w:rPr>
        <w:t xml:space="preserve">Interest expense on notes increased by $5.7 million, or 61%, for the year ended December 31, 2021 compared to the same period in the prior year. The increase was primarily due to interest expense on the Senior convertible notes as well as a $3.7 million milestone obligation that was achieved during the first quarter of 2021, partially offset by a decrease in interest expense on Mann Group promissory notes due to (i) the repayment of $35.1 million of outstanding principal under the Mann Group non-convertible note, (ii) the $10.0 million reduction of principal and interest on the Mann Group convertible note from a conversion to our common stock and (iii) a decrease of the interest rate from 7.00% to 2.50% on the remaining promissory note.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92"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 xml:space="preserve">Loss on extinguishment of debt of $17.2 million for the year ended December 31, 2021 consisted of a $22.1 million loss on extinguishment of debt for the amendment to the Mann Group convertible note, which did not result in a change in our financial position, partially offset by a $4.9 million gain on extinguishment of debt as a result of the U.S. Small Business Administration’s (“SBA”) forgiveness of the Paycheck Protection Program loan (the “PPP loan”). The loss on extinguishment of debt for the year ended December 31, 2020 was primarily due to the third amendment to the MidCap Credit Facility, in addition to the prepayment of the 2020 notes. See Note 6 — </w:t>
      </w:r>
      <w:r>
        <w:rPr>
          <w:rFonts w:ascii="Arial" w:cs="Arial" w:eastAsia="Arial" w:hAnsi="Arial"/>
          <w:sz w:val="17"/>
          <w:szCs w:val="17"/>
          <w:i w:val="1"/>
          <w:iCs w:val="1"/>
          <w:color w:val="auto"/>
        </w:rPr>
        <w:t>Borrowings</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EPS</w:t>
      </w:r>
    </w:p>
    <w:p>
      <w:pPr>
        <w:spacing w:after="0" w:line="121" w:lineRule="exact"/>
        <w:rPr>
          <w:sz w:val="20"/>
          <w:szCs w:val="20"/>
          <w:color w:val="auto"/>
        </w:rPr>
      </w:pPr>
    </w:p>
    <w:p>
      <w:pPr>
        <w:ind w:right="120" w:firstLine="477"/>
        <w:spacing w:after="0" w:line="275" w:lineRule="auto"/>
        <w:rPr>
          <w:sz w:val="20"/>
          <w:szCs w:val="20"/>
          <w:color w:val="auto"/>
        </w:rPr>
      </w:pPr>
      <w:r>
        <w:rPr>
          <w:rFonts w:ascii="Arial" w:cs="Arial" w:eastAsia="Arial" w:hAnsi="Arial"/>
          <w:sz w:val="17"/>
          <w:szCs w:val="17"/>
          <w:color w:val="auto"/>
        </w:rPr>
        <w:t>The net loss for the year ended December 31, 2021 was $80.9 million, or $0.32 per share, compared to a $57.2 million net loss in the prior year, or $0.26 per share. The increase in net loss of $23.7 million was primarily due to the non-cash loss on extinguishment of the Mann Group convertible note of $22.1 million net of a non-cash gain on extinguishment of the PPP loan of $4.9 million, as well as an increase in SG&amp;A expenses and cost of revenue – collaboration and services, partially offset by an increase in Afrezza net revenues and revenues from collaboration and services, a gain on purchase commitment as well as cost for in-process research and development incurred in the prior year.</w:t>
      </w:r>
    </w:p>
    <w:p>
      <w:pPr>
        <w:spacing w:after="0" w:line="176"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Non-GAAP net loss, adjusted to exclude $17.2 million net loss on extinguishment of debt, net, which consisted of the $22.1 million non-cash loss on extinguishment of the Mann Group convertible note partially offset by the $4.9 million gain on extinguishment of the PPP loan, in addition to the Amphastar amendment fee of $2.0 million was $61.7 million or $0.25 per share, for the year ended December 31, 2021 compared to $57.2 million, or $0.26 per share, for the prior year. See the reconciliation to non-GAAP net loss and EPS under Non-GAAP Measures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To supplement our consolidated financial statements presented under GAAP, we are presenting certain non-GAAP financial measures. We are providing these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w:t>
      </w:r>
    </w:p>
    <w:p>
      <w:pPr>
        <w:spacing w:after="0" w:line="188"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These non-GAAP financial measures are not meant to be considered in isolation or as a substitute for comparable GAAP measures; should be read in conjunction with our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Annual Report on Form 10-K have limits in their usefulness to investors and may be calculated differently from, and therefore may not be directly comparable to, similarly titled measures used by other companies.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6" w:name="page47"/>
    <w:bookmarkEnd w:id="46"/>
    <w:p>
      <w:pPr>
        <w:ind w:right="80" w:firstLine="477"/>
        <w:spacing w:after="0" w:line="259" w:lineRule="auto"/>
        <w:rPr>
          <w:sz w:val="20"/>
          <w:szCs w:val="20"/>
          <w:color w:val="auto"/>
        </w:rPr>
      </w:pPr>
      <w:r>
        <w:rPr>
          <w:rFonts w:ascii="Arial" w:cs="Arial" w:eastAsia="Arial" w:hAnsi="Arial"/>
          <w:sz w:val="18"/>
          <w:szCs w:val="18"/>
          <w:color w:val="auto"/>
        </w:rPr>
        <w:t>The following tables reconcile our financial measure for net loss and net loss per share as reported in our consolidated statement of operations to a non-GAAP presentation as adjusted for the $22.1 million non-cash loss on extinguishment of the Mann Group convertible note net of the $4.9 million gain on extinguishment of the PPP loan for the year ended December 31, 2021, which did not result in a change in our financial position, as well as the $2.0 million Amphastar amendment fee.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2"/>
              </w:rPr>
              <w:t>Year Ended December 31,</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Change</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r>
      <w:tr>
        <w:trPr>
          <w:trHeight w:val="223"/>
        </w:trPr>
        <w:tc>
          <w:tcPr>
            <w:tcW w:w="5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GAAP to Non-GAAP Net Loss and EPS</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000" w:type="dxa"/>
            <w:vAlign w:val="bottom"/>
            <w:gridSpan w:val="2"/>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(80,926)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(57,240)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23,686</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r>
      <w:tr>
        <w:trPr>
          <w:trHeight w:val="223"/>
        </w:trPr>
        <w:tc>
          <w:tcPr>
            <w:tcW w:w="500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loss per share - basic and diluted</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r>
      <w:tr>
        <w:trPr>
          <w:trHeight w:val="20"/>
        </w:trPr>
        <w:tc>
          <w:tcPr>
            <w:tcW w:w="2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50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Less non-cash loss on extinguishment of debt, net</w:t>
            </w:r>
            <w:r>
              <w:rPr>
                <w:rFonts w:ascii="Arial" w:cs="Arial" w:eastAsia="Arial" w:hAnsi="Arial"/>
                <w:sz w:val="15"/>
                <w:szCs w:val="15"/>
                <w:color w:val="auto"/>
              </w:rPr>
              <w:t>(1)</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29"/>
        </w:trPr>
        <w:tc>
          <w:tcPr>
            <w:tcW w:w="5000" w:type="dxa"/>
            <w:vAlign w:val="bottom"/>
            <w:gridSpan w:val="2"/>
          </w:tcPr>
          <w:p>
            <w:pPr>
              <w:ind w:left="500"/>
              <w:spacing w:after="0"/>
              <w:rPr>
                <w:sz w:val="20"/>
                <w:szCs w:val="20"/>
                <w:color w:val="auto"/>
              </w:rPr>
            </w:pPr>
            <w:r>
              <w:rPr>
                <w:rFonts w:ascii="Arial" w:cs="Arial" w:eastAsia="Arial" w:hAnsi="Arial"/>
                <w:sz w:val="18"/>
                <w:szCs w:val="18"/>
                <w:color w:val="auto"/>
              </w:rPr>
              <w:t>Less Amphastar amendment fee</w:t>
            </w:r>
            <w:r>
              <w:rPr>
                <w:rFonts w:ascii="Arial" w:cs="Arial" w:eastAsia="Arial" w:hAnsi="Arial"/>
                <w:sz w:val="15"/>
                <w:szCs w:val="15"/>
                <w:color w:val="auto"/>
              </w:rPr>
              <w:t>(1)</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23"/>
        </w:trPr>
        <w:tc>
          <w:tcPr>
            <w:tcW w:w="50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Non-GAAP net loss</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(61,726)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(57,240)</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4,486</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r>
      <w:tr>
        <w:trPr>
          <w:trHeight w:val="263"/>
        </w:trPr>
        <w:tc>
          <w:tcPr>
            <w:tcW w:w="50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Non-GAAP net loss per share - basic and diluted</w:t>
            </w:r>
          </w:p>
        </w:tc>
        <w:tc>
          <w:tcPr>
            <w:tcW w:w="7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(0.01)</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196"/>
        </w:trPr>
        <w:tc>
          <w:tcPr>
            <w:tcW w:w="5000" w:type="dxa"/>
            <w:vAlign w:val="bottom"/>
            <w:gridSpan w:val="2"/>
            <w:shd w:val="clear" w:color="auto" w:fill="CFF0FC"/>
          </w:tcPr>
          <w:p>
            <w:pPr>
              <w:ind w:left="260"/>
              <w:spacing w:after="0" w:line="195" w:lineRule="exact"/>
              <w:rPr>
                <w:sz w:val="20"/>
                <w:szCs w:val="20"/>
                <w:color w:val="auto"/>
              </w:rPr>
            </w:pPr>
            <w:r>
              <w:rPr>
                <w:rFonts w:ascii="Arial" w:cs="Arial" w:eastAsia="Arial" w:hAnsi="Arial"/>
                <w:sz w:val="18"/>
                <w:szCs w:val="18"/>
                <w:color w:val="auto"/>
              </w:rPr>
              <w:t>Shares used to compute non-GAAP net loss per share</w:t>
            </w: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30"/>
        </w:trPr>
        <w:tc>
          <w:tcPr>
            <w:tcW w:w="50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 basic and diluted</w:t>
            </w:r>
          </w:p>
        </w:tc>
        <w:tc>
          <w:tcPr>
            <w:tcW w:w="7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249,244</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222,585</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26,659</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r>
      <w:tr>
        <w:trPr>
          <w:trHeight w:val="20"/>
        </w:trPr>
        <w:tc>
          <w:tcPr>
            <w:tcW w:w="2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15"/>
        </w:trPr>
        <w:tc>
          <w:tcPr>
            <w:tcW w:w="2120" w:type="dxa"/>
            <w:vAlign w:val="bottom"/>
            <w:tcBorders>
              <w:bottom w:val="single" w:sz="8" w:color="auto"/>
            </w:tcBorders>
          </w:tcPr>
          <w:p>
            <w:pPr>
              <w:spacing w:after="0"/>
              <w:rPr>
                <w:sz w:val="10"/>
                <w:szCs w:val="10"/>
                <w:color w:val="auto"/>
              </w:rPr>
            </w:pPr>
          </w:p>
        </w:tc>
        <w:tc>
          <w:tcPr>
            <w:tcW w:w="2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3" w:lineRule="exact"/>
        <w:rPr>
          <w:sz w:val="20"/>
          <w:szCs w:val="20"/>
          <w:color w:val="auto"/>
        </w:rPr>
      </w:pPr>
    </w:p>
    <w:p>
      <w:pPr>
        <w:ind w:left="480" w:right="100" w:hanging="472"/>
        <w:spacing w:after="0" w:line="260"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impact for income taxes associated with the non-cash loss on extinguishment of debt, net or the Amphastar amendment fee as a result of our full valuation allowance.</w:t>
      </w:r>
    </w:p>
    <w:p>
      <w:pPr>
        <w:spacing w:after="0" w:line="185"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The following table reconciles our gross margin financial measure as reported in Management’s Discussion and Analysis of Financial Condition and Results of Operations to a non-GAAP presentation as adjusted for the nonrecurring amendment fee related to an amendment to our Insulin Supply Agreement in May 2021.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 Change</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6,844</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(16,833)</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(15,084)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1,749</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GAAP gross profit — Afrezza</w:t>
            </w:r>
          </w:p>
        </w:tc>
        <w:tc>
          <w:tcPr>
            <w:tcW w:w="1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22,335</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Exclude Amphastar amendment fee</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gross profit — Afrezza</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60"/>
              <w:spacing w:after="0"/>
              <w:rPr>
                <w:sz w:val="20"/>
                <w:szCs w:val="20"/>
                <w:color w:val="auto"/>
              </w:rPr>
            </w:pPr>
            <w:r>
              <w:rPr>
                <w:rFonts w:ascii="Arial" w:cs="Arial" w:eastAsia="Arial" w:hAnsi="Arial"/>
                <w:sz w:val="18"/>
                <w:szCs w:val="18"/>
                <w:color w:val="auto"/>
              </w:rPr>
              <w:t>Non-GAAP gross margin</w:t>
            </w: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20" w:firstLine="477"/>
        <w:spacing w:after="0" w:line="263" w:lineRule="auto"/>
        <w:rPr>
          <w:sz w:val="20"/>
          <w:szCs w:val="20"/>
          <w:color w:val="auto"/>
        </w:rPr>
      </w:pPr>
      <w:r>
        <w:rPr>
          <w:rFonts w:ascii="Arial" w:cs="Arial" w:eastAsia="Arial" w:hAnsi="Arial"/>
          <w:sz w:val="18"/>
          <w:szCs w:val="18"/>
          <w:color w:val="auto"/>
        </w:rPr>
        <w:t>Our principal sources of liquidity are our cash, cash equivalents, and investments. Our primary uses of cash include the development of our product pipeline, the manufacturing and marketing of Afrezza, the funding of general and administrative expenses, and interest expense on our financing liability and debt.</w:t>
      </w:r>
    </w:p>
    <w:p>
      <w:pPr>
        <w:spacing w:after="0" w:line="184" w:lineRule="exact"/>
        <w:rPr>
          <w:sz w:val="20"/>
          <w:szCs w:val="20"/>
          <w:color w:val="auto"/>
        </w:rPr>
      </w:pPr>
    </w:p>
    <w:p>
      <w:pPr>
        <w:ind w:firstLine="477"/>
        <w:spacing w:after="0" w:line="308" w:lineRule="auto"/>
        <w:rPr>
          <w:sz w:val="20"/>
          <w:szCs w:val="20"/>
          <w:color w:val="auto"/>
        </w:rPr>
      </w:pPr>
      <w:r>
        <w:rPr>
          <w:rFonts w:ascii="Arial" w:cs="Arial" w:eastAsia="Arial" w:hAnsi="Arial"/>
          <w:sz w:val="17"/>
          <w:szCs w:val="17"/>
          <w:color w:val="auto"/>
        </w:rPr>
        <w:t>To date, we have funded our operations through the sale of equity and convertible debt securities, from the receipt of upfront and milestone payments from certain collaborations, from borrowings, from sales of Afrezza and the sale lease-back of our manufacturing facility in Danbury, CT.</w:t>
      </w:r>
    </w:p>
    <w:p>
      <w:pPr>
        <w:spacing w:after="0" w:line="146"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We believe we will be able to meet our liquidity needs over the next twelve months based on the balance of cash, cash equivalents and investments on hand. We believe we will meet longer-term expected future cash requirements and obligations, through a combination of cash and investments on hand, operating activities including manufacturing revenue and royalties from the production and sale of Tyvaso DPI, if approved, to UT, and available credit from our Midcap credit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7" w:name="page48"/>
    <w:bookmarkEnd w:id="47"/>
    <w:p>
      <w:pPr>
        <w:ind w:left="500"/>
        <w:spacing w:after="0"/>
        <w:rPr>
          <w:sz w:val="20"/>
          <w:szCs w:val="20"/>
          <w:color w:val="auto"/>
        </w:rPr>
      </w:pPr>
      <w:r>
        <w:rPr>
          <w:rFonts w:ascii="Arial" w:cs="Arial" w:eastAsia="Arial" w:hAnsi="Arial"/>
          <w:sz w:val="17"/>
          <w:szCs w:val="17"/>
          <w:color w:val="auto"/>
        </w:rPr>
        <w:t>The following table presents our material cash requirements associated with contractual commitments for future periods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2023 - 2024</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2025 - 2026</w:t>
            </w:r>
          </w:p>
        </w:tc>
        <w:tc>
          <w:tcPr>
            <w:tcW w:w="22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Thereafter</w:t>
            </w: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5"/>
                <w:szCs w:val="15"/>
                <w:color w:val="auto"/>
              </w:rPr>
              <w:t>(1)</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238,625</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255,875</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47,718</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Mann Group convertible note</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18,829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18,829</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Financing liability</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199,092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246,079</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Insulin purchase agreement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82,830</w:t>
            </w:r>
          </w:p>
        </w:tc>
        <w:tc>
          <w:tcPr>
            <w:tcW w:w="100" w:type="dxa"/>
            <w:vAlign w:val="bottom"/>
            <w:tcBorders>
              <w:bottom w:val="single" w:sz="8" w:color="CFF0FC"/>
            </w:tcBorders>
          </w:tcPr>
          <w:p>
            <w:pPr>
              <w:spacing w:after="0"/>
              <w:rPr>
                <w:sz w:val="19"/>
                <w:szCs w:val="19"/>
                <w:color w:val="auto"/>
              </w:rPr>
            </w:pPr>
          </w:p>
        </w:tc>
      </w:tr>
      <w:tr>
        <w:trPr>
          <w:trHeight w:val="223"/>
        </w:trPr>
        <w:tc>
          <w:tcPr>
            <w:tcW w:w="52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material cash requirements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21,234</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88,981</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331,530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209,586</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9" w:lineRule="exact"/>
        <w:rPr>
          <w:sz w:val="20"/>
          <w:szCs w:val="20"/>
          <w:color w:val="auto"/>
        </w:rPr>
      </w:pPr>
    </w:p>
    <w:p>
      <w:pPr>
        <w:ind w:left="460" w:right="200" w:hanging="452"/>
        <w:spacing w:after="0" w:line="232" w:lineRule="auto"/>
        <w:tabs>
          <w:tab w:leader="none" w:pos="46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39" w:lineRule="exact"/>
        <w:rPr>
          <w:rFonts w:ascii="Arial" w:cs="Arial" w:eastAsia="Arial" w:hAnsi="Arial"/>
          <w:sz w:val="25"/>
          <w:szCs w:val="25"/>
          <w:color w:val="auto"/>
          <w:vertAlign w:val="superscript"/>
        </w:rPr>
      </w:pPr>
    </w:p>
    <w:p>
      <w:pPr>
        <w:ind w:left="460" w:right="300" w:hanging="452"/>
        <w:spacing w:after="0" w:line="208" w:lineRule="auto"/>
        <w:tabs>
          <w:tab w:leader="none" w:pos="46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36" w:lineRule="exact"/>
        <w:rPr>
          <w:rFonts w:ascii="Arial" w:cs="Arial" w:eastAsia="Arial" w:hAnsi="Arial"/>
          <w:sz w:val="25"/>
          <w:szCs w:val="25"/>
          <w:color w:val="auto"/>
          <w:vertAlign w:val="superscript"/>
        </w:rPr>
      </w:pPr>
    </w:p>
    <w:p>
      <w:pPr>
        <w:ind w:left="460" w:right="60" w:hanging="452"/>
        <w:spacing w:after="0" w:line="241" w:lineRule="auto"/>
        <w:tabs>
          <w:tab w:leader="none" w:pos="46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$18.4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was paid-in-kind from August 2019 until the end of 2020, after which we have the option to pay interest in-kind or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-1213485</wp:posOffset>
            </wp:positionV>
            <wp:extent cx="1337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87" w:lineRule="exact"/>
        <w:rPr>
          <w:sz w:val="20"/>
          <w:szCs w:val="20"/>
          <w:color w:val="auto"/>
        </w:rPr>
      </w:pPr>
    </w:p>
    <w:p>
      <w:pPr>
        <w:ind w:right="40" w:firstLine="477"/>
        <w:spacing w:after="0" w:line="279" w:lineRule="auto"/>
        <w:rPr>
          <w:sz w:val="20"/>
          <w:szCs w:val="20"/>
          <w:color w:val="auto"/>
        </w:rPr>
      </w:pPr>
      <w:r>
        <w:rPr>
          <w:rFonts w:ascii="Arial" w:cs="Arial" w:eastAsia="Arial" w:hAnsi="Arial"/>
          <w:sz w:val="17"/>
          <w:szCs w:val="17"/>
          <w:color w:val="auto"/>
        </w:rPr>
        <w:t xml:space="preserve">In February 2021, we elected to convert the $5.0 million principal amount of 2024 convertible notes into 1,666,667 shares of our common stock in accordance with the terms of the 2024 convertible notes. There can be no assurance that we will have sufficient resources to make any required repayments of principal under the Senior convertible notes, the MidCap credit facility or the Mann Group convertible note. The Senior convertible notes and Mann Group convertible note are fully convertible prior to maturity as further disclosed in Note 7 – </w:t>
      </w:r>
      <w:r>
        <w:rPr>
          <w:rFonts w:ascii="Arial" w:cs="Arial" w:eastAsia="Arial" w:hAnsi="Arial"/>
          <w:sz w:val="17"/>
          <w:szCs w:val="17"/>
          <w:i w:val="1"/>
          <w:iCs w:val="1"/>
          <w:color w:val="auto"/>
        </w:rPr>
        <w:t>Borrowings.</w:t>
      </w:r>
    </w:p>
    <w:p>
      <w:pPr>
        <w:spacing w:after="0" w:line="171" w:lineRule="exact"/>
        <w:rPr>
          <w:sz w:val="20"/>
          <w:szCs w:val="20"/>
          <w:color w:val="auto"/>
        </w:rPr>
      </w:pPr>
    </w:p>
    <w:p>
      <w:pPr>
        <w:ind w:right="140" w:firstLine="477"/>
        <w:spacing w:after="0" w:line="257"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repurchase the Mann Group promissory notes,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8" w:lineRule="exact"/>
        <w:rPr>
          <w:sz w:val="20"/>
          <w:szCs w:val="20"/>
          <w:color w:val="auto"/>
        </w:rPr>
      </w:pPr>
    </w:p>
    <w:p>
      <w:pPr>
        <w:ind w:right="80" w:firstLine="477"/>
        <w:spacing w:after="0" w:line="259" w:lineRule="auto"/>
        <w:rPr>
          <w:sz w:val="20"/>
          <w:szCs w:val="20"/>
          <w:color w:val="auto"/>
        </w:rPr>
      </w:pPr>
      <w:r>
        <w:rPr>
          <w:rFonts w:ascii="Arial" w:cs="Arial" w:eastAsia="Arial" w:hAnsi="Arial"/>
          <w:sz w:val="18"/>
          <w:szCs w:val="18"/>
          <w:color w:val="auto"/>
        </w:rPr>
        <w:t xml:space="preserve">In July 2013, we issued Milestone Rights to the Original Milestone Purchasers. The Milestone Rights provided the Original Milestone Purchasers certain rights to receive payments of up to $90.0 million upon the occurrence of specified strategic and sales milestones, $65.0 million of which remains payable to Barings upon achievement of such milestones. See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7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further information related to the Milestone Rights.</w:t>
      </w:r>
    </w:p>
    <w:p>
      <w:pPr>
        <w:spacing w:after="0" w:line="187" w:lineRule="exact"/>
        <w:rPr>
          <w:sz w:val="20"/>
          <w:szCs w:val="20"/>
          <w:color w:val="auto"/>
        </w:rPr>
      </w:pPr>
    </w:p>
    <w:p>
      <w:pPr>
        <w:jc w:val="both"/>
        <w:ind w:right="120" w:firstLine="477"/>
        <w:spacing w:after="0" w:line="263" w:lineRule="auto"/>
        <w:rPr>
          <w:sz w:val="20"/>
          <w:szCs w:val="20"/>
          <w:color w:val="auto"/>
        </w:rPr>
      </w:pPr>
      <w:r>
        <w:rPr>
          <w:rFonts w:ascii="Arial" w:cs="Arial" w:eastAsia="Arial" w:hAnsi="Arial"/>
          <w:sz w:val="18"/>
          <w:szCs w:val="18"/>
          <w:color w:val="auto"/>
        </w:rPr>
        <w:t>During the year ended December 31, 2021, we used $61.7 million of cash for our operating activities, which primarily consisted of $65.8 million of selling, general and administrative expenses, $35.5 million of cost of goods sold and cost of revenue, $11.7 million of costs for research and development and $6.5 million of cash paid for interest, partially offset by $47.6 million of revenue.</w:t>
      </w:r>
    </w:p>
    <w:p>
      <w:pPr>
        <w:spacing w:after="0" w:line="184" w:lineRule="exact"/>
        <w:rPr>
          <w:sz w:val="20"/>
          <w:szCs w:val="20"/>
          <w:color w:val="auto"/>
        </w:rPr>
      </w:pPr>
    </w:p>
    <w:p>
      <w:pPr>
        <w:ind w:right="260" w:firstLine="477"/>
        <w:spacing w:after="0" w:line="301" w:lineRule="auto"/>
        <w:rPr>
          <w:sz w:val="20"/>
          <w:szCs w:val="20"/>
          <w:color w:val="auto"/>
        </w:rPr>
      </w:pPr>
      <w:r>
        <w:rPr>
          <w:rFonts w:ascii="Arial" w:cs="Arial" w:eastAsia="Arial" w:hAnsi="Arial"/>
          <w:sz w:val="16"/>
          <w:szCs w:val="16"/>
          <w:color w:val="auto"/>
        </w:rPr>
        <w:t>During the year ended December 31, 2020, we used $28.1 million of cash for our operating activities, which reflects our net loss of $57.2 million, partially offset by non-cash charges of $38.9 million (including $13.2 million for the write-off of in-process research and development related to the acquisition of QrumPharma). The net change in operating assets and liabilities was primarily a result of the recognition of deferred revenue of $32.8 million, which was partially offset by the receipt of milestone payments from UT of $25.0 million and pass-through payments of $1.9 million.</w:t>
      </w:r>
    </w:p>
    <w:p>
      <w:pPr>
        <w:spacing w:after="0" w:line="157" w:lineRule="exact"/>
        <w:rPr>
          <w:sz w:val="20"/>
          <w:szCs w:val="20"/>
          <w:color w:val="auto"/>
        </w:rPr>
      </w:pPr>
    </w:p>
    <w:p>
      <w:pPr>
        <w:ind w:right="380" w:firstLine="477"/>
        <w:spacing w:after="0" w:line="277" w:lineRule="auto"/>
        <w:rPr>
          <w:sz w:val="20"/>
          <w:szCs w:val="20"/>
          <w:color w:val="auto"/>
        </w:rPr>
      </w:pPr>
      <w:r>
        <w:rPr>
          <w:rFonts w:ascii="Arial" w:cs="Arial" w:eastAsia="Arial" w:hAnsi="Arial"/>
          <w:sz w:val="18"/>
          <w:szCs w:val="18"/>
          <w:color w:val="auto"/>
        </w:rPr>
        <w:t>Cash used in investing activities of $151.5 million for the year ended December 31, 2021 was primarily due to the purchase of debt securities of $196.1 million, partially offset by proceeds received from sales of debt securities of $59.1 million.</w:t>
      </w:r>
    </w:p>
    <w:p>
      <w:pPr>
        <w:spacing w:after="0" w:line="170" w:lineRule="exact"/>
        <w:rPr>
          <w:sz w:val="20"/>
          <w:szCs w:val="20"/>
          <w:color w:val="auto"/>
        </w:rPr>
      </w:pPr>
    </w:p>
    <w:p>
      <w:pPr>
        <w:ind w:right="320" w:firstLine="477"/>
        <w:spacing w:after="0" w:line="263" w:lineRule="auto"/>
        <w:rPr>
          <w:sz w:val="20"/>
          <w:szCs w:val="20"/>
          <w:color w:val="auto"/>
        </w:rPr>
      </w:pPr>
      <w:r>
        <w:rPr>
          <w:rFonts w:ascii="Arial" w:cs="Arial" w:eastAsia="Arial" w:hAnsi="Arial"/>
          <w:sz w:val="18"/>
          <w:szCs w:val="18"/>
          <w:color w:val="auto"/>
        </w:rPr>
        <w:t>Cash provided by investing activities of $15.2 million for the year ended December 31, 2020 was primarily due to the proceeds from the sale of treasury bills of $20.0 million, partially offset by $4.0 million of cash consideration paid for the acquisition of QrumPharma, net of $0.2 million of cash acquired, in addition to $0.5 million of related transaction costs.</w:t>
      </w:r>
    </w:p>
    <w:p>
      <w:pPr>
        <w:spacing w:after="0" w:line="184"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Cash provided by financing activities of $270.3 million for the year ended December 31, 2021 was primarily due to net proceeds from the offering of Senior convertible notes of $222.7 million and net proceeds from the sale-leaseback transaction of $99.1 million, partially offset by the repayment of $35.1 million of Mann Group non-convertible notes and related unpaid accrued interest and the repayment of $10.0 million of principal and $1.0 million prepayment penalty for the MidCap credit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ind w:right="140" w:firstLine="477"/>
        <w:spacing w:after="0" w:line="263" w:lineRule="auto"/>
        <w:rPr>
          <w:sz w:val="20"/>
          <w:szCs w:val="20"/>
          <w:color w:val="auto"/>
        </w:rPr>
      </w:pPr>
      <w:r>
        <w:rPr>
          <w:rFonts w:ascii="Arial" w:cs="Arial" w:eastAsia="Arial" w:hAnsi="Arial"/>
          <w:sz w:val="18"/>
          <w:szCs w:val="18"/>
          <w:color w:val="auto"/>
        </w:rPr>
        <w:t>Cash provided by financing activities of $49.9 million for the year ended December 31, 2020 was primarily due to the receipt of $23.5 million in gross proceeds from at the market offerings, the exercise of outstanding warrants to purchase shares of our common stock of $11.6 million, proceeds from the MidCap Credit Facility of $10.0 million and proceeds from the PPP Loan of $4.9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40" w:firstLine="477"/>
        <w:spacing w:after="0" w:line="301" w:lineRule="auto"/>
        <w:rPr>
          <w:sz w:val="20"/>
          <w:szCs w:val="20"/>
          <w:color w:val="auto"/>
        </w:rPr>
      </w:pPr>
      <w:r>
        <w:rPr>
          <w:rFonts w:ascii="Arial" w:cs="Arial" w:eastAsia="Arial" w:hAnsi="Arial"/>
          <w:sz w:val="16"/>
          <w:szCs w:val="16"/>
          <w:color w:val="auto"/>
        </w:rPr>
        <w:t>We are not currently profitable and have rarely generated positive net cash flow from operations. In addition, we expect to continue to incur significant expenditures for the foreseeable future in support of our manufacturing operations, sales and marketing costs for Afrezza, and development costs for other product candidates in our pipeline. As of December 31, 2021, we had capital resources of $124.2 million in cash and cash equivalents, $79.9 million in short-term investments and $56.6 million in long-term investments, and total principal amount of outstanding borrowings of $288.4 million.</w:t>
      </w:r>
    </w:p>
    <w:p>
      <w:pPr>
        <w:spacing w:after="0" w:line="157" w:lineRule="exact"/>
        <w:rPr>
          <w:sz w:val="20"/>
          <w:szCs w:val="20"/>
          <w:color w:val="auto"/>
        </w:rPr>
      </w:pPr>
    </w:p>
    <w:p>
      <w:pPr>
        <w:ind w:right="80" w:firstLine="477"/>
        <w:spacing w:after="0" w:line="255" w:lineRule="auto"/>
        <w:rPr>
          <w:sz w:val="20"/>
          <w:szCs w:val="20"/>
          <w:color w:val="auto"/>
        </w:rPr>
      </w:pPr>
      <w:r>
        <w:rPr>
          <w:rFonts w:ascii="Arial" w:cs="Arial" w:eastAsia="Arial" w:hAnsi="Arial"/>
          <w:sz w:val="18"/>
          <w:szCs w:val="18"/>
          <w:color w:val="auto"/>
        </w:rPr>
        <w:t>In March 2021, we issued $230.0 million of Senior convertible notes. In April 2021, we made a $10.0 million principal prepayment against outstanding term loans under the MidCap credit facility and repaid the entire principal amount of $35.1 million outstanding under the Mann Group non-convertible note (together with all accrued and unpaid interest thereon) as further disclosed in Note 7 – Borrowings. As amended, the MidCap credit facility provides a secured term loan facility with an aggregate principal amount of up to $100.0 million, of which $60.0 million remains available for borrowing if the conditions for Tranche 3 are met. In November 2021, we closed a sale-leaseback transaction of our manufacturing facility in Danbury, CT for a sales price of $102.3 million.</w:t>
      </w:r>
    </w:p>
    <w:p>
      <w:pPr>
        <w:spacing w:after="0" w:line="192" w:lineRule="exact"/>
        <w:rPr>
          <w:sz w:val="20"/>
          <w:szCs w:val="20"/>
          <w:color w:val="auto"/>
        </w:rPr>
      </w:pPr>
    </w:p>
    <w:p>
      <w:pPr>
        <w:ind w:right="100" w:firstLine="477"/>
        <w:spacing w:after="0" w:line="277" w:lineRule="auto"/>
        <w:rPr>
          <w:sz w:val="20"/>
          <w:szCs w:val="20"/>
          <w:color w:val="auto"/>
        </w:rPr>
      </w:pPr>
      <w:r>
        <w:rPr>
          <w:rFonts w:ascii="Arial" w:cs="Arial" w:eastAsia="Arial" w:hAnsi="Arial"/>
          <w:sz w:val="18"/>
          <w:szCs w:val="18"/>
          <w:color w:val="auto"/>
        </w:rPr>
        <w:t>We believe our resources will be sufficient to fund our operations for the next twelve months from the date of issuance of our consolidated financial statements included in Item 8 –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Consolidated Financial Statements included in Part II, Item 8 — Financial Statements and Supplementary Data for information regarding accounting standards we adopted in 2021 and other new accounting standards that have been issued by the FASB but are not effective until after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Interest on borrowings under the MidCap credit facility accrues interest at an annual rate equal to the lesser of (i) 8.25% and (ii) the one-month LIBOR (subject to a one-month LIBOR floor of 1.00%) plus 6.25%. Accordingly, our interest expense under the MidCap credit facility is subject to changes in the one-month LIBOR rate. See “Risk Factors--</w:t>
      </w:r>
      <w:r>
        <w:rPr>
          <w:rFonts w:ascii="Arial" w:cs="Arial" w:eastAsia="Arial" w:hAnsi="Arial"/>
          <w:sz w:val="18"/>
          <w:szCs w:val="18"/>
          <w:i w:val="1"/>
          <w:iCs w:val="1"/>
          <w:color w:val="auto"/>
        </w:rPr>
        <w:t>We have a substantial amount of debt, and we may be unable to make required payments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and principal as they become due” </w:t>
      </w:r>
      <w:r>
        <w:rPr>
          <w:rFonts w:ascii="Arial" w:cs="Arial" w:eastAsia="Arial" w:hAnsi="Arial"/>
          <w:sz w:val="18"/>
          <w:szCs w:val="18"/>
          <w:color w:val="auto"/>
        </w:rPr>
        <w:t>under Item 1A of this report for additional information regarding the risks we face related to the planned phase-out of LIBOR.</w:t>
      </w:r>
    </w:p>
    <w:p>
      <w:pPr>
        <w:spacing w:after="0" w:line="80" w:lineRule="exact"/>
        <w:rPr>
          <w:sz w:val="20"/>
          <w:szCs w:val="20"/>
          <w:color w:val="auto"/>
        </w:rPr>
      </w:pPr>
    </w:p>
    <w:p>
      <w:pPr>
        <w:ind w:right="640" w:firstLine="477"/>
        <w:spacing w:after="0" w:line="286" w:lineRule="auto"/>
        <w:rPr>
          <w:sz w:val="20"/>
          <w:szCs w:val="20"/>
          <w:color w:val="auto"/>
        </w:rPr>
      </w:pPr>
      <w:r>
        <w:rPr>
          <w:rFonts w:ascii="Arial" w:cs="Arial" w:eastAsia="Arial" w:hAnsi="Arial"/>
          <w:sz w:val="17"/>
          <w:szCs w:val="17"/>
          <w:color w:val="auto"/>
        </w:rPr>
        <w:t xml:space="preserve">All other debt has fixed interest rates, so the interest expense associated with such debt is not exposed to changes in market interest rates. Specifically, the interest rate on amounts borrowed under the Mann Group promissory notes is fixed at 2.50% and the interest rate under the Senior convertible notes is fixed at 2.50%. See Note 7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information about the principal amount of outstanding debt.</w:t>
      </w:r>
    </w:p>
    <w:p>
      <w:pPr>
        <w:spacing w:after="0" w:line="165" w:lineRule="exact"/>
        <w:rPr>
          <w:sz w:val="20"/>
          <w:szCs w:val="20"/>
          <w:color w:val="auto"/>
        </w:rPr>
      </w:pPr>
    </w:p>
    <w:p>
      <w:pPr>
        <w:ind w:right="220" w:firstLine="477"/>
        <w:spacing w:after="0" w:line="277" w:lineRule="auto"/>
        <w:rPr>
          <w:sz w:val="20"/>
          <w:szCs w:val="20"/>
          <w:color w:val="auto"/>
        </w:rPr>
      </w:pPr>
      <w:r>
        <w:rPr>
          <w:rFonts w:ascii="Arial" w:cs="Arial" w:eastAsia="Arial" w:hAnsi="Arial"/>
          <w:sz w:val="18"/>
          <w:szCs w:val="18"/>
          <w:color w:val="auto"/>
        </w:rPr>
        <w:t>If a change in one-month LIBOR interest rates equal to 10% of the one-month LIBOR interest rates on December 31, 2021 were to have occurred, this change would not have had a material effect on our interest payment obligation.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year ended December 31, 2021, we realized a $6.6 million currency gain, which was included in (gain) loss on foreign currency translation in the accompanying consolidated statements of operations.</w:t>
      </w:r>
    </w:p>
    <w:p>
      <w:pPr>
        <w:spacing w:after="0" w:line="188"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Exchange rate fluctuations may adversely affect our expenses, results of operations, financial position and cash flows. If a change in the U.S. dollar to Euro exchange rate equal to 10% of the U.S. dollar to Euro exchange rate on December 31, 2021 were to have occurred, this change would have resulted in a foreign currency impact to our pre-tax loss of approximately $8.3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included in Items 15(a) (1) and (2) of Part IV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spacing w:after="0" w:line="178" w:lineRule="exact"/>
        <w:rPr>
          <w:sz w:val="20"/>
          <w:szCs w:val="20"/>
          <w:color w:val="auto"/>
        </w:rPr>
      </w:pPr>
    </w:p>
    <w:p>
      <w:pPr>
        <w:jc w:val="both"/>
        <w:ind w:right="220" w:firstLine="477"/>
        <w:spacing w:after="0" w:line="263" w:lineRule="auto"/>
        <w:rPr>
          <w:sz w:val="20"/>
          <w:szCs w:val="20"/>
          <w:color w:val="auto"/>
        </w:rPr>
      </w:pPr>
      <w:r>
        <w:rPr>
          <w:rFonts w:ascii="Arial" w:cs="Arial" w:eastAsia="Arial" w:hAnsi="Arial"/>
          <w:sz w:val="18"/>
          <w:szCs w:val="18"/>
          <w:color w:val="auto"/>
        </w:rPr>
        <w:t>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December 31, 2021.</w:t>
      </w:r>
    </w:p>
    <w:p>
      <w:pPr>
        <w:spacing w:after="0" w:line="184" w:lineRule="exact"/>
        <w:rPr>
          <w:sz w:val="20"/>
          <w:szCs w:val="20"/>
          <w:color w:val="auto"/>
        </w:rPr>
      </w:pPr>
    </w:p>
    <w:p>
      <w:pPr>
        <w:ind w:right="500" w:firstLine="477"/>
        <w:spacing w:after="0" w:line="277" w:lineRule="auto"/>
        <w:rPr>
          <w:sz w:val="20"/>
          <w:szCs w:val="20"/>
          <w:color w:val="auto"/>
        </w:rPr>
      </w:pPr>
      <w:r>
        <w:rPr>
          <w:rFonts w:ascii="Arial" w:cs="Arial" w:eastAsia="Arial" w:hAnsi="Arial"/>
          <w:sz w:val="18"/>
          <w:szCs w:val="18"/>
          <w:color w:val="auto"/>
        </w:rPr>
        <w:t>Based upon this evaluation, our Chief Executive Officer and Chief Financial Officer concluded that the design and operation of our disclosure controls and procedures were effective as of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40" w:firstLine="477"/>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2021. In making this assessment, our management used the criteria set forth by the Committee of Sponsoring Organizations of the Treadway Commission (COSO) in the Internal Control-Integrated Framework (2013 Framework).</w:t>
      </w:r>
    </w:p>
    <w:p>
      <w:pPr>
        <w:spacing w:after="0" w:line="177" w:lineRule="exact"/>
        <w:rPr>
          <w:sz w:val="20"/>
          <w:szCs w:val="20"/>
          <w:color w:val="auto"/>
        </w:rPr>
      </w:pPr>
    </w:p>
    <w:p>
      <w:pPr>
        <w:ind w:right="420" w:firstLine="477"/>
        <w:spacing w:after="0" w:line="277" w:lineRule="auto"/>
        <w:rPr>
          <w:sz w:val="20"/>
          <w:szCs w:val="20"/>
          <w:color w:val="auto"/>
        </w:rPr>
      </w:pPr>
      <w:r>
        <w:rPr>
          <w:rFonts w:ascii="Arial" w:cs="Arial" w:eastAsia="Arial" w:hAnsi="Arial"/>
          <w:sz w:val="18"/>
          <w:szCs w:val="18"/>
          <w:color w:val="auto"/>
        </w:rPr>
        <w:t>Based on this assessment, our management concluded that, as of December 31, 2021, our internal control over financial reporting was effective based on those criteria.</w:t>
      </w:r>
    </w:p>
    <w:p>
      <w:pPr>
        <w:spacing w:after="0" w:line="170" w:lineRule="exact"/>
        <w:rPr>
          <w:sz w:val="20"/>
          <w:szCs w:val="20"/>
          <w:color w:val="auto"/>
        </w:rPr>
      </w:pPr>
    </w:p>
    <w:p>
      <w:pPr>
        <w:ind w:right="480" w:firstLine="477"/>
        <w:spacing w:after="0" w:line="263" w:lineRule="auto"/>
        <w:rPr>
          <w:sz w:val="20"/>
          <w:szCs w:val="20"/>
          <w:color w:val="auto"/>
        </w:rPr>
      </w:pPr>
      <w:r>
        <w:rPr>
          <w:rFonts w:ascii="Arial" w:cs="Arial" w:eastAsia="Arial" w:hAnsi="Arial"/>
          <w:sz w:val="18"/>
          <w:szCs w:val="18"/>
          <w:color w:val="auto"/>
        </w:rPr>
        <w:t>The effectiveness of our internal control over financial reporting has been audited by Deloitte &amp; Touche LLP, an independent registered public accounting firm, as stated in their attestation report herein, which expresses an unqualified opinion on the effectiveness of our internal control over financial reporting as of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50" w:name="page51"/>
    <w:bookmarkEnd w:id="50"/>
    <w:p>
      <w:pPr>
        <w:ind w:left="3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MannKind Corporation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0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24, 2022, expressed an unqualified opinion on those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9C. </w:t>
      </w:r>
      <w:r>
        <w:rPr>
          <w:rFonts w:ascii="Arial" w:cs="Arial" w:eastAsia="Arial" w:hAnsi="Arial"/>
          <w:sz w:val="15"/>
          <w:szCs w:val="15"/>
          <w:b w:val="1"/>
          <w:bCs w:val="1"/>
          <w:i w:val="1"/>
          <w:iCs w:val="1"/>
          <w:color w:val="auto"/>
        </w:rPr>
        <w:t>Disclosure Regarding Foreign Jurisdictions that Prevent Inspections.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right="160" w:firstLine="485"/>
        <w:spacing w:after="0" w:line="277" w:lineRule="auto"/>
        <w:tabs>
          <w:tab w:leader="none" w:pos="72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“Information about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Part I, Item 1 of this Annual Report on Form 10-K.</w:t>
      </w:r>
    </w:p>
    <w:p>
      <w:pPr>
        <w:spacing w:after="0" w:line="170" w:lineRule="exact"/>
        <w:rPr>
          <w:rFonts w:ascii="Arial" w:cs="Arial" w:eastAsia="Arial" w:hAnsi="Arial"/>
          <w:sz w:val="18"/>
          <w:szCs w:val="18"/>
          <w:color w:val="auto"/>
        </w:rPr>
      </w:pPr>
    </w:p>
    <w:p>
      <w:pPr>
        <w:ind w:right="180" w:firstLine="485"/>
        <w:spacing w:after="0" w:line="259" w:lineRule="auto"/>
        <w:tabs>
          <w:tab w:leader="none" w:pos="73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The information required by this Item regarding the identification and business experience of our directors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matters will be contained in the section entitled “Proposal 1 — Election of Directors” and “Corporate Governance Principles and Board and Committee Matters” in our definitive proxy statement for our 2022 Annual Meeting of Stockholders (the “Proxy Statement”), to be filed with the SEC on or before May 2, 2022, and is incorporated herein by reference.</w:t>
      </w:r>
    </w:p>
    <w:p>
      <w:pPr>
        <w:spacing w:after="0" w:line="187"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We have adopted a Code of Business Conduct and Ethics Policy that applies to our directors and employees, including our principal executive officer, principal financial officer, principal accounting officer or controller, and have posted the text of the policy on our website (</w:t>
      </w:r>
      <w:r>
        <w:rPr>
          <w:rFonts w:ascii="Arial" w:cs="Arial" w:eastAsia="Arial" w:hAnsi="Arial"/>
          <w:sz w:val="18"/>
          <w:szCs w:val="18"/>
          <w:i w:val="1"/>
          <w:iCs w:val="1"/>
          <w:color w:val="auto"/>
        </w:rPr>
        <w:t>www.mannkindcorp.com</w:t>
      </w:r>
      <w:r>
        <w:rPr>
          <w:rFonts w:ascii="Arial" w:cs="Arial" w:eastAsia="Arial" w:hAnsi="Arial"/>
          <w:sz w:val="18"/>
          <w:szCs w:val="18"/>
          <w:color w:val="auto"/>
        </w:rPr>
        <w:t>) in connection with “Corporate Governance”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1040" w:firstLine="477"/>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“Executive Compensation,” “Compensation of Directors” and “Compensation Committee Report” in the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00" w:firstLine="477"/>
        <w:spacing w:after="0" w:line="308" w:lineRule="auto"/>
        <w:rPr>
          <w:sz w:val="20"/>
          <w:szCs w:val="20"/>
          <w:color w:val="auto"/>
        </w:rPr>
      </w:pPr>
      <w:r>
        <w:rPr>
          <w:rFonts w:ascii="Arial" w:cs="Arial" w:eastAsia="Arial" w:hAnsi="Arial"/>
          <w:sz w:val="17"/>
          <w:szCs w:val="17"/>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ind w:right="340" w:firstLine="477"/>
        <w:spacing w:after="0" w:line="277" w:lineRule="auto"/>
        <w:rPr>
          <w:sz w:val="20"/>
          <w:szCs w:val="20"/>
          <w:color w:val="auto"/>
        </w:rPr>
      </w:pPr>
      <w:r>
        <w:rPr>
          <w:rFonts w:ascii="Arial" w:cs="Arial" w:eastAsia="Arial" w:hAnsi="Arial"/>
          <w:sz w:val="18"/>
          <w:szCs w:val="18"/>
          <w:color w:val="auto"/>
        </w:rPr>
        <w:t>The information under the caption “Corporate Governance Principles and Board and Committee Matters” in the Proxy Statement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“Principal Accounting Fees and Services” and “Pre-Approval Policies and Procedures” in the Proxy Statement and is incorporated herein by reference.</w:t>
      </w:r>
    </w:p>
    <w:p>
      <w:pPr>
        <w:spacing w:after="0" w:line="170" w:lineRule="exact"/>
        <w:rPr>
          <w:sz w:val="20"/>
          <w:szCs w:val="20"/>
          <w:color w:val="auto"/>
        </w:rPr>
      </w:pPr>
    </w:p>
    <w:p>
      <w:pPr>
        <w:jc w:val="both"/>
        <w:ind w:right="360" w:firstLine="477"/>
        <w:spacing w:after="0" w:line="263"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1420" w:right="360" w:hanging="472"/>
        <w:spacing w:after="0" w:line="263" w:lineRule="auto"/>
        <w:rPr>
          <w:rFonts w:ascii="Arial" w:cs="Arial" w:eastAsia="Arial" w:hAnsi="Arial"/>
          <w:sz w:val="18"/>
          <w:szCs w:val="18"/>
          <w:color w:val="auto"/>
        </w:rPr>
      </w:pPr>
      <w:r>
        <w:rPr>
          <w:rFonts w:ascii="Arial" w:cs="Arial" w:eastAsia="Arial" w:hAnsi="Arial"/>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0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34)</w:t>
            </w:r>
          </w:p>
        </w:tc>
        <w:tc>
          <w:tcPr>
            <w:tcW w:w="2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8"/>
                <w:szCs w:val="18"/>
                <w:color w:val="auto"/>
              </w:rPr>
            </w:pPr>
          </w:p>
        </w:tc>
        <w:tc>
          <w:tcPr>
            <w:tcW w:w="4180" w:type="dxa"/>
            <w:vAlign w:val="bottom"/>
          </w:tcPr>
          <w:p>
            <w:pPr>
              <w:spacing w:after="0"/>
              <w:rPr>
                <w:sz w:val="18"/>
                <w:szCs w:val="18"/>
                <w:color w:val="auto"/>
              </w:rPr>
            </w:pP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9"/>
        </w:trPr>
        <w:tc>
          <w:tcPr>
            <w:tcW w:w="840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Operations</w:t>
              </w:r>
            </w:hyperlink>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10"/>
        </w:trPr>
        <w:tc>
          <w:tcPr>
            <w:tcW w:w="840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Loss</w:t>
              </w:r>
            </w:hyperlink>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09"/>
        </w:trPr>
        <w:tc>
          <w:tcPr>
            <w:tcW w:w="3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Consolidated Statements of Stockholders’ Deficit</w:t>
              </w:r>
            </w:hyperlink>
          </w:p>
        </w:tc>
        <w:tc>
          <w:tcPr>
            <w:tcW w:w="4820" w:type="dxa"/>
            <w:vAlign w:val="bottom"/>
            <w:gridSpan w:val="2"/>
          </w:tcPr>
          <w:p>
            <w:pPr>
              <w:spacing w:after="0"/>
              <w:rPr>
                <w:sz w:val="18"/>
                <w:szCs w:val="18"/>
                <w:color w:val="auto"/>
              </w:rPr>
            </w:pP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9"/>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w:t>
              </w:r>
            </w:hyperlink>
          </w:p>
        </w:tc>
        <w:tc>
          <w:tcPr>
            <w:tcW w:w="5520" w:type="dxa"/>
            <w:vAlign w:val="bottom"/>
            <w:gridSpan w:val="5"/>
          </w:tcPr>
          <w:p>
            <w:pPr>
              <w:spacing w:after="0"/>
              <w:rPr>
                <w:sz w:val="18"/>
                <w:szCs w:val="18"/>
                <w:color w:val="auto"/>
              </w:rPr>
            </w:pP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10"/>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Notes to Consolidated Financial Statements</w:t>
              </w:r>
            </w:hyperlink>
          </w:p>
        </w:tc>
        <w:tc>
          <w:tcPr>
            <w:tcW w:w="5240" w:type="dxa"/>
            <w:vAlign w:val="bottom"/>
            <w:gridSpan w:val="4"/>
          </w:tcPr>
          <w:p>
            <w:pPr>
              <w:spacing w:after="0"/>
              <w:rPr>
                <w:sz w:val="18"/>
                <w:szCs w:val="18"/>
                <w:color w:val="auto"/>
              </w:rPr>
            </w:pP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bl>
    <w:p>
      <w:pPr>
        <w:spacing w:after="0" w:line="256" w:lineRule="exact"/>
        <w:rPr>
          <w:sz w:val="20"/>
          <w:szCs w:val="20"/>
          <w:color w:val="auto"/>
        </w:rPr>
      </w:pPr>
    </w:p>
    <w:p>
      <w:pPr>
        <w:ind w:right="40" w:firstLine="477"/>
        <w:spacing w:after="0" w:line="308" w:lineRule="auto"/>
        <w:rPr>
          <w:sz w:val="20"/>
          <w:szCs w:val="20"/>
          <w:color w:val="auto"/>
        </w:rPr>
      </w:pPr>
      <w:r>
        <w:rPr>
          <w:rFonts w:ascii="Arial" w:cs="Arial" w:eastAsia="Arial" w:hAnsi="Arial"/>
          <w:sz w:val="17"/>
          <w:szCs w:val="17"/>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8" w:lineRule="exact"/>
        <w:rPr>
          <w:sz w:val="20"/>
          <w:szCs w:val="20"/>
          <w:color w:val="auto"/>
        </w:rPr>
      </w:pPr>
    </w:p>
    <w:p>
      <w:pPr>
        <w:ind w:left="1420" w:right="180" w:hanging="467"/>
        <w:spacing w:after="0" w:line="342" w:lineRule="auto"/>
        <w:tabs>
          <w:tab w:leader="none" w:pos="1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Exhibits. The following exhibits are filed or furnished as part of, or incorporated by reference into, this Annual Report on Form 10-K: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80" w:type="dxa"/>
            <w:vAlign w:val="bottom"/>
            <w:gridSpan w:val="15"/>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8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40" w:type="dxa"/>
            <w:vAlign w:val="bottom"/>
            <w:tcBorders>
              <w:top w:val="single" w:sz="8" w:color="auto"/>
            </w:tcBorders>
          </w:tcPr>
          <w:p>
            <w:pPr>
              <w:jc w:val="right"/>
              <w:ind w:right="4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9800" w:type="dxa"/>
            <w:vAlign w:val="bottom"/>
            <w:tcBorders>
              <w:top w:val="single" w:sz="8" w:color="auto"/>
              <w:bottom w:val="single" w:sz="8" w:color="0000EE"/>
            </w:tcBorders>
            <w:gridSpan w:val="21"/>
          </w:tcPr>
          <w:p>
            <w:pP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Purchase Agreement, dated December 7, 2020 by and among the Company, the Acquired Company, the Sellers and the Securityholders’</w:t>
              </w:r>
            </w:hyperlink>
          </w:p>
        </w:tc>
        <w:tc>
          <w:tcPr>
            <w:tcW w:w="500" w:type="dxa"/>
            <w:vAlign w:val="bottom"/>
            <w:tcBorders>
              <w:top w:val="single" w:sz="8" w:color="auto"/>
            </w:tcBorders>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Representative (incorporated by reference to Exhibit 2.1 to MannKind’s Current Report on Form 8-K (File No. 000-50865), filed with the SEC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69">
              <w:r>
                <w:rPr>
                  <w:rFonts w:ascii="Arial" w:cs="Arial" w:eastAsia="Arial" w:hAnsi="Arial"/>
                  <w:sz w:val="18"/>
                  <w:szCs w:val="18"/>
                  <w:color w:val="0000EE"/>
                  <w:w w:val="87"/>
                </w:rPr>
                <w:t>on December 7, 2020).</w:t>
              </w:r>
            </w:hyperlink>
          </w:p>
        </w:tc>
        <w:tc>
          <w:tcPr>
            <w:tcW w:w="8640" w:type="dxa"/>
            <w:vAlign w:val="bottom"/>
            <w:tcBorders>
              <w:top w:val="single" w:sz="8" w:color="0000EE"/>
            </w:tcBorders>
            <w:gridSpan w:val="2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40" w:type="dxa"/>
            <w:vAlign w:val="bottom"/>
            <w:tcBorders>
              <w:bottom w:val="single" w:sz="8" w:color="0000EE"/>
            </w:tcBorders>
            <w:gridSpan w:val="27"/>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Amended and Restated Certificate of Incorporation (incorporated by reference to Exhibit 3.1 to MannKind’s Quarterly Report on Form 10-Q</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(File No. 000-50865), filed with the SEC on August 9, 2016).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Exhibit 3.1 to MannKind’s Current Report on Form 8-K (File No. 000-50865), filed with the SEC on March 2, 2017).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Exhibit 3.1 to MannKind’s Current Report on Form 8-K (File No. 000-50865), filed with the SEC on December 13, 2017).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Exhibit 3.1 to MannKind’s Current Report on Form 8-K (File No. 000-50865), filed with the SEC on May 27, 2020).</w:t>
              </w:r>
            </w:hyperlink>
          </w:p>
        </w:tc>
        <w:tc>
          <w:tcPr>
            <w:tcW w:w="18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300" w:type="dxa"/>
            <w:vAlign w:val="bottom"/>
            <w:gridSpan w:val="30"/>
          </w:tcPr>
          <w:p>
            <w:pPr>
              <w:spacing w:after="0"/>
              <w:rPr>
                <w:rFonts w:ascii="Arial" w:cs="Arial" w:eastAsia="Arial" w:hAnsi="Arial"/>
                <w:sz w:val="18"/>
                <w:szCs w:val="18"/>
                <w:color w:val="0000EE"/>
                <w:w w:val="93"/>
              </w:rPr>
            </w:pPr>
            <w:hyperlink r:id="rId74">
              <w:r>
                <w:rPr>
                  <w:rFonts w:ascii="Arial" w:cs="Arial" w:eastAsia="Arial" w:hAnsi="Arial"/>
                  <w:sz w:val="18"/>
                  <w:szCs w:val="18"/>
                  <w:color w:val="0000EE"/>
                  <w:w w:val="93"/>
                </w:rPr>
                <w:t>Amended and Restated Bylaws (incorporated by reference to Exhibit 3.2 to MannKind’s Current Report on Form 8-K (File No. 000-50865),</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filed with the SEC on May 27, 2020).</w:t>
              </w:r>
            </w:hyperlink>
          </w:p>
        </w:tc>
        <w:tc>
          <w:tcPr>
            <w:tcW w:w="7380" w:type="dxa"/>
            <w:vAlign w:val="bottom"/>
            <w:tcBorders>
              <w:top w:val="single" w:sz="8" w:color="0000EE"/>
            </w:tcBorders>
            <w:gridSpan w:val="18"/>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300" w:type="dxa"/>
            <w:vAlign w:val="bottom"/>
            <w:gridSpan w:val="30"/>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70">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71">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72">
              <w:r>
                <w:rPr>
                  <w:rFonts w:ascii="Arial" w:cs="Arial" w:eastAsia="Arial" w:hAnsi="Arial"/>
                  <w:sz w:val="18"/>
                  <w:szCs w:val="18"/>
                  <w:color w:val="0000EE"/>
                </w:rPr>
                <w:t>3.3</w:t>
              </w:r>
            </w:hyperlink>
            <w:r>
              <w:rPr>
                <w:rFonts w:ascii="Arial" w:cs="Arial" w:eastAsia="Arial" w:hAnsi="Arial"/>
                <w:sz w:val="18"/>
                <w:szCs w:val="18"/>
                <w:color w:val="auto"/>
              </w:rPr>
              <w:t xml:space="preserve">, </w:t>
            </w:r>
            <w:hyperlink r:id="rId73">
              <w:r>
                <w:rPr>
                  <w:rFonts w:ascii="Arial" w:cs="Arial" w:eastAsia="Arial" w:hAnsi="Arial"/>
                  <w:sz w:val="18"/>
                  <w:szCs w:val="18"/>
                  <w:color w:val="0000EE"/>
                </w:rPr>
                <w:t>3.4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74">
              <w:r>
                <w:rPr>
                  <w:rFonts w:ascii="Arial" w:cs="Arial" w:eastAsia="Arial" w:hAnsi="Arial"/>
                  <w:sz w:val="18"/>
                  <w:szCs w:val="18"/>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9800" w:type="dxa"/>
            <w:vAlign w:val="bottom"/>
            <w:tcBorders>
              <w:bottom w:val="single" w:sz="8" w:color="0000EE"/>
            </w:tcBorders>
            <w:gridSpan w:val="21"/>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8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120" w:type="dxa"/>
            <w:vAlign w:val="bottom"/>
            <w:tcBorders>
              <w:bottom w:val="single" w:sz="8" w:color="0000EE"/>
            </w:tcBorders>
            <w:gridSpan w:val="26"/>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Description of Common Stock (incorporated by reference to Exhibit 4.3 to MannKind’s Annual Report on Form 10-K (File No. 000-50865),</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filed with the SEC on February 25, 2021).</w:t>
              </w:r>
            </w:hyperlink>
          </w:p>
        </w:tc>
        <w:tc>
          <w:tcPr>
            <w:tcW w:w="72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300" w:type="dxa"/>
            <w:vAlign w:val="bottom"/>
            <w:gridSpan w:val="30"/>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Milestone Rights Purchase Agreement, dated as of July 1, 2013, by and among MannKind, Deerfield Private Design Fund II, L.P. and Horizon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3"/>
              </w:rPr>
            </w:pPr>
            <w:hyperlink r:id="rId77">
              <w:r>
                <w:rPr>
                  <w:rFonts w:ascii="Arial" w:cs="Arial" w:eastAsia="Arial" w:hAnsi="Arial"/>
                  <w:sz w:val="18"/>
                  <w:szCs w:val="18"/>
                  <w:color w:val="0000EE"/>
                  <w:w w:val="93"/>
                </w:rPr>
                <w:t>Santé FLML SÁRL (incorporated by reference to Exhibit 99.3 to MannKind’s Current Report on Form 8-K (File No. 000-50865), filed with</w:t>
              </w:r>
            </w:hyperlink>
          </w:p>
        </w:tc>
        <w:tc>
          <w:tcPr>
            <w:tcW w:w="16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the SEC on July 1, 2013).</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540" w:type="dxa"/>
            <w:vAlign w:val="bottom"/>
            <w:gridSpan w:val="1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300" w:type="dxa"/>
            <w:vAlign w:val="bottom"/>
            <w:gridSpan w:val="30"/>
          </w:tcPr>
          <w:p>
            <w:pPr>
              <w:spacing w:after="0"/>
              <w:rPr>
                <w:rFonts w:ascii="Arial" w:cs="Arial" w:eastAsia="Arial" w:hAnsi="Arial"/>
                <w:sz w:val="18"/>
                <w:szCs w:val="18"/>
                <w:color w:val="0000EE"/>
                <w:w w:val="98"/>
              </w:rPr>
            </w:pPr>
            <w:hyperlink r:id="rId78">
              <w:r>
                <w:rPr>
                  <w:rFonts w:ascii="Arial" w:cs="Arial" w:eastAsia="Arial" w:hAnsi="Arial"/>
                  <w:sz w:val="18"/>
                  <w:szCs w:val="18"/>
                  <w:color w:val="0000EE"/>
                  <w:w w:val="98"/>
                </w:rPr>
                <w:t>Form of Warrant to Purchase Stock issued to MidCap Financial Trust on August 6, 2019 (incorporated by reference to Exhibit 4.1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 xml:space="preserve">MannKind’s Current Report on Form 8-K (File No. 000-50865), </w:t>
              </w:r>
              <w:r>
                <w:rPr>
                  <w:rFonts w:ascii="Arial" w:cs="Arial" w:eastAsia="Arial" w:hAnsi="Arial"/>
                  <w:sz w:val="10"/>
                  <w:szCs w:val="10"/>
                  <w:color w:val="0000EE"/>
                  <w:w w:val="94"/>
                </w:rPr>
                <w:t>filed with the SEC on August 7, 2019).</w:t>
              </w:r>
            </w:hyperlink>
          </w:p>
        </w:tc>
        <w:tc>
          <w:tcPr>
            <w:tcW w:w="3140" w:type="dxa"/>
            <w:vAlign w:val="bottom"/>
            <w:tcBorders>
              <w:top w:val="single" w:sz="8" w:color="0000EE"/>
            </w:tcBorders>
            <w:gridSpan w:val="4"/>
          </w:tcPr>
          <w:p>
            <w:pPr>
              <w:spacing w:after="0"/>
              <w:rPr>
                <w:sz w:val="17"/>
                <w:szCs w:val="17"/>
                <w:color w:val="auto"/>
              </w:rPr>
            </w:pPr>
          </w:p>
        </w:tc>
        <w:tc>
          <w:tcPr>
            <w:tcW w:w="7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9860" w:type="dxa"/>
            <w:vAlign w:val="bottom"/>
            <w:tcBorders>
              <w:bottom w:val="single" w:sz="8" w:color="0000EE"/>
            </w:tcBorders>
            <w:gridSpan w:val="22"/>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Convertible Promissory Note made by MannKind Corporation in favor of The Mann Group LLC, dated August 6, 2019 (incorporated by</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reference to Exhibit 4.6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45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tcBorders>
              <w:top w:val="single" w:sz="8" w:color="0000EE"/>
            </w:tcBorders>
            <w:gridSpan w:val="16"/>
          </w:tcPr>
          <w:p>
            <w:pPr>
              <w:ind w:left="4600"/>
              <w:spacing w:after="0"/>
              <w:rPr>
                <w:sz w:val="20"/>
                <w:szCs w:val="20"/>
                <w:color w:val="auto"/>
              </w:rPr>
            </w:pPr>
            <w:r>
              <w:rPr>
                <w:rFonts w:ascii="Arial" w:cs="Arial" w:eastAsia="Arial" w:hAnsi="Arial"/>
                <w:sz w:val="18"/>
                <w:szCs w:val="18"/>
                <w:color w:val="auto"/>
              </w:rPr>
              <w:t>54</w:t>
            </w:r>
          </w:p>
        </w:tc>
        <w:tc>
          <w:tcPr>
            <w:tcW w:w="20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40" w:type="dxa"/>
            <w:vAlign w:val="bottom"/>
            <w:gridSpan w:val="31"/>
            <w:vMerge w:val="restart"/>
          </w:tcPr>
          <w:p>
            <w:pPr>
              <w:ind w:left="6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40" w:type="dxa"/>
            <w:vAlign w:val="bottom"/>
            <w:gridSpan w:val="3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300" w:type="dxa"/>
            <w:vAlign w:val="bottom"/>
            <w:tcBorders>
              <w:top w:val="single" w:sz="8" w:color="auto"/>
            </w:tcBorders>
            <w:gridSpan w:val="38"/>
          </w:tcPr>
          <w:p>
            <w:pPr>
              <w:spacing w:after="0"/>
              <w:rPr>
                <w:rFonts w:ascii="Arial" w:cs="Arial" w:eastAsia="Arial" w:hAnsi="Arial"/>
                <w:sz w:val="18"/>
                <w:szCs w:val="18"/>
                <w:color w:val="0000EE"/>
                <w:w w:val="96"/>
              </w:rPr>
            </w:pPr>
            <w:hyperlink r:id="rId82">
              <w:r>
                <w:rPr>
                  <w:rFonts w:ascii="Arial" w:cs="Arial" w:eastAsia="Arial" w:hAnsi="Arial"/>
                  <w:sz w:val="18"/>
                  <w:szCs w:val="18"/>
                  <w:color w:val="0000EE"/>
                  <w:w w:val="96"/>
                </w:rPr>
                <w:t>Amendment No. 1 to Convertible Promissory Note, dated April 22, 2021, by and between MannKind Corporation and The Mann Group</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38"/>
          </w:tcPr>
          <w:p>
            <w:pPr>
              <w:spacing w:after="0" w:line="196" w:lineRule="exact"/>
              <w:rPr>
                <w:rFonts w:ascii="Arial" w:cs="Arial" w:eastAsia="Arial" w:hAnsi="Arial"/>
                <w:sz w:val="18"/>
                <w:szCs w:val="18"/>
                <w:color w:val="0000EE"/>
                <w:w w:val="96"/>
              </w:rPr>
            </w:pPr>
            <w:hyperlink r:id="rId82">
              <w:r>
                <w:rPr>
                  <w:rFonts w:ascii="Arial" w:cs="Arial" w:eastAsia="Arial" w:hAnsi="Arial"/>
                  <w:sz w:val="18"/>
                  <w:szCs w:val="18"/>
                  <w:color w:val="0000EE"/>
                  <w:w w:val="96"/>
                </w:rPr>
                <w:t>LLC (incorporated by reference to Exhibit 99.2 to MannKind’s Current Report on Form 8-K (File No. 000-50865), filed with the SEC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April 26, 2021).</w:t>
              </w:r>
            </w:hyperlink>
          </w:p>
        </w:tc>
        <w:tc>
          <w:tcPr>
            <w:tcW w:w="8720" w:type="dxa"/>
            <w:vAlign w:val="bottom"/>
            <w:tcBorders>
              <w:top w:val="single" w:sz="8" w:color="0000EE"/>
            </w:tcBorders>
            <w:gridSpan w:val="23"/>
          </w:tcPr>
          <w:p>
            <w:pPr>
              <w:spacing w:after="0"/>
              <w:rPr>
                <w:sz w:val="17"/>
                <w:szCs w:val="17"/>
                <w:color w:val="auto"/>
              </w:rPr>
            </w:pPr>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38"/>
          </w:tcPr>
          <w:p>
            <w:pPr>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Exhibit 4.7 to MannKind’s Current Report on Form 8-K (File No. 000-50865), filed with the SEC on August 7, 2019).</w:t>
              </w:r>
            </w:hyperlink>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EE"/>
            </w:tcBorders>
            <w:gridSpan w:val="33"/>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Indenture, dated as of March 4, 2021, by and between MannKind Corporation and U.S. Bank National Association, as Trustee (incorporated</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by reference to Exhibit 4.1 to MannKind’s Current Report on Form 8-K (File No. 000-50865), filed with the SEC on March 5, 2021).</w:t>
              </w:r>
            </w:hyperlink>
          </w:p>
        </w:tc>
        <w:tc>
          <w:tcPr>
            <w:tcW w:w="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tcBorders>
              <w:bottom w:val="single" w:sz="8" w:color="0000EE"/>
            </w:tcBorders>
            <w:gridSpan w:val="38"/>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Form of Global Note, representing MannKind Corporation’s 2.50% Convertible Senior Notes due 2026 (included as Exhibit A to the Indenture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filed as Exhibit 4.15) (incorporated by reference to Exhibit 4.2 to MannKind’s Current Report on Form 8-K (File No. 000-50865), filed with</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38"/>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the SEC on March 5, 2021).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10100" w:type="dxa"/>
            <w:vAlign w:val="bottom"/>
            <w:tcBorders>
              <w:bottom w:val="single" w:sz="8" w:color="0000EE"/>
            </w:tcBorders>
            <w:gridSpan w:val="32"/>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Offer Letter Agreement, dated July 12, 2017, by and between MannKind and Steven B. Binder (incorporated by reference to Exhibit 99.1 to</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MannKind’s Current Report on Form 8-K (File No. 000-50865), filed with the SEC on July 17, 2017).</w:t>
              </w:r>
            </w:hyperlink>
          </w:p>
        </w:tc>
        <w:tc>
          <w:tcPr>
            <w:tcW w:w="29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9680" w:type="dxa"/>
            <w:vAlign w:val="bottom"/>
            <w:tcBorders>
              <w:bottom w:val="single" w:sz="8" w:color="0000EE"/>
            </w:tcBorders>
            <w:gridSpan w:val="23"/>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Offer Letter, dated March 9, 2016, by and between MannKind and Michael E. Castagna (incorporated by reference to Exhibit 10.38 to</w:t>
              </w:r>
            </w:hyperlink>
          </w:p>
        </w:tc>
        <w:tc>
          <w:tcPr>
            <w:tcW w:w="6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MannKind’s Annual Report on Form 10-K (File No. 000-50865), filed with the SEC on March 15, 2016).</w:t>
              </w:r>
            </w:hyperlink>
          </w:p>
        </w:tc>
        <w:tc>
          <w:tcPr>
            <w:tcW w:w="27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10320" w:type="dxa"/>
            <w:vAlign w:val="bottom"/>
            <w:gridSpan w:val="39"/>
          </w:tcPr>
          <w:p>
            <w:pPr>
              <w:spacing w:after="0"/>
              <w:rPr>
                <w:rFonts w:ascii="Arial" w:cs="Arial" w:eastAsia="Arial" w:hAnsi="Arial"/>
                <w:sz w:val="18"/>
                <w:szCs w:val="18"/>
                <w:color w:val="0000EE"/>
                <w:w w:val="99"/>
              </w:rPr>
            </w:pPr>
            <w:hyperlink r:id="rId88">
              <w:r>
                <w:rPr>
                  <w:rFonts w:ascii="Arial" w:cs="Arial" w:eastAsia="Arial" w:hAnsi="Arial"/>
                  <w:sz w:val="18"/>
                  <w:szCs w:val="18"/>
                  <w:color w:val="0000EE"/>
                  <w:w w:val="99"/>
                </w:rPr>
                <w:t>Offer Letter, dated December 22, 2016, by and between MannKind and Stuart Tross (incorporated by reference to Exhibit 10.36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MannKind’s Annual Report on Form 10-K (File No. 000-50865), filed with the SEC on March 16, 2017).</w:t>
              </w:r>
            </w:hyperlink>
          </w:p>
        </w:tc>
        <w:tc>
          <w:tcPr>
            <w:tcW w:w="1780" w:type="dxa"/>
            <w:vAlign w:val="bottom"/>
            <w:tcBorders>
              <w:top w:val="single" w:sz="8" w:color="0000EE"/>
            </w:tcBorders>
            <w:gridSpan w:val="6"/>
          </w:tcPr>
          <w:p>
            <w:pPr>
              <w:spacing w:after="0"/>
              <w:rPr>
                <w:sz w:val="17"/>
                <w:szCs w:val="17"/>
                <w:color w:val="auto"/>
              </w:rPr>
            </w:pPr>
          </w:p>
        </w:tc>
        <w:tc>
          <w:tcPr>
            <w:tcW w:w="9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10220" w:type="dxa"/>
            <w:vAlign w:val="bottom"/>
            <w:tcBorders>
              <w:bottom w:val="single" w:sz="8" w:color="0000EE"/>
            </w:tcBorders>
            <w:gridSpan w:val="36"/>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Offer Letter, dated May 7, 2020 by and between MannKind and Alejandro Galindo (incorporated by reference to Exhibit 10.4 to MannKind’s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20" w:type="dxa"/>
            <w:vAlign w:val="bottom"/>
            <w:gridSpan w:val="3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Annual Report on Form 10-K (File No. 000-50865), filed with the SEC on February 25, 2021).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10320" w:type="dxa"/>
            <w:vAlign w:val="bottom"/>
            <w:gridSpan w:val="39"/>
          </w:tcPr>
          <w:p>
            <w:pPr>
              <w:spacing w:after="0"/>
              <w:rPr>
                <w:rFonts w:ascii="Arial" w:cs="Arial" w:eastAsia="Arial" w:hAnsi="Arial"/>
                <w:sz w:val="18"/>
                <w:szCs w:val="18"/>
                <w:color w:val="0000EE"/>
                <w:w w:val="99"/>
              </w:rPr>
            </w:pPr>
            <w:hyperlink r:id="rId90">
              <w:r>
                <w:rPr>
                  <w:rFonts w:ascii="Arial" w:cs="Arial" w:eastAsia="Arial" w:hAnsi="Arial"/>
                  <w:sz w:val="18"/>
                  <w:szCs w:val="18"/>
                  <w:color w:val="0000EE"/>
                  <w:w w:val="99"/>
                </w:rPr>
                <w:t>Offer Letter, dated August 11, 2003, by and between MannKind and Joseph Kocinsky (incorporated by reference to Exhibit 10.5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MannKind’s Annual Report on Form 10-K (File No. 000-50865), filed with the SEC on February 25, 2021).</w:t>
              </w:r>
            </w:hyperlink>
          </w:p>
        </w:tc>
        <w:tc>
          <w:tcPr>
            <w:tcW w:w="1640" w:type="dxa"/>
            <w:vAlign w:val="bottom"/>
            <w:tcBorders>
              <w:top w:val="single" w:sz="8" w:color="0000EE"/>
            </w:tcBorders>
            <w:gridSpan w:val="6"/>
          </w:tcPr>
          <w:p>
            <w:pPr>
              <w:spacing w:after="0"/>
              <w:rPr>
                <w:sz w:val="17"/>
                <w:szCs w:val="17"/>
                <w:color w:val="auto"/>
              </w:rPr>
            </w:pPr>
          </w:p>
        </w:tc>
        <w:tc>
          <w:tcPr>
            <w:tcW w:w="8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10240" w:type="dxa"/>
            <w:vAlign w:val="bottom"/>
            <w:tcBorders>
              <w:bottom w:val="single" w:sz="8" w:color="0000EE"/>
            </w:tcBorders>
            <w:gridSpan w:val="37"/>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Executive Severance Agreement, dated October 10, 2007, between MannKind and David Thomson (incorporated by reference to Exhibit 99.1</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to MannKind’s Current Report on Form 8-K (File No. 000-50865), as amended, filed with the SEC on October 17, 2007).</w:t>
              </w:r>
            </w:hyperlink>
          </w:p>
        </w:tc>
        <w:tc>
          <w:tcPr>
            <w:tcW w:w="15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4"/>
                <w:szCs w:val="24"/>
                <w:color w:val="auto"/>
              </w:rPr>
            </w:pPr>
          </w:p>
        </w:tc>
        <w:tc>
          <w:tcPr>
            <w:tcW w:w="10320" w:type="dxa"/>
            <w:vAlign w:val="bottom"/>
            <w:tcBorders>
              <w:bottom w:val="single" w:sz="8" w:color="0000EE"/>
            </w:tcBorders>
            <w:gridSpan w:val="39"/>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Form of Indemnity Agreement entered into between MannKind and each of its directors and officers (incorporated by reference to Exhibit 10.1</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20" w:type="dxa"/>
            <w:vAlign w:val="bottom"/>
            <w:gridSpan w:val="39"/>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to MannKind’s Registration Statement on Form S-1 (File No. 333-115020), filed with the SEC on April 30, 2004, as amended).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10220" w:type="dxa"/>
            <w:vAlign w:val="bottom"/>
            <w:tcBorders>
              <w:bottom w:val="single" w:sz="8" w:color="0000EE"/>
            </w:tcBorders>
            <w:gridSpan w:val="36"/>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Form of Change of Control Agreement (incorporated by reference to Exhibit 99.1 to MannKind’s Current Report on Form 8-K (File No. 000-</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50865)</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 xml:space="preserve"> filed with the SEC on April 7, 2017).</w:t>
              </w:r>
            </w:hyperlink>
          </w:p>
        </w:tc>
        <w:tc>
          <w:tcPr>
            <w:tcW w:w="704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10200" w:type="dxa"/>
            <w:vAlign w:val="bottom"/>
            <w:tcBorders>
              <w:bottom w:val="single" w:sz="8" w:color="0000EE"/>
            </w:tcBorders>
            <w:gridSpan w:val="35"/>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Description of Officers’ Incentive Program (incorporated by reference to Exhibit 10.5 to MannKind’s Annual Report on Form 10-K (File No.</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20" w:type="dxa"/>
            <w:vAlign w:val="bottom"/>
            <w:gridSpan w:val="39"/>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000-50865), filed with the SEC on March 16, 2006).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24"/>
                <w:szCs w:val="24"/>
                <w:color w:val="auto"/>
              </w:rPr>
            </w:pPr>
          </w:p>
        </w:tc>
        <w:tc>
          <w:tcPr>
            <w:tcW w:w="10280" w:type="dxa"/>
            <w:vAlign w:val="bottom"/>
            <w:tcBorders>
              <w:bottom w:val="single" w:sz="8" w:color="0000EE"/>
            </w:tcBorders>
            <w:gridSpan w:val="38"/>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2004 Equity Incentive Plan, as amended (incorporated by reference to Appendix A to MannKind’s proxy statement on Schedule 14A (File No.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20" w:type="dxa"/>
            <w:vAlign w:val="bottom"/>
            <w:gridSpan w:val="39"/>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000-50865), filed with the SEC on April 6, 2012).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10320" w:type="dxa"/>
            <w:vAlign w:val="bottom"/>
            <w:gridSpan w:val="39"/>
          </w:tcPr>
          <w:p>
            <w:pPr>
              <w:spacing w:after="0"/>
              <w:rPr>
                <w:rFonts w:ascii="Arial" w:cs="Arial" w:eastAsia="Arial" w:hAnsi="Arial"/>
                <w:sz w:val="18"/>
                <w:szCs w:val="18"/>
                <w:color w:val="0000EE"/>
                <w:w w:val="93"/>
              </w:rPr>
            </w:pPr>
            <w:hyperlink r:id="rId96">
              <w:r>
                <w:rPr>
                  <w:rFonts w:ascii="Arial" w:cs="Arial" w:eastAsia="Arial" w:hAnsi="Arial"/>
                  <w:sz w:val="18"/>
                  <w:szCs w:val="18"/>
                  <w:color w:val="0000EE"/>
                  <w:w w:val="93"/>
                </w:rPr>
                <w:t>Form of Stock Option Agreement under the 2004 Equity Incentive Plan (incorporated by reference to Exhibit 10.2 MannKind’s Registration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Statement on Form S-1 (File No. 333-115020), originally filed with the SEC on April 30, 2004, as amended).</w:t>
              </w:r>
            </w:hyperlink>
          </w:p>
        </w:tc>
        <w:tc>
          <w:tcPr>
            <w:tcW w:w="2220" w:type="dxa"/>
            <w:vAlign w:val="bottom"/>
            <w:tcBorders>
              <w:top w:val="single" w:sz="8" w:color="0000EE"/>
            </w:tcBorders>
            <w:gridSpan w:val="16"/>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24"/>
                <w:szCs w:val="24"/>
                <w:color w:val="auto"/>
              </w:rPr>
            </w:pPr>
          </w:p>
        </w:tc>
        <w:tc>
          <w:tcPr>
            <w:tcW w:w="10320" w:type="dxa"/>
            <w:vAlign w:val="bottom"/>
            <w:gridSpan w:val="39"/>
          </w:tcPr>
          <w:p>
            <w:pPr>
              <w:spacing w:after="0"/>
              <w:rPr>
                <w:rFonts w:ascii="Arial" w:cs="Arial" w:eastAsia="Arial" w:hAnsi="Arial"/>
                <w:sz w:val="18"/>
                <w:szCs w:val="18"/>
                <w:color w:val="0000EE"/>
                <w:w w:val="94"/>
              </w:rPr>
            </w:pPr>
            <w:hyperlink r:id="rId97">
              <w:r>
                <w:rPr>
                  <w:rFonts w:ascii="Arial" w:cs="Arial" w:eastAsia="Arial" w:hAnsi="Arial"/>
                  <w:sz w:val="18"/>
                  <w:szCs w:val="18"/>
                  <w:color w:val="0000EE"/>
                  <w:w w:val="94"/>
                </w:rPr>
                <w:t>Form of Phantom Stock Award Agreement under the 2004 Equity Incentive Plan (incorporated by reference to Exhibit 99.1 to MannKind’s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Current Report on Form 8-K (File No. 000-50865), filed with the SEC on December 14, 2005).</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4"/>
                <w:szCs w:val="24"/>
                <w:color w:val="auto"/>
              </w:rPr>
            </w:pPr>
          </w:p>
        </w:tc>
        <w:tc>
          <w:tcPr>
            <w:tcW w:w="10320" w:type="dxa"/>
            <w:vAlign w:val="bottom"/>
            <w:gridSpan w:val="39"/>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2004 Non-Employee Directors’ Stock Option Plan and form of stock option agreement there under (incorporated by reference to Exhibit 10.20</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to MannKind’s Annual Report on Form 10-K (File No. 000-50865), filed with the SEC on March 16, 2006).</w:t>
              </w:r>
            </w:hyperlink>
          </w:p>
        </w:tc>
        <w:tc>
          <w:tcPr>
            <w:tcW w:w="2480" w:type="dxa"/>
            <w:vAlign w:val="bottom"/>
            <w:tcBorders>
              <w:top w:val="single" w:sz="8" w:color="0000EE"/>
            </w:tcBorders>
            <w:gridSpan w:val="2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9980" w:type="dxa"/>
            <w:vAlign w:val="bottom"/>
            <w:tcBorders>
              <w:bottom w:val="single" w:sz="8" w:color="0000EE"/>
            </w:tcBorders>
            <w:gridSpan w:val="28"/>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Non-Employee Director Compensation Program (incorporated by reference to Exhibit 10.15 to MannKind’s Annual Report on Form 10-K</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20" w:type="dxa"/>
            <w:vAlign w:val="bottom"/>
            <w:gridSpan w:val="3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(File No. 000-50865), filed with the SEC on February 26, 2019).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80" w:type="dxa"/>
            <w:vAlign w:val="bottom"/>
            <w:gridSpan w:val="1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10120" w:type="dxa"/>
            <w:vAlign w:val="bottom"/>
            <w:tcBorders>
              <w:bottom w:val="single" w:sz="8" w:color="0000EE"/>
            </w:tcBorders>
            <w:gridSpan w:val="33"/>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MannKind Corporation 2013 Equity Incentive Plan, as amended (incorporated by reference to Exhibit 10.1 to MannKind’s Quarterly Report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on Form 10-Q (File No. 000-50865), filed with the SEC on August 9, 2016).</w:t>
              </w:r>
            </w:hyperlink>
          </w:p>
        </w:tc>
        <w:tc>
          <w:tcPr>
            <w:tcW w:w="48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9700" w:type="dxa"/>
            <w:vAlign w:val="bottom"/>
            <w:tcBorders>
              <w:bottom w:val="single" w:sz="8" w:color="0000EE"/>
            </w:tcBorders>
            <w:gridSpan w:val="24"/>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Form of Stock Option Grant Notice, Stock Option Agreement and Notice of Exercise under the MannKind 2013 Equity Incentive Plan</w:t>
              </w:r>
            </w:hyperlink>
          </w:p>
        </w:tc>
        <w:tc>
          <w:tcPr>
            <w:tcW w:w="6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(incorporated by reference to Exhibit 99.2 to MannKind’s registration statement on Form S-8(File No. 000-188790), filed with the SEC on</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May 23, 2013).</w:t>
              </w:r>
            </w:hyperlink>
          </w:p>
        </w:tc>
        <w:tc>
          <w:tcPr>
            <w:tcW w:w="918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9980" w:type="dxa"/>
            <w:vAlign w:val="bottom"/>
            <w:tcBorders>
              <w:bottom w:val="single" w:sz="8" w:color="0000EE"/>
            </w:tcBorders>
            <w:gridSpan w:val="28"/>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Restricted Stock Unit Grant Notice and Restricted Stock Unit Award Agreement under the MannKind 2013 Equity Incentive Plan</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(incorporated by reference to Exhibit 99.3 to MannKind’s registration statement on Form S-8 (File No. 000-188790), filed with the SEC on</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May 23, 2013).</w:t>
              </w:r>
            </w:hyperlink>
          </w:p>
        </w:tc>
        <w:tc>
          <w:tcPr>
            <w:tcW w:w="92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20" w:type="dxa"/>
            <w:vAlign w:val="bottom"/>
            <w:gridSpan w:val="10"/>
          </w:tcPr>
          <w:p>
            <w:pPr>
              <w:ind w:left="4620"/>
              <w:spacing w:after="0"/>
              <w:rPr>
                <w:sz w:val="20"/>
                <w:szCs w:val="20"/>
                <w:color w:val="auto"/>
              </w:rPr>
            </w:pPr>
            <w:r>
              <w:rPr>
                <w:rFonts w:ascii="Arial" w:cs="Arial" w:eastAsia="Arial" w:hAnsi="Arial"/>
                <w:sz w:val="18"/>
                <w:szCs w:val="18"/>
                <w:color w:val="auto"/>
              </w:rPr>
              <w:t>55</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6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60" w:type="dxa"/>
            <w:vAlign w:val="bottom"/>
            <w:tcBorders>
              <w:bottom w:val="single" w:sz="8" w:color="auto"/>
            </w:tcBorders>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MannKind Corporation 2018 Equity Incentive Plan, as amended (incorporated by reference to Exhibit 10.1 to MannKind’s Quarterly Report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on Form 10-Q (File No. 000-50865), filed with the SEC on August 5, 2020).</w:t>
              </w:r>
            </w:hyperlink>
          </w:p>
        </w:tc>
        <w:tc>
          <w:tcPr>
            <w:tcW w:w="4580" w:type="dxa"/>
            <w:vAlign w:val="bottom"/>
            <w:tcBorders>
              <w:top w:val="single" w:sz="8" w:color="0000EE"/>
            </w:tcBorders>
            <w:gridSpan w:val="15"/>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9700" w:type="dxa"/>
            <w:vAlign w:val="bottom"/>
            <w:tcBorders>
              <w:bottom w:val="single" w:sz="8" w:color="0000EE"/>
            </w:tcBorders>
            <w:gridSpan w:val="21"/>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Stock Option Grant Notice, Stock Option Agreement and Notice of Exercise under the MannKind 2018 Equity Incentive Plan</w:t>
              </w:r>
            </w:hyperlink>
          </w:p>
        </w:tc>
        <w:tc>
          <w:tcPr>
            <w:tcW w:w="6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(incorporated by reference to Exhibit 99.2 to MannKind’s registration statement on Form S-8 (File No. 333-226648), filed with the SEC on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August 7,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9980" w:type="dxa"/>
            <w:vAlign w:val="bottom"/>
            <w:tcBorders>
              <w:bottom w:val="single" w:sz="8" w:color="0000EE"/>
            </w:tcBorders>
            <w:gridSpan w:val="25"/>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Restricted Stock Unit Grant Notice and Restricted Stock Unit Award Agreement under the MannKind 2018 Equity Incentive Plan</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(incorporated by reference to Exhibit 99.3 to MannKind’s registration statement on Form S-8 (File No. 333-226648), filed with the SEC on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August 7,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8"/>
              </w:rPr>
            </w:pPr>
            <w:hyperlink r:id="rId108">
              <w:r>
                <w:rPr>
                  <w:rFonts w:ascii="Arial" w:cs="Arial" w:eastAsia="Arial" w:hAnsi="Arial"/>
                  <w:sz w:val="18"/>
                  <w:szCs w:val="18"/>
                  <w:color w:val="0000EE"/>
                  <w:w w:val="98"/>
                </w:rPr>
                <w:t>MannKind Corporation 2004 Employee Stock Purchase Plan, as amended (incorporated by reference to Exhibit 99.4 to MannKind’s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registration statement Form S-8 (File No. 333-226648), filed with the SEC on August 7, 2018).</w:t>
              </w:r>
            </w:hyperlink>
          </w:p>
        </w:tc>
        <w:tc>
          <w:tcPr>
            <w:tcW w:w="2660" w:type="dxa"/>
            <w:vAlign w:val="bottom"/>
            <w:tcBorders>
              <w:top w:val="single" w:sz="8" w:color="0000EE"/>
            </w:tcBorders>
            <w:gridSpan w:val="4"/>
          </w:tcPr>
          <w:p>
            <w:pPr>
              <w:spacing w:after="0"/>
              <w:rPr>
                <w:sz w:val="17"/>
                <w:szCs w:val="17"/>
                <w:color w:val="auto"/>
              </w:rPr>
            </w:pPr>
          </w:p>
        </w:tc>
        <w:tc>
          <w:tcPr>
            <w:tcW w:w="7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MannKind Corporation Market Price Stock Purchase Plan (incorporated by reference to Exhibit 99.1 to MannKind’s registration statement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Form S-8 (File No. 333-225428), filed with the SEC on June 5, 2018).</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9960" w:type="dxa"/>
            <w:vAlign w:val="bottom"/>
            <w:tcBorders>
              <w:bottom w:val="single" w:sz="8" w:color="0000EE"/>
            </w:tcBorders>
            <w:gridSpan w:val="24"/>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Supply Agreement, dated as of July 31, 2014, by and between MannKind and Amphastar France Pharmaceuticals S.A.S. (incorporated by</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6"/>
              </w:rPr>
            </w:pPr>
            <w:hyperlink r:id="rId109">
              <w:r>
                <w:rPr>
                  <w:rFonts w:ascii="Arial" w:cs="Arial" w:eastAsia="Arial" w:hAnsi="Arial"/>
                  <w:sz w:val="18"/>
                  <w:szCs w:val="18"/>
                  <w:color w:val="0000EE"/>
                  <w:w w:val="96"/>
                </w:rPr>
                <w:t>reference to Exhibit 10.23 to MannKind’s Annual Report on Form 10-K (File No. 000-50865), filed with the SEC on February 25,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10140" w:type="dxa"/>
            <w:vAlign w:val="bottom"/>
            <w:tcBorders>
              <w:bottom w:val="single" w:sz="8" w:color="0000EE"/>
            </w:tcBorders>
            <w:gridSpan w:val="30"/>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First Amendment to Supply Agreement, dated October 31, 2014, by and between MannKind and Amphastar France Pharmaceuticals, S.A.S.</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and Amphastar Pharmaceuticals, Inc. (incorporated by reference to Exhibit 10.32 to MannKind’s Annual Report on Form 10-K (File No. 000-</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780" w:type="dxa"/>
            <w:vAlign w:val="bottom"/>
            <w:tcBorders>
              <w:top w:val="single" w:sz="8" w:color="0000EE"/>
            </w:tcBorders>
            <w:gridSpan w:val="21"/>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Second Amendment to Supply Agreement, dated November 9, 2016, by and between MannKind and Amphastar Pharmaceuticals,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(incorporated by reference to Exhibit 10.33 to MannKind’s Annual Report on Form 10-K (File No. 000-50865), filed with the SEC on March</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40" w:type="dxa"/>
            <w:vAlign w:val="bottom"/>
            <w:gridSpan w:val="5"/>
          </w:tcPr>
          <w:p>
            <w:pPr>
              <w:ind w:left="100"/>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16, 2017).</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10280" w:type="dxa"/>
            <w:vAlign w:val="bottom"/>
            <w:tcBorders>
              <w:bottom w:val="single" w:sz="8" w:color="0000EE"/>
            </w:tcBorders>
            <w:gridSpan w:val="33"/>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Third Amendment to Supply Agreement, dated April 11, 2018, by and between MannKind and Amphastar Pharmaceuticals, Inc.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by reference to Exhibit 10.8 to MannKind’s Quarterly Report on Form 10-Q (File No. 000-50865), filed with the SEC on May 9, 2018).</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5"/>
              </w:rPr>
            </w:pPr>
            <w:hyperlink r:id="rId113">
              <w:r>
                <w:rPr>
                  <w:rFonts w:ascii="Arial" w:cs="Arial" w:eastAsia="Arial" w:hAnsi="Arial"/>
                  <w:sz w:val="18"/>
                  <w:szCs w:val="18"/>
                  <w:color w:val="0000EE"/>
                  <w:w w:val="95"/>
                </w:rPr>
                <w:t>Fourth Amendment to Supply Agreement, dated December 24, 2018, by and between MannKind and Amphastar Pharmaceuticals, Inc.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(incorporated by reference to Exhibit 10.50 to MannKind’s Annual Report on Form 10-K (File No. 000-50865), filed with the SEC on</w:t>
              </w:r>
            </w:hyperlink>
          </w:p>
        </w:tc>
        <w:tc>
          <w:tcPr>
            <w:tcW w:w="20" w:type="dxa"/>
            <w:vAlign w:val="bottom"/>
            <w:tcBorders>
              <w:top w:val="single" w:sz="8" w:color="0000EE"/>
            </w:tcBorders>
          </w:tcPr>
          <w:p>
            <w:pPr>
              <w:spacing w:after="0"/>
              <w:rPr>
                <w:sz w:val="17"/>
                <w:szCs w:val="17"/>
                <w:color w:val="auto"/>
              </w:rPr>
            </w:pPr>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February 26,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Fifth Amendment to Supply Agreement, dated August 2, 2019, by and between MannKind Corporation and Amphastar Pharmaceuticals,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(incorporated by reference to Exhibit 99.5 to MannKind’s Current Report on Form 8-K (File No. 000-50865), filed with the SEC on August 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0" w:type="dxa"/>
            <w:vAlign w:val="bottom"/>
            <w:gridSpan w:val="4"/>
          </w:tcPr>
          <w:p>
            <w:pPr>
              <w:ind w:left="100"/>
              <w:spacing w:after="0" w:line="196" w:lineRule="exact"/>
              <w:rPr>
                <w:rFonts w:ascii="Arial" w:cs="Arial" w:eastAsia="Arial" w:hAnsi="Arial"/>
                <w:sz w:val="18"/>
                <w:szCs w:val="18"/>
                <w:color w:val="0000EE"/>
                <w:w w:val="86"/>
              </w:rPr>
            </w:pPr>
            <w:hyperlink r:id="rId114">
              <w:r>
                <w:rPr>
                  <w:rFonts w:ascii="Arial" w:cs="Arial" w:eastAsia="Arial" w:hAnsi="Arial"/>
                  <w:sz w:val="18"/>
                  <w:szCs w:val="18"/>
                  <w:color w:val="0000EE"/>
                  <w:w w:val="86"/>
                </w:rPr>
                <w:t>2019)</w:t>
              </w:r>
              <w:r>
                <w:rPr>
                  <w:rFonts w:ascii="Arial" w:cs="Arial" w:eastAsia="Arial" w:hAnsi="Arial"/>
                  <w:sz w:val="18"/>
                  <w:szCs w:val="18"/>
                  <w:color w:val="000000"/>
                  <w:w w:val="86"/>
                </w:rPr>
                <w:t>.</w:t>
              </w:r>
            </w:hyperlink>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10140" w:type="dxa"/>
            <w:vAlign w:val="bottom"/>
            <w:tcBorders>
              <w:bottom w:val="single" w:sz="8" w:color="0000EE"/>
            </w:tcBorders>
            <w:gridSpan w:val="30"/>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Sixth Amendment to Supply Agreement, dated May 24, 2021, by and between MannKind Corporation and Amphastar Pharmaceuticals, Inc.</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(incorporated by reference to Exhibit 99.1 to MannKind’s Current Report on Form 8-K (File No. 000-50865), filed with the SEC on May 25,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0" w:type="dxa"/>
            <w:vAlign w:val="bottom"/>
            <w:gridSpan w:val="4"/>
          </w:tcPr>
          <w:p>
            <w:pPr>
              <w:ind w:left="100"/>
              <w:spacing w:after="0" w:line="196" w:lineRule="exact"/>
              <w:rPr>
                <w:rFonts w:ascii="Arial" w:cs="Arial" w:eastAsia="Arial" w:hAnsi="Arial"/>
                <w:sz w:val="18"/>
                <w:szCs w:val="18"/>
                <w:color w:val="0000EE"/>
                <w:w w:val="86"/>
              </w:rPr>
            </w:pPr>
            <w:hyperlink r:id="rId115">
              <w:r>
                <w:rPr>
                  <w:rFonts w:ascii="Arial" w:cs="Arial" w:eastAsia="Arial" w:hAnsi="Arial"/>
                  <w:sz w:val="18"/>
                  <w:szCs w:val="18"/>
                  <w:color w:val="0000EE"/>
                  <w:w w:val="86"/>
                </w:rPr>
                <w:t>2021).</w:t>
              </w:r>
            </w:hyperlink>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Sublease Agreement, dated May 1, 2015, by and between MannKind and the Alfred Mann Foundation for Scientific Research (incorporated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by reference to Exhibit 10.37 to MannKind’s Annual Report on Form 10-K (File No. 000-50865), filed with the SEC on March 15, 2016).</w:t>
              </w:r>
            </w:hyperlink>
          </w:p>
        </w:tc>
        <w:tc>
          <w:tcPr>
            <w:tcW w:w="120" w:type="dxa"/>
            <w:vAlign w:val="bottom"/>
            <w:tcBorders>
              <w:top w:val="single" w:sz="8" w:color="0000EE"/>
            </w:tcBorders>
            <w:gridSpan w:val="4"/>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26"/>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Office Lease, dated May 5 2017, by and between MannKind and Russell Ranch Road II LLC. (incorporated by reference to Exhibit 10.3 to</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MannKind’s Quarterly Report on Form 10-Q (file No. 000-50865), filed with the SEC on August 7, 2017).</w:t>
              </w:r>
            </w:hyperlink>
          </w:p>
        </w:tc>
        <w:tc>
          <w:tcPr>
            <w:tcW w:w="2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vMerge w:val="restart"/>
          </w:tcPr>
          <w:p>
            <w:pPr>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1980" w:type="dxa"/>
            <w:vAlign w:val="bottom"/>
            <w:gridSpan w:val="9"/>
            <w:vMerge w:val="restart"/>
          </w:tcPr>
          <w:p>
            <w:pPr>
              <w:spacing w:after="0"/>
              <w:rPr>
                <w:rFonts w:ascii="Arial" w:cs="Arial" w:eastAsia="Arial" w:hAnsi="Arial"/>
                <w:sz w:val="18"/>
                <w:szCs w:val="18"/>
                <w:color w:val="0000EE"/>
                <w:w w:val="94"/>
              </w:rPr>
            </w:pPr>
            <w:hyperlink r:id="rId118">
              <w:r>
                <w:rPr>
                  <w:rFonts w:ascii="Arial" w:cs="Arial" w:eastAsia="Arial" w:hAnsi="Arial"/>
                  <w:sz w:val="18"/>
                  <w:szCs w:val="18"/>
                  <w:color w:val="0000EE"/>
                  <w:w w:val="94"/>
                </w:rPr>
                <w:t>Controlled Equity Offering</w:t>
              </w:r>
            </w:hyperlink>
          </w:p>
        </w:tc>
        <w:tc>
          <w:tcPr>
            <w:tcW w:w="120" w:type="dxa"/>
            <w:vAlign w:val="bottom"/>
            <w:tcBorders>
              <w:bottom w:val="single" w:sz="8" w:color="0000EE"/>
            </w:tcBorders>
          </w:tcPr>
          <w:p>
            <w:pPr>
              <w:spacing w:after="0"/>
              <w:rPr>
                <w:rFonts w:ascii="Arial" w:cs="Arial" w:eastAsia="Arial" w:hAnsi="Arial"/>
                <w:sz w:val="9"/>
                <w:szCs w:val="9"/>
                <w:color w:val="0000EE"/>
                <w:w w:val="73"/>
              </w:rPr>
            </w:pPr>
            <w:hyperlink r:id="rId118">
              <w:r>
                <w:rPr>
                  <w:rFonts w:ascii="Arial" w:cs="Arial" w:eastAsia="Arial" w:hAnsi="Arial"/>
                  <w:sz w:val="9"/>
                  <w:szCs w:val="9"/>
                  <w:color w:val="0000EE"/>
                  <w:w w:val="73"/>
                </w:rPr>
                <w:t>SM</w:t>
              </w:r>
            </w:hyperlink>
          </w:p>
        </w:tc>
        <w:tc>
          <w:tcPr>
            <w:tcW w:w="8200" w:type="dxa"/>
            <w:vAlign w:val="bottom"/>
            <w:gridSpan w:val="24"/>
            <w:vMerge w:val="restart"/>
          </w:tcPr>
          <w:p>
            <w:pPr>
              <w:ind w:left="60"/>
              <w:spacing w:after="0"/>
              <w:rPr>
                <w:rFonts w:ascii="Arial" w:cs="Arial" w:eastAsia="Arial" w:hAnsi="Arial"/>
                <w:sz w:val="18"/>
                <w:szCs w:val="18"/>
                <w:color w:val="0000EE"/>
              </w:rPr>
            </w:pPr>
            <w:hyperlink r:id="rId118">
              <w:r>
                <w:rPr>
                  <w:rFonts w:ascii="Arial" w:cs="Arial" w:eastAsia="Arial" w:hAnsi="Arial"/>
                  <w:sz w:val="18"/>
                  <w:szCs w:val="18"/>
                  <w:color w:val="0000EE"/>
                </w:rPr>
                <w:t>Sales Agreement, by and between MannKind and Cantor Fitzgerald &amp; Co., dated February 27, 2018</w:t>
              </w:r>
            </w:hyperlink>
          </w:p>
        </w:tc>
        <w:tc>
          <w:tcPr>
            <w:tcW w:w="0" w:type="dxa"/>
            <w:vAlign w:val="bottom"/>
          </w:tcPr>
          <w:p>
            <w:pPr>
              <w:spacing w:after="0"/>
              <w:rPr>
                <w:sz w:val="1"/>
                <w:szCs w:val="1"/>
                <w:color w:val="auto"/>
              </w:rPr>
            </w:pPr>
          </w:p>
        </w:tc>
      </w:tr>
      <w:tr>
        <w:trPr>
          <w:trHeight w:val="48"/>
        </w:trPr>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820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(incorporated by reference to Exhibit 10.47 to MannKind’s Annual Report on Form 10-K (File No. 000-50865), filed with the SEC on</w:t>
              </w:r>
            </w:hyperlink>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February 27,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9"/>
              </w:rPr>
            </w:pPr>
            <w:hyperlink r:id="rId119">
              <w:r>
                <w:rPr>
                  <w:rFonts w:ascii="Arial" w:cs="Arial" w:eastAsia="Arial" w:hAnsi="Arial"/>
                  <w:sz w:val="18"/>
                  <w:szCs w:val="18"/>
                  <w:color w:val="0000EE"/>
                  <w:w w:val="99"/>
                </w:rPr>
                <w:t>License and Collaboration Agreement, dated September 3, 2018 by and between MannKind and United Therapeutics Corporation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8"/>
              </w:rPr>
            </w:pPr>
            <w:hyperlink r:id="rId119">
              <w:r>
                <w:rPr>
                  <w:rFonts w:ascii="Arial" w:cs="Arial" w:eastAsia="Arial" w:hAnsi="Arial"/>
                  <w:sz w:val="18"/>
                  <w:szCs w:val="18"/>
                  <w:color w:val="0000EE"/>
                  <w:w w:val="98"/>
                </w:rPr>
                <w:t>(incorporated by reference to Exhibit 10.8 to MannKind’s Quarterly Report on Form 10-Q (file No. 000-50865), filed with the SEC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November 1, 2018).</w:t>
              </w:r>
            </w:hyperlink>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Research Agreement, dated September 3, 2018 by and between MannKind and United Therapeutics Corporation (incorporated by reference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Exhibit 10.9 to MannKind’s Quarterly Report on Form 10-Q (file No. 000-50865), filed with the SEC on November 1, 2018).</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gridSpan w:val="12"/>
            <w:shd w:val="clear" w:color="auto" w:fill="0000EE"/>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Credit and Security Agreement, dated August 6, 2019, by and among MannKind Corporation, MannKind LLC, the lenders party thereto from</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time to time and MidCap Financial Trust, as agent (incorporated by reference to Exhibit 99.1 to MannKind’s Current Report on Form 8-K</w:t>
              </w:r>
            </w:hyperlink>
          </w:p>
        </w:tc>
        <w:tc>
          <w:tcPr>
            <w:tcW w:w="260" w:type="dxa"/>
            <w:vAlign w:val="bottom"/>
            <w:tcBorders>
              <w:top w:val="single" w:sz="8" w:color="0000EE"/>
            </w:tcBorders>
            <w:gridSpan w:val="8"/>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(File No. 000-50865), filed with the SEC on August 7, 2019).</w:t>
              </w:r>
            </w:hyperlink>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420" w:type="dxa"/>
            <w:vAlign w:val="bottom"/>
            <w:tcBorders>
              <w:top w:val="single" w:sz="8" w:color="0000EE"/>
            </w:tcBorders>
            <w:gridSpan w:val="11"/>
          </w:tcPr>
          <w:p>
            <w:pPr>
              <w:spacing w:after="0"/>
              <w:rPr>
                <w:sz w:val="24"/>
                <w:szCs w:val="24"/>
                <w:color w:val="auto"/>
              </w:rPr>
            </w:pPr>
          </w:p>
        </w:tc>
        <w:tc>
          <w:tcPr>
            <w:tcW w:w="620" w:type="dxa"/>
            <w:vAlign w:val="bottom"/>
          </w:tcPr>
          <w:p>
            <w:pPr>
              <w:jc w:val="right"/>
              <w:ind w:right="199"/>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40" w:type="dxa"/>
            <w:vAlign w:val="bottom"/>
            <w:gridSpan w:val="22"/>
            <w:vMerge w:val="restart"/>
          </w:tcPr>
          <w:p>
            <w:pPr>
              <w:ind w:left="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940" w:type="dxa"/>
            <w:vAlign w:val="bottom"/>
            <w:tcBorders>
              <w:bottom w:val="single" w:sz="8" w:color="auto"/>
            </w:tcBorders>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40" w:type="dxa"/>
            <w:vAlign w:val="bottom"/>
          </w:tcPr>
          <w:p>
            <w:pPr>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10180" w:type="dxa"/>
            <w:vAlign w:val="bottom"/>
            <w:tcBorders>
              <w:bottom w:val="single" w:sz="8" w:color="0000EE"/>
            </w:tcBorders>
            <w:gridSpan w:val="27"/>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Amendment No. 1 to Credit and Security Agreement, dated December 18, 2019, by and among MannKind Corporation, MannKind LLC, the</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lenders party thereto from time to time and MidCap Financial Trust, as agent (incorporated by reference to Exhibit 99.1 to MannKind’s</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Current Report on Form 8-K (File No. 000-50865), filed with the SEC on December 18, 2019).</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Amendment No. 2 to Credit and Security Agreement, dated August 21, 2020, by and among MannKind Corporation, MannKind LLC and</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MidCap Financial Trust (incorporated by reference to Exhibit 99.1 to MannKind’s Current Report on Form 8-K (File No. 000-50865), filed</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with the SEC on August 25,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4"/>
                <w:szCs w:val="24"/>
                <w:color w:val="auto"/>
              </w:rPr>
            </w:pPr>
          </w:p>
        </w:tc>
        <w:tc>
          <w:tcPr>
            <w:tcW w:w="10200" w:type="dxa"/>
            <w:vAlign w:val="bottom"/>
            <w:tcBorders>
              <w:bottom w:val="single" w:sz="8" w:color="0000EE"/>
            </w:tcBorders>
            <w:gridSpan w:val="28"/>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Amendment No. 3 to Credit and Security Agreement, dated November 30, 2020, by and among MannKind Corporation, MannKind LLC and</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MidCap Financial Trust (incorporated by reference to Exhibit 99.1 to MannKind’s Current Report on Form 8-K (File No. 000-50865), filed</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with the SEC on December 1, 2020).</w:t>
              </w:r>
            </w:hyperlink>
          </w:p>
        </w:tc>
        <w:tc>
          <w:tcPr>
            <w:tcW w:w="76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Amendment No. 4 to Credit and Security Agreement, dated December 7, 2020 by and among the Company, MannKind LLC and MidCap</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Financial Trust (incorporated by reference to Exhibit 4.1 to MannKind’s Current Report on Form 8-K (File No. 000-50865), filed with the</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SEC on December 7,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4"/>
                <w:szCs w:val="24"/>
                <w:color w:val="auto"/>
              </w:rPr>
            </w:pPr>
          </w:p>
        </w:tc>
        <w:tc>
          <w:tcPr>
            <w:tcW w:w="10180" w:type="dxa"/>
            <w:vAlign w:val="bottom"/>
            <w:tcBorders>
              <w:bottom w:val="single" w:sz="8" w:color="0000EE"/>
            </w:tcBorders>
            <w:gridSpan w:val="27"/>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Omnibus Joinder and Amendment No. 5 to Credit and Security Agreement and Amendment No. 1 to Pledge Agreement, dated December 29,</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2020 by and among MannKind Corporation, MannKind LLC, QrumPharma, Inc., and MidCap Financial Trust (incorporated by reference to</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Exhibit 99.1 to MannKind’s Current Report on Form 8-K (File No. 000-50865), filed with the SEC on December 30,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Amendment No. 6 to Credit and Security Agreement, dated March 1, 2021, by and among MannKind Corporation, MannKind LLC,</w:t>
              </w:r>
            </w:hyperlink>
          </w:p>
        </w:tc>
        <w:tc>
          <w:tcPr>
            <w:tcW w:w="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QrumPharma, Inc., and MidCap Financial Trust (incorporated by reference to Exhibit 99.1 to MannKind’s Current Report on Form 8-K (File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No. 000-50865), filed with the SEC on March 5,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Amendment No. 7 to Credit and Security Agreement, dated April 22, 2021, by and among MannKind Corporation, MannKind LLC,</w:t>
              </w:r>
            </w:hyperlink>
          </w:p>
        </w:tc>
        <w:tc>
          <w:tcPr>
            <w:tcW w:w="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QrumPharma, Inc., and MidCap Financial Trust (incorporated by reference to Exhibit 99.1 to MannKind’s Current Report on Form 8-K (File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No. 000-50865), filed with the SEC on April 26,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4"/>
                <w:szCs w:val="24"/>
                <w:color w:val="auto"/>
              </w:rPr>
            </w:pPr>
          </w:p>
        </w:tc>
        <w:tc>
          <w:tcPr>
            <w:tcW w:w="9700" w:type="dxa"/>
            <w:vAlign w:val="bottom"/>
            <w:tcBorders>
              <w:bottom w:val="single" w:sz="8" w:color="0000EE"/>
            </w:tcBorders>
            <w:gridSpan w:val="14"/>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Commercial Supply Agreement, dated August 12, 2021, by and between MannKind Corporation and United Therapeutics Corporation</w:t>
              </w:r>
            </w:hyperlink>
          </w:p>
        </w:tc>
        <w:tc>
          <w:tcPr>
            <w:tcW w:w="6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(incorporated by reference to Exhibit 10.1 to MannKind’s Quarterly Report on Form 10-Q (File No. 000-50865), filed with the SEC on</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November 9,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4"/>
                <w:szCs w:val="24"/>
                <w:color w:val="auto"/>
              </w:rPr>
            </w:pPr>
          </w:p>
        </w:tc>
        <w:tc>
          <w:tcPr>
            <w:tcW w:w="9360" w:type="dxa"/>
            <w:vAlign w:val="bottom"/>
            <w:tcBorders>
              <w:bottom w:val="single" w:sz="8" w:color="0000EE"/>
            </w:tcBorders>
            <w:gridSpan w:val="12"/>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First Amendment to Commercial Supply Agreement, dated October 16, 2021, by and between MannKind Corporation and United</w:t>
              </w:r>
            </w:hyperlink>
          </w:p>
        </w:tc>
        <w:tc>
          <w:tcPr>
            <w:tcW w:w="9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Therapeutics Corporation (incorporated by reference to Exhibit 10.2 to MannKind’s Quarterly Report on Form 10-Q (File No. 000-50865),</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filed with the SEC on November 9,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4"/>
                <w:szCs w:val="24"/>
                <w:color w:val="auto"/>
              </w:rPr>
            </w:pPr>
          </w:p>
        </w:tc>
        <w:tc>
          <w:tcPr>
            <w:tcW w:w="10300" w:type="dxa"/>
            <w:vAlign w:val="bottom"/>
            <w:gridSpan w:val="29"/>
          </w:tcPr>
          <w:p>
            <w:pPr>
              <w:spacing w:after="0"/>
              <w:rPr>
                <w:rFonts w:ascii="Arial" w:cs="Arial" w:eastAsia="Arial" w:hAnsi="Arial"/>
                <w:sz w:val="18"/>
                <w:szCs w:val="18"/>
                <w:color w:val="0000EE"/>
                <w:w w:val="95"/>
              </w:rPr>
            </w:pPr>
            <w:hyperlink r:id="rId133">
              <w:r>
                <w:rPr>
                  <w:rFonts w:ascii="Arial" w:cs="Arial" w:eastAsia="Arial" w:hAnsi="Arial"/>
                  <w:sz w:val="18"/>
                  <w:szCs w:val="18"/>
                  <w:color w:val="0000EE"/>
                  <w:w w:val="95"/>
                </w:rPr>
                <w:t>Purchase and Sale Agreement, dated September 23, 2021, by and between MannKind Corporation and 1 Casper, LLC (incorporated by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20" w:type="dxa"/>
            <w:vAlign w:val="bottom"/>
            <w:gridSpan w:val="6"/>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29"/>
          </w:tcPr>
          <w:p>
            <w:pPr>
              <w:spacing w:after="0" w:line="196" w:lineRule="exact"/>
              <w:rPr>
                <w:rFonts w:ascii="Arial" w:cs="Arial" w:eastAsia="Arial" w:hAnsi="Arial"/>
                <w:sz w:val="18"/>
                <w:szCs w:val="18"/>
                <w:color w:val="0000EE"/>
                <w:w w:val="95"/>
              </w:rPr>
            </w:pPr>
            <w:hyperlink r:id="rId133">
              <w:r>
                <w:rPr>
                  <w:rFonts w:ascii="Arial" w:cs="Arial" w:eastAsia="Arial" w:hAnsi="Arial"/>
                  <w:sz w:val="18"/>
                  <w:szCs w:val="18"/>
                  <w:color w:val="0000EE"/>
                  <w:w w:val="95"/>
                </w:rPr>
                <w:t>reference to Exhibit 10.3 to MannKind’s Quarterly Report on Form 10-Q (File No. 000-50865), filed with the SEC on November 9, 2021)</w:t>
              </w:r>
              <w:r>
                <w:rPr>
                  <w:rFonts w:ascii="Arial" w:cs="Arial" w:eastAsia="Arial" w:hAnsi="Arial"/>
                  <w:sz w:val="18"/>
                  <w:szCs w:val="18"/>
                  <w:u w:val="single" w:color="auto"/>
                  <w:color w:val="0000EE"/>
                  <w:highlight w:val="white"/>
                  <w:w w:val="95"/>
                </w:rPr>
                <w:t>.</w:t>
              </w:r>
            </w:hyperlink>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9940" w:type="dxa"/>
            <w:vAlign w:val="bottom"/>
            <w:tcBorders>
              <w:top w:val="single" w:sz="8" w:color="0000EE"/>
            </w:tcBorders>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Consent of Independent Registered Public Accounting Firm.</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0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Certification of the Chief Executive Officer pursuant to Rules 13a-14(a) and 15d-14(a) of the Securities Exchange Act of 1934, as amended.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00" w:type="dxa"/>
            <w:vAlign w:val="bottom"/>
            <w:gridSpan w:val="29"/>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Certification of the Chief Financial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40" w:type="dxa"/>
            <w:vAlign w:val="bottom"/>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12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Certification of the Chief Executive Officer pursuant to Rules 13a-14(b) and 15d-14(b) of the Securities Exchange Act of 1934, as amended,</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and Section 1350 of Chapter 63 of Title 18 of the United States Code (18 U.S.C. §1350).</w:t>
              </w:r>
            </w:hyperlink>
          </w:p>
        </w:tc>
        <w:tc>
          <w:tcPr>
            <w:tcW w:w="3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300" w:type="dxa"/>
            <w:vAlign w:val="bottom"/>
            <w:gridSpan w:val="29"/>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Certification of the Chief Financial Officer pursuant to Rules 13a-14(b) and 15d-14(b) of the Securities Exchange Act of 1934, as amended,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and Section 1350 of Chapter 63 of Title 18 of the United States Code (18 U.S.C. §1350).</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3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Inline Interactive Data Files pursuant to Rule 405 of Regulation S-T.</w:t>
            </w:r>
          </w:p>
        </w:tc>
        <w:tc>
          <w:tcPr>
            <w:tcW w:w="39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300" w:type="dxa"/>
            <w:vAlign w:val="bottom"/>
            <w:gridSpan w:val="29"/>
          </w:tcPr>
          <w:p>
            <w:pPr>
              <w:spacing w:after="0"/>
              <w:rPr>
                <w:sz w:val="20"/>
                <w:szCs w:val="20"/>
                <w:color w:val="auto"/>
              </w:rPr>
            </w:pPr>
            <w:r>
              <w:rPr>
                <w:rFonts w:ascii="Arial" w:cs="Arial" w:eastAsia="Arial" w:hAnsi="Arial"/>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portions of this exhibit. Omitted portions have been filed separately with the SEC.</w:t>
      </w:r>
    </w:p>
    <w:p>
      <w:pPr>
        <w:spacing w:after="0" w:line="32" w:lineRule="exact"/>
        <w:rPr>
          <w:rFonts w:ascii="Arial" w:cs="Arial" w:eastAsia="Arial" w:hAnsi="Arial"/>
          <w:sz w:val="16"/>
          <w:szCs w:val="16"/>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601(b)(10)(iv) of Regulation S-K.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MANNKIND CORPORATION</w:t>
      </w:r>
    </w:p>
    <w:p>
      <w:pPr>
        <w:spacing w:after="0" w:line="266" w:lineRule="exact"/>
        <w:rPr>
          <w:sz w:val="20"/>
          <w:szCs w:val="20"/>
          <w:color w:val="auto"/>
        </w:rPr>
      </w:pPr>
    </w:p>
    <w:p>
      <w:pPr>
        <w:ind w:left="6100"/>
        <w:spacing w:after="0"/>
        <w:tabs>
          <w:tab w:leader="none" w:pos="6540" w:val="left"/>
          <w:tab w:leader="none" w:pos="69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23495</wp:posOffset>
            </wp:positionV>
            <wp:extent cx="29660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Michael E. Castagna</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Dated: February 24,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spacing w:after="0" w:line="177" w:lineRule="exact"/>
        <w:rPr>
          <w:sz w:val="20"/>
          <w:szCs w:val="20"/>
          <w:color w:val="auto"/>
        </w:rPr>
      </w:pPr>
    </w:p>
    <w:p>
      <w:pPr>
        <w:ind w:right="320"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5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Michael E. Castagna</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10"/>
        </w:trPr>
        <w:tc>
          <w:tcPr>
            <w:tcW w:w="3940" w:type="dxa"/>
            <w:vAlign w:val="bottom"/>
          </w:tcPr>
          <w:p>
            <w:pPr>
              <w:spacing w:after="0"/>
              <w:rPr>
                <w:sz w:val="20"/>
                <w:szCs w:val="20"/>
                <w:color w:val="auto"/>
              </w:rPr>
            </w:pPr>
            <w:r>
              <w:rPr>
                <w:rFonts w:ascii="Arial" w:cs="Arial" w:eastAsia="Arial" w:hAnsi="Arial"/>
                <w:sz w:val="16"/>
                <w:szCs w:val="16"/>
                <w:color w:val="auto"/>
              </w:rPr>
              <w:t>Michael E. Castagna</w:t>
            </w:r>
          </w:p>
        </w:tc>
        <w:tc>
          <w:tcPr>
            <w:tcW w:w="240" w:type="dxa"/>
            <w:vAlign w:val="bottom"/>
          </w:tcPr>
          <w:p>
            <w:pPr>
              <w:spacing w:after="0"/>
              <w:rPr>
                <w:sz w:val="18"/>
                <w:szCs w:val="18"/>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Executive Officer)</w:t>
            </w:r>
          </w:p>
        </w:tc>
        <w:tc>
          <w:tcPr>
            <w:tcW w:w="2020" w:type="dxa"/>
            <w:vAlign w:val="bottom"/>
          </w:tcPr>
          <w:p>
            <w:pPr>
              <w:spacing w:after="0"/>
              <w:rPr>
                <w:sz w:val="18"/>
                <w:szCs w:val="18"/>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 Binder</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Steven B. Binder</w:t>
            </w:r>
          </w:p>
        </w:tc>
        <w:tc>
          <w:tcPr>
            <w:tcW w:w="240" w:type="dxa"/>
            <w:vAlign w:val="bottom"/>
          </w:tcPr>
          <w:p>
            <w:pPr>
              <w:spacing w:after="0"/>
              <w:rPr>
                <w:sz w:val="19"/>
                <w:szCs w:val="19"/>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2020" w:type="dxa"/>
            <w:vAlign w:val="bottom"/>
          </w:tcPr>
          <w:p>
            <w:pPr>
              <w:spacing w:after="0"/>
              <w:rPr>
                <w:sz w:val="19"/>
                <w:szCs w:val="19"/>
                <w:color w:val="auto"/>
              </w:rPr>
            </w:pPr>
          </w:p>
        </w:tc>
      </w:tr>
      <w:tr>
        <w:trPr>
          <w:trHeight w:val="45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Shannon</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James S. Shannon, M.D., MRCP (UK)</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Consiglio</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Ronald J. Consiglio</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Friedman</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Michael Friedman, M.D.</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5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Grancio</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Jennifer Grancio</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1"/>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C. Hooper</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Anthony C. Hooper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940" w:type="dxa"/>
            <w:vAlign w:val="bottom"/>
          </w:tcPr>
          <w:p>
            <w:pPr>
              <w:spacing w:after="0"/>
              <w:rPr>
                <w:sz w:val="20"/>
                <w:szCs w:val="20"/>
                <w:color w:val="auto"/>
              </w:rPr>
            </w:pPr>
            <w:r>
              <w:rPr>
                <w:rFonts w:ascii="Arial" w:cs="Arial" w:eastAsia="Arial" w:hAnsi="Arial"/>
                <w:sz w:val="18"/>
                <w:szCs w:val="18"/>
                <w:color w:val="auto"/>
              </w:rPr>
              <w:t>/s/ Sabrina Kay</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7"/>
        </w:trPr>
        <w:tc>
          <w:tcPr>
            <w:tcW w:w="3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Sabrina Kay</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Kresa</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Kent Kresa</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/s/ Christine Mundkur</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7"/>
        </w:trPr>
        <w:tc>
          <w:tcPr>
            <w:tcW w:w="3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Christine Mundkur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74"/>
        </w:trPr>
        <w:tc>
          <w:tcPr>
            <w:tcW w:w="3940" w:type="dxa"/>
            <w:vAlign w:val="bottom"/>
          </w:tcPr>
          <w:p>
            <w:pPr>
              <w:spacing w:after="0"/>
              <w:rPr>
                <w:sz w:val="24"/>
                <w:szCs w:val="24"/>
                <w:color w:val="auto"/>
              </w:rPr>
            </w:pPr>
          </w:p>
        </w:tc>
        <w:tc>
          <w:tcPr>
            <w:tcW w:w="5060" w:type="dxa"/>
            <w:vAlign w:val="bottom"/>
            <w:gridSpan w:val="2"/>
          </w:tcPr>
          <w:p>
            <w:pPr>
              <w:jc w:val="right"/>
              <w:ind w:right="3191"/>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6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8"/>
                <w:szCs w:val="18"/>
                <w:color w:val="auto"/>
              </w:rPr>
            </w:pPr>
          </w:p>
        </w:tc>
        <w:tc>
          <w:tcPr>
            <w:tcW w:w="660" w:type="dxa"/>
            <w:vAlign w:val="bottom"/>
          </w:tcPr>
          <w:p>
            <w:pPr>
              <w:spacing w:after="0"/>
              <w:rPr>
                <w:sz w:val="18"/>
                <w:szCs w:val="18"/>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9"/>
        </w:trPr>
        <w:tc>
          <w:tcPr>
            <w:tcW w:w="488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Operations</w:t>
              </w:r>
            </w:hyperlink>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10"/>
        </w:trPr>
        <w:tc>
          <w:tcPr>
            <w:tcW w:w="488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Loss</w:t>
              </w:r>
            </w:hyperlink>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09"/>
        </w:trPr>
        <w:tc>
          <w:tcPr>
            <w:tcW w:w="3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Consolidated Statements of Stockholders’ Deficit</w:t>
              </w:r>
            </w:hyperlink>
          </w:p>
        </w:tc>
        <w:tc>
          <w:tcPr>
            <w:tcW w:w="1300" w:type="dxa"/>
            <w:vAlign w:val="bottom"/>
            <w:gridSpan w:val="2"/>
          </w:tcPr>
          <w:p>
            <w:pPr>
              <w:spacing w:after="0"/>
              <w:rPr>
                <w:sz w:val="18"/>
                <w:szCs w:val="18"/>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10"/>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w:t>
              </w:r>
            </w:hyperlink>
          </w:p>
        </w:tc>
        <w:tc>
          <w:tcPr>
            <w:tcW w:w="2000" w:type="dxa"/>
            <w:vAlign w:val="bottom"/>
            <w:gridSpan w:val="5"/>
          </w:tcPr>
          <w:p>
            <w:pPr>
              <w:spacing w:after="0"/>
              <w:rPr>
                <w:sz w:val="18"/>
                <w:szCs w:val="18"/>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9"/>
        </w:trPr>
        <w:tc>
          <w:tcPr>
            <w:tcW w:w="488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682"/>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60" w:type="dxa"/>
            <w:vAlign w:val="bottom"/>
          </w:tcPr>
          <w:p>
            <w:pPr>
              <w:jc w:val="right"/>
              <w:ind w:right="5430"/>
              <w:spacing w:after="0"/>
              <w:rPr>
                <w:sz w:val="20"/>
                <w:szCs w:val="20"/>
                <w:color w:val="auto"/>
              </w:rPr>
            </w:pPr>
            <w:r>
              <w:rPr>
                <w:rFonts w:ascii="Arial" w:cs="Arial" w:eastAsia="Arial" w:hAnsi="Arial"/>
                <w:sz w:val="18"/>
                <w:szCs w:val="18"/>
                <w:color w:val="auto"/>
              </w:rPr>
              <w:t>59</w:t>
            </w: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ind w:left="480" w:right="3340" w:firstLine="2886"/>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MannKind Corporation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MannKind Corporation and subsidiaries (the "Company") as of December 31, 2021 and 2020, the related consolidated statements of operations, comprehensive loss, stockholders’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the accounting principles generally accepted in the United States of America.</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24, 2021,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 – Commercial Product Sales – Government Rebates – Refer to Note 2 and 8 to the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more fully disclosed in Note 2 and 8 to the financial statements, the Company recognizes revenue for commercial product sales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Government rebates are provided to Medicare and state Medicaid programs. Government rebates involve the use of significant assumptions and judgments to estimate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 These significant assumptions and judgments include consideration of historical claims experience, payer channel mix, current contract prices, unbilled claims, claim submission time lags and inventory in the distribution channel.</w:t>
      </w:r>
    </w:p>
    <w:p>
      <w:pPr>
        <w:spacing w:after="0" w:line="18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Given the complexity involved in determining the significant assumptions and judgments used in estimating the government rebates, auditing such estimates required a high degree of auditor judgment and increased extent of audit effort.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estimates of government rebates included the following, among others:</w:t>
      </w:r>
    </w:p>
    <w:p>
      <w:pPr>
        <w:spacing w:after="0" w:line="117" w:lineRule="exact"/>
        <w:rPr>
          <w:sz w:val="20"/>
          <w:szCs w:val="20"/>
          <w:color w:val="auto"/>
        </w:rPr>
      </w:pPr>
    </w:p>
    <w:p>
      <w:pPr>
        <w:ind w:left="820" w:right="420" w:hanging="340"/>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processes to account for the variable consideration associated with Government Rebates.</w:t>
      </w:r>
    </w:p>
    <w:p>
      <w:pPr>
        <w:spacing w:after="0" w:line="62" w:lineRule="exact"/>
        <w:rPr>
          <w:rFonts w:ascii="Arial" w:cs="Arial" w:eastAsia="Arial" w:hAnsi="Arial"/>
          <w:sz w:val="18"/>
          <w:szCs w:val="18"/>
          <w:color w:val="auto"/>
        </w:rPr>
      </w:pPr>
    </w:p>
    <w:p>
      <w:pPr>
        <w:ind w:left="820" w:hanging="34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key inputs used in management’s analysis of the government rebate estimates.</w:t>
      </w:r>
    </w:p>
    <w:p>
      <w:pPr>
        <w:spacing w:after="0" w:line="117" w:lineRule="exact"/>
        <w:rPr>
          <w:rFonts w:ascii="Arial" w:cs="Arial" w:eastAsia="Arial" w:hAnsi="Arial"/>
          <w:sz w:val="18"/>
          <w:szCs w:val="18"/>
          <w:color w:val="auto"/>
        </w:rPr>
      </w:pPr>
    </w:p>
    <w:p>
      <w:pPr>
        <w:ind w:left="820" w:right="620" w:hanging="340"/>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inspected contractual documents associated with the government rebates and evaluated the consistency of the methodology with the Company’s obligations under such contractual documents.</w:t>
      </w:r>
    </w:p>
    <w:p>
      <w:pPr>
        <w:spacing w:after="0" w:line="62" w:lineRule="exact"/>
        <w:rPr>
          <w:rFonts w:ascii="Arial" w:cs="Arial" w:eastAsia="Arial" w:hAnsi="Arial"/>
          <w:sz w:val="18"/>
          <w:szCs w:val="18"/>
          <w:color w:val="auto"/>
        </w:rPr>
      </w:pPr>
    </w:p>
    <w:p>
      <w:pPr>
        <w:ind w:left="820" w:hanging="34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tested the mathematical accuracy of the Company’s calculation of the estimates for government rebates.</w:t>
      </w:r>
    </w:p>
    <w:p>
      <w:pPr>
        <w:spacing w:after="0" w:line="117" w:lineRule="exact"/>
        <w:rPr>
          <w:rFonts w:ascii="Arial" w:cs="Arial" w:eastAsia="Arial" w:hAnsi="Arial"/>
          <w:sz w:val="18"/>
          <w:szCs w:val="18"/>
          <w:color w:val="auto"/>
        </w:rPr>
      </w:pPr>
    </w:p>
    <w:p>
      <w:pPr>
        <w:ind w:left="820" w:right="300" w:hanging="340"/>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performed the following procedures to evaluate the significant assumptions and judgments used by management to estimate government rebates:</w:t>
      </w:r>
    </w:p>
    <w:p>
      <w:pPr>
        <w:spacing w:after="0" w:line="62" w:lineRule="exact"/>
        <w:rPr>
          <w:rFonts w:ascii="Arial" w:cs="Arial" w:eastAsia="Arial" w:hAnsi="Arial"/>
          <w:sz w:val="18"/>
          <w:szCs w:val="18"/>
          <w:color w:val="auto"/>
        </w:rPr>
      </w:pPr>
    </w:p>
    <w:p>
      <w:pPr>
        <w:ind w:left="820" w:hanging="34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reasonableness of government rebates by comparing the underlying data to historical adjustments.</w:t>
      </w:r>
    </w:p>
    <w:p>
      <w:pPr>
        <w:spacing w:after="0" w:line="117" w:lineRule="exact"/>
        <w:rPr>
          <w:rFonts w:ascii="Arial" w:cs="Arial" w:eastAsia="Arial" w:hAnsi="Arial"/>
          <w:sz w:val="18"/>
          <w:szCs w:val="18"/>
          <w:color w:val="auto"/>
        </w:rPr>
      </w:pPr>
    </w:p>
    <w:p>
      <w:pPr>
        <w:ind w:left="820" w:right="200" w:hanging="340"/>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management’s ability to accurately forecast government rebates by comparing management’s assumptions of expected government rebates to actuals incurred subsequent to year end.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 Collaborations and Services – UT Commercial Supply Agreement – Refer to Note 2 and 8 to the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discussed in Note 8 to the financial statements, the Company generates collaboration and services revenue from the United Therapeutics (“UT”) commercial supply agreement (the “CSA”). The Company is responsible for manufacturing and supplying to United Therapeutics, and United Therapeutics is responsible for purchasing from the Company on a cost-plus basis, Tyvaso DPI and BluHale inhalation profiling devices, as required for commercial distribution and sale by United Therapeutics. Three distinct performance obligations are identified as a result of the CSA: (1) the license, supply of product to be used in clinical development, and continued development and approval support for Tyvaso DPI; (2) development activities for the next generation of Tyvaso DPI Next-Gen R&amp;D Services; and (3) a material right associated with future commercial manufacturing and supply of product (“Manufacturing Services”).</w:t>
      </w:r>
    </w:p>
    <w:p>
      <w:pPr>
        <w:spacing w:after="0" w:line="19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accounting treatment involves several significant subjective management assumptions and estimates including the identification of performance obligations within the contract. Specifically, the significant subjective management judgement is required to determine if the pre-production activities are a separate and discrete performance obligation under the CSA based on the nature of responsibilities of the Company agreed within the contract and ASC 606 requirement in contrast with being bundled with “Manufacturing Services” as assessed under the accounting policy.</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Given the complexity of the accounting analysis of the UT CSA, including the significant assumptions and judgments involved in identifying performance obligations under the CSA, auditing the related revenue required a high degree of auditor judgment and increased extent of audit effort.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identification of performance obligations under the CSA included the following, among others:</w:t>
      </w:r>
    </w:p>
    <w:p>
      <w:pPr>
        <w:spacing w:after="0" w:line="117" w:lineRule="exact"/>
        <w:rPr>
          <w:sz w:val="20"/>
          <w:szCs w:val="20"/>
          <w:color w:val="auto"/>
        </w:rPr>
      </w:pPr>
    </w:p>
    <w:p>
      <w:pPr>
        <w:ind w:left="680" w:right="760" w:hanging="335"/>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determination of the separate and discrete performance obligations under the agreement.</w:t>
      </w:r>
    </w:p>
    <w:p>
      <w:pPr>
        <w:spacing w:after="0" w:line="62" w:lineRule="exact"/>
        <w:rPr>
          <w:rFonts w:ascii="Arial" w:cs="Arial" w:eastAsia="Arial" w:hAnsi="Arial"/>
          <w:sz w:val="18"/>
          <w:szCs w:val="18"/>
          <w:color w:val="auto"/>
        </w:rPr>
      </w:pPr>
    </w:p>
    <w:p>
      <w:pPr>
        <w:ind w:left="680" w:right="220" w:hanging="335"/>
        <w:spacing w:after="0" w:line="342"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inspected contractual documents associated with the CSA to obtain sufficient understanding of the nature of the contract. We evaluated the Company’s analysis of the accounting treatment for the CSA for reasonableness and appropriateness in accordance with applicable guidance.</w:t>
      </w:r>
    </w:p>
    <w:p>
      <w:pPr>
        <w:spacing w:after="0" w:line="15" w:lineRule="exact"/>
        <w:rPr>
          <w:rFonts w:ascii="Arial" w:cs="Arial" w:eastAsia="Arial" w:hAnsi="Arial"/>
          <w:sz w:val="16"/>
          <w:szCs w:val="16"/>
          <w:color w:val="auto"/>
        </w:rPr>
      </w:pPr>
    </w:p>
    <w:p>
      <w:pPr>
        <w:ind w:left="680" w:right="60" w:hanging="335"/>
        <w:spacing w:after="0" w:line="263"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used our firm specialist resources to assist in auditing management’s conclusions through an accounting consultation, wherein we independently evaluated the reasonableness of the accounting treatment for leasehold buildout reimbursements to assess if it represents a separate performance obligation.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06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3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7060" w:type="dxa"/>
            <w:vAlign w:val="bottom"/>
          </w:tcPr>
          <w:p>
            <w:pPr>
              <w:spacing w:after="0"/>
              <w:rPr>
                <w:sz w:val="13"/>
                <w:szCs w:val="13"/>
                <w:color w:val="auto"/>
              </w:rPr>
            </w:pPr>
          </w:p>
        </w:tc>
        <w:tc>
          <w:tcPr>
            <w:tcW w:w="4060" w:type="dxa"/>
            <w:vAlign w:val="bottom"/>
            <w:gridSpan w:val="5"/>
          </w:tcPr>
          <w:p>
            <w:pPr>
              <w:jc w:val="right"/>
              <w:ind w:right="51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3"/>
                <w:szCs w:val="13"/>
                <w:color w:val="auto"/>
              </w:rPr>
            </w:pPr>
          </w:p>
        </w:tc>
      </w:tr>
      <w:tr>
        <w:trPr>
          <w:trHeight w:val="229"/>
        </w:trPr>
        <w:tc>
          <w:tcPr>
            <w:tcW w:w="7060" w:type="dxa"/>
            <w:vAlign w:val="bottom"/>
            <w:shd w:val="clear" w:color="auto" w:fill="CFF0FC"/>
          </w:tcPr>
          <w:p>
            <w:pPr>
              <w:ind w:left="310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79,932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219,744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79,476</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36,612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25,867</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321,161</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b w:val="1"/>
                <w:bCs w:val="1"/>
                <w:color w:val="auto"/>
              </w:rPr>
              <w:t>LIABILITIES AND STOCKHOLDERS' DEFICIT</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27,419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19,707</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Financing liability — current</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Paycheck Protection Program loan — current</w:t>
            </w:r>
          </w:p>
        </w:tc>
        <w:tc>
          <w:tcPr>
            <w:tcW w:w="10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10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11,080</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73,705</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Promissory notes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18,425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63,027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 promissory notes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Financing liability — long term</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93,525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Long-term Midcap credit facility</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49,335</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223,944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76,659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Milestone rights liability</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2024 convertible notes</w:t>
            </w:r>
          </w:p>
        </w:tc>
        <w:tc>
          <w:tcPr>
            <w:tcW w:w="10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Paycheck Protection Program loan — long term</w:t>
            </w:r>
          </w:p>
        </w:tc>
        <w:tc>
          <w:tcPr>
            <w:tcW w:w="10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from customer</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530,510</w:t>
            </w:r>
          </w:p>
        </w:tc>
        <w:tc>
          <w:tcPr>
            <w:tcW w:w="2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289,027</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Stockholders' deficit:</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 shares issued or outstanding at December 31, 2021 and 2020</w:t>
            </w:r>
          </w:p>
        </w:tc>
        <w:tc>
          <w:tcPr>
            <w:tcW w:w="10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Common stock, $0.01 par value — 400,000,000 shares authorized,</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8"/>
                <w:szCs w:val="18"/>
                <w:color w:val="auto"/>
              </w:rPr>
              <w:t>251,477,562 and 242,117,089 shares issued and outstanding at December 31,</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2021 and 2020, respectively</w:t>
            </w:r>
          </w:p>
        </w:tc>
        <w:tc>
          <w:tcPr>
            <w:tcW w:w="10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20"/>
                <w:szCs w:val="20"/>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2,918,205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2,866,303</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1"/>
              </w:rPr>
              <w:t>(3,130,069)</w:t>
            </w:r>
          </w:p>
        </w:tc>
        <w:tc>
          <w:tcPr>
            <w:tcW w:w="5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(3,049,143)</w:t>
            </w: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10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(209,349)</w:t>
            </w:r>
          </w:p>
        </w:tc>
        <w:tc>
          <w:tcPr>
            <w:tcW w:w="2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(180,419)</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321,161</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left="354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w w:val="96"/>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0" w:type="dxa"/>
            <w:vAlign w:val="bottom"/>
            <w:gridSpan w:val="4"/>
          </w:tcPr>
          <w:p>
            <w:pPr>
              <w:jc w:val="right"/>
              <w:ind w:right="167"/>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420" w:type="dxa"/>
            <w:vAlign w:val="bottom"/>
            <w:gridSpan w:val="2"/>
          </w:tcPr>
          <w:p>
            <w:pPr>
              <w:jc w:val="right"/>
              <w:ind w:right="10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39,168</w:t>
            </w:r>
          </w:p>
        </w:tc>
        <w:tc>
          <w:tcPr>
            <w:tcW w:w="280" w:type="dxa"/>
            <w:vAlign w:val="bottom"/>
          </w:tcPr>
          <w:p>
            <w:pPr>
              <w:spacing w:after="0"/>
              <w:rPr>
                <w:sz w:val="19"/>
                <w:szCs w:val="19"/>
                <w:color w:val="auto"/>
              </w:rPr>
            </w:pPr>
          </w:p>
        </w:tc>
        <w:tc>
          <w:tcPr>
            <w:tcW w:w="1200" w:type="dxa"/>
            <w:vAlign w:val="bottom"/>
          </w:tcPr>
          <w:p>
            <w:pPr>
              <w:jc w:val="right"/>
              <w:ind w:right="10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126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36,274</w:t>
            </w:r>
          </w:p>
        </w:tc>
        <w:tc>
          <w:tcPr>
            <w:tcW w:w="2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12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75,442</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16,833</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22,024</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In-process research and development</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77,417</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assets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(6,567)</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purchase commitments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126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122,464</w:t>
            </w:r>
          </w:p>
        </w:tc>
        <w:tc>
          <w:tcPr>
            <w:tcW w:w="28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(47,022)</w:t>
            </w:r>
          </w:p>
        </w:tc>
        <w:tc>
          <w:tcPr>
            <w:tcW w:w="2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Other (expense) income:</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Interest expense on financing liability</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(1,373)</w:t>
            </w:r>
          </w:p>
        </w:tc>
        <w:tc>
          <w:tcPr>
            <w:tcW w:w="1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(15,204)</w:t>
            </w:r>
          </w:p>
        </w:tc>
        <w:tc>
          <w:tcPr>
            <w:tcW w:w="1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(17,200)</w:t>
            </w:r>
          </w:p>
        </w:tc>
        <w:tc>
          <w:tcPr>
            <w:tcW w:w="1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(239)</w:t>
            </w: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126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(33,904)</w:t>
            </w:r>
          </w:p>
        </w:tc>
        <w:tc>
          <w:tcPr>
            <w:tcW w:w="28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(80,926)</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(80,926)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24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FF0FC"/>
            </w:tcBorders>
            <w:vMerge w:val="continue"/>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Borders>
              <w:bottom w:val="single" w:sz="8" w:color="CFF0FC"/>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net loss per share — basic and diluted</w:t>
            </w:r>
          </w:p>
        </w:tc>
        <w:tc>
          <w:tcPr>
            <w:tcW w:w="1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249,244</w:t>
            </w:r>
          </w:p>
        </w:tc>
        <w:tc>
          <w:tcPr>
            <w:tcW w:w="2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06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7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gridSpan w:val="3"/>
          </w:tcPr>
          <w:p>
            <w:pPr>
              <w:jc w:val="right"/>
              <w:ind w:right="347"/>
              <w:spacing w:after="0" w:line="155"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(80,926)</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(57,240)</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1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Comprehensive loss</w:t>
            </w:r>
          </w:p>
        </w:tc>
        <w:tc>
          <w:tcPr>
            <w:tcW w:w="1140" w:type="dxa"/>
            <w:vAlign w:val="bottom"/>
            <w:tcBorders>
              <w:top w:val="single" w:sz="8" w:color="auto"/>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(80,926)</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(57,259)</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tcPr>
          <w:p>
            <w:pPr>
              <w:spacing w:after="0"/>
              <w:rPr>
                <w:sz w:val="13"/>
                <w:szCs w:val="13"/>
                <w:color w:val="auto"/>
              </w:rPr>
            </w:pPr>
          </w:p>
        </w:tc>
        <w:tc>
          <w:tcPr>
            <w:tcW w:w="1400" w:type="dxa"/>
            <w:vAlign w:val="bottom"/>
            <w:tcBorders>
              <w:bottom w:val="single" w:sz="8" w:color="auto"/>
            </w:tcBorders>
            <w:gridSpan w:val="2"/>
          </w:tcPr>
          <w:p>
            <w:pPr>
              <w:ind w:left="540"/>
              <w:spacing w:after="0"/>
              <w:rPr>
                <w:sz w:val="20"/>
                <w:szCs w:val="20"/>
                <w:color w:val="auto"/>
              </w:rPr>
            </w:pPr>
            <w:r>
              <w:rPr>
                <w:rFonts w:ascii="Arial" w:cs="Arial" w:eastAsia="Arial" w:hAnsi="Arial"/>
                <w:sz w:val="13"/>
                <w:szCs w:val="13"/>
                <w:b w:val="1"/>
                <w:bCs w:val="1"/>
                <w:color w:val="auto"/>
                <w:w w:val="88"/>
              </w:rPr>
              <w:t>Common Stock</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400" w:type="dxa"/>
            <w:vAlign w:val="bottom"/>
            <w:gridSpan w:val="2"/>
          </w:tcPr>
          <w:p>
            <w:pPr>
              <w:ind w:left="420"/>
              <w:spacing w:after="0" w:line="142" w:lineRule="exact"/>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85"/>
              </w:rPr>
              <w:t>Amount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60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800" w:type="dxa"/>
            <w:vAlign w:val="bottom"/>
            <w:tcBorders>
              <w:bottom w:val="single" w:sz="8" w:color="CFF0FC"/>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680" w:type="dxa"/>
            <w:vAlign w:val="bottom"/>
            <w:tcBorders>
              <w:top w:val="single" w:sz="8" w:color="auto"/>
              <w:bottom w:val="single" w:sz="8" w:color="auto"/>
            </w:tcBorders>
            <w:gridSpan w:val="6"/>
          </w:tcPr>
          <w:p>
            <w:pPr>
              <w:jc w:val="right"/>
              <w:ind w:right="940"/>
              <w:spacing w:after="0" w:line="142" w:lineRule="exact"/>
              <w:rPr>
                <w:sz w:val="20"/>
                <w:szCs w:val="20"/>
                <w:color w:val="auto"/>
              </w:rPr>
            </w:pPr>
            <w:r>
              <w:rPr>
                <w:rFonts w:ascii="Arial" w:cs="Arial" w:eastAsia="Arial" w:hAnsi="Arial"/>
                <w:sz w:val="13"/>
                <w:szCs w:val="13"/>
                <w:b w:val="1"/>
                <w:bCs w:val="1"/>
                <w:color w:val="auto"/>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2020</w:t>
            </w: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211,788</w:t>
            </w:r>
          </w:p>
        </w:tc>
        <w:tc>
          <w:tcPr>
            <w:tcW w:w="2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4"/>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2,118</w:t>
            </w:r>
          </w:p>
        </w:tc>
        <w:tc>
          <w:tcPr>
            <w:tcW w:w="420" w:type="dxa"/>
            <w:vAlign w:val="bottom"/>
            <w:gridSpan w:val="2"/>
            <w:shd w:val="clear" w:color="auto" w:fill="CFF0FC"/>
          </w:tcPr>
          <w:p>
            <w:pPr>
              <w:jc w:val="right"/>
              <w:ind w:right="68"/>
              <w:spacing w:after="0" w:line="142" w:lineRule="exact"/>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2,799,278</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8"/>
              <w:spacing w:after="0" w:line="142"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(19)</w:t>
            </w: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(2,991,903)</w:t>
            </w:r>
          </w:p>
        </w:tc>
        <w:tc>
          <w:tcPr>
            <w:tcW w:w="360" w:type="dxa"/>
            <w:vAlign w:val="bottom"/>
            <w:gridSpan w:val="2"/>
            <w:shd w:val="clear" w:color="auto" w:fill="CFF0FC"/>
          </w:tcPr>
          <w:p>
            <w:pPr>
              <w:jc w:val="right"/>
              <w:ind w:right="148"/>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(190,526)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Net issuance of common stock in association</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with stock options and restricted stock units</w:t>
            </w:r>
          </w:p>
        </w:tc>
        <w:tc>
          <w:tcPr>
            <w:tcW w:w="1200" w:type="dxa"/>
            <w:vAlign w:val="bottom"/>
          </w:tcPr>
          <w:p>
            <w:pPr>
              <w:jc w:val="right"/>
              <w:spacing w:after="0"/>
              <w:rPr>
                <w:sz w:val="20"/>
                <w:szCs w:val="20"/>
                <w:color w:val="auto"/>
              </w:rPr>
            </w:pPr>
            <w:r>
              <w:rPr>
                <w:rFonts w:ascii="Arial" w:cs="Arial" w:eastAsia="Arial" w:hAnsi="Arial"/>
                <w:sz w:val="13"/>
                <w:szCs w:val="13"/>
                <w:color w:val="auto"/>
              </w:rPr>
              <w:t>653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Payment of principal on senior convertible notes</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through common stock issuance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2,612</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60"/>
              <w:spacing w:after="0" w:line="134" w:lineRule="exact"/>
              <w:rPr>
                <w:sz w:val="20"/>
                <w:szCs w:val="20"/>
                <w:color w:val="auto"/>
              </w:rPr>
            </w:pPr>
            <w:r>
              <w:rPr>
                <w:rFonts w:ascii="Arial" w:cs="Arial" w:eastAsia="Arial" w:hAnsi="Arial"/>
                <w:sz w:val="13"/>
                <w:szCs w:val="13"/>
                <w:color w:val="auto"/>
              </w:rPr>
              <w:t>Payment of interest on senior convertible notes</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through common stock issuance</w:t>
            </w:r>
          </w:p>
        </w:tc>
        <w:tc>
          <w:tcPr>
            <w:tcW w:w="1200" w:type="dxa"/>
            <w:vAlign w:val="bottom"/>
          </w:tcPr>
          <w:p>
            <w:pPr>
              <w:jc w:val="right"/>
              <w:spacing w:after="0"/>
              <w:rPr>
                <w:sz w:val="20"/>
                <w:szCs w:val="20"/>
                <w:color w:val="auto"/>
              </w:rPr>
            </w:pPr>
            <w:r>
              <w:rPr>
                <w:rFonts w:ascii="Arial" w:cs="Arial" w:eastAsia="Arial" w:hAnsi="Arial"/>
                <w:sz w:val="13"/>
                <w:szCs w:val="13"/>
                <w:color w:val="auto"/>
              </w:rPr>
              <w:t>188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Mann Group convertible note principal</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2,800</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conversion of the Mann Group convertible note interest</w:t>
            </w:r>
          </w:p>
        </w:tc>
        <w:tc>
          <w:tcPr>
            <w:tcW w:w="1200" w:type="dxa"/>
            <w:vAlign w:val="bottom"/>
          </w:tcPr>
          <w:p>
            <w:pPr>
              <w:jc w:val="right"/>
              <w:spacing w:after="0"/>
              <w:rPr>
                <w:sz w:val="20"/>
                <w:szCs w:val="20"/>
                <w:color w:val="auto"/>
              </w:rPr>
            </w:pPr>
            <w:r>
              <w:rPr>
                <w:rFonts w:ascii="Arial" w:cs="Arial" w:eastAsia="Arial" w:hAnsi="Arial"/>
                <w:sz w:val="13"/>
                <w:szCs w:val="13"/>
                <w:color w:val="auto"/>
              </w:rPr>
              <w:t>1,200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in at-the-market offering</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11,853</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260"/>
              <w:spacing w:after="0"/>
              <w:rPr>
                <w:sz w:val="20"/>
                <w:szCs w:val="20"/>
                <w:color w:val="auto"/>
              </w:rPr>
            </w:pPr>
            <w:r>
              <w:rPr>
                <w:rFonts w:ascii="Arial" w:cs="Arial" w:eastAsia="Arial" w:hAnsi="Arial"/>
                <w:sz w:val="13"/>
                <w:szCs w:val="13"/>
                <w:color w:val="auto"/>
              </w:rPr>
              <w:t>Issuance cost associated with at-the-market offering</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(519)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34"/>
        </w:trPr>
        <w:tc>
          <w:tcPr>
            <w:tcW w:w="38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260"/>
              <w:spacing w:after="0"/>
              <w:rPr>
                <w:sz w:val="20"/>
                <w:szCs w:val="20"/>
                <w:color w:val="auto"/>
              </w:rPr>
            </w:pPr>
            <w:r>
              <w:rPr>
                <w:rFonts w:ascii="Arial" w:cs="Arial" w:eastAsia="Arial" w:hAnsi="Arial"/>
                <w:sz w:val="13"/>
                <w:szCs w:val="13"/>
                <w:color w:val="auto"/>
              </w:rPr>
              <w:t>Issuance of common stock from acquisition</w:t>
            </w:r>
          </w:p>
        </w:tc>
        <w:tc>
          <w:tcPr>
            <w:tcW w:w="1200" w:type="dxa"/>
            <w:vAlign w:val="bottom"/>
          </w:tcPr>
          <w:p>
            <w:pPr>
              <w:jc w:val="right"/>
              <w:spacing w:after="0"/>
              <w:rPr>
                <w:sz w:val="20"/>
                <w:szCs w:val="20"/>
                <w:color w:val="auto"/>
              </w:rPr>
            </w:pPr>
            <w:r>
              <w:rPr>
                <w:rFonts w:ascii="Arial" w:cs="Arial" w:eastAsia="Arial" w:hAnsi="Arial"/>
                <w:sz w:val="13"/>
                <w:szCs w:val="13"/>
                <w:color w:val="auto"/>
              </w:rPr>
              <w:t>3,067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the exercise of</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warrants</w:t>
            </w:r>
          </w:p>
        </w:tc>
        <w:tc>
          <w:tcPr>
            <w:tcW w:w="1200" w:type="dxa"/>
            <w:vAlign w:val="bottom"/>
          </w:tcPr>
          <w:p>
            <w:pPr>
              <w:jc w:val="right"/>
              <w:spacing w:after="0"/>
              <w:rPr>
                <w:sz w:val="20"/>
                <w:szCs w:val="20"/>
                <w:color w:val="auto"/>
              </w:rPr>
            </w:pPr>
            <w:r>
              <w:rPr>
                <w:rFonts w:ascii="Arial" w:cs="Arial" w:eastAsia="Arial" w:hAnsi="Arial"/>
                <w:sz w:val="13"/>
                <w:szCs w:val="13"/>
                <w:color w:val="auto"/>
              </w:rPr>
              <w:t>7,250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11,527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price stock purchase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60"/>
              <w:spacing w:after="0" w:line="134" w:lineRule="exact"/>
              <w:rPr>
                <w:sz w:val="20"/>
                <w:szCs w:val="20"/>
                <w:color w:val="auto"/>
              </w:rPr>
            </w:pPr>
            <w:r>
              <w:rPr>
                <w:rFonts w:ascii="Arial" w:cs="Arial" w:eastAsia="Arial" w:hAnsi="Arial"/>
                <w:sz w:val="13"/>
                <w:szCs w:val="13"/>
                <w:color w:val="auto"/>
              </w:rPr>
              <w:t>Issuance of warrants pursuant to</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Midcap Credit Facility</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Cumulative translation loss</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(57,240)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(57,240)</w:t>
            </w:r>
          </w:p>
        </w:tc>
        <w:tc>
          <w:tcPr>
            <w:tcW w:w="0" w:type="dxa"/>
            <w:vAlign w:val="bottom"/>
          </w:tcPr>
          <w:p>
            <w:pPr>
              <w:spacing w:after="0"/>
              <w:rPr>
                <w:sz w:val="1"/>
                <w:szCs w:val="1"/>
                <w:color w:val="auto"/>
              </w:rPr>
            </w:pPr>
          </w:p>
        </w:tc>
      </w:tr>
      <w:tr>
        <w:trPr>
          <w:trHeight w:val="142"/>
        </w:trPr>
        <w:tc>
          <w:tcPr>
            <w:tcW w:w="38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DECEMBER 31, 2020</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242,118</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2,421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2,866,303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(3,049,143)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(180,419)</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260"/>
              <w:spacing w:after="0"/>
              <w:rPr>
                <w:sz w:val="20"/>
                <w:szCs w:val="20"/>
                <w:color w:val="auto"/>
              </w:rPr>
            </w:pPr>
            <w:r>
              <w:rPr>
                <w:rFonts w:ascii="Arial" w:cs="Arial" w:eastAsia="Arial" w:hAnsi="Arial"/>
                <w:sz w:val="13"/>
                <w:szCs w:val="13"/>
                <w:color w:val="auto"/>
              </w:rPr>
              <w:t>Net issuance of common stock associated</w:t>
            </w: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units</w:t>
            </w:r>
          </w:p>
        </w:tc>
        <w:tc>
          <w:tcPr>
            <w:tcW w:w="1200" w:type="dxa"/>
            <w:vAlign w:val="bottom"/>
          </w:tcPr>
          <w:p>
            <w:pPr>
              <w:jc w:val="right"/>
              <w:spacing w:after="0"/>
              <w:rPr>
                <w:sz w:val="20"/>
                <w:szCs w:val="20"/>
                <w:color w:val="auto"/>
              </w:rPr>
            </w:pPr>
            <w:r>
              <w:rPr>
                <w:rFonts w:ascii="Arial" w:cs="Arial" w:eastAsia="Arial" w:hAnsi="Arial"/>
                <w:sz w:val="13"/>
                <w:szCs w:val="13"/>
                <w:color w:val="auto"/>
              </w:rPr>
              <w:t>1,572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(514)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134"/>
        </w:trPr>
        <w:tc>
          <w:tcPr>
            <w:tcW w:w="38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12,200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convertible note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3,830</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convertible note interest</w:t>
            </w:r>
          </w:p>
        </w:tc>
        <w:tc>
          <w:tcPr>
            <w:tcW w:w="1200" w:type="dxa"/>
            <w:vAlign w:val="bottom"/>
          </w:tcPr>
          <w:p>
            <w:pPr>
              <w:jc w:val="right"/>
              <w:spacing w:after="0"/>
              <w:rPr>
                <w:sz w:val="20"/>
                <w:szCs w:val="20"/>
                <w:color w:val="auto"/>
              </w:rPr>
            </w:pPr>
            <w:r>
              <w:rPr>
                <w:rFonts w:ascii="Arial" w:cs="Arial" w:eastAsia="Arial" w:hAnsi="Arial"/>
                <w:sz w:val="13"/>
                <w:szCs w:val="13"/>
                <w:color w:val="auto"/>
              </w:rPr>
              <w:t>170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the 2024 convertible notes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1,667</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340"/>
              <w:spacing w:after="0" w:line="135" w:lineRule="exact"/>
              <w:rPr>
                <w:sz w:val="20"/>
                <w:szCs w:val="20"/>
                <w:color w:val="auto"/>
              </w:rPr>
            </w:pPr>
            <w:r>
              <w:rPr>
                <w:rFonts w:ascii="Arial" w:cs="Arial" w:eastAsia="Arial" w:hAnsi="Arial"/>
                <w:sz w:val="13"/>
                <w:szCs w:val="13"/>
                <w:color w:val="auto"/>
              </w:rPr>
              <w:t>payoff of the 2024 convertible note</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interest</w:t>
            </w:r>
          </w:p>
        </w:tc>
        <w:tc>
          <w:tcPr>
            <w:tcW w:w="1200" w:type="dxa"/>
            <w:vAlign w:val="bottom"/>
          </w:tcPr>
          <w:p>
            <w:pPr>
              <w:jc w:val="right"/>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at-the-market placement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260"/>
              <w:spacing w:after="0"/>
              <w:rPr>
                <w:sz w:val="20"/>
                <w:szCs w:val="20"/>
                <w:color w:val="auto"/>
              </w:rPr>
            </w:pPr>
            <w:r>
              <w:rPr>
                <w:rFonts w:ascii="Arial" w:cs="Arial" w:eastAsia="Arial" w:hAnsi="Arial"/>
                <w:sz w:val="13"/>
                <w:szCs w:val="13"/>
                <w:color w:val="auto"/>
              </w:rPr>
              <w:t>Issuance costs associated with at-the-market placement</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Premium on Mann Group convertible note</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22,107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340"/>
              <w:spacing w:after="0"/>
              <w:rPr>
                <w:sz w:val="20"/>
                <w:szCs w:val="20"/>
                <w:color w:val="auto"/>
              </w:rPr>
            </w:pPr>
            <w:r>
              <w:rPr>
                <w:rFonts w:ascii="Arial" w:cs="Arial" w:eastAsia="Arial" w:hAnsi="Arial"/>
                <w:sz w:val="13"/>
                <w:szCs w:val="13"/>
                <w:color w:val="auto"/>
              </w:rPr>
              <w:t>price stock purchase</w:t>
            </w:r>
          </w:p>
        </w:tc>
        <w:tc>
          <w:tcPr>
            <w:tcW w:w="1200" w:type="dxa"/>
            <w:vAlign w:val="bottom"/>
          </w:tcPr>
          <w:p>
            <w:pPr>
              <w:jc w:val="right"/>
              <w:spacing w:after="0"/>
              <w:rPr>
                <w:sz w:val="20"/>
                <w:szCs w:val="20"/>
                <w:color w:val="auto"/>
              </w:rPr>
            </w:pPr>
            <w:r>
              <w:rPr>
                <w:rFonts w:ascii="Arial" w:cs="Arial" w:eastAsia="Arial" w:hAnsi="Arial"/>
                <w:sz w:val="13"/>
                <w:szCs w:val="13"/>
                <w:color w:val="auto"/>
              </w:rPr>
              <w:t>25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w:t>
            </w: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 a warrant conversion</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964</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8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(80,926)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(80,926)</w:t>
            </w:r>
          </w:p>
        </w:tc>
        <w:tc>
          <w:tcPr>
            <w:tcW w:w="0" w:type="dxa"/>
            <w:vAlign w:val="bottom"/>
          </w:tcPr>
          <w:p>
            <w:pPr>
              <w:spacing w:after="0"/>
              <w:rPr>
                <w:sz w:val="1"/>
                <w:szCs w:val="1"/>
                <w:color w:val="auto"/>
              </w:rPr>
            </w:pPr>
          </w:p>
        </w:tc>
      </w:tr>
      <w:tr>
        <w:trPr>
          <w:trHeight w:val="142"/>
        </w:trPr>
        <w:tc>
          <w:tcPr>
            <w:tcW w:w="38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DECEMBER 31, 2021</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251,478</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2,515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2,918,205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(3,130,069)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(209,349)</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ind w:left="354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3"/>
                <w:szCs w:val="13"/>
                <w:b w:val="1"/>
                <w:bCs w:val="1"/>
                <w:color w:val="auto"/>
                <w:w w:val="96"/>
              </w:rPr>
              <w:t>Year Ended December 31,</w:t>
            </w: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gridSpan w:val="3"/>
          </w:tcPr>
          <w:p>
            <w:pPr>
              <w:jc w:val="right"/>
              <w:ind w:right="428"/>
              <w:spacing w:after="0" w:line="142" w:lineRule="exact"/>
              <w:rPr>
                <w:sz w:val="20"/>
                <w:szCs w:val="20"/>
                <w:color w:val="auto"/>
              </w:rPr>
            </w:pPr>
            <w:r>
              <w:rPr>
                <w:rFonts w:ascii="Arial" w:cs="Arial" w:eastAsia="Arial" w:hAnsi="Arial"/>
                <w:sz w:val="13"/>
                <w:szCs w:val="13"/>
                <w:b w:val="1"/>
                <w:bCs w:val="1"/>
                <w:color w:val="auto"/>
              </w:rPr>
              <w:t>(In thousands)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OPERATING ACTIVITIES: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2820" w:type="dxa"/>
            <w:vAlign w:val="bottom"/>
            <w:gridSpan w:val="2"/>
          </w:tcPr>
          <w:p>
            <w:pPr>
              <w:jc w:val="right"/>
              <w:ind w:right="1197"/>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(80,926)</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(57,240)</w:t>
            </w:r>
          </w:p>
        </w:tc>
      </w:tr>
      <w:tr>
        <w:trPr>
          <w:trHeight w:val="143"/>
        </w:trPr>
        <w:tc>
          <w:tcPr>
            <w:tcW w:w="52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loss to net cash used in</w:t>
            </w:r>
          </w:p>
        </w:tc>
        <w:tc>
          <w:tcPr>
            <w:tcW w:w="15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activities: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500"/>
              <w:spacing w:after="0"/>
              <w:rPr>
                <w:sz w:val="20"/>
                <w:szCs w:val="20"/>
                <w:color w:val="auto"/>
              </w:rPr>
            </w:pPr>
            <w:r>
              <w:rPr>
                <w:rFonts w:ascii="Arial" w:cs="Arial" w:eastAsia="Arial" w:hAnsi="Arial"/>
                <w:sz w:val="14"/>
                <w:szCs w:val="14"/>
                <w:color w:val="auto"/>
              </w:rPr>
              <w:t>Loss on extinguishment of debt, net</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17,200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 expense</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12,200</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6,511</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500"/>
              <w:spacing w:after="0"/>
              <w:rPr>
                <w:sz w:val="20"/>
                <w:szCs w:val="20"/>
                <w:color w:val="auto"/>
              </w:rPr>
            </w:pPr>
            <w:r>
              <w:rPr>
                <w:rFonts w:ascii="Arial" w:cs="Arial" w:eastAsia="Arial" w:hAnsi="Arial"/>
                <w:sz w:val="14"/>
                <w:szCs w:val="14"/>
                <w:color w:val="auto"/>
              </w:rPr>
              <w:t>Depreciation, amortization and accretion</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4,215</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2,149</w:t>
            </w: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Interest on milestone right</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3,663</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tcPr>
          <w:p>
            <w:pPr>
              <w:ind w:left="500"/>
              <w:spacing w:after="0"/>
              <w:rPr>
                <w:sz w:val="20"/>
                <w:szCs w:val="20"/>
                <w:color w:val="auto"/>
              </w:rPr>
            </w:pPr>
            <w:r>
              <w:rPr>
                <w:rFonts w:ascii="Arial" w:cs="Arial" w:eastAsia="Arial" w:hAnsi="Arial"/>
                <w:sz w:val="14"/>
                <w:szCs w:val="14"/>
                <w:color w:val="auto"/>
              </w:rPr>
              <w:t>Write-off of inventory</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1,902</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Interest expense on promissory notes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1,598</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5,148</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500"/>
              <w:spacing w:after="0"/>
              <w:rPr>
                <w:sz w:val="20"/>
                <w:szCs w:val="20"/>
                <w:color w:val="auto"/>
              </w:rPr>
            </w:pPr>
            <w:r>
              <w:rPr>
                <w:rFonts w:ascii="Arial" w:cs="Arial" w:eastAsia="Arial" w:hAnsi="Arial"/>
                <w:sz w:val="14"/>
                <w:szCs w:val="14"/>
                <w:color w:val="auto"/>
              </w:rPr>
              <w:t>Amortization of financing liability</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1,372</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right-of-use assets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1,258</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1,177</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500"/>
              <w:spacing w:after="0"/>
              <w:rPr>
                <w:sz w:val="20"/>
                <w:szCs w:val="20"/>
                <w:color w:val="auto"/>
              </w:rPr>
            </w:pPr>
            <w:r>
              <w:rPr>
                <w:rFonts w:ascii="Arial" w:cs="Arial" w:eastAsia="Arial" w:hAnsi="Arial"/>
                <w:sz w:val="14"/>
                <w:szCs w:val="14"/>
                <w:color w:val="auto"/>
              </w:rPr>
              <w:t>Asset impairment</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1,889</w:t>
            </w: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(Gain) loss on foreign currency translation</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(6,567)</w:t>
            </w: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8,006</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500"/>
              <w:spacing w:after="0"/>
              <w:rPr>
                <w:sz w:val="20"/>
                <w:szCs w:val="20"/>
                <w:color w:val="auto"/>
              </w:rPr>
            </w:pPr>
            <w:r>
              <w:rPr>
                <w:rFonts w:ascii="Arial" w:cs="Arial" w:eastAsia="Arial" w:hAnsi="Arial"/>
                <w:sz w:val="14"/>
                <w:szCs w:val="14"/>
                <w:color w:val="auto"/>
              </w:rPr>
              <w:t>In-process research and development</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13,233</w:t>
            </w: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net</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Accounts receivable, net</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(776)</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(705)</w:t>
            </w:r>
          </w:p>
        </w:tc>
      </w:tr>
      <w:tr>
        <w:trPr>
          <w:trHeight w:val="162"/>
        </w:trPr>
        <w:tc>
          <w:tcPr>
            <w:tcW w:w="5240" w:type="dxa"/>
            <w:vAlign w:val="bottom"/>
          </w:tcPr>
          <w:p>
            <w:pPr>
              <w:ind w:left="740"/>
              <w:spacing w:after="0"/>
              <w:rPr>
                <w:sz w:val="20"/>
                <w:szCs w:val="20"/>
                <w:color w:val="auto"/>
              </w:rPr>
            </w:pPr>
            <w:r>
              <w:rPr>
                <w:rFonts w:ascii="Arial" w:cs="Arial" w:eastAsia="Arial" w:hAnsi="Arial"/>
                <w:sz w:val="14"/>
                <w:szCs w:val="14"/>
                <w:color w:val="auto"/>
              </w:rPr>
              <w:t>Inventory</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(4,081)</w:t>
            </w:r>
          </w:p>
        </w:tc>
        <w:tc>
          <w:tcPr>
            <w:tcW w:w="7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(1,314)</w:t>
            </w:r>
          </w:p>
        </w:tc>
      </w:tr>
      <w:tr>
        <w:trPr>
          <w:trHeight w:val="162"/>
        </w:trPr>
        <w:tc>
          <w:tcPr>
            <w:tcW w:w="52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Prepaid expenses and other current assets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(360)</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(154)</w:t>
            </w:r>
          </w:p>
        </w:tc>
      </w:tr>
      <w:tr>
        <w:trPr>
          <w:trHeight w:val="162"/>
        </w:trPr>
        <w:tc>
          <w:tcPr>
            <w:tcW w:w="5240" w:type="dxa"/>
            <w:vAlign w:val="bottom"/>
          </w:tcPr>
          <w:p>
            <w:pPr>
              <w:ind w:left="740"/>
              <w:spacing w:after="0"/>
              <w:rPr>
                <w:sz w:val="20"/>
                <w:szCs w:val="20"/>
                <w:color w:val="auto"/>
              </w:rPr>
            </w:pPr>
            <w:r>
              <w:rPr>
                <w:rFonts w:ascii="Arial" w:cs="Arial" w:eastAsia="Arial" w:hAnsi="Arial"/>
                <w:sz w:val="14"/>
                <w:szCs w:val="14"/>
                <w:color w:val="auto"/>
              </w:rPr>
              <w:t>Other assets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(138)</w:t>
            </w: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Accounts payable</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1,374</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793</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740"/>
              <w:spacing w:after="0"/>
              <w:rPr>
                <w:sz w:val="20"/>
                <w:szCs w:val="20"/>
                <w:color w:val="auto"/>
              </w:rPr>
            </w:pPr>
            <w:r>
              <w:rPr>
                <w:rFonts w:ascii="Arial" w:cs="Arial" w:eastAsia="Arial" w:hAnsi="Arial"/>
                <w:sz w:val="14"/>
                <w:szCs w:val="14"/>
                <w:color w:val="auto"/>
              </w:rPr>
              <w:t>Accrued expenses and other current liabilities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8,814</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3,346</w:t>
            </w: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Deferred revenue</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(14,567)</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(5,910)</w:t>
            </w:r>
          </w:p>
        </w:tc>
      </w:tr>
      <w:tr>
        <w:trPr>
          <w:trHeight w:val="162"/>
        </w:trPr>
        <w:tc>
          <w:tcPr>
            <w:tcW w:w="5240" w:type="dxa"/>
            <w:vAlign w:val="bottom"/>
          </w:tcPr>
          <w:p>
            <w:pPr>
              <w:ind w:left="740"/>
              <w:spacing w:after="0"/>
              <w:rPr>
                <w:sz w:val="20"/>
                <w:szCs w:val="20"/>
                <w:color w:val="auto"/>
              </w:rPr>
            </w:pPr>
            <w:r>
              <w:rPr>
                <w:rFonts w:ascii="Arial" w:cs="Arial" w:eastAsia="Arial" w:hAnsi="Arial"/>
                <w:sz w:val="14"/>
                <w:szCs w:val="14"/>
                <w:color w:val="auto"/>
              </w:rPr>
              <w:t>Recognized loss on purchase commitments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(5,892)</w:t>
            </w:r>
          </w:p>
        </w:tc>
        <w:tc>
          <w:tcPr>
            <w:tcW w:w="7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(4,751)</w:t>
            </w:r>
          </w:p>
        </w:tc>
      </w:tr>
      <w:tr>
        <w:trPr>
          <w:trHeight w:val="162"/>
        </w:trPr>
        <w:tc>
          <w:tcPr>
            <w:tcW w:w="52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Operating lease liabilities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(2,135)</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(1,312)</w:t>
            </w:r>
          </w:p>
        </w:tc>
      </w:tr>
      <w:tr>
        <w:trPr>
          <w:trHeight w:val="162"/>
        </w:trPr>
        <w:tc>
          <w:tcPr>
            <w:tcW w:w="5240" w:type="dxa"/>
            <w:vAlign w:val="bottom"/>
          </w:tcPr>
          <w:p>
            <w:pPr>
              <w:ind w:left="740"/>
              <w:spacing w:after="0"/>
              <w:rPr>
                <w:sz w:val="20"/>
                <w:szCs w:val="20"/>
                <w:color w:val="auto"/>
              </w:rPr>
            </w:pPr>
            <w:r>
              <w:rPr>
                <w:rFonts w:ascii="Arial" w:cs="Arial" w:eastAsia="Arial" w:hAnsi="Arial"/>
                <w:sz w:val="14"/>
                <w:szCs w:val="14"/>
                <w:color w:val="auto"/>
              </w:rPr>
              <w:t>Accrued interest on Mann Group promissory notes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(4,919)</w:t>
            </w:r>
          </w:p>
        </w:tc>
        <w:tc>
          <w:tcPr>
            <w:tcW w:w="7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Deposits from customer</w:t>
            </w:r>
          </w:p>
        </w:tc>
        <w:tc>
          <w:tcPr>
            <w:tcW w:w="1500" w:type="dxa"/>
            <w:vAlign w:val="bottom"/>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4,950</w:t>
            </w:r>
          </w:p>
        </w:tc>
        <w:tc>
          <w:tcPr>
            <w:tcW w:w="26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55"/>
        </w:trPr>
        <w:tc>
          <w:tcPr>
            <w:tcW w:w="5240" w:type="dxa"/>
            <w:vAlign w:val="bottom"/>
          </w:tcPr>
          <w:p>
            <w:pPr>
              <w:ind w:left="1000"/>
              <w:spacing w:after="0" w:line="155" w:lineRule="exact"/>
              <w:rPr>
                <w:sz w:val="20"/>
                <w:szCs w:val="20"/>
                <w:color w:val="auto"/>
              </w:rPr>
            </w:pPr>
            <w:r>
              <w:rPr>
                <w:rFonts w:ascii="Arial" w:cs="Arial" w:eastAsia="Arial" w:hAnsi="Arial"/>
                <w:sz w:val="14"/>
                <w:szCs w:val="14"/>
                <w:color w:val="auto"/>
              </w:rPr>
              <w:t>Net cash used in operating activities</w:t>
            </w:r>
          </w:p>
        </w:tc>
        <w:tc>
          <w:tcPr>
            <w:tcW w:w="1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(61,709)</w:t>
            </w:r>
          </w:p>
        </w:tc>
        <w:tc>
          <w:tcPr>
            <w:tcW w:w="740" w:type="dxa"/>
            <w:vAlign w:val="bottom"/>
          </w:tcPr>
          <w:p>
            <w:pPr>
              <w:spacing w:after="0"/>
              <w:rPr>
                <w:sz w:val="13"/>
                <w:szCs w:val="1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(28,128)</w:t>
            </w:r>
          </w:p>
        </w:tc>
      </w:tr>
      <w:tr>
        <w:trPr>
          <w:trHeight w:val="156"/>
        </w:trPr>
        <w:tc>
          <w:tcPr>
            <w:tcW w:w="52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50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Purchase of held-to-maturity debt securities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(196,131)</w:t>
            </w:r>
          </w:p>
        </w:tc>
        <w:tc>
          <w:tcPr>
            <w:tcW w:w="7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maturity of debt securities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59,060</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Purchase of property and equipment</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(11,466)</w:t>
            </w:r>
          </w:p>
        </w:tc>
        <w:tc>
          <w:tcPr>
            <w:tcW w:w="7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(801)</w:t>
            </w: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available-for-sale securities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(3,000)</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Proceeds from sale of treasury bills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4"/>
                <w:szCs w:val="14"/>
                <w:color w:val="auto"/>
              </w:rPr>
            </w:pPr>
          </w:p>
        </w:tc>
      </w:tr>
      <w:tr>
        <w:trPr>
          <w:trHeight w:val="143"/>
        </w:trPr>
        <w:tc>
          <w:tcPr>
            <w:tcW w:w="52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Acquisition of in-process research and development,</w:t>
            </w:r>
          </w:p>
        </w:tc>
        <w:tc>
          <w:tcPr>
            <w:tcW w:w="15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net of cash acquired</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(3,983)</w:t>
            </w:r>
          </w:p>
        </w:tc>
      </w:tr>
      <w:tr>
        <w:trPr>
          <w:trHeight w:val="123"/>
        </w:trPr>
        <w:tc>
          <w:tcPr>
            <w:tcW w:w="5240" w:type="dxa"/>
            <w:vAlign w:val="bottom"/>
          </w:tcPr>
          <w:p>
            <w:pPr>
              <w:ind w:left="1000"/>
              <w:spacing w:after="0" w:line="123" w:lineRule="exact"/>
              <w:rPr>
                <w:sz w:val="20"/>
                <w:szCs w:val="20"/>
                <w:color w:val="auto"/>
              </w:rPr>
            </w:pPr>
            <w:r>
              <w:rPr>
                <w:rFonts w:ascii="Arial" w:cs="Arial" w:eastAsia="Arial" w:hAnsi="Arial"/>
                <w:sz w:val="14"/>
                <w:szCs w:val="14"/>
                <w:color w:val="auto"/>
              </w:rPr>
              <w:t>Net cash (used in) provided by investing</w:t>
            </w:r>
          </w:p>
        </w:tc>
        <w:tc>
          <w:tcPr>
            <w:tcW w:w="150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240" w:type="dxa"/>
            <w:vAlign w:val="bottom"/>
          </w:tcPr>
          <w:p>
            <w:pPr>
              <w:ind w:left="1100"/>
              <w:spacing w:after="0"/>
              <w:rPr>
                <w:sz w:val="20"/>
                <w:szCs w:val="20"/>
                <w:color w:val="auto"/>
              </w:rPr>
            </w:pPr>
            <w:r>
              <w:rPr>
                <w:rFonts w:ascii="Arial" w:cs="Arial" w:eastAsia="Arial" w:hAnsi="Arial"/>
                <w:sz w:val="14"/>
                <w:szCs w:val="14"/>
                <w:color w:val="auto"/>
              </w:rPr>
              <w:t>activities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(151,537)</w:t>
            </w: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15,216</w:t>
            </w:r>
          </w:p>
        </w:tc>
        <w:tc>
          <w:tcPr>
            <w:tcW w:w="100" w:type="dxa"/>
            <w:vAlign w:val="bottom"/>
          </w:tcPr>
          <w:p>
            <w:pPr>
              <w:spacing w:after="0"/>
              <w:rPr>
                <w:sz w:val="14"/>
                <w:szCs w:val="14"/>
                <w:color w:val="auto"/>
              </w:rPr>
            </w:pPr>
          </w:p>
        </w:tc>
      </w:tr>
      <w:tr>
        <w:trPr>
          <w:trHeight w:val="155"/>
        </w:trPr>
        <w:tc>
          <w:tcPr>
            <w:tcW w:w="52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50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Proceeds from the Senior convertible notes</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230,000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costs associated with Senior convertible notes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(7,268)</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Proceeds from the sale-leaseback transaction</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102,250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costs associated with the sale-leaseback transaction</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(3,120)</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Deposit for the sale-leaseback transaction</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(2,000)</w:t>
            </w:r>
          </w:p>
        </w:tc>
        <w:tc>
          <w:tcPr>
            <w:tcW w:w="7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payments on Mann Group promissory notes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(35,051)</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Payment of MidCap credit facility</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(10,000)</w:t>
            </w:r>
          </w:p>
        </w:tc>
        <w:tc>
          <w:tcPr>
            <w:tcW w:w="7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MidCap credit facility prepayment penalty</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(1,000)</w:t>
            </w:r>
          </w:p>
        </w:tc>
        <w:tc>
          <w:tcPr>
            <w:tcW w:w="7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Milestone payment</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(5,000)</w:t>
            </w:r>
          </w:p>
        </w:tc>
        <w:tc>
          <w:tcPr>
            <w:tcW w:w="7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at-the-market-offering</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1,886</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23,450</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Issuance costs associated with at the market offering</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(38)</w:t>
            </w:r>
          </w:p>
        </w:tc>
        <w:tc>
          <w:tcPr>
            <w:tcW w:w="7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(518)</w:t>
            </w:r>
          </w:p>
        </w:tc>
      </w:tr>
      <w:tr>
        <w:trPr>
          <w:trHeight w:val="143"/>
        </w:trPr>
        <w:tc>
          <w:tcPr>
            <w:tcW w:w="52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Payment of employment taxes related to vested</w:t>
            </w:r>
          </w:p>
        </w:tc>
        <w:tc>
          <w:tcPr>
            <w:tcW w:w="15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restricted stock units and exercise of stock options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(498)</w:t>
            </w: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Proceeds from market price stock purchase plan</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r>
      <w:tr>
        <w:trPr>
          <w:trHeight w:val="143"/>
        </w:trPr>
        <w:tc>
          <w:tcPr>
            <w:tcW w:w="52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from the exercise of</w:t>
            </w:r>
          </w:p>
        </w:tc>
        <w:tc>
          <w:tcPr>
            <w:tcW w:w="15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warrants</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w:t>
            </w:r>
          </w:p>
        </w:tc>
        <w:tc>
          <w:tcPr>
            <w:tcW w:w="100" w:type="dxa"/>
            <w:vAlign w:val="bottom"/>
            <w:shd w:val="clear" w:color="auto" w:fill="CFF0FC"/>
          </w:tcPr>
          <w:p>
            <w:pPr>
              <w:spacing w:after="0"/>
              <w:rPr>
                <w:sz w:val="14"/>
                <w:szCs w:val="14"/>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Proceeds from MidCap credit facility</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PPP loan</w:t>
            </w:r>
          </w:p>
        </w:tc>
        <w:tc>
          <w:tcPr>
            <w:tcW w:w="1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4,873</w:t>
            </w:r>
          </w:p>
        </w:tc>
        <w:tc>
          <w:tcPr>
            <w:tcW w:w="100" w:type="dxa"/>
            <w:vAlign w:val="bottom"/>
            <w:shd w:val="clear" w:color="auto" w:fill="CFF0FC"/>
          </w:tcPr>
          <w:p>
            <w:pPr>
              <w:spacing w:after="0"/>
              <w:rPr>
                <w:sz w:val="14"/>
                <w:szCs w:val="14"/>
                <w:color w:val="auto"/>
              </w:rPr>
            </w:pPr>
          </w:p>
        </w:tc>
      </w:tr>
      <w:tr>
        <w:trPr>
          <w:trHeight w:val="142"/>
        </w:trPr>
        <w:tc>
          <w:tcPr>
            <w:tcW w:w="524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500" w:type="dxa"/>
            <w:vAlign w:val="bottom"/>
            <w:tcBorders>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270,267</w:t>
            </w:r>
          </w:p>
        </w:tc>
        <w:tc>
          <w:tcPr>
            <w:tcW w:w="26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49,853</w:t>
            </w:r>
          </w:p>
        </w:tc>
        <w:tc>
          <w:tcPr>
            <w:tcW w:w="100" w:type="dxa"/>
            <w:vAlign w:val="bottom"/>
            <w:tcBorders>
              <w:bottom w:val="single" w:sz="8" w:color="CFF0FC"/>
            </w:tcBorders>
          </w:tcPr>
          <w:p>
            <w:pPr>
              <w:spacing w:after="0"/>
              <w:rPr>
                <w:sz w:val="12"/>
                <w:szCs w:val="12"/>
                <w:color w:val="auto"/>
              </w:rPr>
            </w:pPr>
          </w:p>
        </w:tc>
      </w:tr>
      <w:tr>
        <w:trPr>
          <w:trHeight w:val="133"/>
        </w:trPr>
        <w:tc>
          <w:tcPr>
            <w:tcW w:w="524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NET INCREASE IN CASH AND CASH EQUIVALENTS</w:t>
            </w:r>
          </w:p>
        </w:tc>
        <w:tc>
          <w:tcPr>
            <w:tcW w:w="15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1"/>
        </w:trPr>
        <w:tc>
          <w:tcPr>
            <w:tcW w:w="52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AND RESTRICTED CASH</w:t>
            </w:r>
          </w:p>
        </w:tc>
        <w:tc>
          <w:tcPr>
            <w:tcW w:w="1500" w:type="dxa"/>
            <w:vAlign w:val="bottom"/>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57,021</w:t>
            </w:r>
          </w:p>
        </w:tc>
        <w:tc>
          <w:tcPr>
            <w:tcW w:w="26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36,941</w:t>
            </w:r>
          </w:p>
        </w:tc>
        <w:tc>
          <w:tcPr>
            <w:tcW w:w="100" w:type="dxa"/>
            <w:vAlign w:val="bottom"/>
            <w:shd w:val="clear" w:color="auto" w:fill="CFF0FC"/>
          </w:tcPr>
          <w:p>
            <w:pPr>
              <w:spacing w:after="0"/>
              <w:rPr>
                <w:sz w:val="14"/>
                <w:szCs w:val="14"/>
                <w:color w:val="auto"/>
              </w:rPr>
            </w:pPr>
          </w:p>
        </w:tc>
      </w:tr>
      <w:tr>
        <w:trPr>
          <w:trHeight w:val="133"/>
        </w:trPr>
        <w:tc>
          <w:tcPr>
            <w:tcW w:w="5240" w:type="dxa"/>
            <w:vAlign w:val="bottom"/>
          </w:tcPr>
          <w:p>
            <w:pPr>
              <w:spacing w:after="0" w:line="133" w:lineRule="exact"/>
              <w:rPr>
                <w:sz w:val="20"/>
                <w:szCs w:val="20"/>
                <w:color w:val="auto"/>
              </w:rPr>
            </w:pPr>
            <w:r>
              <w:rPr>
                <w:rFonts w:ascii="Arial" w:cs="Arial" w:eastAsia="Arial" w:hAnsi="Arial"/>
                <w:sz w:val="14"/>
                <w:szCs w:val="14"/>
                <w:b w:val="1"/>
                <w:bCs w:val="1"/>
                <w:color w:val="auto"/>
              </w:rPr>
              <w:t>CASH AND CASH EQUIVALENTS AND RESTRICTED</w:t>
            </w:r>
          </w:p>
        </w:tc>
        <w:tc>
          <w:tcPr>
            <w:tcW w:w="1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5240" w:type="dxa"/>
            <w:vAlign w:val="bottom"/>
            <w:tcBorders>
              <w:bottom w:val="single" w:sz="8" w:color="CFF0FC"/>
            </w:tcBorders>
          </w:tcPr>
          <w:p>
            <w:pPr>
              <w:ind w:left="120"/>
              <w:spacing w:after="0"/>
              <w:rPr>
                <w:sz w:val="20"/>
                <w:szCs w:val="20"/>
                <w:color w:val="auto"/>
              </w:rPr>
            </w:pPr>
            <w:r>
              <w:rPr>
                <w:rFonts w:ascii="Arial" w:cs="Arial" w:eastAsia="Arial" w:hAnsi="Arial"/>
                <w:sz w:val="14"/>
                <w:szCs w:val="14"/>
                <w:b w:val="1"/>
                <w:bCs w:val="1"/>
                <w:color w:val="auto"/>
              </w:rPr>
              <w:t>CASH, BEGINNING OF PERIOD</w:t>
            </w:r>
          </w:p>
        </w:tc>
        <w:tc>
          <w:tcPr>
            <w:tcW w:w="15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67,163</w:t>
            </w:r>
          </w:p>
        </w:tc>
        <w:tc>
          <w:tcPr>
            <w:tcW w:w="26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30,222</w:t>
            </w:r>
          </w:p>
        </w:tc>
        <w:tc>
          <w:tcPr>
            <w:tcW w:w="100" w:type="dxa"/>
            <w:vAlign w:val="bottom"/>
            <w:tcBorders>
              <w:bottom w:val="single" w:sz="8" w:color="CFF0FC"/>
            </w:tcBorders>
          </w:tcPr>
          <w:p>
            <w:pPr>
              <w:spacing w:after="0"/>
              <w:rPr>
                <w:sz w:val="14"/>
                <w:szCs w:val="14"/>
                <w:color w:val="auto"/>
              </w:rPr>
            </w:pPr>
          </w:p>
        </w:tc>
      </w:tr>
      <w:tr>
        <w:trPr>
          <w:trHeight w:val="133"/>
        </w:trPr>
        <w:tc>
          <w:tcPr>
            <w:tcW w:w="524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CASH AND CASH EQUIVALENTS AND RESTRICTED</w:t>
            </w:r>
          </w:p>
        </w:tc>
        <w:tc>
          <w:tcPr>
            <w:tcW w:w="15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1"/>
        </w:trPr>
        <w:tc>
          <w:tcPr>
            <w:tcW w:w="52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CASH, END OF PERIOD</w:t>
            </w:r>
          </w:p>
        </w:tc>
        <w:tc>
          <w:tcPr>
            <w:tcW w:w="2820" w:type="dxa"/>
            <w:vAlign w:val="bottom"/>
            <w:gridSpan w:val="2"/>
            <w:shd w:val="clear" w:color="auto" w:fill="CFF0FC"/>
          </w:tcPr>
          <w:p>
            <w:pPr>
              <w:jc w:val="right"/>
              <w:ind w:right="11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124,184</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28"/>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67,163</w:t>
            </w:r>
          </w:p>
        </w:tc>
        <w:tc>
          <w:tcPr>
            <w:tcW w:w="100" w:type="dxa"/>
            <w:vAlign w:val="bottom"/>
            <w:shd w:val="clear" w:color="auto" w:fill="CFF0FC"/>
          </w:tcPr>
          <w:p>
            <w:pPr>
              <w:spacing w:after="0"/>
              <w:rPr>
                <w:sz w:val="14"/>
                <w:szCs w:val="14"/>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333" w:lineRule="exact"/>
        <w:rPr>
          <w:sz w:val="20"/>
          <w:szCs w:val="20"/>
          <w:color w:val="auto"/>
        </w:rPr>
      </w:pPr>
    </w:p>
    <w:p>
      <w:pPr>
        <w:ind w:left="8620"/>
        <w:spacing w:after="0"/>
        <w:rPr>
          <w:sz w:val="20"/>
          <w:szCs w:val="20"/>
          <w:color w:val="auto"/>
        </w:rPr>
      </w:pPr>
      <w:r>
        <w:rPr>
          <w:rFonts w:ascii="Arial" w:cs="Arial" w:eastAsia="Arial" w:hAnsi="Arial"/>
          <w:sz w:val="13"/>
          <w:szCs w:val="13"/>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wp:posOffset>
            </wp:positionV>
            <wp:extent cx="27857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40" w:type="dxa"/>
            <w:vAlign w:val="bottom"/>
          </w:tcPr>
          <w:p>
            <w:pPr>
              <w:spacing w:after="0"/>
              <w:rPr>
                <w:sz w:val="13"/>
                <w:szCs w:val="13"/>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2021</w:t>
            </w:r>
          </w:p>
        </w:tc>
        <w:tc>
          <w:tcPr>
            <w:tcW w:w="1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5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FLOWS DISCLOSURES:</w:t>
            </w:r>
          </w:p>
        </w:tc>
        <w:tc>
          <w:tcPr>
            <w:tcW w:w="1460" w:type="dxa"/>
            <w:vAlign w:val="bottom"/>
          </w:tcPr>
          <w:p>
            <w:pPr>
              <w:jc w:val="right"/>
              <w:ind w:right="257"/>
              <w:spacing w:after="0"/>
              <w:rPr>
                <w:sz w:val="20"/>
                <w:szCs w:val="20"/>
                <w:color w:val="auto"/>
              </w:rPr>
            </w:pPr>
            <w:r>
              <w:rPr>
                <w:rFonts w:ascii="Arial" w:cs="Arial" w:eastAsia="Arial" w:hAnsi="Arial"/>
                <w:sz w:val="13"/>
                <w:szCs w:val="13"/>
                <w:b w:val="1"/>
                <w:bCs w:val="1"/>
                <w:color w:val="auto"/>
              </w:rPr>
              <w:t>(In thousands)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8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Interest paid in cash, net of amounts capitalized</w:t>
            </w:r>
          </w:p>
        </w:tc>
        <w:tc>
          <w:tcPr>
            <w:tcW w:w="146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rPr>
              <w:t>11,268</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Reclassification of investments from long-term to current</w:t>
            </w:r>
          </w:p>
        </w:tc>
        <w:tc>
          <w:tcPr>
            <w:tcW w:w="146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rPr>
              <w:t>32,654</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180" w:type="dxa"/>
            <w:vAlign w:val="bottom"/>
            <w:gridSpan w:val="2"/>
          </w:tcPr>
          <w:p>
            <w:pPr>
              <w:ind w:left="140"/>
              <w:spacing w:after="0"/>
              <w:rPr>
                <w:sz w:val="20"/>
                <w:szCs w:val="20"/>
                <w:color w:val="auto"/>
              </w:rPr>
            </w:pPr>
            <w:r>
              <w:rPr>
                <w:rFonts w:ascii="Arial" w:cs="Arial" w:eastAsia="Arial" w:hAnsi="Arial"/>
                <w:sz w:val="14"/>
                <w:szCs w:val="14"/>
                <w:color w:val="auto"/>
              </w:rPr>
              <w:t>Premium on Mann Group convertible note</w:t>
            </w:r>
          </w:p>
        </w:tc>
        <w:tc>
          <w:tcPr>
            <w:tcW w:w="1460" w:type="dxa"/>
            <w:vAlign w:val="bottom"/>
          </w:tcPr>
          <w:p>
            <w:pPr>
              <w:jc w:val="right"/>
              <w:ind w:right="777"/>
              <w:spacing w:after="0"/>
              <w:rPr>
                <w:sz w:val="20"/>
                <w:szCs w:val="20"/>
                <w:color w:val="auto"/>
              </w:rPr>
            </w:pPr>
            <w:r>
              <w:rPr>
                <w:rFonts w:ascii="Arial" w:cs="Arial" w:eastAsia="Arial" w:hAnsi="Arial"/>
                <w:sz w:val="13"/>
                <w:szCs w:val="13"/>
                <w:color w:val="auto"/>
              </w:rPr>
              <w:t>22,107</w:t>
            </w:r>
          </w:p>
        </w:tc>
        <w:tc>
          <w:tcPr>
            <w:tcW w:w="1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FF0FC"/>
          </w:tcPr>
          <w:p>
            <w:pPr>
              <w:ind w:left="140"/>
              <w:spacing w:after="0" w:line="143" w:lineRule="exact"/>
              <w:rPr>
                <w:sz w:val="20"/>
                <w:szCs w:val="20"/>
                <w:color w:val="auto"/>
              </w:rPr>
            </w:pPr>
            <w:r>
              <w:rPr>
                <w:rFonts w:ascii="Arial" w:cs="Arial" w:eastAsia="Arial" w:hAnsi="Arial"/>
                <w:sz w:val="14"/>
                <w:szCs w:val="14"/>
                <w:color w:val="auto"/>
              </w:rPr>
              <w:t>Payment on Mann Group convertible note through</w:t>
            </w:r>
          </w:p>
        </w:tc>
        <w:tc>
          <w:tcPr>
            <w:tcW w:w="14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issuance of common stock</w:t>
            </w:r>
          </w:p>
        </w:tc>
        <w:tc>
          <w:tcPr>
            <w:tcW w:w="146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rPr>
              <w:t>9,575</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818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Payment of 2024 convertible notes through issuance</w:t>
            </w: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240"/>
              <w:spacing w:after="0"/>
              <w:rPr>
                <w:sz w:val="20"/>
                <w:szCs w:val="20"/>
                <w:color w:val="auto"/>
              </w:rPr>
            </w:pPr>
            <w:r>
              <w:rPr>
                <w:rFonts w:ascii="Arial" w:cs="Arial" w:eastAsia="Arial" w:hAnsi="Arial"/>
                <w:sz w:val="14"/>
                <w:szCs w:val="14"/>
                <w:color w:val="auto"/>
              </w:rPr>
              <w:t>of common stock</w:t>
            </w:r>
          </w:p>
        </w:tc>
        <w:tc>
          <w:tcPr>
            <w:tcW w:w="1460" w:type="dxa"/>
            <w:vAlign w:val="bottom"/>
          </w:tcPr>
          <w:p>
            <w:pPr>
              <w:jc w:val="right"/>
              <w:ind w:right="777"/>
              <w:spacing w:after="0"/>
              <w:rPr>
                <w:sz w:val="20"/>
                <w:szCs w:val="20"/>
                <w:color w:val="auto"/>
              </w:rPr>
            </w:pPr>
            <w:r>
              <w:rPr>
                <w:rFonts w:ascii="Arial" w:cs="Arial" w:eastAsia="Arial" w:hAnsi="Arial"/>
                <w:sz w:val="13"/>
                <w:szCs w:val="13"/>
                <w:color w:val="auto"/>
              </w:rPr>
              <w:t>5,000</w:t>
            </w:r>
          </w:p>
        </w:tc>
        <w:tc>
          <w:tcPr>
            <w:tcW w:w="1500" w:type="dxa"/>
            <w:vAlign w:val="bottom"/>
          </w:tcPr>
          <w:p>
            <w:pPr>
              <w:jc w:val="right"/>
              <w:spacing w:after="0"/>
              <w:rPr>
                <w:sz w:val="20"/>
                <w:szCs w:val="20"/>
                <w:color w:val="auto"/>
              </w:rPr>
            </w:pPr>
            <w:r>
              <w:rPr>
                <w:rFonts w:ascii="Arial" w:cs="Arial" w:eastAsia="Arial" w:hAnsi="Arial"/>
                <w:sz w:val="13"/>
                <w:szCs w:val="13"/>
                <w:color w:val="auto"/>
              </w:rPr>
              <w:t>5,261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Forgiveness of PPP loan</w:t>
            </w:r>
          </w:p>
        </w:tc>
        <w:tc>
          <w:tcPr>
            <w:tcW w:w="1460" w:type="dxa"/>
            <w:vAlign w:val="bottom"/>
            <w:shd w:val="clear" w:color="auto" w:fill="CFF0FC"/>
          </w:tcPr>
          <w:p>
            <w:pPr>
              <w:jc w:val="right"/>
              <w:ind w:right="717"/>
              <w:spacing w:after="0"/>
              <w:rPr>
                <w:sz w:val="20"/>
                <w:szCs w:val="20"/>
                <w:color w:val="auto"/>
              </w:rPr>
            </w:pPr>
            <w:r>
              <w:rPr>
                <w:rFonts w:ascii="Arial" w:cs="Arial" w:eastAsia="Arial" w:hAnsi="Arial"/>
                <w:sz w:val="13"/>
                <w:szCs w:val="13"/>
                <w:color w:val="auto"/>
              </w:rPr>
              <w:t>(4,873)</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180" w:type="dxa"/>
            <w:vAlign w:val="bottom"/>
            <w:gridSpan w:val="2"/>
          </w:tcPr>
          <w:p>
            <w:pPr>
              <w:ind w:left="140"/>
              <w:spacing w:after="0"/>
              <w:rPr>
                <w:sz w:val="20"/>
                <w:szCs w:val="20"/>
                <w:color w:val="auto"/>
              </w:rPr>
            </w:pPr>
            <w:r>
              <w:rPr>
                <w:rFonts w:ascii="Arial" w:cs="Arial" w:eastAsia="Arial" w:hAnsi="Arial"/>
                <w:sz w:val="14"/>
                <w:szCs w:val="14"/>
                <w:color w:val="auto"/>
              </w:rPr>
              <w:t>Addition of right-of-use-asset</w:t>
            </w:r>
          </w:p>
        </w:tc>
        <w:tc>
          <w:tcPr>
            <w:tcW w:w="1460" w:type="dxa"/>
            <w:vAlign w:val="bottom"/>
          </w:tcPr>
          <w:p>
            <w:pPr>
              <w:jc w:val="right"/>
              <w:ind w:right="777"/>
              <w:spacing w:after="0"/>
              <w:rPr>
                <w:sz w:val="20"/>
                <w:szCs w:val="20"/>
                <w:color w:val="auto"/>
              </w:rPr>
            </w:pPr>
            <w:r>
              <w:rPr>
                <w:rFonts w:ascii="Arial" w:cs="Arial" w:eastAsia="Arial" w:hAnsi="Arial"/>
                <w:sz w:val="13"/>
                <w:szCs w:val="13"/>
                <w:color w:val="auto"/>
              </w:rPr>
              <w:t>1,425</w:t>
            </w:r>
          </w:p>
        </w:tc>
        <w:tc>
          <w:tcPr>
            <w:tcW w:w="1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1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Right-of-use asset modification</w:t>
            </w:r>
          </w:p>
        </w:tc>
        <w:tc>
          <w:tcPr>
            <w:tcW w:w="146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rPr>
              <w:t>278</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818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Non-cash construction in progress and property and</w:t>
            </w: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240"/>
              <w:spacing w:after="0"/>
              <w:rPr>
                <w:sz w:val="20"/>
                <w:szCs w:val="20"/>
                <w:color w:val="auto"/>
              </w:rPr>
            </w:pPr>
            <w:r>
              <w:rPr>
                <w:rFonts w:ascii="Arial" w:cs="Arial" w:eastAsia="Arial" w:hAnsi="Arial"/>
                <w:sz w:val="14"/>
                <w:szCs w:val="14"/>
                <w:color w:val="auto"/>
              </w:rPr>
              <w:t>equipment</w:t>
            </w:r>
          </w:p>
        </w:tc>
        <w:tc>
          <w:tcPr>
            <w:tcW w:w="1460" w:type="dxa"/>
            <w:vAlign w:val="bottom"/>
          </w:tcPr>
          <w:p>
            <w:pPr>
              <w:jc w:val="right"/>
              <w:ind w:right="777"/>
              <w:spacing w:after="0"/>
              <w:rPr>
                <w:sz w:val="20"/>
                <w:szCs w:val="20"/>
                <w:color w:val="auto"/>
              </w:rPr>
            </w:pPr>
            <w:r>
              <w:rPr>
                <w:rFonts w:ascii="Arial" w:cs="Arial" w:eastAsia="Arial" w:hAnsi="Arial"/>
                <w:sz w:val="13"/>
                <w:szCs w:val="13"/>
                <w:color w:val="auto"/>
              </w:rPr>
              <w:t>1,264</w:t>
            </w:r>
          </w:p>
        </w:tc>
        <w:tc>
          <w:tcPr>
            <w:tcW w:w="150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Issuance of common stock under Employee Stock Purchase Plan</w:t>
            </w:r>
          </w:p>
        </w:tc>
        <w:tc>
          <w:tcPr>
            <w:tcW w:w="146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rPr>
              <w:t>1,090</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818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Payment of Mann Group convertible note interest through</w:t>
            </w: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240"/>
              <w:spacing w:after="0"/>
              <w:rPr>
                <w:sz w:val="20"/>
                <w:szCs w:val="20"/>
                <w:color w:val="auto"/>
              </w:rPr>
            </w:pPr>
            <w:r>
              <w:rPr>
                <w:rFonts w:ascii="Arial" w:cs="Arial" w:eastAsia="Arial" w:hAnsi="Arial"/>
                <w:sz w:val="14"/>
                <w:szCs w:val="14"/>
                <w:color w:val="auto"/>
              </w:rPr>
              <w:t>issuance of common stock</w:t>
            </w:r>
          </w:p>
        </w:tc>
        <w:tc>
          <w:tcPr>
            <w:tcW w:w="1460" w:type="dxa"/>
            <w:vAlign w:val="bottom"/>
          </w:tcPr>
          <w:p>
            <w:pPr>
              <w:jc w:val="right"/>
              <w:ind w:right="777"/>
              <w:spacing w:after="0"/>
              <w:rPr>
                <w:sz w:val="20"/>
                <w:szCs w:val="20"/>
                <w:color w:val="auto"/>
              </w:rPr>
            </w:pPr>
            <w:r>
              <w:rPr>
                <w:rFonts w:ascii="Arial" w:cs="Arial" w:eastAsia="Arial" w:hAnsi="Arial"/>
                <w:sz w:val="13"/>
                <w:szCs w:val="13"/>
                <w:color w:val="auto"/>
              </w:rPr>
              <w:t>425</w:t>
            </w:r>
          </w:p>
        </w:tc>
        <w:tc>
          <w:tcPr>
            <w:tcW w:w="150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FF0FC"/>
          </w:tcPr>
          <w:p>
            <w:pPr>
              <w:ind w:left="140"/>
              <w:spacing w:after="0" w:line="143" w:lineRule="exact"/>
              <w:rPr>
                <w:sz w:val="20"/>
                <w:szCs w:val="20"/>
                <w:color w:val="auto"/>
              </w:rPr>
            </w:pPr>
            <w:r>
              <w:rPr>
                <w:rFonts w:ascii="Arial" w:cs="Arial" w:eastAsia="Arial" w:hAnsi="Arial"/>
                <w:sz w:val="14"/>
                <w:szCs w:val="14"/>
                <w:color w:val="auto"/>
              </w:rPr>
              <w:t>Payment of interest on 2024 convertible notes through</w:t>
            </w:r>
          </w:p>
        </w:tc>
        <w:tc>
          <w:tcPr>
            <w:tcW w:w="14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issuance of common stock</w:t>
            </w:r>
          </w:p>
        </w:tc>
        <w:tc>
          <w:tcPr>
            <w:tcW w:w="146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rPr>
              <w:t>143</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818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Issuance of common stock for acquisition of in-process</w:t>
            </w: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240"/>
              <w:spacing w:after="0"/>
              <w:rPr>
                <w:sz w:val="20"/>
                <w:szCs w:val="20"/>
                <w:color w:val="auto"/>
              </w:rPr>
            </w:pPr>
            <w:r>
              <w:rPr>
                <w:rFonts w:ascii="Arial" w:cs="Arial" w:eastAsia="Arial" w:hAnsi="Arial"/>
                <w:sz w:val="14"/>
                <w:szCs w:val="14"/>
                <w:color w:val="auto"/>
              </w:rPr>
              <w:t>research and development</w:t>
            </w:r>
          </w:p>
        </w:tc>
        <w:tc>
          <w:tcPr>
            <w:tcW w:w="1460" w:type="dxa"/>
            <w:vAlign w:val="bottom"/>
          </w:tcPr>
          <w:p>
            <w:pPr>
              <w:jc w:val="right"/>
              <w:ind w:right="777"/>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9,250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8180" w:type="dxa"/>
            <w:vAlign w:val="bottom"/>
            <w:gridSpan w:val="2"/>
            <w:shd w:val="clear" w:color="auto" w:fill="CFF0FC"/>
          </w:tcPr>
          <w:p>
            <w:pPr>
              <w:ind w:left="140"/>
              <w:spacing w:after="0" w:line="143" w:lineRule="exact"/>
              <w:rPr>
                <w:sz w:val="20"/>
                <w:szCs w:val="20"/>
                <w:color w:val="auto"/>
              </w:rPr>
            </w:pPr>
            <w:r>
              <w:rPr>
                <w:rFonts w:ascii="Arial" w:cs="Arial" w:eastAsia="Arial" w:hAnsi="Arial"/>
                <w:sz w:val="14"/>
                <w:szCs w:val="14"/>
                <w:color w:val="auto"/>
              </w:rPr>
              <w:t>Issuance of warrants associated with the</w:t>
            </w:r>
          </w:p>
        </w:tc>
        <w:tc>
          <w:tcPr>
            <w:tcW w:w="14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MidCap Credit Facility</w:t>
            </w:r>
          </w:p>
        </w:tc>
        <w:tc>
          <w:tcPr>
            <w:tcW w:w="146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180" w:type="dxa"/>
            <w:vAlign w:val="bottom"/>
            <w:gridSpan w:val="2"/>
          </w:tcPr>
          <w:p>
            <w:pPr>
              <w:ind w:left="140"/>
              <w:spacing w:after="0"/>
              <w:rPr>
                <w:sz w:val="20"/>
                <w:szCs w:val="20"/>
                <w:color w:val="auto"/>
              </w:rPr>
            </w:pPr>
            <w:r>
              <w:rPr>
                <w:rFonts w:ascii="Arial" w:cs="Arial" w:eastAsia="Arial" w:hAnsi="Arial"/>
                <w:sz w:val="14"/>
                <w:szCs w:val="14"/>
                <w:color w:val="auto"/>
              </w:rPr>
              <w:t>Receivable from at-the-market offering</w:t>
            </w:r>
          </w:p>
        </w:tc>
        <w:tc>
          <w:tcPr>
            <w:tcW w:w="1460" w:type="dxa"/>
            <w:vAlign w:val="bottom"/>
          </w:tcPr>
          <w:p>
            <w:pPr>
              <w:jc w:val="right"/>
              <w:ind w:right="777"/>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Business </w:t>
      </w:r>
      <w:r>
        <w:rPr>
          <w:rFonts w:ascii="Arial" w:cs="Arial" w:eastAsia="Arial" w:hAnsi="Arial"/>
          <w:sz w:val="17"/>
          <w:szCs w:val="17"/>
          <w:color w:val="auto"/>
        </w:rPr>
        <w:t>— MannKind Corporation and its subsidiaries (the “Company”) is a biopharmaceutical company focused on the development and</w:t>
      </w:r>
    </w:p>
    <w:p>
      <w:pPr>
        <w:spacing w:after="0" w:line="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commercialization of inhaled therapeutic products for patients with endocrine and orphan lung diseases. The Company’s lead product is Afrezza (insulin human) Inhalation Powder, an ultra rapid-acting inhaled insulin indicated to improve glycemic control in adults with diabetes, which was approved by the U.S. Food and Drug Administration (“FDA”) in June 2014. The Company collaborates with a number of third parties to formulate their drugs on the Company’s Technosphere drug delivery platform. Since September 2018, the Company has been collaborating with United Therapeutics Corporation (“United Therapeutics” or “UT”) to develop an inhaled formulation of treprostinil, known as Tyvaso DPI. In April 2021, United Therapeutics submitted a new drug application (“NDA”) to the FDA seeking approval of Tyvaso DPI for the treatment of PAH and PH-ILD. The NDA was resubmitted in December 2021 following a complete response letter in October 2021. The FDA is expected to complete its review of the NDA for Tyvaso DPI by May 2022.</w:t>
      </w:r>
    </w:p>
    <w:p>
      <w:pPr>
        <w:spacing w:after="0" w:line="166" w:lineRule="exact"/>
        <w:rPr>
          <w:sz w:val="20"/>
          <w:szCs w:val="20"/>
          <w:color w:val="auto"/>
        </w:rPr>
      </w:pPr>
    </w:p>
    <w:p>
      <w:pPr>
        <w:ind w:right="680" w:firstLine="477"/>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have been prepared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of America (“GAAP”).</w:t>
      </w:r>
    </w:p>
    <w:p>
      <w:pPr>
        <w:spacing w:after="0" w:line="170" w:lineRule="exact"/>
        <w:rPr>
          <w:sz w:val="20"/>
          <w:szCs w:val="20"/>
          <w:color w:val="auto"/>
        </w:rPr>
      </w:pPr>
    </w:p>
    <w:p>
      <w:pPr>
        <w:ind w:right="160" w:firstLine="477"/>
        <w:spacing w:after="0" w:line="257" w:lineRule="auto"/>
        <w:rPr>
          <w:sz w:val="20"/>
          <w:szCs w:val="20"/>
          <w:color w:val="auto"/>
        </w:rPr>
      </w:pPr>
      <w:r>
        <w:rPr>
          <w:rFonts w:ascii="Arial" w:cs="Arial" w:eastAsia="Arial" w:hAnsi="Arial"/>
          <w:sz w:val="18"/>
          <w:szCs w:val="18"/>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of other product candidates in the Company’s pipeline. As of December 31, 2021, the Company had capital resources of $124.2 million in cash and cash equivalents, $79.9 million in short-term investments, $56.6 million in long-term investments, an accumulated deficit of $3.1 billion and $288.4 million of total principal amount of outstanding borrowings.</w:t>
      </w:r>
    </w:p>
    <w:p>
      <w:pPr>
        <w:spacing w:after="0" w:line="188"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 xml:space="preserve">In August 2019, the Company and its wholly owned subsidiaries, entered into a credit and security agreement with MidCap Financial Trust (as amended, the “MidCap Credit Facility”). The MidCap Credit Facility currently provides a secured term loan facility with a potential aggregate principal amount of up to $100.0 million, of which $40.0 million was outstanding as of December 31, 2021. See Note 7 – </w:t>
      </w:r>
      <w:r>
        <w:rPr>
          <w:rFonts w:ascii="Arial" w:cs="Arial" w:eastAsia="Arial" w:hAnsi="Arial"/>
          <w:sz w:val="18"/>
          <w:szCs w:val="18"/>
          <w:i w:val="1"/>
          <w:iCs w:val="1"/>
          <w:color w:val="auto"/>
        </w:rPr>
        <w:t>Borrowings</w:t>
      </w:r>
      <w:r>
        <w:rPr>
          <w:rFonts w:ascii="Arial" w:cs="Arial" w:eastAsia="Arial" w:hAnsi="Arial"/>
          <w:sz w:val="18"/>
          <w:szCs w:val="18"/>
          <w:color w:val="auto"/>
        </w:rPr>
        <w:t>. In March 2021, the Company issued $230.0 million of 2.50% convertible senior notes due 2026 (the “Senior convertible notes”) to provide additional operating capital and pay down higher cost debt.</w:t>
      </w:r>
    </w:p>
    <w:p>
      <w:pPr>
        <w:spacing w:after="0" w:line="188" w:lineRule="exact"/>
        <w:rPr>
          <w:sz w:val="20"/>
          <w:szCs w:val="20"/>
          <w:color w:val="auto"/>
        </w:rPr>
      </w:pPr>
    </w:p>
    <w:p>
      <w:pPr>
        <w:ind w:right="860" w:firstLine="477"/>
        <w:spacing w:after="0" w:line="277" w:lineRule="auto"/>
        <w:rPr>
          <w:sz w:val="20"/>
          <w:szCs w:val="20"/>
          <w:color w:val="auto"/>
        </w:rPr>
      </w:pPr>
      <w:r>
        <w:rPr>
          <w:rFonts w:ascii="Arial" w:cs="Arial" w:eastAsia="Arial" w:hAnsi="Arial"/>
          <w:sz w:val="18"/>
          <w:szCs w:val="18"/>
          <w:color w:val="auto"/>
        </w:rPr>
        <w:t>The Company believes its resources will be sufficient to fund its operations for the next twelve months from the date of issuance of these consolidated financial statements.</w:t>
      </w:r>
    </w:p>
    <w:p>
      <w:pPr>
        <w:spacing w:after="0" w:line="170" w:lineRule="exact"/>
        <w:rPr>
          <w:sz w:val="20"/>
          <w:szCs w:val="20"/>
          <w:color w:val="auto"/>
        </w:rPr>
      </w:pPr>
    </w:p>
    <w:p>
      <w:pPr>
        <w:jc w:val="both"/>
        <w:ind w:right="420" w:firstLine="477"/>
        <w:spacing w:after="0" w:line="287"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consolidated financial statements include the accounts of the Company and its wholly-owned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balances and transactions have been eliminated. Certain prior year amounts have been reclassified for consistency with the current year presentation. Changes were made to the consolidated statement of operations to disclose a single caption for interest expense on all outstanding notes.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Changes were also made to Note 6 – </w:t>
      </w:r>
      <w:r>
        <w:rPr>
          <w:rFonts w:ascii="Arial" w:cs="Arial" w:eastAsia="Arial" w:hAnsi="Arial"/>
          <w:sz w:val="18"/>
          <w:szCs w:val="18"/>
          <w:i w:val="1"/>
          <w:iCs w:val="1"/>
          <w:color w:val="auto"/>
        </w:rPr>
        <w:t>Accrued Expenses and Other Current Liability</w:t>
      </w:r>
      <w:r>
        <w:rPr>
          <w:rFonts w:ascii="Arial" w:cs="Arial" w:eastAsia="Arial" w:hAnsi="Arial"/>
          <w:sz w:val="18"/>
          <w:szCs w:val="18"/>
          <w:color w:val="auto"/>
        </w:rPr>
        <w:t xml:space="preserve"> to combine accruals for certain services into the Other line. In addition, changes were made to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9 –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to conform the presentation of certain short-term investments to the current year presentation.</w:t>
      </w:r>
    </w:p>
    <w:p>
      <w:pPr>
        <w:spacing w:after="0" w:line="190" w:lineRule="exact"/>
        <w:rPr>
          <w:sz w:val="20"/>
          <w:szCs w:val="20"/>
          <w:color w:val="auto"/>
        </w:rPr>
      </w:pPr>
    </w:p>
    <w:p>
      <w:pPr>
        <w:ind w:right="200" w:firstLine="477"/>
        <w:spacing w:after="0" w:line="311" w:lineRule="auto"/>
        <w:rPr>
          <w:sz w:val="20"/>
          <w:szCs w:val="20"/>
          <w:color w:val="auto"/>
        </w:rPr>
      </w:pPr>
      <w:r>
        <w:rPr>
          <w:rFonts w:ascii="Arial" w:cs="Arial" w:eastAsia="Arial" w:hAnsi="Arial"/>
          <w:sz w:val="16"/>
          <w:szCs w:val="16"/>
          <w:i w:val="1"/>
          <w:iCs w:val="1"/>
          <w:color w:val="auto"/>
        </w:rPr>
        <w:t xml:space="preserve">Segment Information </w:t>
      </w:r>
      <w:r>
        <w:rPr>
          <w:rFonts w:ascii="Arial" w:cs="Arial" w:eastAsia="Arial" w:hAnsi="Arial"/>
          <w:sz w:val="16"/>
          <w:szCs w:val="16"/>
          <w:color w:val="auto"/>
        </w:rPr>
        <w:t>— Operating segments are identified as components of an enterprise about which separate discrete financial information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i w:val="1"/>
          <w:iCs w:val="1"/>
          <w:color w:val="auto"/>
        </w:rPr>
        <w:t xml:space="preserve">Financial Statement Estimates </w:t>
      </w:r>
      <w:r>
        <w:rPr>
          <w:rFonts w:ascii="Arial" w:cs="Arial" w:eastAsia="Arial" w:hAnsi="Arial"/>
          <w:sz w:val="17"/>
          <w:szCs w:val="17"/>
          <w:color w:val="auto"/>
        </w:rPr>
        <w:t>— The preparation of financial statements in conformity with GAAP requires management to make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and the COVID-19 pandemic has increased the level of judgment used by management in developing these estimates and assumptions. The COVID-19 pandemic continues to rapidly evolve and the ultimate impact of the COVID-19 pandemic is highly uncertain and subject to change. These effects could have a material impact on the estimates and assumptions used in the preparation of the accompanying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82"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its customers obtain control of promised goods or services, in an amount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consideration which the Company expects to be entitled in exchange for those goods or services. The Company recognizes revenue on product sales to a retail pharmacy as the product is dispensed to patients.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8" w:name="page69"/>
    <w:bookmarkEnd w:id="68"/>
    <w:p>
      <w:pPr>
        <w:ind w:firstLine="477"/>
        <w:spacing w:after="0" w:line="255" w:lineRule="auto"/>
        <w:rPr>
          <w:sz w:val="20"/>
          <w:szCs w:val="20"/>
          <w:color w:val="auto"/>
        </w:rPr>
      </w:pPr>
      <w:r>
        <w:rPr>
          <w:rFonts w:ascii="Arial" w:cs="Arial" w:eastAsia="Arial" w:hAnsi="Arial"/>
          <w:sz w:val="18"/>
          <w:szCs w:val="18"/>
          <w:color w:val="auto"/>
        </w:rPr>
        <w:t xml:space="preserve">To determine revenue recognition for arrangements that are within the scope of Accounting Standards Codification (“ASC”)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(“ASC 606”), the Company performs the following five steps: (i) identify the contract(s) with a customer, (ii) identify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it is entitled to in exchange for the goods or services it transfers to the customer.</w:t>
      </w:r>
    </w:p>
    <w:p>
      <w:pPr>
        <w:spacing w:after="0" w:line="192"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(ii) collaboration arrangements.</w:t>
      </w:r>
    </w:p>
    <w:p>
      <w:pPr>
        <w:spacing w:after="0" w:line="187"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and retail pharmacies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8" w:lineRule="exact"/>
        <w:rPr>
          <w:sz w:val="20"/>
          <w:szCs w:val="20"/>
          <w:color w:val="auto"/>
        </w:rPr>
      </w:pPr>
    </w:p>
    <w:p>
      <w:pPr>
        <w:ind w:right="320" w:firstLine="477"/>
        <w:spacing w:after="0" w:line="259" w:lineRule="auto"/>
        <w:rPr>
          <w:sz w:val="20"/>
          <w:szCs w:val="20"/>
          <w:color w:val="auto"/>
        </w:rPr>
      </w:pPr>
      <w:r>
        <w:rPr>
          <w:rFonts w:ascii="Arial" w:cs="Arial" w:eastAsia="Arial" w:hAnsi="Arial"/>
          <w:sz w:val="18"/>
          <w:szCs w:val="18"/>
          <w:color w:val="auto"/>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Arial" w:cs="Arial" w:eastAsia="Arial" w:hAnsi="Arial"/>
          <w:sz w:val="18"/>
          <w:szCs w:val="18"/>
          <w:i w:val="1"/>
          <w:iCs w:val="1"/>
          <w:color w:val="auto"/>
        </w:rPr>
        <w:t>Reserves for Variable Consideration</w:t>
      </w:r>
      <w:r>
        <w:rPr>
          <w:rFonts w:ascii="Arial" w:cs="Arial" w:eastAsia="Arial" w:hAnsi="Arial"/>
          <w:sz w:val="18"/>
          <w:szCs w:val="18"/>
          <w:color w:val="auto"/>
        </w:rPr>
        <w:t xml:space="preserve"> below.</w:t>
      </w:r>
    </w:p>
    <w:p>
      <w:pPr>
        <w:spacing w:after="0" w:line="187"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i w:val="1"/>
          <w:iCs w:val="1"/>
          <w:color w:val="auto"/>
        </w:rPr>
        <w:t xml:space="preserve">Free Goods Program – </w:t>
      </w:r>
      <w:r>
        <w:rPr>
          <w:rFonts w:ascii="Arial" w:cs="Arial" w:eastAsia="Arial" w:hAnsi="Arial"/>
          <w:sz w:val="18"/>
          <w:szCs w:val="18"/>
          <w:color w:val="auto"/>
        </w:rPr>
        <w:t>From time to time, the Company offers programs to potential new patients that allow them to obtain free goods (prescription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fills) from a pharmacy. The Company excludes such amounts related to these programs from both gross and net revenue. The cost of product associated with the free goods program is recognized as cost of goods sold in the consolidated statements of operations.</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6"/>
          <w:szCs w:val="16"/>
          <w:i w:val="1"/>
          <w:iCs w:val="1"/>
          <w:color w:val="auto"/>
        </w:rPr>
        <w:t xml:space="preserve">Reserves for Variable Consideration </w:t>
      </w:r>
      <w:r>
        <w:rPr>
          <w:rFonts w:ascii="Arial" w:cs="Arial" w:eastAsia="Arial" w:hAnsi="Arial"/>
          <w:sz w:val="16"/>
          <w:szCs w:val="16"/>
          <w:color w:val="auto"/>
        </w:rPr>
        <w:t>— Revenues from product sales are recorded at the net sales price (transaction price), which includes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w:t>
      </w:r>
    </w:p>
    <w:p>
      <w:pPr>
        <w:spacing w:after="0" w:line="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85"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100" w:firstLine="477"/>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December 31, 2021 and, therefore, the transaction price was not reduced further during the year ended December 31, 2021.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7"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84" w:lineRule="exact"/>
        <w:rPr>
          <w:sz w:val="20"/>
          <w:szCs w:val="20"/>
          <w:color w:val="auto"/>
        </w:rPr>
      </w:pPr>
    </w:p>
    <w:p>
      <w:pPr>
        <w:ind w:right="380" w:firstLine="477"/>
        <w:spacing w:after="0" w:line="296"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61" w:lineRule="exact"/>
        <w:rPr>
          <w:sz w:val="20"/>
          <w:szCs w:val="20"/>
          <w:color w:val="auto"/>
        </w:rPr>
      </w:pPr>
    </w:p>
    <w:p>
      <w:pPr>
        <w:ind w:right="20" w:firstLine="477"/>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 Adjustments to the returns reserve have been made in the past and may be necessary in the future based on revised estimates to our assumptions.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9" w:name="page70"/>
    <w:bookmarkEnd w:id="69"/>
    <w:p>
      <w:pPr>
        <w:ind w:right="60" w:firstLine="477"/>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ind w:right="100" w:firstLine="477"/>
        <w:spacing w:after="0" w:line="270"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 The Company is subject to discount obligations under Medicare and state Medicaid programs. These reserves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1" w:lineRule="exact"/>
        <w:rPr>
          <w:sz w:val="20"/>
          <w:szCs w:val="20"/>
          <w:color w:val="auto"/>
        </w:rPr>
      </w:pPr>
    </w:p>
    <w:p>
      <w:pPr>
        <w:ind w:right="140" w:firstLine="477"/>
        <w:spacing w:after="0" w:line="273" w:lineRule="auto"/>
        <w:rPr>
          <w:sz w:val="20"/>
          <w:szCs w:val="20"/>
          <w:color w:val="auto"/>
        </w:rPr>
      </w:pPr>
      <w:r>
        <w:rPr>
          <w:rFonts w:ascii="Arial" w:cs="Arial" w:eastAsia="Arial" w:hAnsi="Arial"/>
          <w:sz w:val="17"/>
          <w:szCs w:val="17"/>
          <w:i w:val="1"/>
          <w:iCs w:val="1"/>
          <w:color w:val="auto"/>
        </w:rPr>
        <w:t xml:space="preserve">Payer Rebates </w:t>
      </w:r>
      <w:r>
        <w:rPr>
          <w:rFonts w:ascii="Arial" w:cs="Arial" w:eastAsia="Arial" w:hAnsi="Arial"/>
          <w:sz w:val="17"/>
          <w:szCs w:val="17"/>
          <w:color w:val="auto"/>
        </w:rPr>
        <w:t>— The Company contracts with certain private payer organizations, primarily insurance companies and pharmacy benefit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78"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78" w:lineRule="exact"/>
        <w:rPr>
          <w:sz w:val="20"/>
          <w:szCs w:val="20"/>
          <w:color w:val="auto"/>
        </w:rPr>
      </w:pPr>
    </w:p>
    <w:p>
      <w:pPr>
        <w:ind w:right="40" w:firstLine="477"/>
        <w:spacing w:after="0" w:line="269" w:lineRule="auto"/>
        <w:rPr>
          <w:sz w:val="20"/>
          <w:szCs w:val="20"/>
          <w:color w:val="auto"/>
        </w:rPr>
      </w:pPr>
      <w:r>
        <w:rPr>
          <w:rFonts w:ascii="Arial" w:cs="Arial" w:eastAsia="Arial" w:hAnsi="Arial"/>
          <w:sz w:val="17"/>
          <w:szCs w:val="17"/>
          <w:i w:val="1"/>
          <w:iCs w:val="1"/>
          <w:color w:val="auto"/>
        </w:rPr>
        <w:t xml:space="preserve">Revenue Recognition — Revenue — Collaborations and Services — </w:t>
      </w:r>
      <w:r>
        <w:rPr>
          <w:rFonts w:ascii="Arial" w:cs="Arial" w:eastAsia="Arial" w:hAnsi="Arial"/>
          <w:sz w:val="17"/>
          <w:szCs w:val="17"/>
          <w:color w:val="auto"/>
        </w:rPr>
        <w:t>The Company enters into licensing, research or other agreements under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licenses certain rights to its product candidates to third parties, or conducts research or provides other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our significant collaboration and service agreement with UT that includes a long-term customer supply agreement (“CSA”), we have identified three distinct performance obligations: (1) R&amp;D Services and License; (2) Next-Gen R&amp;D Services; and (3) a material right for manufacturing services (“Manufacturing Services”). Pre-production activities under the CSA, such as facility expansion services and other administrative services, were considered bundled services under the Manufacturing Services performance obligation as required by ASC 606. See Note 8 – </w:t>
      </w:r>
      <w:r>
        <w:rPr>
          <w:rFonts w:ascii="Arial" w:cs="Arial" w:eastAsia="Arial" w:hAnsi="Arial"/>
          <w:sz w:val="17"/>
          <w:szCs w:val="17"/>
          <w:i w:val="1"/>
          <w:iCs w:val="1"/>
          <w:color w:val="auto"/>
        </w:rPr>
        <w:t>Collaboration, Licensing and Other Arrangements</w:t>
      </w:r>
      <w:r>
        <w:rPr>
          <w:rFonts w:ascii="Arial" w:cs="Arial" w:eastAsia="Arial" w:hAnsi="Arial"/>
          <w:sz w:val="17"/>
          <w:szCs w:val="17"/>
          <w:color w:val="auto"/>
        </w:rPr>
        <w:t xml:space="preserve"> of the Notes to Consolidated Financial Statements included in Part II, Item 8 — Financial Statements and Supplementary Data.</w:t>
      </w:r>
    </w:p>
    <w:p>
      <w:pPr>
        <w:spacing w:after="0" w:line="179"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8 </w:t>
      </w:r>
      <w:r>
        <w:rPr>
          <w:rFonts w:ascii="Arial" w:cs="Arial" w:eastAsia="Arial" w:hAnsi="Arial"/>
          <w:sz w:val="18"/>
          <w:szCs w:val="18"/>
          <w:i w:val="1"/>
          <w:iCs w:val="1"/>
          <w:color w:val="auto"/>
        </w:rPr>
        <w:t>– 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 and Other Arrangements.</w:t>
      </w:r>
    </w:p>
    <w:p>
      <w:pPr>
        <w:spacing w:after="0" w:line="195"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0" w:name="page71"/>
    <w:bookmarkEnd w:id="70"/>
    <w:p>
      <w:pPr>
        <w:spacing w:after="0" w:line="254" w:lineRule="auto"/>
        <w:rPr>
          <w:sz w:val="20"/>
          <w:szCs w:val="20"/>
          <w:color w:val="auto"/>
        </w:rPr>
      </w:pPr>
      <w:r>
        <w:rPr>
          <w:rFonts w:ascii="Arial" w:cs="Arial" w:eastAsia="Arial" w:hAnsi="Arial"/>
          <w:sz w:val="18"/>
          <w:szCs w:val="18"/>
          <w:color w:val="auto"/>
        </w:rPr>
        <w:t>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 If the revenue for a sales-based or usage-based royalty is promised in exchange for an intellectual property license, the Company recognizes revenue as the latter of the subsequent sale or usage occurs or the performance obligation to which the royalty has been allocated has been satisfied or partially satisfied.</w:t>
      </w:r>
    </w:p>
    <w:p>
      <w:pPr>
        <w:spacing w:after="0" w:line="192" w:lineRule="exact"/>
        <w:rPr>
          <w:sz w:val="20"/>
          <w:szCs w:val="20"/>
          <w:color w:val="auto"/>
        </w:rPr>
      </w:pPr>
    </w:p>
    <w:p>
      <w:pPr>
        <w:ind w:right="200" w:firstLine="477"/>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92" w:lineRule="exact"/>
        <w:rPr>
          <w:sz w:val="20"/>
          <w:szCs w:val="20"/>
          <w:color w:val="auto"/>
        </w:rPr>
      </w:pPr>
    </w:p>
    <w:p>
      <w:pPr>
        <w:ind w:right="160" w:firstLine="477"/>
        <w:spacing w:after="0" w:line="257" w:lineRule="auto"/>
        <w:rPr>
          <w:sz w:val="20"/>
          <w:szCs w:val="20"/>
          <w:color w:val="auto"/>
        </w:rPr>
      </w:pPr>
      <w:r>
        <w:rPr>
          <w:rFonts w:ascii="Arial" w:cs="Arial" w:eastAsia="Arial" w:hAnsi="Arial"/>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collaborative agreements must generally be accounted for pursuant to ASC 606.</w:t>
      </w:r>
    </w:p>
    <w:p>
      <w:pPr>
        <w:spacing w:after="0" w:line="188" w:lineRule="exact"/>
        <w:rPr>
          <w:sz w:val="20"/>
          <w:szCs w:val="20"/>
          <w:color w:val="auto"/>
        </w:rPr>
      </w:pPr>
    </w:p>
    <w:p>
      <w:pPr>
        <w:ind w:right="20" w:firstLine="477"/>
        <w:spacing w:after="0" w:line="290" w:lineRule="auto"/>
        <w:rPr>
          <w:sz w:val="20"/>
          <w:szCs w:val="20"/>
          <w:color w:val="auto"/>
        </w:rPr>
      </w:pPr>
      <w:r>
        <w:rPr>
          <w:rFonts w:ascii="Arial" w:cs="Arial" w:eastAsia="Arial" w:hAnsi="Arial"/>
          <w:sz w:val="16"/>
          <w:szCs w:val="16"/>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spacing w:after="0" w:line="165" w:lineRule="exact"/>
        <w:rPr>
          <w:sz w:val="20"/>
          <w:szCs w:val="20"/>
          <w:color w:val="auto"/>
        </w:rPr>
      </w:pPr>
    </w:p>
    <w:p>
      <w:pPr>
        <w:ind w:right="100" w:firstLine="477"/>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right="40" w:firstLine="477"/>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1" w:name="page72"/>
    <w:bookmarkEnd w:id="71"/>
    <w:p>
      <w:pPr>
        <w:ind w:right="40" w:firstLine="477"/>
        <w:spacing w:after="0" w:line="272" w:lineRule="auto"/>
        <w:rPr>
          <w:sz w:val="20"/>
          <w:szCs w:val="20"/>
          <w:color w:val="auto"/>
        </w:rPr>
      </w:pPr>
      <w:r>
        <w:rPr>
          <w:rFonts w:ascii="Arial" w:cs="Arial" w:eastAsia="Arial" w:hAnsi="Arial"/>
          <w:sz w:val="17"/>
          <w:szCs w:val="17"/>
          <w:i w:val="1"/>
          <w:iCs w:val="1"/>
          <w:color w:val="auto"/>
        </w:rPr>
        <w:t xml:space="preserve">Paycheck Protection Program Loan </w:t>
      </w:r>
      <w:r>
        <w:rPr>
          <w:rFonts w:ascii="Arial" w:cs="Arial" w:eastAsia="Arial" w:hAnsi="Arial"/>
          <w:sz w:val="17"/>
          <w:szCs w:val="17"/>
          <w:color w:val="auto"/>
        </w:rPr>
        <w:t>— On April 10, 2020, the Company received the proceeds from a loan in the amount of approximately $4.9</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million (the “PPP Loan”) from JPMorgan Chase Bank, N.A., as lender, pursuant to the Paycheck Protection Program (“PPP”) of the CARES Act. The Company accounted for the PPP Loan as a financial liability 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Accordingly, the PPP Loan was recognized as current and long-term debt in the Company’s consolidated balance sheets and is included as Paycheck Protection Program loan — current and Paycheck Protection Program loan — long term. In addition, a de minimis amount of accrued interest is included in accrued expenses and other current liabilities. On July 28, 2021, the Company received notification from the U.S. Small Business Administration (“SBA”) that the full principal amount of the PPP loan was forgiven. See Note 7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additional information.</w:t>
      </w:r>
    </w:p>
    <w:p>
      <w:pPr>
        <w:spacing w:after="0" w:line="177" w:lineRule="exact"/>
        <w:rPr>
          <w:sz w:val="20"/>
          <w:szCs w:val="20"/>
          <w:color w:val="auto"/>
        </w:rPr>
      </w:pPr>
    </w:p>
    <w:p>
      <w:pPr>
        <w:ind w:right="80" w:firstLine="477"/>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Cost of goods sold includes material, labor costs and manufacturing overhead. Cost of goods sold also includes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current period manufacturing costs in excess of costs capitalized into inventory (“excess capacity costs”). These costs, in addition to the impact of the annual revaluation of inventory for standard costing, and write-offs of inventory are recorded as expenses in the period in which they are incurred, rather than as a portion of inventory costs. Cost of goods sold excludes the cost of insulin purchased under our supply agreement with Amphastar (“Insulin Supply Agreement”). All insulin inventory on hand was written off and the full purchase commitment contract to purchase future insulin was accrued as a recognized loss on purchase commitments as of the end of 2015.</w:t>
      </w:r>
    </w:p>
    <w:p>
      <w:pPr>
        <w:spacing w:after="0" w:line="178" w:lineRule="exact"/>
        <w:rPr>
          <w:sz w:val="20"/>
          <w:szCs w:val="20"/>
          <w:color w:val="auto"/>
        </w:rPr>
      </w:pPr>
    </w:p>
    <w:p>
      <w:pPr>
        <w:ind w:right="200" w:firstLine="477"/>
        <w:spacing w:after="0" w:line="259" w:lineRule="auto"/>
        <w:rPr>
          <w:sz w:val="20"/>
          <w:szCs w:val="20"/>
          <w:color w:val="auto"/>
        </w:rPr>
      </w:pPr>
      <w:r>
        <w:rPr>
          <w:rFonts w:ascii="Arial" w:cs="Arial" w:eastAsia="Arial" w:hAnsi="Arial"/>
          <w:sz w:val="18"/>
          <w:szCs w:val="18"/>
          <w:i w:val="1"/>
          <w:iCs w:val="1"/>
          <w:color w:val="auto"/>
        </w:rPr>
        <w:t xml:space="preserve">Cost of Revenues – Collaborations and Services </w:t>
      </w:r>
      <w:r>
        <w:rPr>
          <w:rFonts w:ascii="Arial" w:cs="Arial" w:eastAsia="Arial" w:hAnsi="Arial"/>
          <w:sz w:val="18"/>
          <w:szCs w:val="18"/>
          <w:color w:val="auto"/>
        </w:rPr>
        <w:t>— Cost of revenues – collaborations and services includes material, labor costs,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and excess capacity costs. These costs, in addition to the write-offs of inventory are recorded as expenses in the period in which they are incurred, rather than as a portion of inventory costs. Cost of revenues – collaborations and services also includes the cost of product development and the allocation of selling expenses related to a co-promotion collaboration agreement.</w:t>
      </w:r>
    </w:p>
    <w:p>
      <w:pPr>
        <w:spacing w:after="0" w:line="187" w:lineRule="exact"/>
        <w:rPr>
          <w:sz w:val="20"/>
          <w:szCs w:val="20"/>
          <w:color w:val="auto"/>
        </w:rPr>
      </w:pPr>
    </w:p>
    <w:p>
      <w:pPr>
        <w:jc w:val="both"/>
        <w:ind w:right="20" w:firstLine="477"/>
        <w:spacing w:after="0" w:line="311" w:lineRule="auto"/>
        <w:rPr>
          <w:sz w:val="20"/>
          <w:szCs w:val="20"/>
          <w:color w:val="auto"/>
        </w:rPr>
      </w:pPr>
      <w:r>
        <w:rPr>
          <w:rFonts w:ascii="Arial" w:cs="Arial" w:eastAsia="Arial" w:hAnsi="Arial"/>
          <w:sz w:val="16"/>
          <w:szCs w:val="16"/>
          <w:i w:val="1"/>
          <w:iCs w:val="1"/>
          <w:color w:val="auto"/>
        </w:rPr>
        <w:t xml:space="preserve">Cash and Cash Equivalents and Restricted Cash </w:t>
      </w:r>
      <w:r>
        <w:rPr>
          <w:rFonts w:ascii="Arial" w:cs="Arial" w:eastAsia="Arial" w:hAnsi="Arial"/>
          <w:sz w:val="16"/>
          <w:szCs w:val="16"/>
          <w:color w:val="auto"/>
        </w:rPr>
        <w:t>— The Company considers all highly liquid investments with original or remaining maturities of 90</w:t>
      </w:r>
      <w:r>
        <w:rPr>
          <w:rFonts w:ascii="Arial" w:cs="Arial" w:eastAsia="Arial" w:hAnsi="Arial"/>
          <w:sz w:val="16"/>
          <w:szCs w:val="16"/>
          <w:i w:val="1"/>
          <w:iCs w:val="1"/>
          <w:color w:val="auto"/>
        </w:rPr>
        <w:t xml:space="preserve"> </w:t>
      </w:r>
      <w:r>
        <w:rPr>
          <w:rFonts w:ascii="Arial" w:cs="Arial" w:eastAsia="Arial" w:hAnsi="Arial"/>
          <w:sz w:val="16"/>
          <w:szCs w:val="16"/>
          <w:color w:val="auto"/>
        </w:rPr>
        <w:t>days or less at the time of purchase, that are readily convertible into cash to be cash equivalents. As of December 31, 2021 and 2020, cash equivalents were comprised of money market, corporate bonds and commercial paper accounts with original maturities less than 90 days from the date of purchase.</w:t>
      </w:r>
    </w:p>
    <w:p>
      <w:pPr>
        <w:spacing w:after="0" w:line="149" w:lineRule="exact"/>
        <w:rPr>
          <w:sz w:val="20"/>
          <w:szCs w:val="20"/>
          <w:color w:val="auto"/>
        </w:rPr>
      </w:pPr>
    </w:p>
    <w:p>
      <w:pPr>
        <w:ind w:right="280" w:firstLine="477"/>
        <w:spacing w:after="0" w:line="308" w:lineRule="auto"/>
        <w:rPr>
          <w:sz w:val="20"/>
          <w:szCs w:val="20"/>
          <w:color w:val="auto"/>
        </w:rPr>
      </w:pPr>
      <w:r>
        <w:rPr>
          <w:rFonts w:ascii="Arial" w:cs="Arial" w:eastAsia="Arial" w:hAnsi="Arial"/>
          <w:sz w:val="17"/>
          <w:szCs w:val="17"/>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w:t>
      </w:r>
    </w:p>
    <w:p>
      <w:pPr>
        <w:spacing w:after="0" w:line="146" w:lineRule="exact"/>
        <w:rPr>
          <w:sz w:val="20"/>
          <w:szCs w:val="20"/>
          <w:color w:val="auto"/>
        </w:rPr>
      </w:pPr>
    </w:p>
    <w:p>
      <w:pPr>
        <w:ind w:right="240" w:firstLine="477"/>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consolidated balance sheets that sum to amounts reported on the consolidated statement of cash flows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124,184</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124,184</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477"/>
        <w:spacing w:after="0" w:line="289" w:lineRule="auto"/>
        <w:rPr>
          <w:sz w:val="20"/>
          <w:szCs w:val="20"/>
          <w:color w:val="auto"/>
        </w:rPr>
      </w:pPr>
      <w:r>
        <w:rPr>
          <w:rFonts w:ascii="Arial" w:cs="Arial" w:eastAsia="Arial" w:hAnsi="Arial"/>
          <w:sz w:val="16"/>
          <w:szCs w:val="16"/>
          <w:i w:val="1"/>
          <w:iCs w:val="1"/>
          <w:color w:val="auto"/>
        </w:rPr>
        <w:t xml:space="preserve">Held-to-Maturity Investments </w:t>
      </w:r>
      <w:r>
        <w:rPr>
          <w:rFonts w:ascii="Arial" w:cs="Arial" w:eastAsia="Arial" w:hAnsi="Arial"/>
          <w:sz w:val="16"/>
          <w:szCs w:val="16"/>
          <w:color w:val="auto"/>
        </w:rPr>
        <w:t>— The Company’s investments generally consist of commercial paper, corporate notes or bonds and U.S. Treasury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For the year ended December 31, 2021,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consolidated balance sheets. The amortization or accretion of the Company’s investments is recognized as interest income in the consolidated statements of operations and was approximately $0.5 million for the year ended December 31, 2021. There was no such amortization or accretion for the year ended December 31, 2020. No allowance for credit losses on held-to-maturity securities was required as of December 31, 2021.</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contractual maturities of our held to maturity investments as of December 31, 2021 and 2020 are summarized below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4"/>
                <w:szCs w:val="14"/>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2020</w:t>
            </w:r>
          </w:p>
        </w:tc>
      </w:tr>
      <w:tr>
        <w:trPr>
          <w:trHeight w:val="133"/>
        </w:trPr>
        <w:tc>
          <w:tcPr>
            <w:tcW w:w="47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99"/>
              <w:spacing w:after="0" w:line="13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160"/>
              <w:spacing w:after="0" w:line="133"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99"/>
              <w:spacing w:after="0" w:line="13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16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1"/>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r>
              <w:rPr>
                <w:rFonts w:ascii="Arial" w:cs="Arial" w:eastAsia="Arial" w:hAnsi="Arial"/>
                <w:sz w:val="15"/>
                <w:szCs w:val="15"/>
                <w:color w:val="auto"/>
              </w:rPr>
              <w:t>(1)</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103,733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103,669</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 w:lineRule="exact"/>
        <w:rPr>
          <w:sz w:val="20"/>
          <w:szCs w:val="20"/>
          <w:color w:val="auto"/>
        </w:rPr>
      </w:pPr>
    </w:p>
    <w:p>
      <w:pPr>
        <w:ind w:left="480" w:right="300" w:hanging="472"/>
        <w:spacing w:after="0" w:line="211" w:lineRule="auto"/>
        <w:tabs>
          <w:tab w:leader="none" w:pos="4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The investments due in one year or less include cash equivalents of $23.8 million as of December 31, 2021 and $59.5 million as of December 31, 2020.</w:t>
      </w:r>
    </w:p>
    <w:p>
      <w:pPr>
        <w:spacing w:after="0" w:line="203" w:lineRule="exact"/>
        <w:rPr>
          <w:sz w:val="20"/>
          <w:szCs w:val="20"/>
          <w:color w:val="auto"/>
        </w:rPr>
      </w:pPr>
    </w:p>
    <w:p>
      <w:pPr>
        <w:ind w:right="40" w:firstLine="477"/>
        <w:spacing w:after="0" w:line="268" w:lineRule="auto"/>
        <w:rPr>
          <w:sz w:val="20"/>
          <w:szCs w:val="20"/>
          <w:color w:val="auto"/>
        </w:rPr>
      </w:pPr>
      <w:r>
        <w:rPr>
          <w:rFonts w:ascii="Arial" w:cs="Arial" w:eastAsia="Arial" w:hAnsi="Arial"/>
          <w:sz w:val="17"/>
          <w:szCs w:val="17"/>
          <w:i w:val="1"/>
          <w:iCs w:val="1"/>
          <w:color w:val="auto"/>
        </w:rPr>
        <w:t xml:space="preserve">Available-for-Sale Investment </w:t>
      </w:r>
      <w:r>
        <w:rPr>
          <w:rFonts w:ascii="Arial" w:cs="Arial" w:eastAsia="Arial" w:hAnsi="Arial"/>
          <w:sz w:val="17"/>
          <w:szCs w:val="17"/>
          <w:color w:val="auto"/>
        </w:rPr>
        <w:t>— In June 2021, the Company invested $3.0 million in Thirona Bio, Inc. (“Thirona”) and received a $3.0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convertible promissory note (as amended, the “Thirona convertible note”). Unless earlier converted into conversion shares pursuant to the note purchase agreement, the principal and accrued interest shall be due and payable by Thirona on demand by the Company at any time after the maturity date of December 31, 2023. Interest shall accrue at a rate of 6% per annum. The Thirona convertible note is a general unsecured obligation of Thirona. The Thirona convertible note is classified as an available-for-sale security and is included in other assets in the consolidated balance sheet. Available-for-sale investments are subsequently measured at fair value. Unrealized holding gains and losses are excluded from earnings and reported in other comprehensive income until realized. The Company assesses whether it has any intention to sell the investment, determines fair value of its available-for-sale investments using level 3 inputs as well as assesses whether there were other-than-temporary impairments associated with the available for sale investment. As of December 31, 2021, the Company evaluated the fair value of its investment in Thirona and determined that the fair value approximates the carrying value of $3.0 million and determined that there were no other-than-temporary impairments. In June 2021, the Company and Thirona also entered into a collaboration agreement to develop a compound for the treatment of fibrotic lung diseases. See Note 8 – </w:t>
      </w:r>
      <w:r>
        <w:rPr>
          <w:rFonts w:ascii="Arial" w:cs="Arial" w:eastAsia="Arial" w:hAnsi="Arial"/>
          <w:sz w:val="17"/>
          <w:szCs w:val="17"/>
          <w:i w:val="1"/>
          <w:iCs w:val="1"/>
          <w:color w:val="auto"/>
        </w:rPr>
        <w:t>Collaboration, Licensing and Other Arrangements</w:t>
      </w:r>
      <w:r>
        <w:rPr>
          <w:rFonts w:ascii="Arial" w:cs="Arial" w:eastAsia="Arial" w:hAnsi="Arial"/>
          <w:sz w:val="17"/>
          <w:szCs w:val="17"/>
          <w:color w:val="auto"/>
        </w:rPr>
        <w:t xml:space="preserve"> for additional information. Subsequent to December 31, 2021, the Company invested an additional $5.0 million in Thirona and received a $5.0 million convertible promissory note.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0" w:gutter="0" w:footer="0" w:header="0"/>
        </w:sectPr>
      </w:pPr>
    </w:p>
    <w:bookmarkStart w:id="72" w:name="page73"/>
    <w:bookmarkEnd w:id="72"/>
    <w:p>
      <w:pPr>
        <w:ind w:right="220" w:firstLine="477"/>
        <w:spacing w:after="0" w:line="279"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concentration of credit risk consist of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investments. Cash and cash equivalents are held in high credit quality institutions. Cash equivalents consist of interest-bearing money market accounts and U.S. Treasury securities with maturities less than 90 days. Investments generally consist of commercial paper, corporate notes or bonds and U.S. Treasury securities. The cash equivalents and investments are regularly monitored by management.</w:t>
      </w:r>
    </w:p>
    <w:p>
      <w:pPr>
        <w:spacing w:after="0" w:line="171"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i w:val="1"/>
          <w:iCs w:val="1"/>
          <w:color w:val="auto"/>
        </w:rPr>
        <w:t xml:space="preserve">Accounts Receivable and Allowance for Credit Losses </w:t>
      </w:r>
      <w:r>
        <w:rPr>
          <w:rFonts w:ascii="Arial" w:cs="Arial" w:eastAsia="Arial" w:hAnsi="Arial"/>
          <w:sz w:val="18"/>
          <w:szCs w:val="18"/>
          <w:color w:val="auto"/>
        </w:rPr>
        <w:t>— Accounts receivable are recorded at the invoiced amount and are not interest bearing.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480"/>
              <w:spacing w:after="0"/>
              <w:rPr>
                <w:sz w:val="20"/>
                <w:szCs w:val="20"/>
                <w:color w:val="auto"/>
              </w:rPr>
            </w:pPr>
            <w:r>
              <w:rPr>
                <w:rFonts w:ascii="Arial" w:cs="Arial" w:eastAsia="Arial" w:hAnsi="Arial"/>
                <w:sz w:val="18"/>
                <w:szCs w:val="18"/>
                <w:color w:val="auto"/>
              </w:rPr>
              <w:t>Accounts receivable, net consists of the following (in thousands):</w:t>
            </w:r>
          </w:p>
        </w:tc>
        <w:tc>
          <w:tcPr>
            <w:tcW w:w="1020" w:type="dxa"/>
            <w:vAlign w:val="bottom"/>
          </w:tcPr>
          <w:p>
            <w:pPr>
              <w:spacing w:after="0"/>
              <w:rPr>
                <w:sz w:val="20"/>
                <w:szCs w:val="20"/>
                <w:color w:val="auto"/>
              </w:rPr>
            </w:pPr>
          </w:p>
        </w:tc>
        <w:tc>
          <w:tcPr>
            <w:tcW w:w="1300" w:type="dxa"/>
            <w:vAlign w:val="bottom"/>
            <w:gridSpan w:val="4"/>
            <w:vMerge w:val="restart"/>
          </w:tcPr>
          <w:p>
            <w:pPr>
              <w:jc w:val="right"/>
              <w:ind w:right="27"/>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commercial</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gross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7,939</w:t>
            </w:r>
          </w:p>
        </w:tc>
        <w:tc>
          <w:tcPr>
            <w:tcW w:w="160" w:type="dxa"/>
            <w:vAlign w:val="bottom"/>
          </w:tcPr>
          <w:p>
            <w:pPr>
              <w:spacing w:after="0"/>
              <w:rPr>
                <w:sz w:val="19"/>
                <w:szCs w:val="19"/>
                <w:color w:val="auto"/>
              </w:rPr>
            </w:pPr>
          </w:p>
        </w:tc>
        <w:tc>
          <w:tcPr>
            <w:tcW w:w="6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Wholesaler distribution fees and prompt pay discounts</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Reserve for returns</w:t>
            </w:r>
          </w:p>
        </w:tc>
        <w:tc>
          <w:tcPr>
            <w:tcW w:w="10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 commercial, net</w:t>
            </w:r>
          </w:p>
        </w:tc>
        <w:tc>
          <w:tcPr>
            <w:tcW w:w="10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Accounts receivable – collaborations and services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gross</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Allowance for credit losses</w:t>
            </w:r>
          </w:p>
        </w:tc>
        <w:tc>
          <w:tcPr>
            <w:tcW w:w="10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 collaborations and services, net</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Accounts receivable – other</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accounts receivable, net</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340" w:firstLine="477"/>
        <w:spacing w:after="0" w:line="263" w:lineRule="auto"/>
        <w:rPr>
          <w:sz w:val="20"/>
          <w:szCs w:val="20"/>
          <w:color w:val="auto"/>
        </w:rPr>
      </w:pPr>
      <w:r>
        <w:rPr>
          <w:rFonts w:ascii="Arial" w:cs="Arial" w:eastAsia="Arial" w:hAnsi="Arial"/>
          <w:sz w:val="18"/>
          <w:szCs w:val="18"/>
          <w:color w:val="auto"/>
        </w:rPr>
        <w:t xml:space="preserve">As of December 31, 2021 and December 31, 2020, the allowance for credit losses was </w:t>
      </w:r>
      <w:r>
        <w:rPr>
          <w:rFonts w:ascii="Arial" w:cs="Arial" w:eastAsia="Arial" w:hAnsi="Arial"/>
          <w:sz w:val="18"/>
          <w:szCs w:val="18"/>
          <w:i w:val="1"/>
          <w:iCs w:val="1"/>
          <w:color w:val="auto"/>
        </w:rPr>
        <w:t>de minimis</w:t>
      </w:r>
      <w:r>
        <w:rPr>
          <w:rFonts w:ascii="Arial" w:cs="Arial" w:eastAsia="Arial" w:hAnsi="Arial"/>
          <w:sz w:val="18"/>
          <w:szCs w:val="18"/>
          <w:color w:val="auto"/>
        </w:rPr>
        <w:t>. As of December 31, 2021 and December 31, 2020, the Company had three wholesale distributors representing approximately 80% and 86% of gross sales and 79% and 90% of accounts receivable, respectively</w:t>
      </w:r>
      <w:r>
        <w:rPr>
          <w:rFonts w:ascii="Arial" w:cs="Arial" w:eastAsia="Arial" w:hAnsi="Arial"/>
          <w:sz w:val="21"/>
          <w:szCs w:val="21"/>
          <w:color w:val="auto"/>
        </w:rPr>
        <w:t>.</w:t>
      </w:r>
    </w:p>
    <w:p>
      <w:pPr>
        <w:spacing w:after="0" w:line="173"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As of December 31, 2021, the allowance for accounts receivable – collaborations and services of $0.8 million was related to $0.8 million of accounts receivable for Vertice Pharma, a collaboration partner for the co-promotion of Thyquidity. The Company had one collaboration partner, United Therapeutics, that comprised 100% of the collaboration and services net accounts receivable as of December 31, 2021 and approximately 95% of gross revenue from collaborations and services for the year ended December 31, 2021.</w:t>
      </w:r>
    </w:p>
    <w:p>
      <w:pPr>
        <w:spacing w:after="0" w:line="187" w:lineRule="exact"/>
        <w:rPr>
          <w:sz w:val="20"/>
          <w:szCs w:val="20"/>
          <w:color w:val="auto"/>
        </w:rPr>
      </w:pPr>
    </w:p>
    <w:p>
      <w:pPr>
        <w:ind w:right="120" w:firstLine="477"/>
        <w:spacing w:after="0" w:line="269" w:lineRule="auto"/>
        <w:rPr>
          <w:sz w:val="20"/>
          <w:szCs w:val="20"/>
          <w:color w:val="auto"/>
        </w:rPr>
      </w:pPr>
      <w:r>
        <w:rPr>
          <w:rFonts w:ascii="Arial" w:cs="Arial" w:eastAsia="Arial" w:hAnsi="Arial"/>
          <w:sz w:val="17"/>
          <w:szCs w:val="17"/>
          <w:i w:val="1"/>
          <w:iCs w:val="1"/>
          <w:color w:val="auto"/>
        </w:rPr>
        <w:t xml:space="preserve">Pre-Launch Inventory </w:t>
      </w:r>
      <w:r>
        <w:rPr>
          <w:rFonts w:ascii="Arial" w:cs="Arial" w:eastAsia="Arial" w:hAnsi="Arial"/>
          <w:sz w:val="17"/>
          <w:szCs w:val="17"/>
          <w:color w:val="auto"/>
        </w:rPr>
        <w:t>— An improvement to the manufacturing process for the Company’s primary excipient fumaryl diketopiperazine (“FDKP”)</w:t>
      </w:r>
      <w:r>
        <w:rPr>
          <w:rFonts w:ascii="Arial" w:cs="Arial" w:eastAsia="Arial" w:hAnsi="Arial"/>
          <w:sz w:val="17"/>
          <w:szCs w:val="17"/>
          <w:i w:val="1"/>
          <w:iCs w:val="1"/>
          <w:color w:val="auto"/>
        </w:rPr>
        <w:t xml:space="preserve"> </w:t>
      </w:r>
      <w:r>
        <w:rPr>
          <w:rFonts w:ascii="Arial" w:cs="Arial" w:eastAsia="Arial" w:hAnsi="Arial"/>
          <w:sz w:val="17"/>
          <w:szCs w:val="17"/>
          <w:color w:val="auto"/>
        </w:rPr>
        <w:t>was 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3" w:name="page74"/>
    <w:bookmarkEnd w:id="73"/>
    <w:p>
      <w:pPr>
        <w:ind w:right="340"/>
        <w:spacing w:after="0" w:line="277" w:lineRule="auto"/>
        <w:rPr>
          <w:sz w:val="20"/>
          <w:szCs w:val="20"/>
          <w:color w:val="auto"/>
        </w:rPr>
      </w:pPr>
      <w:r>
        <w:rPr>
          <w:rFonts w:ascii="Arial" w:cs="Arial" w:eastAsia="Arial" w:hAnsi="Arial"/>
          <w:sz w:val="18"/>
          <w:szCs w:val="18"/>
          <w:color w:val="auto"/>
        </w:rPr>
        <w:t>are otherwise not met, the Company would not capitalize such inventory costs, choosing instead to recognize such costs as a research and development expense in the period incurred.</w:t>
      </w:r>
    </w:p>
    <w:p>
      <w:pPr>
        <w:spacing w:after="0" w:line="170" w:lineRule="exact"/>
        <w:rPr>
          <w:sz w:val="20"/>
          <w:szCs w:val="20"/>
          <w:color w:val="auto"/>
        </w:rPr>
      </w:pPr>
    </w:p>
    <w:p>
      <w:pPr>
        <w:ind w:right="40" w:firstLine="477"/>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w:t>
      </w:r>
      <w:r>
        <w:rPr>
          <w:rFonts w:ascii="Arial" w:cs="Arial" w:eastAsia="Arial" w:hAnsi="Arial"/>
          <w:sz w:val="16"/>
          <w:szCs w:val="16"/>
          <w:i w:val="1"/>
          <w:iCs w:val="1"/>
          <w:color w:val="auto"/>
        </w:rPr>
        <w:t xml:space="preserve"> </w:t>
      </w:r>
      <w:r>
        <w:rPr>
          <w:rFonts w:ascii="Arial" w:cs="Arial" w:eastAsia="Arial" w:hAnsi="Arial"/>
          <w:sz w:val="16"/>
          <w:szCs w:val="16"/>
          <w:color w:val="auto"/>
        </w:rPr>
        <w:t>first-out, 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6" w:lineRule="exact"/>
        <w:rPr>
          <w:sz w:val="20"/>
          <w:szCs w:val="20"/>
          <w:color w:val="auto"/>
        </w:rPr>
      </w:pPr>
    </w:p>
    <w:p>
      <w:pPr>
        <w:ind w:firstLine="477"/>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ind w:right="20" w:firstLine="477"/>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carrying value of an asset may not be recoverable. Assets are considered to be impaired if the carrying value is considered to be unrecoverable.</w:t>
      </w:r>
    </w:p>
    <w:p>
      <w:pPr>
        <w:spacing w:after="0" w:line="124" w:lineRule="exact"/>
        <w:rPr>
          <w:sz w:val="20"/>
          <w:szCs w:val="20"/>
          <w:color w:val="auto"/>
        </w:rPr>
      </w:pPr>
    </w:p>
    <w:p>
      <w:pPr>
        <w:ind w:right="160" w:firstLine="477"/>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 xml:space="preserve">In August 2019, the Company recorded a $1.5 million commitment asset and a $0.4 million other asset for deferred debt issuance costs related to the future funding commitments of the MidCap Credit Facility. A quarterly assessment was performed during the second quarter of 2020 to determine if the Company was on target to achieve certain required milestone conditions in order for the Company to access further borrowings under the MidCap Credit Facility. The Company determined that such milestone conditions related to Afrezza trailing net revenue were unlikely to be achieved. As a result, an asset impairment of $1.9 million was recognized during the second quarter of 2020 and is reflected in the Company’s consolidated statement of operations. See Note 7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further information on the MidCap Credit Facility.</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recorded $0.1 million of asset impairments for the year ended December 31, 2021.</w:t>
      </w:r>
    </w:p>
    <w:p>
      <w:pPr>
        <w:spacing w:after="0" w:line="225" w:lineRule="exact"/>
        <w:rPr>
          <w:sz w:val="20"/>
          <w:szCs w:val="20"/>
          <w:color w:val="auto"/>
        </w:rPr>
      </w:pPr>
    </w:p>
    <w:p>
      <w:pPr>
        <w:ind w:right="240" w:firstLine="477"/>
        <w:spacing w:after="0" w:line="293" w:lineRule="auto"/>
        <w:rPr>
          <w:sz w:val="20"/>
          <w:szCs w:val="20"/>
          <w:color w:val="auto"/>
        </w:rPr>
      </w:pPr>
      <w:r>
        <w:rPr>
          <w:rFonts w:ascii="Arial" w:cs="Arial" w:eastAsia="Arial" w:hAnsi="Arial"/>
          <w:sz w:val="16"/>
          <w:szCs w:val="16"/>
          <w:i w:val="1"/>
          <w:iCs w:val="1"/>
          <w:color w:val="auto"/>
        </w:rPr>
        <w:t xml:space="preserve">Recognized Loss on Purchase Commitments — </w:t>
      </w:r>
      <w:r>
        <w:rPr>
          <w:rFonts w:ascii="Arial" w:cs="Arial" w:eastAsia="Arial" w:hAnsi="Arial"/>
          <w:sz w:val="16"/>
          <w:szCs w:val="16"/>
          <w:color w:val="auto"/>
        </w:rPr>
        <w:t>The Company assesses whether losses on long-term purchase commitments should be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Losses that 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consolidated statements of operations. The liability balance of the recognized loss on insulin purchase commitments as of December 31, 2021 and 2020 was $82.8 million and $95.3 million, respectively. No </w:t>
      </w:r>
      <w:r>
        <w:rPr>
          <w:rFonts w:ascii="Arial" w:cs="Arial" w:eastAsia="Arial" w:hAnsi="Arial"/>
          <w:sz w:val="16"/>
          <w:szCs w:val="16"/>
          <w:i w:val="1"/>
          <w:iCs w:val="1"/>
          <w:color w:val="auto"/>
        </w:rPr>
        <w:t>new contracts were identified in 2021 that required a new loss on purchase commitment accrual.</w:t>
      </w:r>
    </w:p>
    <w:p>
      <w:pPr>
        <w:spacing w:after="0" w:line="164" w:lineRule="exact"/>
        <w:rPr>
          <w:sz w:val="20"/>
          <w:szCs w:val="20"/>
          <w:color w:val="auto"/>
        </w:rPr>
      </w:pPr>
    </w:p>
    <w:p>
      <w:pPr>
        <w:ind w:right="140" w:firstLine="477"/>
        <w:spacing w:after="0" w:line="273" w:lineRule="auto"/>
        <w:rPr>
          <w:sz w:val="20"/>
          <w:szCs w:val="20"/>
          <w:color w:val="auto"/>
        </w:rPr>
      </w:pPr>
      <w:r>
        <w:rPr>
          <w:rFonts w:ascii="Arial" w:cs="Arial" w:eastAsia="Arial" w:hAnsi="Arial"/>
          <w:sz w:val="17"/>
          <w:szCs w:val="17"/>
          <w:i w:val="1"/>
          <w:iCs w:val="1"/>
          <w:color w:val="auto"/>
        </w:rPr>
        <w:t xml:space="preserve">Milestone Rights Liability </w:t>
      </w:r>
      <w:r>
        <w:rPr>
          <w:rFonts w:ascii="Arial" w:cs="Arial" w:eastAsia="Arial" w:hAnsi="Arial"/>
          <w:sz w:val="17"/>
          <w:szCs w:val="17"/>
          <w:color w:val="auto"/>
        </w:rPr>
        <w:t>— In July 2013, in conjunction with the execution of a (now repaid) loan agreement with Deerfield Private Design Fund</w:t>
      </w:r>
      <w:r>
        <w:rPr>
          <w:rFonts w:ascii="Arial" w:cs="Arial" w:eastAsia="Arial" w:hAnsi="Arial"/>
          <w:sz w:val="17"/>
          <w:szCs w:val="17"/>
          <w:i w:val="1"/>
          <w:iCs w:val="1"/>
          <w:color w:val="auto"/>
        </w:rPr>
        <w:t xml:space="preserve"> </w:t>
      </w:r>
      <w:r>
        <w:rPr>
          <w:rFonts w:ascii="Arial" w:cs="Arial" w:eastAsia="Arial" w:hAnsi="Arial"/>
          <w:sz w:val="17"/>
          <w:szCs w:val="17"/>
          <w:color w:val="auto"/>
        </w:rPr>
        <w:t>II, L.P. and Deerfield Private Design International II, L.P. (collectively, “Deerfield”), we issued the Milestone Rights to Deerfield Private Design Fund II, L.P. and Horizon Santé FLML SÀRL, (the “Milestone Purchasers”). In December 2021, the Milestone Rights were purchased by Barings Global Special Situations Credit Fund 4 (Delaware), L.P. and Barings Global Special Situations Credit 4 (LUX) S.ar.l. (together “Barings”). As a result, Barings has assumed the obligations of the Original Milestone Purchasers and is now entitled to all rights under the Milestone Agreement. As of December 31, 2021, $65.0 million remained payable pursuant to the Milestone Agreement upon achievement of sales milestones.</w:t>
      </w:r>
    </w:p>
    <w:p>
      <w:pPr>
        <w:spacing w:after="0" w:line="178"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Borrowings).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4" w:name="page75"/>
    <w:bookmarkEnd w:id="74"/>
    <w:p>
      <w:pPr>
        <w:ind w:right="40" w:firstLine="477"/>
        <w:spacing w:after="0" w:line="273"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—The Company applies various valuation approaches in determining the fair value of its financial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120" w:firstLine="477"/>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provisions for federal, foreign, state and local income taxes are calculated on pre-tax income based on current tax law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228"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8"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ind w:right="40" w:firstLine="477"/>
        <w:spacing w:after="0" w:line="297"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Share-based payments to employees, including grants of stock options, RSUs, performance-based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awards (“PNQs”), restricted stock units with market conditions (“Market RSUs”) and the compensatory elements of employee stock purchase plans, are recognized in the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w:t>
      </w:r>
    </w:p>
    <w:p>
      <w:pPr>
        <w:spacing w:after="0" w:line="161" w:lineRule="exact"/>
        <w:rPr>
          <w:sz w:val="20"/>
          <w:szCs w:val="20"/>
          <w:color w:val="auto"/>
        </w:rPr>
      </w:pPr>
    </w:p>
    <w:p>
      <w:pPr>
        <w:ind w:right="140" w:firstLine="477"/>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addition to internal costs associated with conducting clinical trials.</w:t>
      </w:r>
    </w:p>
    <w:p>
      <w:pPr>
        <w:spacing w:after="0" w:line="184"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160" w:firstLine="477"/>
        <w:spacing w:after="0" w:line="259" w:lineRule="auto"/>
        <w:rPr>
          <w:sz w:val="20"/>
          <w:szCs w:val="20"/>
          <w:color w:val="auto"/>
        </w:rPr>
      </w:pPr>
      <w:r>
        <w:rPr>
          <w:rFonts w:ascii="Arial" w:cs="Arial" w:eastAsia="Arial" w:hAnsi="Arial"/>
          <w:sz w:val="18"/>
          <w:szCs w:val="18"/>
          <w:i w:val="1"/>
          <w:iCs w:val="1"/>
          <w:color w:val="auto"/>
        </w:rPr>
        <w:t xml:space="preserve">Recently Adopted Accounting Standards </w:t>
      </w:r>
      <w:r>
        <w:rPr>
          <w:rFonts w:ascii="Arial" w:cs="Arial" w:eastAsia="Arial" w:hAnsi="Arial"/>
          <w:sz w:val="18"/>
          <w:szCs w:val="18"/>
          <w:color w:val="auto"/>
        </w:rPr>
        <w:t>— In August 2020, the FASB issued ASU 2020-06, Issuer’s Accounting for Convertible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on an Entity’s Own Equity, which simplifies the accounting for certain financial instruments with characteristics of liabilities and equity, including convertible instruments and contracts on an entity’s own equity. The Company adopted this standard as of January 1, 2021. The adoption of this standard did not have a material impact on the Company's consolidated financial statements.</w:t>
      </w:r>
    </w:p>
    <w:p>
      <w:pPr>
        <w:spacing w:after="0" w:line="187" w:lineRule="exact"/>
        <w:rPr>
          <w:sz w:val="20"/>
          <w:szCs w:val="20"/>
          <w:color w:val="auto"/>
        </w:rPr>
      </w:pPr>
    </w:p>
    <w:p>
      <w:pPr>
        <w:ind w:right="360" w:firstLine="477"/>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ind w:right="160" w:firstLine="477"/>
        <w:spacing w:after="0" w:line="259" w:lineRule="auto"/>
        <w:rPr>
          <w:sz w:val="20"/>
          <w:szCs w:val="20"/>
          <w:color w:val="auto"/>
        </w:rPr>
      </w:pPr>
      <w:r>
        <w:rPr>
          <w:rFonts w:ascii="Arial" w:cs="Arial" w:eastAsia="Arial" w:hAnsi="Arial"/>
          <w:sz w:val="18"/>
          <w:szCs w:val="18"/>
          <w:color w:val="auto"/>
        </w:rPr>
        <w:t>On December 7, 2020, the Company acquired QrumPharma, Inc., a privately held pharmaceutical company developing inhalation treatments for severe chronic and recurrent pulmonary infections. The Company purchased all of the outstanding capital stock of QrumPharma for consideration consisting of cash and shares of the Company’s common stock, subject to adjustment for cash on hand, unpaid indebtedness, unpaid transaction expenses, and net working capital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Consideration</w:t>
            </w:r>
          </w:p>
        </w:tc>
        <w:tc>
          <w:tcPr>
            <w:tcW w:w="2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32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12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Stock consideration (3,067,179 shares at $3.01 per share)</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2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Repayment of debt</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Cash acquired</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23"/>
        </w:trPr>
        <w:tc>
          <w:tcPr>
            <w:tcW w:w="6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consideration paid for IPR&amp;D</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477"/>
        <w:spacing w:after="0" w:line="288" w:lineRule="auto"/>
        <w:rPr>
          <w:sz w:val="20"/>
          <w:szCs w:val="20"/>
          <w:color w:val="auto"/>
        </w:rPr>
      </w:pPr>
      <w:r>
        <w:rPr>
          <w:rFonts w:ascii="Arial" w:cs="Arial" w:eastAsia="Arial" w:hAnsi="Arial"/>
          <w:sz w:val="16"/>
          <w:szCs w:val="16"/>
          <w:color w:val="auto"/>
        </w:rPr>
        <w:t>The stock purchase of QrumPharma was accounted for under ASC 805, Business Combinations, as an asset acquisition since the transaction did not include the acquisition of inputs or processes and the fair value of the assets acquired were concentrated in a single identifiable asset, MNKD-101 (a nebulized version of clofazimine), which consisted of an in-process research and development asset (“IPR&amp;D”). Under ASC 805, an entity that acquires IPR&amp;D in an asset acquisition should follow the guidance in ASC 730, Research and Development, which requires that both tangible and intangible identifiable research and development assets with no alternative future use be allocated a portion of the consideration transferred and charged to expense at the acquisition date. Due to the stage of development of MNKD-101 at the date of acquisition, significant risk remained that the product would not obtain regulatory approval and it was not yet probable that there would be future economic benefit for the Company. Absent successful clinical results and regulatory approval, it was determined that there was no alternative future use associated with MNKD-101. Accordingly, the value of this asset was expensed at the time of acquisition and the total accumulated cost of $13.2 million, was allocated to the IPR&amp;D asset using a relative fair value basis and the total consideration was recognized as in-process research and development expense in the consolidated statement of operations.</w:t>
      </w:r>
    </w:p>
    <w:p>
      <w:pPr>
        <w:spacing w:after="0" w:line="168"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The acquisition of QrumPharma also included a potential future royalty payment of 1.5% of net sales in each of the calendar years in which the total annual and global adjusted net sales of specified products exceeds $50 million and a royalty payment of 1.0% of net sales in each of the calendar years in which the total annual and global adjusted net sales of nebulized clofazimine are greater than or equal to $200 million. The contingent consideration in the form of royalty payments will be expensed as incurred since the probability of MNKD-101 obtaining FDA approval and generating net sales that exceed the specified thresholds could not be reasonably estimated on the date of acquisition.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540" w:type="dxa"/>
            <w:vAlign w:val="bottom"/>
            <w:tcBorders>
              <w:bottom w:val="single" w:sz="8" w:color="CFF0FC"/>
            </w:tcBorders>
          </w:tcPr>
          <w:p>
            <w:pPr>
              <w:spacing w:after="0"/>
              <w:rPr>
                <w:sz w:val="13"/>
                <w:szCs w:val="13"/>
                <w:color w:val="auto"/>
              </w:rPr>
            </w:pPr>
          </w:p>
        </w:tc>
        <w:tc>
          <w:tcPr>
            <w:tcW w:w="31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Work-in-process</w:t>
            </w: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2,522</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1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3180" w:type="dxa"/>
            <w:vAlign w:val="bottom"/>
          </w:tcPr>
          <w:p>
            <w:pPr>
              <w:spacing w:after="0"/>
              <w:rPr>
                <w:sz w:val="19"/>
                <w:szCs w:val="19"/>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Work-in-process and finished goods as of December 31, 2021 and 2020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December 31, 2021 and 2020, which consisted of FDKP received in November 2019 that will be used to manufacture Afrezza under an enhanced manufacturing process for FDKP. The Company expects to receive FDA approval of the new source of FDKP in 2023.</w:t>
      </w:r>
    </w:p>
    <w:p>
      <w:pPr>
        <w:spacing w:after="0" w:line="188"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at December 31, 2021 and 2020. Inventory that was forecasted to become obsolete due to expiration as well as inventory that does not meet acceptable standards is recorded in costs of goods sold in the accompanying consolidated statements of operations. For the year ended December 31, 2021, there was an inventory write-off of $1.9 million as a result of this assessment, including $0.7 million related to the start of an agreement with a retail pharmacy. There was an inventory write-off of $0.5 million for the year ended December 31,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Estimated Useful</w:t>
            </w:r>
          </w:p>
        </w:tc>
        <w:tc>
          <w:tcPr>
            <w:tcW w:w="4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20" w:type="dxa"/>
            <w:vAlign w:val="bottom"/>
          </w:tcPr>
          <w:p>
            <w:pPr>
              <w:spacing w:after="0"/>
              <w:rPr>
                <w:sz w:val="13"/>
                <w:szCs w:val="13"/>
                <w:color w:val="auto"/>
              </w:rPr>
            </w:pPr>
          </w:p>
        </w:tc>
        <w:tc>
          <w:tcPr>
            <w:tcW w:w="2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Life (Years)</w:t>
            </w:r>
          </w:p>
        </w:tc>
        <w:tc>
          <w:tcPr>
            <w:tcW w:w="420" w:type="dxa"/>
            <w:vAlign w:val="bottom"/>
          </w:tcPr>
          <w:p>
            <w:pPr>
              <w:spacing w:after="0"/>
              <w:rPr>
                <w:sz w:val="13"/>
                <w:szCs w:val="13"/>
                <w:color w:val="auto"/>
              </w:rPr>
            </w:pPr>
          </w:p>
        </w:tc>
        <w:tc>
          <w:tcPr>
            <w:tcW w:w="1360" w:type="dxa"/>
            <w:vAlign w:val="bottom"/>
          </w:tcPr>
          <w:p>
            <w:pPr>
              <w:jc w:val="right"/>
              <w:ind w:right="67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Buildings</w:t>
            </w:r>
          </w:p>
        </w:tc>
        <w:tc>
          <w:tcPr>
            <w:tcW w:w="1760" w:type="dxa"/>
            <w:vAlign w:val="bottom"/>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6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55,334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55,054</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7"/>
              </w:rPr>
              <w:t>(1)</w:t>
            </w:r>
          </w:p>
        </w:tc>
        <w:tc>
          <w:tcPr>
            <w:tcW w:w="4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134,273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122,687</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(97,661)</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(96,820)</w:t>
            </w:r>
          </w:p>
        </w:tc>
      </w:tr>
      <w:tr>
        <w:trPr>
          <w:trHeight w:val="224"/>
        </w:trPr>
        <w:tc>
          <w:tcPr>
            <w:tcW w:w="522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0</wp:posOffset>
            </wp:positionV>
            <wp:extent cx="246888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2468880" cy="2603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spacing w:after="0" w:line="4" w:lineRule="exact"/>
        <w:rPr>
          <w:sz w:val="20"/>
          <w:szCs w:val="20"/>
          <w:color w:val="auto"/>
        </w:rPr>
      </w:pPr>
    </w:p>
    <w:p>
      <w:pPr>
        <w:ind w:left="480" w:right="180" w:hanging="472"/>
        <w:spacing w:after="0" w:line="249" w:lineRule="auto"/>
        <w:tabs>
          <w:tab w:leader="none" w:pos="480" w:val="left"/>
        </w:tabs>
        <w:numPr>
          <w:ilvl w:val="0"/>
          <w:numId w:val="41"/>
        </w:numPr>
        <w:rPr>
          <w:rFonts w:ascii="Arial" w:cs="Arial" w:eastAsia="Arial" w:hAnsi="Arial"/>
          <w:sz w:val="23"/>
          <w:szCs w:val="23"/>
          <w:color w:val="auto"/>
          <w:vertAlign w:val="superscript"/>
        </w:rPr>
      </w:pPr>
      <w:r>
        <w:rPr>
          <w:rFonts w:ascii="Arial" w:cs="Arial" w:eastAsia="Arial" w:hAnsi="Arial"/>
          <w:sz w:val="14"/>
          <w:szCs w:val="14"/>
          <w:color w:val="auto"/>
        </w:rPr>
        <w:t xml:space="preserve">Construction in progress includes $4.7 million of equipment under construction for the manufacturing expansion for UT (the “UT Equipment”). The Company acts as agent on behalf of UT for the procurement of the UT Equipment. The Company has received $5.0 million in deposit for this service, which was recognized as deposit from customer in the consolidated balance sheet as of December 31, 2021. See Note 8 – </w:t>
      </w:r>
      <w:r>
        <w:rPr>
          <w:rFonts w:ascii="Arial" w:cs="Arial" w:eastAsia="Arial" w:hAnsi="Arial"/>
          <w:sz w:val="14"/>
          <w:szCs w:val="14"/>
          <w:i w:val="1"/>
          <w:iCs w:val="1"/>
          <w:color w:val="auto"/>
        </w:rPr>
        <w:t>Collaboration, Licensing and Other Arrangements</w:t>
      </w:r>
      <w:r>
        <w:rPr>
          <w:rFonts w:ascii="Arial" w:cs="Arial" w:eastAsia="Arial" w:hAnsi="Arial"/>
          <w:sz w:val="14"/>
          <w:szCs w:val="14"/>
          <w:color w:val="auto"/>
        </w:rPr>
        <w:t>.</w:t>
      </w:r>
    </w:p>
    <w:p>
      <w:pPr>
        <w:spacing w:after="0" w:line="202" w:lineRule="exact"/>
        <w:rPr>
          <w:sz w:val="20"/>
          <w:szCs w:val="20"/>
          <w:color w:val="auto"/>
        </w:rPr>
      </w:pPr>
    </w:p>
    <w:p>
      <w:pPr>
        <w:ind w:right="140" w:firstLine="477"/>
        <w:spacing w:after="0" w:line="259" w:lineRule="auto"/>
        <w:rPr>
          <w:sz w:val="20"/>
          <w:szCs w:val="20"/>
          <w:color w:val="auto"/>
        </w:rPr>
      </w:pPr>
      <w:r>
        <w:rPr>
          <w:rFonts w:ascii="Arial" w:cs="Arial" w:eastAsia="Arial" w:hAnsi="Arial"/>
          <w:sz w:val="18"/>
          <w:szCs w:val="18"/>
          <w:color w:val="auto"/>
        </w:rPr>
        <w:t xml:space="preserve">Depreciation expense related to property and equipment for the years ended December 31, 2021 and 2020 was $2.0 million and $1.8 million, respectively. During the year ended December 31, 2021 and 2020, the Company retired $1.1 million and $0.3 million, respectively of manufacturing equipment, computer hardware and software, lab equipment, and furniture and fixtures, as it was no longer in service. The net book value for the disposed assets was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87"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 xml:space="preserve">On November 8, 2021, the Company sold certain land, building and improvements located in Danbury, CT (the “Property”) to an affiliate of Creative Manufacturing Properties (the “Purchaser”) for a sales price of $102.3 million, subject to terms and the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finance lease and the Property remains as a long-lived asset of the Company and is depreciated at its remaining useful life of 20 years or less. See Note 13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29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14,022</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Deferred lease liability</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milestone rights liability</w:t>
            </w:r>
          </w:p>
        </w:tc>
        <w:tc>
          <w:tcPr>
            <w:tcW w:w="2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Professional fees</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Retail inventory purchase</w:t>
            </w:r>
          </w:p>
        </w:tc>
        <w:tc>
          <w:tcPr>
            <w:tcW w:w="2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Danbury facility buildout</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9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940" w:type="dxa"/>
            <w:vAlign w:val="bottom"/>
          </w:tcPr>
          <w:p>
            <w:pPr>
              <w:spacing w:after="0"/>
              <w:rPr>
                <w:sz w:val="19"/>
                <w:szCs w:val="19"/>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27,419</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40" w:type="dxa"/>
            <w:vAlign w:val="bottom"/>
            <w:vMerge w:val="restart"/>
          </w:tcPr>
          <w:p>
            <w:pPr>
              <w:jc w:val="right"/>
              <w:ind w:right="1910"/>
              <w:spacing w:after="0"/>
              <w:rPr>
                <w:sz w:val="20"/>
                <w:szCs w:val="20"/>
                <w:color w:val="auto"/>
              </w:rPr>
            </w:pPr>
            <w:r>
              <w:rPr>
                <w:rFonts w:ascii="Arial" w:cs="Arial" w:eastAsia="Arial" w:hAnsi="Arial"/>
                <w:sz w:val="18"/>
                <w:szCs w:val="18"/>
                <w:color w:val="auto"/>
              </w:rPr>
              <w:t>77</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7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Carrying amount of borrowings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restart"/>
          </w:tcPr>
          <w:p>
            <w:pPr>
              <w:spacing w:after="0"/>
              <w:rPr>
                <w:sz w:val="20"/>
                <w:szCs w:val="20"/>
                <w:color w:val="auto"/>
              </w:rPr>
            </w:pPr>
            <w:r>
              <w:rPr>
                <w:rFonts w:ascii="Arial" w:cs="Arial" w:eastAsia="Arial" w:hAnsi="Arial"/>
                <w:sz w:val="18"/>
                <w:szCs w:val="18"/>
                <w:color w:val="auto"/>
              </w:rPr>
              <w:t>Senior convertible notes</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223,944</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r>
              <w:rPr>
                <w:rFonts w:ascii="Arial" w:cs="Arial" w:eastAsia="Arial" w:hAnsi="Arial"/>
                <w:sz w:val="15"/>
                <w:szCs w:val="15"/>
                <w:color w:val="auto"/>
              </w:rPr>
              <w:t>(1)</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MidCap credit facility</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38,833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2024 convertible notes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PPP Loan</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281,202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80" w:right="120" w:hanging="472"/>
        <w:spacing w:after="0" w:line="245" w:lineRule="auto"/>
        <w:tabs>
          <w:tab w:leader="none" w:pos="48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The amendment to the Mann Group convertible note in the second quarter of 2021 resulted in a substantial premium of $22.1 million based on the fair value post modification, which contributed to the loss on extinguishment in the consolidated statement of operations for the year ended December 31, 2021 and was recognized as additional paid-in capital in the consolidated balance sheet as of December 31, 2021. The accounting for the $22.1 million loss on extinguishment did not result in a change in the financial position of the Company.</w:t>
      </w:r>
    </w:p>
    <w:p>
      <w:pPr>
        <w:spacing w:after="0" w:line="226" w:lineRule="exact"/>
        <w:rPr>
          <w:rFonts w:ascii="Arial" w:cs="Arial" w:eastAsia="Arial" w:hAnsi="Arial"/>
          <w:sz w:val="24"/>
          <w:szCs w:val="24"/>
          <w:color w:val="auto"/>
          <w:vertAlign w:val="superscript"/>
        </w:rPr>
      </w:pPr>
    </w:p>
    <w:p>
      <w:pPr>
        <w:ind w:left="480"/>
        <w:spacing w:after="0"/>
        <w:rPr>
          <w:rFonts w:ascii="Arial" w:cs="Arial" w:eastAsia="Arial" w:hAnsi="Arial"/>
          <w:sz w:val="24"/>
          <w:szCs w:val="24"/>
          <w:color w:val="auto"/>
          <w:vertAlign w:val="superscript"/>
        </w:rPr>
      </w:pPr>
      <w:r>
        <w:rPr>
          <w:rFonts w:ascii="Arial" w:cs="Arial" w:eastAsia="Arial" w:hAnsi="Arial"/>
          <w:sz w:val="18"/>
          <w:szCs w:val="18"/>
          <w:color w:val="auto"/>
        </w:rPr>
        <w:t>The following table provides a summary of the Company’s debt and 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-833120</wp:posOffset>
            </wp:positionV>
            <wp:extent cx="13373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800" w:type="dxa"/>
            <w:vAlign w:val="bottom"/>
            <w:gridSpan w:val="4"/>
          </w:tcPr>
          <w:p>
            <w:pPr>
              <w:ind w:left="880"/>
              <w:spacing w:after="0"/>
              <w:rPr>
                <w:sz w:val="20"/>
                <w:szCs w:val="20"/>
                <w:color w:val="auto"/>
              </w:rPr>
            </w:pPr>
            <w:r>
              <w:rPr>
                <w:rFonts w:ascii="Arial" w:cs="Arial" w:eastAsia="Arial" w:hAnsi="Arial"/>
                <w:sz w:val="14"/>
                <w:szCs w:val="14"/>
                <w:b w:val="1"/>
                <w:bCs w:val="1"/>
                <w:color w:val="auto"/>
              </w:rPr>
              <w:t>Amount Due</w:t>
            </w: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Terms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1"/>
                <w:szCs w:val="11"/>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Annual Interest Rate</w:t>
            </w:r>
          </w:p>
        </w:tc>
        <w:tc>
          <w:tcPr>
            <w:tcW w:w="4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Maturity Date</w:t>
            </w: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Conversion Price</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$230.0 million</w:t>
            </w:r>
          </w:p>
        </w:tc>
        <w:tc>
          <w:tcPr>
            <w:tcW w:w="26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42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$5.21</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(1)</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$40.0 million</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$50.0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one-month</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560" w:type="dxa"/>
            <w:vAlign w:val="bottom"/>
            <w:gridSpan w:val="2"/>
          </w:tcPr>
          <w:p>
            <w:pPr>
              <w:jc w:val="right"/>
              <w:ind w:right="100"/>
              <w:spacing w:after="0" w:line="216" w:lineRule="exact"/>
              <w:rPr>
                <w:sz w:val="20"/>
                <w:szCs w:val="20"/>
                <w:color w:val="auto"/>
              </w:rPr>
            </w:pPr>
            <w:r>
              <w:rPr>
                <w:rFonts w:ascii="Arial" w:cs="Arial" w:eastAsia="Arial" w:hAnsi="Arial"/>
                <w:sz w:val="16"/>
                <w:szCs w:val="16"/>
                <w:color w:val="auto"/>
              </w:rPr>
              <w:t xml:space="preserve">August 2025  </w:t>
            </w:r>
            <w:r>
              <w:rPr>
                <w:rFonts w:ascii="Arial" w:cs="Arial" w:eastAsia="Arial" w:hAnsi="Arial"/>
                <w:sz w:val="24"/>
                <w:szCs w:val="24"/>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LIBOR (1% floor)</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plus 6.25%</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w:t>
            </w:r>
          </w:p>
        </w:tc>
        <w:tc>
          <w:tcPr>
            <w:tcW w:w="14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$18.4 million</w:t>
            </w:r>
          </w:p>
        </w:tc>
        <w:tc>
          <w:tcPr>
            <w:tcW w:w="14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$28.0 million</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156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16"/>
                <w:szCs w:val="16"/>
                <w:color w:val="auto"/>
              </w:rPr>
              <w:t xml:space="preserve">December 2025 </w:t>
            </w:r>
            <w:r>
              <w:rPr>
                <w:rFonts w:ascii="Arial" w:cs="Arial" w:eastAsia="Arial" w:hAnsi="Arial"/>
                <w:sz w:val="24"/>
                <w:szCs w:val="24"/>
                <w:color w:val="auto"/>
                <w:vertAlign w:val="superscript"/>
              </w:rPr>
              <w:t>(2)</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$2.50</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(plus $0.4</w:t>
            </w:r>
          </w:p>
        </w:tc>
        <w:tc>
          <w:tcPr>
            <w:tcW w:w="14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(plus $0.6</w:t>
            </w:r>
          </w:p>
        </w:tc>
        <w:tc>
          <w:tcPr>
            <w:tcW w:w="1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3"/>
              </w:rPr>
              <w:t>million accrued</w:t>
            </w:r>
          </w:p>
        </w:tc>
        <w:tc>
          <w:tcPr>
            <w:tcW w:w="14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4"/>
              </w:rPr>
              <w:t>million accrued</w:t>
            </w:r>
          </w:p>
        </w:tc>
        <w:tc>
          <w:tcPr>
            <w:tcW w:w="1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0"/>
              </w:rPr>
              <w:t>interest paid-</w:t>
            </w:r>
          </w:p>
        </w:tc>
        <w:tc>
          <w:tcPr>
            <w:tcW w:w="14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0"/>
              </w:rPr>
              <w:t>interest paid-</w:t>
            </w:r>
          </w:p>
        </w:tc>
        <w:tc>
          <w:tcPr>
            <w:tcW w:w="1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8"/>
              </w:rPr>
              <w:t>in-kind)</w:t>
            </w:r>
          </w:p>
        </w:tc>
        <w:tc>
          <w:tcPr>
            <w:tcW w:w="14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8"/>
              </w:rPr>
              <w:t>in-kind)</w:t>
            </w:r>
          </w:p>
        </w:tc>
        <w:tc>
          <w:tcPr>
            <w:tcW w:w="16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rPr>
              <w:t>Mann Group non-convertible note</w:t>
            </w:r>
            <w:r>
              <w:rPr>
                <w:rFonts w:ascii="Arial" w:cs="Arial" w:eastAsia="Arial" w:hAnsi="Arial"/>
                <w:sz w:val="15"/>
                <w:szCs w:val="15"/>
                <w:color w:val="auto"/>
              </w:rPr>
              <w:t>(3)</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$35.1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42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November 2024</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(plus $3.6</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million accrued</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interest paid-</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in-kind)</w:t>
            </w:r>
          </w:p>
        </w:tc>
        <w:tc>
          <w:tcPr>
            <w:tcW w:w="1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PPP loan</w:t>
            </w:r>
            <w:r>
              <w:rPr>
                <w:rFonts w:ascii="Arial" w:cs="Arial" w:eastAsia="Arial" w:hAnsi="Arial"/>
                <w:sz w:val="15"/>
                <w:szCs w:val="15"/>
                <w:color w:val="auto"/>
              </w:rPr>
              <w:t>(4)</w:t>
            </w: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$4.9 million</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0.98%</w:t>
            </w: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8"/>
              </w:rPr>
              <w:t>April 2022</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rPr>
              <w:t>2024 convertible notes</w:t>
            </w:r>
            <w:r>
              <w:rPr>
                <w:rFonts w:ascii="Arial" w:cs="Arial" w:eastAsia="Arial" w:hAnsi="Arial"/>
                <w:sz w:val="15"/>
                <w:szCs w:val="15"/>
                <w:color w:val="auto"/>
              </w:rPr>
              <w:t>(5)</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$5.0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5.75%</w:t>
            </w:r>
          </w:p>
        </w:tc>
        <w:tc>
          <w:tcPr>
            <w:tcW w:w="42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November 2024</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$3.00</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373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5" w:lineRule="exact"/>
        <w:rPr>
          <w:sz w:val="20"/>
          <w:szCs w:val="20"/>
          <w:color w:val="auto"/>
        </w:rPr>
      </w:pPr>
    </w:p>
    <w:p>
      <w:pPr>
        <w:ind w:left="480" w:right="840" w:hanging="472"/>
        <w:spacing w:after="0" w:line="216" w:lineRule="auto"/>
        <w:tabs>
          <w:tab w:leader="none" w:pos="4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 April 2021, the Company prepaid $10.0 million principal balance and amended the MidCap credit facility. The interest rate prior to the amendment was one-month LIBOR (2% floor) plus 6.75% and the maturity date was in August 2024.</w:t>
      </w:r>
    </w:p>
    <w:p>
      <w:pPr>
        <w:spacing w:after="0" w:line="27" w:lineRule="exact"/>
        <w:rPr>
          <w:rFonts w:ascii="Arial" w:cs="Arial" w:eastAsia="Arial" w:hAnsi="Arial"/>
          <w:sz w:val="25"/>
          <w:szCs w:val="25"/>
          <w:color w:val="auto"/>
          <w:vertAlign w:val="superscript"/>
        </w:rPr>
      </w:pPr>
    </w:p>
    <w:p>
      <w:pPr>
        <w:ind w:left="480" w:right="380" w:hanging="472"/>
        <w:spacing w:after="0" w:line="216" w:lineRule="auto"/>
        <w:tabs>
          <w:tab w:leader="none" w:pos="4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 April 2021, the Mann Group convertible note was amended. The interest rate prior to the amendment was 7.00% and the maturity date was in November 2024.</w:t>
      </w:r>
    </w:p>
    <w:p>
      <w:pPr>
        <w:spacing w:after="0" w:line="1" w:lineRule="exact"/>
        <w:rPr>
          <w:rFonts w:ascii="Arial" w:cs="Arial" w:eastAsia="Arial" w:hAnsi="Arial"/>
          <w:sz w:val="25"/>
          <w:szCs w:val="25"/>
          <w:color w:val="auto"/>
          <w:vertAlign w:val="superscript"/>
        </w:rPr>
      </w:pPr>
    </w:p>
    <w:p>
      <w:pPr>
        <w:ind w:left="480" w:hanging="472"/>
        <w:spacing w:after="0" w:line="214" w:lineRule="auto"/>
        <w:tabs>
          <w:tab w:leader="none" w:pos="4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 April 2021, the Company prepaid $35.1 million principal balance as well as accrued unpaid interest.</w:t>
      </w:r>
    </w:p>
    <w:p>
      <w:pPr>
        <w:spacing w:after="0" w:line="42" w:lineRule="exact"/>
        <w:rPr>
          <w:rFonts w:ascii="Arial" w:cs="Arial" w:eastAsia="Arial" w:hAnsi="Arial"/>
          <w:sz w:val="25"/>
          <w:szCs w:val="25"/>
          <w:color w:val="auto"/>
          <w:vertAlign w:val="superscript"/>
        </w:rPr>
      </w:pPr>
    </w:p>
    <w:p>
      <w:pPr>
        <w:ind w:left="480" w:right="200" w:hanging="472"/>
        <w:spacing w:after="0" w:line="208" w:lineRule="auto"/>
        <w:tabs>
          <w:tab w:leader="none" w:pos="4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 July 2021, the Company received full forgiveness from the SBA for the $4.9 million principal balance of the PPP loan and recognized a gain on extinguishment of debt for the full principal balance and a de minimis amount of accrued but unpaid interest.</w:t>
      </w:r>
    </w:p>
    <w:p>
      <w:pPr>
        <w:spacing w:after="0" w:line="1" w:lineRule="exact"/>
        <w:rPr>
          <w:rFonts w:ascii="Arial" w:cs="Arial" w:eastAsia="Arial" w:hAnsi="Arial"/>
          <w:sz w:val="25"/>
          <w:szCs w:val="25"/>
          <w:color w:val="auto"/>
          <w:vertAlign w:val="superscript"/>
        </w:rPr>
      </w:pPr>
    </w:p>
    <w:p>
      <w:pPr>
        <w:ind w:left="480" w:hanging="472"/>
        <w:spacing w:after="0" w:line="214" w:lineRule="auto"/>
        <w:tabs>
          <w:tab w:leader="none" w:pos="4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 February 2021, the $5.0 million principal balance was converted into 1,666,667 shares of the Company’s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9220" w:type="dxa"/>
            <w:vAlign w:val="bottom"/>
          </w:tcPr>
          <w:p>
            <w:pPr>
              <w:ind w:left="480"/>
              <w:spacing w:after="0"/>
              <w:rPr>
                <w:sz w:val="20"/>
                <w:szCs w:val="20"/>
                <w:color w:val="auto"/>
              </w:rPr>
            </w:pPr>
            <w:r>
              <w:rPr>
                <w:rFonts w:ascii="Arial" w:cs="Arial" w:eastAsia="Arial" w:hAnsi="Arial"/>
                <w:sz w:val="18"/>
                <w:szCs w:val="18"/>
                <w:color w:val="auto"/>
              </w:rPr>
              <w:t>The maturities of our borrowings as of December 31, 2021 are as follows (in thousands):</w:t>
            </w: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0"/>
        </w:trPr>
        <w:tc>
          <w:tcPr>
            <w:tcW w:w="9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Amounts</w:t>
            </w:r>
          </w:p>
        </w:tc>
      </w:tr>
      <w:tr>
        <w:trPr>
          <w:trHeight w:val="26"/>
        </w:trPr>
        <w:tc>
          <w:tcPr>
            <w:tcW w:w="92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31,758</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FF0FC"/>
          </w:tcPr>
          <w:p>
            <w:pPr>
              <w:spacing w:after="0"/>
              <w:rPr>
                <w:sz w:val="19"/>
                <w:szCs w:val="19"/>
                <w:color w:val="auto"/>
              </w:rPr>
            </w:pPr>
          </w:p>
        </w:tc>
      </w:tr>
      <w:tr>
        <w:trPr>
          <w:trHeight w:val="223"/>
        </w:trPr>
        <w:tc>
          <w:tcPr>
            <w:tcW w:w="9220" w:type="dxa"/>
            <w:vAlign w:val="bottom"/>
          </w:tcPr>
          <w:p>
            <w:pPr>
              <w:ind w:left="260"/>
              <w:spacing w:after="0"/>
              <w:rPr>
                <w:sz w:val="20"/>
                <w:szCs w:val="20"/>
                <w:color w:val="auto"/>
              </w:rPr>
            </w:pPr>
            <w:r>
              <w:rPr>
                <w:rFonts w:ascii="Arial" w:cs="Arial" w:eastAsia="Arial" w:hAnsi="Arial"/>
                <w:sz w:val="18"/>
                <w:szCs w:val="18"/>
                <w:color w:val="auto"/>
              </w:rPr>
              <w:t>Total principal payments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288,425</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(1,167)</w:t>
            </w:r>
          </w:p>
        </w:tc>
      </w:tr>
      <w:tr>
        <w:trPr>
          <w:trHeight w:val="229"/>
        </w:trPr>
        <w:tc>
          <w:tcPr>
            <w:tcW w:w="9220" w:type="dxa"/>
            <w:vAlign w:val="bottom"/>
          </w:tcPr>
          <w:p>
            <w:pPr>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(6,056)</w:t>
            </w:r>
          </w:p>
        </w:tc>
      </w:tr>
      <w:tr>
        <w:trPr>
          <w:trHeight w:val="223"/>
        </w:trPr>
        <w:tc>
          <w:tcPr>
            <w:tcW w:w="92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w:t>
            </w: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i w:val="1"/>
          <w:iCs w:val="1"/>
          <w:color w:val="auto"/>
        </w:rPr>
        <w:t xml:space="preserve">Senior convertible notes – </w:t>
      </w:r>
      <w:r>
        <w:rPr>
          <w:rFonts w:ascii="Arial" w:cs="Arial" w:eastAsia="Arial" w:hAnsi="Arial"/>
          <w:sz w:val="18"/>
          <w:szCs w:val="18"/>
          <w:color w:val="auto"/>
        </w:rPr>
        <w:t>On March 4, 2021, the Company issued $200.0 million aggregate principal amount of Senior convertible notes in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offering. Pursuant to an option to purchase additional senior convertible notes in the purchase agreement between the Company and the initial purchasers of the Senior convertible notes, the Company issued an additional $30.0 million aggregate principal amount of Senior convertible notes on March 15, 2021. The Senior convertible notes were issued pursuant to an indenture, dated March 4, 2021 (the “Indenture”), between the Company and U.S. Bank National Association, as trustee.</w:t>
      </w:r>
    </w:p>
    <w:p>
      <w:pPr>
        <w:spacing w:after="0" w:line="188" w:lineRule="exact"/>
        <w:rPr>
          <w:sz w:val="20"/>
          <w:szCs w:val="20"/>
          <w:color w:val="auto"/>
        </w:rPr>
      </w:pPr>
    </w:p>
    <w:p>
      <w:pPr>
        <w:ind w:firstLine="477"/>
        <w:spacing w:after="0" w:line="285" w:lineRule="auto"/>
        <w:rPr>
          <w:sz w:val="20"/>
          <w:szCs w:val="20"/>
          <w:color w:val="auto"/>
        </w:rPr>
      </w:pPr>
      <w:r>
        <w:rPr>
          <w:rFonts w:ascii="Arial" w:cs="Arial" w:eastAsia="Arial" w:hAnsi="Arial"/>
          <w:sz w:val="16"/>
          <w:szCs w:val="16"/>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the Common Stock or a combination of cash and shares of Common Stock, at the Company’s election, in the manner and subject to the terms and conditions provided in the Indenture.</w:t>
      </w:r>
    </w:p>
    <w:p>
      <w:pPr>
        <w:spacing w:after="0" w:line="176" w:lineRule="exact"/>
        <w:rPr>
          <w:sz w:val="20"/>
          <w:szCs w:val="20"/>
          <w:color w:val="auto"/>
        </w:rPr>
      </w:pPr>
    </w:p>
    <w:p>
      <w:pPr>
        <w:ind w:right="40" w:firstLine="477"/>
        <w:spacing w:after="0" w:line="271" w:lineRule="auto"/>
        <w:rPr>
          <w:sz w:val="20"/>
          <w:szCs w:val="20"/>
          <w:color w:val="auto"/>
        </w:rPr>
      </w:pPr>
      <w:r>
        <w:rPr>
          <w:rFonts w:ascii="Arial" w:cs="Arial" w:eastAsia="Arial" w:hAnsi="Arial"/>
          <w:sz w:val="17"/>
          <w:szCs w:val="17"/>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78" w:lineRule="exact"/>
        <w:rPr>
          <w:sz w:val="20"/>
          <w:szCs w:val="20"/>
          <w:color w:val="auto"/>
        </w:rPr>
      </w:pPr>
    </w:p>
    <w:p>
      <w:pPr>
        <w:ind w:right="20" w:firstLine="477"/>
        <w:spacing w:after="0" w:line="290" w:lineRule="auto"/>
        <w:rPr>
          <w:sz w:val="20"/>
          <w:szCs w:val="20"/>
          <w:color w:val="auto"/>
        </w:rPr>
      </w:pPr>
      <w:r>
        <w:rPr>
          <w:rFonts w:ascii="Arial" w:cs="Arial" w:eastAsia="Arial" w:hAnsi="Arial"/>
          <w:sz w:val="16"/>
          <w:szCs w:val="16"/>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65"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ind w:right="600" w:firstLine="477"/>
        <w:spacing w:after="0" w:line="277"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Senior convertible notes may be declared immediately due and payable.</w:t>
      </w:r>
    </w:p>
    <w:p>
      <w:pPr>
        <w:spacing w:after="0" w:line="170" w:lineRule="exact"/>
        <w:rPr>
          <w:sz w:val="20"/>
          <w:szCs w:val="20"/>
          <w:color w:val="auto"/>
        </w:rPr>
      </w:pPr>
    </w:p>
    <w:p>
      <w:pPr>
        <w:ind w:firstLine="477"/>
        <w:spacing w:after="0" w:line="270" w:lineRule="auto"/>
        <w:rPr>
          <w:sz w:val="20"/>
          <w:szCs w:val="20"/>
          <w:color w:val="auto"/>
        </w:rPr>
      </w:pPr>
      <w:r>
        <w:rPr>
          <w:rFonts w:ascii="Arial" w:cs="Arial" w:eastAsia="Arial" w:hAnsi="Arial"/>
          <w:sz w:val="17"/>
          <w:szCs w:val="17"/>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1"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95" w:lineRule="exact"/>
        <w:rPr>
          <w:sz w:val="20"/>
          <w:szCs w:val="20"/>
          <w:color w:val="auto"/>
        </w:rPr>
      </w:pPr>
    </w:p>
    <w:p>
      <w:pPr>
        <w:ind w:right="580" w:firstLine="477"/>
        <w:spacing w:after="0" w:line="263" w:lineRule="auto"/>
        <w:rPr>
          <w:sz w:val="20"/>
          <w:szCs w:val="20"/>
          <w:color w:val="auto"/>
        </w:rPr>
      </w:pPr>
      <w:r>
        <w:rPr>
          <w:rFonts w:ascii="Arial" w:cs="Arial" w:eastAsia="Arial" w:hAnsi="Arial"/>
          <w:sz w:val="18"/>
          <w:szCs w:val="18"/>
          <w:color w:val="auto"/>
        </w:rPr>
        <w:t>The Company’s net proceeds from the Offering were approximately $222.7 million, after deducting the initial purchasers’ discounts and commissions and the estimated Offering expenses payable by the Company. As of December 31, 2021, the unamortized debt issuance cost was $6.1 million.</w:t>
      </w:r>
    </w:p>
    <w:p>
      <w:pPr>
        <w:spacing w:after="0" w:line="176" w:lineRule="exact"/>
        <w:rPr>
          <w:sz w:val="20"/>
          <w:szCs w:val="20"/>
          <w:color w:val="auto"/>
        </w:rPr>
      </w:pPr>
    </w:p>
    <w:p>
      <w:pPr>
        <w:ind w:right="20" w:firstLine="477"/>
        <w:spacing w:after="0" w:line="279" w:lineRule="auto"/>
        <w:rPr>
          <w:sz w:val="20"/>
          <w:szCs w:val="20"/>
          <w:color w:val="auto"/>
        </w:rPr>
      </w:pPr>
      <w:r>
        <w:rPr>
          <w:rFonts w:ascii="Arial" w:cs="Arial" w:eastAsia="Arial" w:hAnsi="Arial"/>
          <w:sz w:val="16"/>
          <w:szCs w:val="16"/>
          <w:i w:val="1"/>
          <w:iCs w:val="1"/>
          <w:color w:val="auto"/>
        </w:rPr>
        <w:t xml:space="preserve">MidCap credit facility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9"/>
          <w:szCs w:val="19"/>
          <w:color w:val="auto"/>
        </w:rPr>
        <w:t>I</w:t>
      </w:r>
      <w:r>
        <w:rPr>
          <w:rFonts w:ascii="Arial" w:cs="Arial" w:eastAsia="Arial" w:hAnsi="Arial"/>
          <w:sz w:val="16"/>
          <w:szCs w:val="16"/>
          <w:color w:val="auto"/>
        </w:rPr>
        <w:t>n August 2019, the Company entered into the MidCap credit facility and borrowed the first advance of $</w:t>
      </w:r>
      <w:r>
        <w:rPr>
          <w:rFonts w:ascii="Arial" w:cs="Arial" w:eastAsia="Arial" w:hAnsi="Arial"/>
          <w:sz w:val="19"/>
          <w:szCs w:val="19"/>
          <w:color w:val="auto"/>
        </w:rPr>
        <w:t>40.0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w:t>
      </w:r>
      <w:r>
        <w:rPr>
          <w:rFonts w:ascii="Arial" w:cs="Arial" w:eastAsia="Arial" w:hAnsi="Arial"/>
          <w:sz w:val="16"/>
          <w:szCs w:val="16"/>
          <w:i w:val="1"/>
          <w:iCs w:val="1"/>
          <w:color w:val="auto"/>
        </w:rPr>
        <w:t xml:space="preserve"> </w:t>
      </w:r>
      <w:r>
        <w:rPr>
          <w:rFonts w:ascii="Arial" w:cs="Arial" w:eastAsia="Arial" w:hAnsi="Arial"/>
          <w:sz w:val="16"/>
          <w:szCs w:val="16"/>
          <w:color w:val="auto"/>
        </w:rPr>
        <w:t>(“Tranche 1”) in August 2019 and the second advance of $10.0 million (“Tranche 2”) in December 2020. In April 2021, $10.0 million was prepaid. Under the terms of the MidCap credit facility, a third advance of $</w:t>
      </w:r>
      <w:r>
        <w:rPr>
          <w:rFonts w:ascii="Arial" w:cs="Arial" w:eastAsia="Arial" w:hAnsi="Arial"/>
          <w:sz w:val="19"/>
          <w:szCs w:val="19"/>
          <w:color w:val="auto"/>
        </w:rPr>
        <w:t>60.0</w:t>
      </w:r>
      <w:r>
        <w:rPr>
          <w:rFonts w:ascii="Arial" w:cs="Arial" w:eastAsia="Arial" w:hAnsi="Arial"/>
          <w:sz w:val="16"/>
          <w:szCs w:val="16"/>
          <w:color w:val="auto"/>
        </w:rPr>
        <w:t xml:space="preserve"> million (“Tranche 3”) will be available to the Company between January 1, 2022 and June 30, 2022, subject to the satisfaction of certain milestone conditions associated with Tyvaso DPI through the Company’s collaboration with United</w:t>
      </w:r>
    </w:p>
    <w:p>
      <w:pPr>
        <w:spacing w:after="0"/>
        <w:rPr>
          <w:sz w:val="20"/>
          <w:szCs w:val="20"/>
          <w:color w:val="auto"/>
        </w:rPr>
      </w:pPr>
      <w:r>
        <w:rPr>
          <w:rFonts w:ascii="Arial" w:cs="Arial" w:eastAsia="Arial" w:hAnsi="Arial"/>
          <w:sz w:val="18"/>
          <w:szCs w:val="18"/>
          <w:color w:val="auto"/>
        </w:rPr>
        <w:t xml:space="preserve">Therapeutics (see Note 8 – </w:t>
      </w:r>
      <w:r>
        <w:rPr>
          <w:rFonts w:ascii="Arial" w:cs="Arial" w:eastAsia="Arial" w:hAnsi="Arial"/>
          <w:sz w:val="21"/>
          <w:szCs w:val="21"/>
          <w:i w:val="1"/>
          <w:iCs w:val="1"/>
          <w:color w:val="auto"/>
        </w:rPr>
        <w:t>Collaboration</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21"/>
          <w:szCs w:val="21"/>
          <w:i w:val="1"/>
          <w:iCs w:val="1"/>
          <w:color w:val="auto"/>
        </w:rPr>
        <w:t>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w:t>
      </w:r>
      <w:r>
        <w:rPr>
          <w:rFonts w:ascii="Arial" w:cs="Arial" w:eastAsia="Arial" w:hAnsi="Arial"/>
          <w:sz w:val="18"/>
          <w:szCs w:val="18"/>
          <w:color w:val="auto"/>
        </w:rPr>
        <w:t xml:space="preserve"> </w:t>
      </w:r>
      <w:r>
        <w:rPr>
          <w:rFonts w:ascii="Arial" w:cs="Arial" w:eastAsia="Arial" w:hAnsi="Arial"/>
          <w:sz w:val="21"/>
          <w:szCs w:val="21"/>
          <w:i w:val="1"/>
          <w:iCs w:val="1"/>
          <w:color w:val="auto"/>
        </w:rPr>
        <w:t>Arrangements</w:t>
      </w:r>
      <w:r>
        <w:rPr>
          <w:rFonts w:ascii="Arial" w:cs="Arial" w:eastAsia="Arial" w:hAnsi="Arial"/>
          <w:sz w:val="18"/>
          <w:szCs w:val="18"/>
          <w:color w:val="auto"/>
        </w:rPr>
        <w:t>).</w:t>
      </w:r>
    </w:p>
    <w:p>
      <w:pPr>
        <w:spacing w:after="0" w:line="207" w:lineRule="exact"/>
        <w:rPr>
          <w:sz w:val="20"/>
          <w:szCs w:val="20"/>
          <w:color w:val="auto"/>
        </w:rPr>
      </w:pPr>
    </w:p>
    <w:p>
      <w:pPr>
        <w:ind w:right="20" w:firstLine="477"/>
        <w:spacing w:after="0" w:line="290" w:lineRule="auto"/>
        <w:rPr>
          <w:sz w:val="20"/>
          <w:szCs w:val="20"/>
          <w:color w:val="auto"/>
        </w:rPr>
      </w:pPr>
      <w:r>
        <w:rPr>
          <w:rFonts w:ascii="Arial" w:cs="Arial" w:eastAsia="Arial" w:hAnsi="Arial"/>
          <w:sz w:val="17"/>
          <w:szCs w:val="17"/>
          <w:color w:val="auto"/>
        </w:rPr>
        <w:t>In December 2019, the Company entered into the first amendment to the MidCap credit facility, pursuant to which the parties agreed to (i) amend the financial covenant relating to trailing twelve month minimum Afrezza Net Revenue (as defined in the MidCap credit facility) requirements, (ii) add a condition to the third advance that requires the Company achieve certain amounts of Afrezza Net Revenue, and (iii) increase the exit fee from 6.00% to 7.00% of the principal amount of all term loans advanced to the Company under the MidCap credit facility.</w:t>
      </w:r>
    </w:p>
    <w:p>
      <w:pPr>
        <w:spacing w:after="0" w:line="162"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In August 2020, the Company entered into the second amendment to the MidCap credit facility, pursuant to which the parties agreed that no breach of the minimum Afrezza net revenue covenant for any trailing twelve-month reporting period between July 31, 2020 and November 30, 2020 will be deemed to occur if the Company delivers satisfactory evidence that it had unrestricted cash of at least $40.0 million. Without this amendment, the Company would have been in violation of the minimum Afrezza net revenue covenant as of September 30, 2020.</w:t>
      </w:r>
    </w:p>
    <w:p>
      <w:pPr>
        <w:spacing w:after="0" w:line="171" w:lineRule="exact"/>
        <w:rPr>
          <w:sz w:val="20"/>
          <w:szCs w:val="20"/>
          <w:color w:val="auto"/>
        </w:rPr>
      </w:pPr>
    </w:p>
    <w:p>
      <w:pPr>
        <w:ind w:right="100" w:firstLine="477"/>
        <w:spacing w:after="0" w:line="272" w:lineRule="auto"/>
        <w:rPr>
          <w:sz w:val="20"/>
          <w:szCs w:val="20"/>
          <w:color w:val="auto"/>
        </w:rPr>
      </w:pPr>
      <w:r>
        <w:rPr>
          <w:rFonts w:ascii="Arial" w:cs="Arial" w:eastAsia="Arial" w:hAnsi="Arial"/>
          <w:sz w:val="17"/>
          <w:szCs w:val="17"/>
          <w:color w:val="auto"/>
        </w:rPr>
        <w:t>In November 2020, the Company entered into the third amendment to the MidCap credit facility, pursuant to which the parties agreed to (i) amend the conditions to draw Tranche 2, which had become unavailable, such that the advance became available and was, in fact, funded to the Company on December 1, 2020, (ii) amend the conditions to Tranche 3 such that the third advance was available upon the satisfaction of certain conditions, including certain milestone conditions associated with Tyvaso DPI, (iii) add a covenant that requires the marketing of Tyvaso DPI if the third advance is funded, (iv) amend the financial covenant relating to trailing twelve month minimum Afrezza Net Revenue (as defined in the MidCap credit facility) requirements, (v) increase the minimum cash covenant to $30.0 million at all times, (vi) extend the interest only period until September 1, 2022, at which time principal on each term loan advance is payable in 24 equal monthly installments, and (vii) amend the prepayment fees.</w:t>
      </w:r>
    </w:p>
    <w:p>
      <w:pPr>
        <w:spacing w:after="0" w:line="177" w:lineRule="exact"/>
        <w:rPr>
          <w:sz w:val="20"/>
          <w:szCs w:val="20"/>
          <w:color w:val="auto"/>
        </w:rPr>
      </w:pPr>
    </w:p>
    <w:p>
      <w:pPr>
        <w:ind w:right="140" w:firstLine="477"/>
        <w:spacing w:after="0" w:line="286" w:lineRule="auto"/>
        <w:rPr>
          <w:sz w:val="20"/>
          <w:szCs w:val="20"/>
          <w:color w:val="auto"/>
        </w:rPr>
      </w:pPr>
      <w:r>
        <w:rPr>
          <w:rFonts w:ascii="Arial" w:cs="Arial" w:eastAsia="Arial" w:hAnsi="Arial"/>
          <w:sz w:val="17"/>
          <w:szCs w:val="17"/>
          <w:color w:val="auto"/>
        </w:rPr>
        <w:t xml:space="preserve">In connection with the extension of the interest only period for the $40.0 million drawn under Tranche 1, a $0.2 million loss on extinguishment was recognized in the consolidated statements of operations for the year ended December 31, 2020. The funding of $10.0 million under Tranche 2 resulted in the recognition of approximately $0.3 million of debt discount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debt issuance costs.</w:t>
      </w:r>
    </w:p>
    <w:p>
      <w:pPr>
        <w:spacing w:after="0" w:line="165"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In December 2020, the Company entered into the fourth and fifth amendments to the MidCap credit facility. Pursuant to the fourth amendment, MidCap consented to the acquisition by the Company of QrumPharma, Inc. Pursuant to the omnibus joinder and fifth amendment, QrumPharma was joined as a borrower to the MidCap credit facility and to certain related financing documents.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March 2021 the Company entered into the sixth amendment to the MidCap credit facility to accommodate the issuance of the Senior convertible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ind w:right="40" w:firstLine="477"/>
        <w:spacing w:after="0" w:line="287" w:lineRule="auto"/>
        <w:rPr>
          <w:sz w:val="20"/>
          <w:szCs w:val="20"/>
          <w:color w:val="auto"/>
        </w:rPr>
      </w:pPr>
      <w:r>
        <w:rPr>
          <w:rFonts w:ascii="Arial" w:cs="Arial" w:eastAsia="Arial" w:hAnsi="Arial"/>
          <w:sz w:val="16"/>
          <w:szCs w:val="16"/>
          <w:color w:val="auto"/>
        </w:rPr>
        <w:t>On April 22, 2021, the Company entered into the seventh amendment of the MidCap credit facility, pursuant to which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72" w:lineRule="exact"/>
        <w:rPr>
          <w:sz w:val="20"/>
          <w:szCs w:val="20"/>
          <w:color w:val="auto"/>
        </w:rPr>
      </w:pPr>
    </w:p>
    <w:p>
      <w:pPr>
        <w:ind w:right="40" w:firstLine="477"/>
        <w:spacing w:after="0" w:line="254" w:lineRule="auto"/>
        <w:rPr>
          <w:sz w:val="20"/>
          <w:szCs w:val="20"/>
          <w:color w:val="auto"/>
        </w:rPr>
      </w:pPr>
      <w:r>
        <w:rPr>
          <w:rFonts w:ascii="Arial" w:cs="Arial" w:eastAsia="Arial" w:hAnsi="Arial"/>
          <w:sz w:val="18"/>
          <w:szCs w:val="18"/>
          <w:color w:val="auto"/>
        </w:rPr>
        <w:t>Tranche 1, Tranche 2 and, if borrowed, Tranche 3, each accrue interest at an annual rate equal to the lesser of (i) 8.25% and (ii) the one-month LIBOR (subject to a one-month LIBOR floor of 1.00%) plus 6.25%. Interest on each term loan advance is due and payable monthly in arrears. Principal on each term loan advance under Tranche 1, Tranche 2 and, if applicable, Tranche 3 is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 Tranche 3 will be subject to a similar scheme of early termination fees measured from the anniversary of the funding date for such tranche, if ever.</w:t>
      </w:r>
    </w:p>
    <w:p>
      <w:pPr>
        <w:spacing w:after="0" w:line="192" w:lineRule="exact"/>
        <w:rPr>
          <w:sz w:val="20"/>
          <w:szCs w:val="20"/>
          <w:color w:val="auto"/>
        </w:rPr>
      </w:pPr>
    </w:p>
    <w:p>
      <w:pPr>
        <w:ind w:right="120" w:firstLine="477"/>
        <w:spacing w:after="0" w:line="308" w:lineRule="auto"/>
        <w:rPr>
          <w:sz w:val="20"/>
          <w:szCs w:val="20"/>
          <w:color w:val="auto"/>
        </w:rPr>
      </w:pPr>
      <w:r>
        <w:rPr>
          <w:rFonts w:ascii="Arial" w:cs="Arial" w:eastAsia="Arial" w:hAnsi="Arial"/>
          <w:sz w:val="17"/>
          <w:szCs w:val="17"/>
          <w:color w:val="auto"/>
        </w:rPr>
        <w:t>The prepayment penalty of $1.0 million related to the payment of $10.0 million was capitalized and will be amortized over the remaining life of the debt. As of December 31, 2021, the unamortized debt discount was $0.4 million and the unamortized prepayment penalty was $0.8 million.</w:t>
      </w:r>
    </w:p>
    <w:p>
      <w:pPr>
        <w:spacing w:after="0" w:line="146"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60" w:firstLine="477"/>
        <w:spacing w:after="0" w:line="272" w:lineRule="auto"/>
        <w:rPr>
          <w:sz w:val="20"/>
          <w:szCs w:val="20"/>
          <w:color w:val="auto"/>
        </w:rPr>
      </w:pPr>
      <w:r>
        <w:rPr>
          <w:rFonts w:ascii="Arial" w:cs="Arial" w:eastAsia="Arial" w:hAnsi="Arial"/>
          <w:sz w:val="17"/>
          <w:szCs w:val="17"/>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The Company is also subject to a minimum cash covenant of $10.0 million at all times; however, this covenant will be eliminated in the event that Tyvaso DPI is approved by the FDA. As of December 31, 2021, the Company was in compliance with the financial and minimum cash covenants.</w:t>
      </w:r>
    </w:p>
    <w:p>
      <w:pPr>
        <w:spacing w:after="0" w:line="177" w:lineRule="exact"/>
        <w:rPr>
          <w:sz w:val="20"/>
          <w:szCs w:val="20"/>
          <w:color w:val="auto"/>
        </w:rPr>
      </w:pPr>
    </w:p>
    <w:p>
      <w:pPr>
        <w:ind w:right="100" w:firstLine="477"/>
        <w:spacing w:after="0" w:line="275"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6"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The Company also agreed to issue warrants to purchase shares of the Company’s common stock (the “MidCap warrants”) upon the drawdown of Tranches 1 and 2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As a result of Tranche 2, the Company issued warrants to purchase an aggregate of 111,853 shares of the Company’s common stock, at an exercise price equal to $2.91 per share. The Company determined that these warrants met the criteria for equity classification and accounted for such warrants in additional paid-in capital. During the year ended December 31, 2021, the Tranche 1 and Tranche 2 MidCap warrants were exercised in full.</w:t>
      </w:r>
    </w:p>
    <w:p>
      <w:pPr>
        <w:spacing w:after="0" w:line="178"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issued a $35.0 million note that is convertible into shares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$2.50 per share (the “Mann Group convertible note”) and issued a non-convertible note to Mann Group in an aggregate principal amount of $35.1 million (the “Mann Group non-convertible note” and, together with the Mann Group convertible note, the “Mann Group promissory notes”) as part of a restructuring of its then existing indebtedness to Mann Group.</w:t>
      </w:r>
    </w:p>
    <w:p>
      <w:pPr>
        <w:spacing w:after="0" w:line="187" w:lineRule="exact"/>
        <w:rPr>
          <w:sz w:val="20"/>
          <w:szCs w:val="20"/>
          <w:color w:val="auto"/>
        </w:rPr>
      </w:pPr>
    </w:p>
    <w:p>
      <w:pPr>
        <w:jc w:val="both"/>
        <w:ind w:right="220" w:firstLine="477"/>
        <w:spacing w:after="0" w:line="259" w:lineRule="auto"/>
        <w:rPr>
          <w:sz w:val="20"/>
          <w:szCs w:val="20"/>
          <w:color w:val="auto"/>
        </w:rPr>
      </w:pPr>
      <w:r>
        <w:rPr>
          <w:rFonts w:ascii="Arial" w:cs="Arial" w:eastAsia="Arial" w:hAnsi="Arial"/>
          <w:sz w:val="18"/>
          <w:szCs w:val="18"/>
          <w:color w:val="auto"/>
        </w:rPr>
        <w:t>The Mann Group promissory notes each accrued interest at the rate of 7.00% per year on the principal amount, payable quarterly in arrears on the first day of each calendar quarter beginning October 1, 2019. On April 22, 2021, the Company and Mann Group entered into an amendment of the Mann Group convertible note, pursuant to which the parties agreed to (i) reduce the interest rate from 7.0% to 2.5% effective on April 22, 2021, and (ii) extend the maturity date from November 3, 2024 to December 31, 2025.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1" w:name="page82"/>
    <w:bookmarkEnd w:id="81"/>
    <w:p>
      <w:pPr>
        <w:ind w:right="180" w:firstLine="477"/>
        <w:spacing w:after="0" w:line="296" w:lineRule="auto"/>
        <w:rPr>
          <w:sz w:val="20"/>
          <w:szCs w:val="20"/>
          <w:color w:val="auto"/>
        </w:rPr>
      </w:pPr>
      <w:r>
        <w:rPr>
          <w:rFonts w:ascii="Arial" w:cs="Arial" w:eastAsia="Arial" w:hAnsi="Arial"/>
          <w:sz w:val="16"/>
          <w:szCs w:val="16"/>
          <w:color w:val="auto"/>
        </w:rPr>
        <w:t xml:space="preserve">The amendment to the Mann Group convertible note resulted in a debt extinguishment with a substantial premium based on the fair value post extinguishment. The fair value in excess of the face amount of $18.4 million contributed to a loss on extinguishment of $22.1 million in the consolidated statement of operations for year ended December 31, 2021 and resulted in a corresponding debt premium of $22.1 million which was recognized as additional paid-in capital in the consolidated balance sheet as of December 31, 2021. The accounting for the $22.1 million loss on extinguishment did not result in a change in the financial position of the Company. The Company wrote off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debt issuance cost.</w:t>
      </w:r>
    </w:p>
    <w:p>
      <w:pPr>
        <w:spacing w:after="0" w:line="161"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66" w:lineRule="exact"/>
        <w:rPr>
          <w:sz w:val="20"/>
          <w:szCs w:val="20"/>
          <w:color w:val="auto"/>
        </w:rPr>
      </w:pPr>
    </w:p>
    <w:p>
      <w:pPr>
        <w:jc w:val="both"/>
        <w:ind w:right="60" w:firstLine="477"/>
        <w:spacing w:after="0" w:line="286" w:lineRule="auto"/>
        <w:rPr>
          <w:sz w:val="20"/>
          <w:szCs w:val="20"/>
          <w:color w:val="auto"/>
        </w:rPr>
      </w:pPr>
      <w:r>
        <w:rPr>
          <w:rFonts w:ascii="Arial" w:cs="Arial" w:eastAsia="Arial" w:hAnsi="Arial"/>
          <w:sz w:val="17"/>
          <w:szCs w:val="17"/>
          <w:color w:val="auto"/>
        </w:rPr>
        <w:t>Pursuant to the terms of the Mann Group convertible note, Mann Group converted $3.0 million of accrued interest and $7.0 million of principal into 1.2 million shares and 2.8 million shares, respectively, of the Company’s common stock in the fourth quarter of 2020. During the year ended December 31, 2021, Mann Group converted $0.4 million of interest and $9.6 million of principal into 4,000,000 shares of common stock.</w:t>
      </w:r>
    </w:p>
    <w:p>
      <w:pPr>
        <w:spacing w:after="0" w:line="165" w:lineRule="exact"/>
        <w:rPr>
          <w:sz w:val="20"/>
          <w:szCs w:val="20"/>
          <w:color w:val="auto"/>
        </w:rPr>
      </w:pPr>
    </w:p>
    <w:p>
      <w:pPr>
        <w:ind w:right="540" w:firstLine="477"/>
        <w:spacing w:after="0" w:line="277" w:lineRule="auto"/>
        <w:rPr>
          <w:sz w:val="20"/>
          <w:szCs w:val="20"/>
          <w:color w:val="auto"/>
        </w:rPr>
      </w:pPr>
      <w:r>
        <w:rPr>
          <w:rFonts w:ascii="Arial" w:cs="Arial" w:eastAsia="Arial" w:hAnsi="Arial"/>
          <w:sz w:val="18"/>
          <w:szCs w:val="18"/>
          <w:color w:val="auto"/>
        </w:rPr>
        <w:t>On April 22, 2021, the Company repaid the entire principal amount of $35.1 million outstanding under the Mann Group non-convertible note, together with all accrued and unpaid interest thereon.</w:t>
      </w:r>
    </w:p>
    <w:p>
      <w:pPr>
        <w:spacing w:after="0" w:line="170" w:lineRule="exact"/>
        <w:rPr>
          <w:sz w:val="20"/>
          <w:szCs w:val="20"/>
          <w:color w:val="auto"/>
        </w:rPr>
      </w:pPr>
    </w:p>
    <w:p>
      <w:pPr>
        <w:ind w:right="20" w:firstLine="485"/>
        <w:spacing w:after="0" w:line="259" w:lineRule="auto"/>
        <w:tabs>
          <w:tab w:leader="none" w:pos="852"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 On April 10, 2020, the Company received the proceeds from the PPP loan from JPMorgan Chase Bank, N.A., as lender, in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$4.9 million pursuant to the PPP of the CARES Act. On July 28, 2021, the Company received notification from the SBA that the full principal amount of the PPP loan was forgiven. The Company recognized a $4.9 million gain on extinguishment of debt for the forgiveness of the principal amount and accrued but unpaid interest for the year ended December 31, 2021.</w:t>
      </w:r>
    </w:p>
    <w:p>
      <w:pPr>
        <w:spacing w:after="0" w:line="187" w:lineRule="exact"/>
        <w:rPr>
          <w:sz w:val="20"/>
          <w:szCs w:val="20"/>
          <w:color w:val="auto"/>
        </w:rPr>
      </w:pPr>
    </w:p>
    <w:p>
      <w:pPr>
        <w:jc w:val="both"/>
        <w:ind w:right="200" w:firstLine="477"/>
        <w:spacing w:after="0" w:line="263" w:lineRule="auto"/>
        <w:rPr>
          <w:sz w:val="20"/>
          <w:szCs w:val="20"/>
          <w:color w:val="auto"/>
        </w:rPr>
      </w:pPr>
      <w:r>
        <w:rPr>
          <w:rFonts w:ascii="Arial" w:cs="Arial" w:eastAsia="Arial" w:hAnsi="Arial"/>
          <w:sz w:val="18"/>
          <w:szCs w:val="18"/>
          <w:color w:val="auto"/>
        </w:rPr>
        <w:t>Prior to being forgiven, the PPP loan was evidenced by a promissory note dated April 9, 2020 that matured on April 9, 2022 and bore interest at a rate of 0.98% per annum (which was being deferred). The Company used all proceeds from the PPP loan to retain employees, maintain payroll and make lease, interest and utility payments.</w:t>
      </w:r>
    </w:p>
    <w:p>
      <w:pPr>
        <w:spacing w:after="0" w:line="184" w:lineRule="exact"/>
        <w:rPr>
          <w:sz w:val="20"/>
          <w:szCs w:val="20"/>
          <w:color w:val="auto"/>
        </w:rPr>
      </w:pPr>
    </w:p>
    <w:p>
      <w:pPr>
        <w:ind w:right="120" w:firstLine="477"/>
        <w:spacing w:after="0" w:line="290" w:lineRule="auto"/>
        <w:rPr>
          <w:sz w:val="20"/>
          <w:szCs w:val="20"/>
          <w:color w:val="auto"/>
        </w:rPr>
      </w:pPr>
      <w:r>
        <w:rPr>
          <w:rFonts w:ascii="Arial" w:cs="Arial" w:eastAsia="Arial" w:hAnsi="Arial"/>
          <w:sz w:val="16"/>
          <w:szCs w:val="16"/>
          <w:i w:val="1"/>
          <w:iCs w:val="1"/>
          <w:color w:val="auto"/>
        </w:rPr>
        <w:t xml:space="preserve">2024 convertible notes </w:t>
      </w:r>
      <w:r>
        <w:rPr>
          <w:rFonts w:ascii="Arial" w:cs="Arial" w:eastAsia="Arial" w:hAnsi="Arial"/>
          <w:sz w:val="16"/>
          <w:szCs w:val="16"/>
          <w:color w:val="auto"/>
        </w:rPr>
        <w:t>— In August 2019, the Company issued 5.75% convertible senior subordinated exchange notes due November 2024 (the</w:t>
      </w:r>
      <w:r>
        <w:rPr>
          <w:rFonts w:ascii="Arial" w:cs="Arial" w:eastAsia="Arial" w:hAnsi="Arial"/>
          <w:sz w:val="16"/>
          <w:szCs w:val="16"/>
          <w:i w:val="1"/>
          <w:iCs w:val="1"/>
          <w:color w:val="auto"/>
        </w:rPr>
        <w:t xml:space="preserve"> </w:t>
      </w:r>
      <w:r>
        <w:rPr>
          <w:rFonts w:ascii="Arial" w:cs="Arial" w:eastAsia="Arial" w:hAnsi="Arial"/>
          <w:sz w:val="16"/>
          <w:szCs w:val="16"/>
          <w:color w:val="auto"/>
        </w:rPr>
        <w:t>“2024 convertible notes”) pursuant to an indenture, dated as of August 6, 2019, between the Company and U.S. Bank National Association, as trustee (the “2019 Indenture”). The 2024 convertible notes were the Company’s general, unsecured obligations, and were subordinated in right of payment to the indebtedness incurred pursuant to the MidCap credit facility. The 2024 convertible notes ranked equally in right of payment with the Company’s other unsecured senior debt. The 2024 convertible notes accrued interest at the rate of 5.75% per year on the principal amount, payable semiannually in arrears on February 15 and August 15 of each year, beginning February 15, 2020, with interest accruing from August 6, 2019. Interest on the 2024 convertible notes was payable in cash or, at the option of the Company if certain conditions are met, in shares of the Company’s common stock at a price per share equal to the last reported sale price on the trading day immediately prior to the interest payment date.</w:t>
      </w:r>
    </w:p>
    <w:p>
      <w:pPr>
        <w:spacing w:after="0" w:line="165" w:lineRule="exact"/>
        <w:rPr>
          <w:sz w:val="20"/>
          <w:szCs w:val="20"/>
          <w:color w:val="auto"/>
        </w:rPr>
      </w:pPr>
    </w:p>
    <w:p>
      <w:pPr>
        <w:ind w:right="200" w:firstLine="477"/>
        <w:spacing w:after="0" w:line="286" w:lineRule="auto"/>
        <w:rPr>
          <w:sz w:val="20"/>
          <w:szCs w:val="20"/>
          <w:color w:val="auto"/>
        </w:rPr>
      </w:pPr>
      <w:r>
        <w:rPr>
          <w:rFonts w:ascii="Arial" w:cs="Arial" w:eastAsia="Arial" w:hAnsi="Arial"/>
          <w:sz w:val="17"/>
          <w:szCs w:val="17"/>
          <w:color w:val="auto"/>
        </w:rPr>
        <w:t>The 2024 convertible notes were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February 2021, the Company converted the $5.0 million 2024 convertible notes with the issuance of 1,666,667 shares of the Company’s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all borrowings for the years ended December 31, 2021 and 2020 are as follows (in thousands):</w:t>
      </w:r>
    </w:p>
    <w:p>
      <w:pPr>
        <w:spacing w:after="0" w:line="189"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6350</wp:posOffset>
            </wp:positionV>
            <wp:extent cx="2168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Borders>
              <w:bottom w:val="single" w:sz="8" w:color="CFF0FC"/>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CFF0FC"/>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Amortization of debt issuance cost</w:t>
            </w:r>
          </w:p>
        </w:tc>
        <w:tc>
          <w:tcPr>
            <w:tcW w:w="52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r>
      <w:tr>
        <w:trPr>
          <w:trHeight w:val="674"/>
        </w:trPr>
        <w:tc>
          <w:tcPr>
            <w:tcW w:w="7720" w:type="dxa"/>
            <w:vAlign w:val="bottom"/>
          </w:tcPr>
          <w:p>
            <w:pPr>
              <w:jc w:val="right"/>
              <w:ind w:right="1910"/>
              <w:spacing w:after="0"/>
              <w:rPr>
                <w:sz w:val="20"/>
                <w:szCs w:val="20"/>
                <w:color w:val="auto"/>
              </w:rPr>
            </w:pPr>
            <w:r>
              <w:rPr>
                <w:rFonts w:ascii="Arial" w:cs="Arial" w:eastAsia="Arial" w:hAnsi="Arial"/>
                <w:sz w:val="18"/>
                <w:szCs w:val="18"/>
                <w:color w:val="auto"/>
              </w:rPr>
              <w:t>82</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ind w:right="60" w:firstLine="477"/>
        <w:spacing w:after="0" w:line="275" w:lineRule="auto"/>
        <w:rPr>
          <w:sz w:val="20"/>
          <w:szCs w:val="20"/>
          <w:color w:val="auto"/>
        </w:rPr>
      </w:pPr>
      <w:r>
        <w:rPr>
          <w:rFonts w:ascii="Arial" w:cs="Arial" w:eastAsia="Arial" w:hAnsi="Arial"/>
          <w:sz w:val="17"/>
          <w:szCs w:val="17"/>
          <w:i w:val="1"/>
          <w:iCs w:val="1"/>
          <w:color w:val="auto"/>
        </w:rPr>
        <w:t xml:space="preserve">Milestone Rights — </w:t>
      </w:r>
      <w:r>
        <w:rPr>
          <w:rFonts w:ascii="Arial" w:cs="Arial" w:eastAsia="Arial" w:hAnsi="Arial"/>
          <w:sz w:val="17"/>
          <w:szCs w:val="17"/>
          <w:color w:val="auto"/>
        </w:rPr>
        <w:t>As of December 31, 2021 and 2020, the remaining Milestone Rights liability balance was $5.9 million and $7.3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which was based on initial fair value estimates calculated using the income approach and reduced by milestone achievement payments made. During the first quarter of 2021, the Company achieved the second Afrezza net sales milestone specified by the Milestone Rights. The milestone carrying value of the Milestone Rights liability related to the $5.0 million payment, which was made in the second quarter of 2021, was approximately $1.3 million, which represented the fair value as determined in 2013 (the most recent measurement date).</w:t>
      </w:r>
    </w:p>
    <w:p>
      <w:pPr>
        <w:spacing w:after="0" w:line="176" w:lineRule="exact"/>
        <w:rPr>
          <w:sz w:val="20"/>
          <w:szCs w:val="20"/>
          <w:color w:val="auto"/>
        </w:rPr>
      </w:pPr>
    </w:p>
    <w:p>
      <w:pPr>
        <w:ind w:right="400" w:firstLine="477"/>
        <w:spacing w:after="0" w:line="263" w:lineRule="auto"/>
        <w:rPr>
          <w:sz w:val="20"/>
          <w:szCs w:val="20"/>
          <w:color w:val="auto"/>
        </w:rPr>
      </w:pPr>
      <w:r>
        <w:rPr>
          <w:rFonts w:ascii="Arial" w:cs="Arial" w:eastAsia="Arial" w:hAnsi="Arial"/>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Licensing and Other Arrangements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from collaborations and services for the years ended December 31, 2021 and 2020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34,145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32,213</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UT CSA Agreement</w:t>
            </w: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Vertice Pharma Co-Promotion Agreement</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Receptor CLA</w:t>
            </w: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Cipla License and Distribution Agreement</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UT Research Agreement</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r>
      <w:tr>
        <w:trPr>
          <w:trHeight w:val="223"/>
        </w:trPr>
        <w:tc>
          <w:tcPr>
            <w:tcW w:w="5680" w:type="dxa"/>
            <w:vAlign w:val="bottom"/>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2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36,274</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32,820</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activity related to deferred revenue and the related revenue recognized for collaborations and services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54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Beginning balance</w:t>
            </w:r>
          </w:p>
        </w:tc>
        <w:tc>
          <w:tcPr>
            <w:tcW w:w="312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34,937</w:t>
            </w:r>
          </w:p>
        </w:tc>
        <w:tc>
          <w:tcPr>
            <w:tcW w:w="3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40,847</w:t>
            </w:r>
          </w:p>
        </w:tc>
        <w:tc>
          <w:tcPr>
            <w:tcW w:w="100" w:type="dxa"/>
            <w:vAlign w:val="bottom"/>
          </w:tcPr>
          <w:p>
            <w:pPr>
              <w:spacing w:after="0"/>
              <w:rPr>
                <w:sz w:val="19"/>
                <w:szCs w:val="19"/>
                <w:color w:val="auto"/>
              </w:rPr>
            </w:pPr>
          </w:p>
        </w:tc>
      </w:tr>
      <w:tr>
        <w:trPr>
          <w:trHeight w:val="229"/>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Additions</w:t>
            </w:r>
          </w:p>
        </w:tc>
        <w:tc>
          <w:tcPr>
            <w:tcW w:w="2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tcPr>
          <w:p>
            <w:pPr>
              <w:ind w:left="500"/>
              <w:spacing w:after="0"/>
              <w:rPr>
                <w:sz w:val="20"/>
                <w:szCs w:val="20"/>
                <w:color w:val="auto"/>
              </w:rPr>
            </w:pPr>
            <w:r>
              <w:rPr>
                <w:rFonts w:ascii="Arial" w:cs="Arial" w:eastAsia="Arial" w:hAnsi="Arial"/>
                <w:sz w:val="18"/>
                <w:szCs w:val="18"/>
                <w:color w:val="auto"/>
              </w:rPr>
              <w:t>Upfront and milestone payments</w:t>
            </w:r>
          </w:p>
        </w:tc>
        <w:tc>
          <w:tcPr>
            <w:tcW w:w="2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 collaborations and services</w:t>
            </w:r>
          </w:p>
        </w:tc>
        <w:tc>
          <w:tcPr>
            <w:tcW w:w="2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(36,274)</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(32,820)</w:t>
            </w:r>
          </w:p>
        </w:tc>
      </w:tr>
      <w:tr>
        <w:trPr>
          <w:trHeight w:val="223"/>
        </w:trPr>
        <w:tc>
          <w:tcPr>
            <w:tcW w:w="5540" w:type="dxa"/>
            <w:vAlign w:val="bottom"/>
          </w:tcPr>
          <w:p>
            <w:pPr>
              <w:ind w:left="260"/>
              <w:spacing w:after="0"/>
              <w:rPr>
                <w:sz w:val="20"/>
                <w:szCs w:val="20"/>
                <w:color w:val="auto"/>
              </w:rPr>
            </w:pPr>
            <w:r>
              <w:rPr>
                <w:rFonts w:ascii="Arial" w:cs="Arial" w:eastAsia="Arial" w:hAnsi="Arial"/>
                <w:sz w:val="18"/>
                <w:szCs w:val="18"/>
                <w:color w:val="auto"/>
              </w:rPr>
              <w:t>Ending balance</w:t>
            </w:r>
          </w:p>
        </w:tc>
        <w:tc>
          <w:tcPr>
            <w:tcW w:w="21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20,370</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34,937</w:t>
            </w:r>
          </w:p>
        </w:tc>
        <w:tc>
          <w:tcPr>
            <w:tcW w:w="1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477"/>
        <w:spacing w:after="0" w:line="286" w:lineRule="auto"/>
        <w:rPr>
          <w:sz w:val="20"/>
          <w:szCs w:val="20"/>
          <w:color w:val="auto"/>
        </w:rPr>
      </w:pPr>
      <w:r>
        <w:rPr>
          <w:rFonts w:ascii="Arial" w:cs="Arial" w:eastAsia="Arial" w:hAnsi="Arial"/>
          <w:sz w:val="17"/>
          <w:szCs w:val="17"/>
          <w:i w:val="1"/>
          <w:iCs w:val="1"/>
          <w:color w:val="auto"/>
        </w:rPr>
        <w:t xml:space="preserve">United Therapeutics License Agreement </w:t>
      </w:r>
      <w:r>
        <w:rPr>
          <w:rFonts w:ascii="Arial" w:cs="Arial" w:eastAsia="Arial" w:hAnsi="Arial"/>
          <w:sz w:val="17"/>
          <w:szCs w:val="17"/>
          <w:color w:val="auto"/>
        </w:rPr>
        <w:t>— In September 2018, the Company and UT entered into an exclusive global license and collaboration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“UT License Agreement”), pursuant to which UT is responsible for global development, regulatory and commercial activities with respect to Tyvaso DPI. The Company is responsible for manufacturing clinical supplies and commercial supplies of Tyvaso DPI.</w:t>
      </w:r>
    </w:p>
    <w:p>
      <w:pPr>
        <w:spacing w:after="0" w:line="165" w:lineRule="exact"/>
        <w:rPr>
          <w:sz w:val="20"/>
          <w:szCs w:val="20"/>
          <w:color w:val="auto"/>
        </w:rPr>
      </w:pPr>
    </w:p>
    <w:p>
      <w:pPr>
        <w:ind w:right="160" w:firstLine="477"/>
        <w:spacing w:after="0" w:line="273" w:lineRule="auto"/>
        <w:rPr>
          <w:sz w:val="20"/>
          <w:szCs w:val="20"/>
          <w:color w:val="auto"/>
        </w:rPr>
      </w:pPr>
      <w:r>
        <w:rPr>
          <w:rFonts w:ascii="Arial" w:cs="Arial" w:eastAsia="Arial" w:hAnsi="Arial"/>
          <w:sz w:val="17"/>
          <w:szCs w:val="17"/>
          <w:color w:val="auto"/>
        </w:rPr>
        <w:t>Under the terms of the UT License Agreement, the Company received an upfront payment of $45.0 million in October 2018 and four $12.5 million milestone payments between April 2019 and November 2020. The Company will also be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w:t>
      </w:r>
    </w:p>
    <w:p>
      <w:pPr>
        <w:spacing w:after="0" w:line="178"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(“R&amp;D Services”).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83" w:name="page84"/>
    <w:bookmarkEnd w:id="83"/>
    <w:p>
      <w:pPr>
        <w:ind w:right="40" w:firstLine="477"/>
        <w:spacing w:after="0" w:line="263" w:lineRule="auto"/>
        <w:rPr>
          <w:sz w:val="20"/>
          <w:szCs w:val="20"/>
          <w:color w:val="auto"/>
        </w:rPr>
      </w:pPr>
      <w:r>
        <w:rPr>
          <w:rFonts w:ascii="Arial" w:cs="Arial" w:eastAsia="Arial" w:hAnsi="Arial"/>
          <w:sz w:val="18"/>
          <w:szCs w:val="18"/>
          <w:color w:val="auto"/>
        </w:rPr>
        <w:t>The Company expected to complete the activities specified in the initial development plan and to achieve the milestone events by December 31, 2021 for total consideration of approximately $105.8 million, which included an upfront payment, four milestone payments, various pass-through costs and payments for clinical supplies. Revenue was allocated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Distinct Performance Obligation</w:t>
            </w: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Transaction</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 of</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Progress</w:t>
            </w:r>
          </w:p>
        </w:tc>
        <w:tc>
          <w:tcPr>
            <w:tcW w:w="200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1"/>
              </w:rPr>
              <w:t>Recognition Period</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 millions)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R&amp;D Services and License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Ratably</w:t>
            </w:r>
          </w:p>
        </w:tc>
        <w:tc>
          <w:tcPr>
            <w:tcW w:w="2000" w:type="dxa"/>
            <w:vAlign w:val="bottom"/>
            <w:shd w:val="clear" w:color="auto" w:fill="CFF0FC"/>
          </w:tcPr>
          <w:p>
            <w:pPr>
              <w:jc w:val="center"/>
              <w:ind w:left="79"/>
              <w:spacing w:after="0"/>
              <w:rPr>
                <w:sz w:val="20"/>
                <w:szCs w:val="20"/>
                <w:color w:val="auto"/>
              </w:rPr>
            </w:pPr>
            <w:r>
              <w:rPr>
                <w:rFonts w:ascii="Arial" w:cs="Arial" w:eastAsia="Arial" w:hAnsi="Arial"/>
                <w:sz w:val="18"/>
                <w:szCs w:val="18"/>
                <w:color w:val="auto"/>
                <w:w w:val="89"/>
              </w:rPr>
              <w:t>Sep 2018 - Dec 2021</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373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55"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Recognition period represents the estimated period to satisfy the performance obligation.</w:t>
      </w:r>
    </w:p>
    <w:p>
      <w:pPr>
        <w:spacing w:after="0" w:line="225"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color w:val="auto"/>
        </w:rPr>
        <w:t>In May 2021, UT and the Company updated the development plan under the UT License Agreement to provide for additional process-development and stability-testing activities as well as the expansion of the Company’s commercial manufacturing capacity. The activities and deliverables under the current development plan resulted in four distinct performance obligations which include: (1) the continued development and approval process for an NDA (“R&amp;D Services”); (2) certain pre-commercial services in preparation for commercial launch of Tyvaso DPI “(Pre-Commercial Services”); (3) development activities for the next generation of Tyvaso DPI (“Next-Gen R&amp;D Services”); and (4) certain design and construction activities in anticipation of expansion of the Company’s commercial manufacturing facility (“Facility Expansion Services”).</w:t>
      </w:r>
    </w:p>
    <w:p>
      <w:pPr>
        <w:spacing w:after="0" w:line="178" w:lineRule="exact"/>
        <w:rPr>
          <w:sz w:val="20"/>
          <w:szCs w:val="20"/>
          <w:color w:val="auto"/>
        </w:rPr>
      </w:pPr>
    </w:p>
    <w:p>
      <w:pPr>
        <w:ind w:right="560" w:firstLine="477"/>
        <w:spacing w:after="0" w:line="308" w:lineRule="auto"/>
        <w:rPr>
          <w:sz w:val="20"/>
          <w:szCs w:val="20"/>
          <w:color w:val="auto"/>
        </w:rPr>
      </w:pPr>
      <w:r>
        <w:rPr>
          <w:rFonts w:ascii="Arial" w:cs="Arial" w:eastAsia="Arial" w:hAnsi="Arial"/>
          <w:sz w:val="17"/>
          <w:szCs w:val="17"/>
          <w:color w:val="auto"/>
        </w:rPr>
        <w:t>The total consideration for the updated development plan of $50.9 million was allocated to the four distinct performance obligations based on management’s assessment of the stand-alone selling price of each performance obligation. Revenue was allocated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537"/>
              <w:spacing w:after="0"/>
              <w:rPr>
                <w:sz w:val="20"/>
                <w:szCs w:val="20"/>
                <w:color w:val="auto"/>
              </w:rPr>
            </w:pPr>
            <w:r>
              <w:rPr>
                <w:rFonts w:ascii="Arial" w:cs="Arial" w:eastAsia="Arial" w:hAnsi="Arial"/>
                <w:sz w:val="14"/>
                <w:szCs w:val="14"/>
                <w:b w:val="1"/>
                <w:bCs w:val="1"/>
                <w:color w:val="auto"/>
                <w:w w:val="93"/>
              </w:rPr>
              <w:t>Transaction</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Allocation of</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Recognition Method</w:t>
            </w:r>
          </w:p>
        </w:tc>
        <w:tc>
          <w:tcPr>
            <w:tcW w:w="160" w:type="dxa"/>
            <w:vAlign w:val="bottom"/>
            <w:vMerge w:val="restart"/>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Progress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Price</w:t>
            </w: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2"/>
                <w:szCs w:val="12"/>
                <w:b w:val="1"/>
                <w:bCs w:val="1"/>
                <w:color w:val="auto"/>
              </w:rPr>
              <w:t>(1)</w:t>
            </w:r>
          </w:p>
        </w:tc>
        <w:tc>
          <w:tcPr>
            <w:tcW w:w="34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1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3"/>
          </w:tcPr>
          <w:p>
            <w:pPr>
              <w:ind w:left="70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transaction price</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rPr>
              <w:t>50.9</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b w:val="1"/>
                <w:bCs w:val="1"/>
                <w:color w:val="auto"/>
              </w:rPr>
              <w:t>Distinct Performance Obligation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R&amp;D Services and License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Ratably</w:t>
            </w:r>
          </w:p>
        </w:tc>
        <w:tc>
          <w:tcPr>
            <w:tcW w:w="2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May 2021 - Oct 2021</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Pre-Commercial Services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Over time</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Input</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 of completion of costs</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Next-Gen R&amp;D Services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Input</w:t>
            </w:r>
          </w:p>
        </w:tc>
        <w:tc>
          <w:tcPr>
            <w:tcW w:w="2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of completion of costs</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Facility Expansion Services</w:t>
            </w:r>
            <w:r>
              <w:rPr>
                <w:rFonts w:ascii="Arial" w:cs="Arial" w:eastAsia="Arial" w:hAnsi="Arial"/>
                <w:sz w:val="15"/>
                <w:szCs w:val="15"/>
                <w:color w:val="auto"/>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Point in time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Transfer of control</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w w:val="87"/>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373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81"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Allocation is based on management’s assessment of the stand-alone selling price of each performance obligation.</w:t>
      </w:r>
    </w:p>
    <w:p>
      <w:pPr>
        <w:spacing w:after="0" w:line="49" w:lineRule="exact"/>
        <w:rPr>
          <w:rFonts w:ascii="Arial" w:cs="Arial" w:eastAsia="Arial" w:hAnsi="Arial"/>
          <w:sz w:val="18"/>
          <w:szCs w:val="18"/>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estimated period when the R&amp;D Services performance obligation will be substantially complete.</w:t>
      </w:r>
    </w:p>
    <w:p>
      <w:pPr>
        <w:spacing w:after="0" w:line="49" w:lineRule="exact"/>
        <w:rPr>
          <w:rFonts w:ascii="Arial" w:cs="Arial" w:eastAsia="Arial" w:hAnsi="Arial"/>
          <w:sz w:val="18"/>
          <w:szCs w:val="18"/>
          <w:color w:val="auto"/>
        </w:rPr>
      </w:pPr>
    </w:p>
    <w:p>
      <w:pPr>
        <w:ind w:left="480" w:hanging="472"/>
        <w:spacing w:after="0" w:line="263"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Pre-Commercial Services and Next-Gen R&amp;D Services performance obligations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8" w:lineRule="exact"/>
        <w:rPr>
          <w:rFonts w:ascii="Arial" w:cs="Arial" w:eastAsia="Arial" w:hAnsi="Arial"/>
          <w:sz w:val="18"/>
          <w:szCs w:val="18"/>
          <w:color w:val="auto"/>
        </w:rPr>
      </w:pPr>
    </w:p>
    <w:p>
      <w:pPr>
        <w:ind w:left="480" w:right="20" w:hanging="472"/>
        <w:spacing w:after="0" w:line="263"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also acts as agent for the procurement of equipment for the manufacturing expansion for the UT Equipment. The Company received $5.0 million from UT for the UT Equipment, which was recognized as deposits from customer on the consolidated balance sheet and will be released as the title is transferred to UT.</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Facility Expansion Services performance obligation would be recognized as control of manufactured products is transferred to the customer.</w:t>
      </w:r>
    </w:p>
    <w:p>
      <w:pPr>
        <w:spacing w:after="0" w:line="262" w:lineRule="exact"/>
        <w:rPr>
          <w:sz w:val="20"/>
          <w:szCs w:val="20"/>
          <w:color w:val="auto"/>
        </w:rPr>
      </w:pPr>
    </w:p>
    <w:p>
      <w:pPr>
        <w:ind w:right="60" w:firstLine="477"/>
        <w:spacing w:after="0" w:line="275" w:lineRule="auto"/>
        <w:rPr>
          <w:sz w:val="20"/>
          <w:szCs w:val="20"/>
          <w:color w:val="auto"/>
        </w:rPr>
      </w:pPr>
      <w:r>
        <w:rPr>
          <w:rFonts w:ascii="Arial" w:cs="Arial" w:eastAsia="Arial" w:hAnsi="Arial"/>
          <w:sz w:val="17"/>
          <w:szCs w:val="17"/>
          <w:color w:val="auto"/>
        </w:rPr>
        <w:t>On August 12, 2021, the Company and UT entered into a commercial supply agreement (the “CSA”), pursuant to which the Company is responsible for manufacturing and supplying to UT, and UT is responsible for purchasing from the Company on a cost-plus basis, Tyvaso DPI and BluHale inhalation profiling devices, as required for commercial distribution and sale by UT. In addition, UT is responsible for supplying treprostinil at its expense in quantities necessary to enable the Company to manufacture Tyvaso DPI as required by the CSA. Also pursuant to the CSA, UT will remit a reimbursement of certain pre-production costs incurred by the Company to support the manufacturing and supply of Tyvaso DPI.</w:t>
      </w:r>
    </w:p>
    <w:p>
      <w:pPr>
        <w:spacing w:after="0" w:line="176"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The activities and deliverables under the CSA and the current development plan resulted in three distinct performance obligations which include: (1) the license, supply of product to be used in clinical development, and continued development and approval support for Tyvaso DPI (“R&amp;D Services and License”); (2) development activities for the next generation of Tyvaso DPI Next-Gen R&amp;D Services; and (3) a material right associated with future commercial manufacturing and supply of product (“Manufacturing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4" w:name="page85"/>
    <w:bookmarkEnd w:id="84"/>
    <w:p>
      <w:pPr>
        <w:ind w:left="480"/>
        <w:spacing w:after="0"/>
        <w:rPr>
          <w:sz w:val="20"/>
          <w:szCs w:val="20"/>
          <w:color w:val="auto"/>
        </w:rPr>
      </w:pPr>
      <w:r>
        <w:rPr>
          <w:rFonts w:ascii="Arial" w:cs="Arial" w:eastAsia="Arial" w:hAnsi="Arial"/>
          <w:sz w:val="16"/>
          <w:szCs w:val="16"/>
          <w:color w:val="auto"/>
        </w:rPr>
        <w:t>The total revised anticipated cash flows of $221.5 million from the transaction was allocated to the three distinct performance obligations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3"/>
          </w:tcPr>
          <w:p>
            <w:pPr>
              <w:ind w:left="700"/>
              <w:spacing w:after="0"/>
              <w:rPr>
                <w:sz w:val="20"/>
                <w:szCs w:val="20"/>
                <w:color w:val="auto"/>
              </w:rPr>
            </w:pPr>
            <w:r>
              <w:rPr>
                <w:rFonts w:ascii="Arial" w:cs="Arial" w:eastAsia="Arial" w:hAnsi="Arial"/>
                <w:sz w:val="14"/>
                <w:szCs w:val="14"/>
                <w:b w:val="1"/>
                <w:bCs w:val="1"/>
                <w:color w:val="auto"/>
              </w:rPr>
              <w:t>Anticipated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Progress</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vMerge w:val="restart"/>
          </w:tcPr>
          <w:p>
            <w:pPr>
              <w:jc w:val="right"/>
              <w:ind w:right="578"/>
              <w:spacing w:after="0"/>
              <w:rPr>
                <w:sz w:val="20"/>
                <w:szCs w:val="20"/>
                <w:color w:val="auto"/>
              </w:rPr>
            </w:pPr>
            <w:r>
              <w:rPr>
                <w:rFonts w:ascii="Arial" w:cs="Arial" w:eastAsia="Arial" w:hAnsi="Arial"/>
                <w:sz w:val="14"/>
                <w:szCs w:val="14"/>
                <w:b w:val="1"/>
                <w:bCs w:val="1"/>
                <w:color w:val="auto"/>
                <w:w w:val="97"/>
              </w:rPr>
              <w:t>Cash Flow</w:t>
            </w:r>
          </w:p>
        </w:tc>
        <w:tc>
          <w:tcPr>
            <w:tcW w:w="92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2"/>
              </w:rPr>
              <w:t>Allocation</w:t>
            </w:r>
            <w:r>
              <w:rPr>
                <w:rFonts w:ascii="Arial" w:cs="Arial" w:eastAsia="Arial" w:hAnsi="Arial"/>
                <w:sz w:val="12"/>
                <w:szCs w:val="12"/>
                <w:b w:val="1"/>
                <w:bCs w:val="1"/>
                <w:color w:val="auto"/>
                <w:w w:val="92"/>
              </w:rPr>
              <w:t>(1)</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1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Recognition</w:t>
            </w:r>
          </w:p>
        </w:tc>
        <w:tc>
          <w:tcPr>
            <w:tcW w:w="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3"/>
          </w:tcPr>
          <w:p>
            <w:pPr>
              <w:ind w:left="68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anticipated cash flow</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78"/>
              <w:spacing w:after="0"/>
              <w:rPr>
                <w:sz w:val="20"/>
                <w:szCs w:val="20"/>
                <w:color w:val="auto"/>
              </w:rPr>
            </w:pPr>
            <w:r>
              <w:rPr>
                <w:rFonts w:ascii="Arial" w:cs="Arial" w:eastAsia="Arial" w:hAnsi="Arial"/>
                <w:sz w:val="18"/>
                <w:szCs w:val="18"/>
                <w:color w:val="auto"/>
              </w:rPr>
              <w:t>221.5</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b w:val="1"/>
                <w:bCs w:val="1"/>
                <w:color w:val="auto"/>
              </w:rPr>
              <w:t>Distinct Performance Obligation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R&amp;D Services and License</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Ratably</w:t>
            </w: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Aug 2021 - Oct 2021</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Next-Gen R&amp;D Services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Over time</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Input</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 of completion of costs</w:t>
            </w:r>
          </w:p>
        </w:tc>
        <w:tc>
          <w:tcPr>
            <w:tcW w:w="520" w:type="dxa"/>
            <w:vAlign w:val="bottom"/>
            <w:gridSpan w:val="2"/>
          </w:tcPr>
          <w:p>
            <w:pPr>
              <w:jc w:val="right"/>
              <w:ind w:right="26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Manufacturing Services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Point in time</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Transfer of control</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373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5"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Allocation is based on management’s assessment of the stand-alone selling price of each performance obligation.</w:t>
      </w:r>
    </w:p>
    <w:p>
      <w:pPr>
        <w:spacing w:after="0" w:line="49" w:lineRule="exact"/>
        <w:rPr>
          <w:rFonts w:ascii="Arial" w:cs="Arial" w:eastAsia="Arial" w:hAnsi="Arial"/>
          <w:sz w:val="18"/>
          <w:szCs w:val="18"/>
          <w:color w:val="auto"/>
        </w:rPr>
      </w:pPr>
    </w:p>
    <w:p>
      <w:pPr>
        <w:jc w:val="both"/>
        <w:ind w:left="480" w:right="180" w:hanging="472"/>
        <w:spacing w:after="0" w:line="281" w:lineRule="auto"/>
        <w:tabs>
          <w:tab w:leader="none" w:pos="4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license for the Company’s IP was considered to be interdependent with the development activities to support approval of Tyvaso DPI. A sales-based royalty is promised in exchange for the IP license; therefore, the royalties associated with the license are excluded from the determination of the transaction price and the Company will recognize revenue as the sale of Tyvaso DPI to a patient occurs.</w:t>
      </w:r>
    </w:p>
    <w:p>
      <w:pPr>
        <w:spacing w:after="0" w:line="1" w:lineRule="exact"/>
        <w:rPr>
          <w:rFonts w:ascii="Arial" w:cs="Arial" w:eastAsia="Arial" w:hAnsi="Arial"/>
          <w:sz w:val="17"/>
          <w:szCs w:val="17"/>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estimated period when the R&amp;D Services performance obligation will be substantially complete.</w:t>
      </w:r>
    </w:p>
    <w:p>
      <w:pPr>
        <w:spacing w:after="0" w:line="49" w:lineRule="exact"/>
        <w:rPr>
          <w:rFonts w:ascii="Arial" w:cs="Arial" w:eastAsia="Arial" w:hAnsi="Arial"/>
          <w:sz w:val="18"/>
          <w:szCs w:val="18"/>
          <w:color w:val="auto"/>
        </w:rPr>
      </w:pPr>
    </w:p>
    <w:p>
      <w:pPr>
        <w:jc w:val="both"/>
        <w:ind w:left="480" w:right="400" w:hanging="472"/>
        <w:spacing w:after="0" w:line="263"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Next-Gen R&amp;D Services performance obligation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8" w:lineRule="exact"/>
        <w:rPr>
          <w:rFonts w:ascii="Arial" w:cs="Arial" w:eastAsia="Arial" w:hAnsi="Arial"/>
          <w:sz w:val="18"/>
          <w:szCs w:val="18"/>
          <w:color w:val="auto"/>
        </w:rPr>
      </w:pPr>
    </w:p>
    <w:p>
      <w:pPr>
        <w:ind w:left="480" w:right="40" w:hanging="472"/>
        <w:spacing w:after="0" w:line="259"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Manufacturing Services performance obligation will be recognized as control of manufactured products is transferred to the customer; therefore, no revenue associated with this obligation was recognized during the year ended December 31, 2021. The allocation of transaction price includes a material right related to manufacturing services. The total anticipated cash flow is based on the Company’s estimated production and the ultimate cash flows may vary as manufacturing purchase orders are received.</w:t>
      </w:r>
    </w:p>
    <w:p>
      <w:pPr>
        <w:spacing w:after="0" w:line="214"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As amended by an amendment dated October 16, 2021, the term of the CSA continues until December 31, 2031 (unless earlier terminated) and is thereafter renewed automatically for additional, successive two-year terms unless (i) United Therapeutics provides notice to the Company at least 24 months in advance of such renewal that United Therapeutics does not wish to renew the CSA or (ii) the Company provides notice to United Therapeutics at least 48 months in advance of such renewal that the Company does not wish to renew the CSA. The Company and United Therapeutics each have normal and customary termination rights, including termination for material breach that is not cured within a specific timeframe or in the event of liquidation, bankruptcy or insolvency of the other party.</w:t>
      </w:r>
    </w:p>
    <w:p>
      <w:pPr>
        <w:spacing w:after="0" w:line="219"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the modification. The modification did not result in a change the activities and deliverables under the CSA.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3"/>
          </w:tcPr>
          <w:p>
            <w:pPr>
              <w:ind w:left="660"/>
              <w:spacing w:after="0"/>
              <w:rPr>
                <w:sz w:val="20"/>
                <w:szCs w:val="20"/>
                <w:color w:val="auto"/>
              </w:rPr>
            </w:pPr>
            <w:r>
              <w:rPr>
                <w:rFonts w:ascii="Arial" w:cs="Arial" w:eastAsia="Arial" w:hAnsi="Arial"/>
                <w:sz w:val="14"/>
                <w:szCs w:val="14"/>
                <w:b w:val="1"/>
                <w:bCs w:val="1"/>
                <w:color w:val="auto"/>
              </w:rPr>
              <w:t>Anticipated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Progress</w:t>
            </w:r>
          </w:p>
        </w:tc>
        <w:tc>
          <w:tcPr>
            <w:tcW w:w="206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vMerge w:val="restart"/>
          </w:tcPr>
          <w:p>
            <w:pPr>
              <w:jc w:val="right"/>
              <w:ind w:right="538"/>
              <w:spacing w:after="0"/>
              <w:rPr>
                <w:sz w:val="20"/>
                <w:szCs w:val="20"/>
                <w:color w:val="auto"/>
              </w:rPr>
            </w:pPr>
            <w:r>
              <w:rPr>
                <w:rFonts w:ascii="Arial" w:cs="Arial" w:eastAsia="Arial" w:hAnsi="Arial"/>
                <w:sz w:val="14"/>
                <w:szCs w:val="14"/>
                <w:b w:val="1"/>
                <w:bCs w:val="1"/>
                <w:color w:val="auto"/>
                <w:w w:val="97"/>
              </w:rPr>
              <w:t>Cash Flow</w:t>
            </w:r>
          </w:p>
        </w:tc>
        <w:tc>
          <w:tcPr>
            <w:tcW w:w="88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Allocation</w:t>
            </w:r>
            <w:r>
              <w:rPr>
                <w:rFonts w:ascii="Arial" w:cs="Arial" w:eastAsia="Arial" w:hAnsi="Arial"/>
                <w:sz w:val="12"/>
                <w:szCs w:val="12"/>
                <w:b w:val="1"/>
                <w:bCs w:val="1"/>
                <w:color w:val="auto"/>
                <w:w w:val="92"/>
              </w:rPr>
              <w:t>(1)</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16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w:t>
            </w:r>
          </w:p>
        </w:tc>
        <w:tc>
          <w:tcPr>
            <w:tcW w:w="1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3"/>
          </w:tcPr>
          <w:p>
            <w:pPr>
              <w:ind w:left="66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anticipated cash flow</w:t>
            </w:r>
            <w:r>
              <w:rPr>
                <w:rFonts w:ascii="Arial" w:cs="Arial" w:eastAsia="Arial" w:hAnsi="Arial"/>
                <w:sz w:val="15"/>
                <w:szCs w:val="15"/>
                <w:b w:val="1"/>
                <w:bCs w:val="1"/>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38"/>
              <w:spacing w:after="0"/>
              <w:rPr>
                <w:sz w:val="20"/>
                <w:szCs w:val="20"/>
                <w:color w:val="auto"/>
              </w:rPr>
            </w:pPr>
            <w:r>
              <w:rPr>
                <w:rFonts w:ascii="Arial" w:cs="Arial" w:eastAsia="Arial" w:hAnsi="Arial"/>
                <w:sz w:val="18"/>
                <w:szCs w:val="18"/>
                <w:color w:val="auto"/>
              </w:rPr>
              <w:t>463.5</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Distinct Performance Obligation</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R&amp;D Services and License</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Ratably</w:t>
            </w: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 2021 - Oct 2021</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9"/>
        </w:trPr>
        <w:tc>
          <w:tcPr>
            <w:tcW w:w="3360" w:type="dxa"/>
            <w:vAlign w:val="bottom"/>
            <w:gridSpan w:val="2"/>
          </w:tcPr>
          <w:p>
            <w:pPr>
              <w:spacing w:after="0"/>
              <w:rPr>
                <w:sz w:val="20"/>
                <w:szCs w:val="20"/>
                <w:color w:val="auto"/>
              </w:rPr>
            </w:pPr>
            <w:r>
              <w:rPr>
                <w:rFonts w:ascii="Arial" w:cs="Arial" w:eastAsia="Arial" w:hAnsi="Arial"/>
                <w:sz w:val="18"/>
                <w:szCs w:val="18"/>
                <w:color w:val="auto"/>
              </w:rPr>
              <w:t>Next-Gen R&amp;D Services</w:t>
            </w:r>
            <w:r>
              <w:rPr>
                <w:rFonts w:ascii="Arial" w:cs="Arial" w:eastAsia="Arial" w:hAnsi="Arial"/>
                <w:sz w:val="15"/>
                <w:szCs w:val="15"/>
                <w:color w:val="auto"/>
              </w:rPr>
              <w:t>(5)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Input</w:t>
            </w:r>
          </w:p>
        </w:tc>
        <w:tc>
          <w:tcPr>
            <w:tcW w:w="2060" w:type="dxa"/>
            <w:vAlign w:val="bottom"/>
          </w:tcPr>
          <w:p>
            <w:pPr>
              <w:jc w:val="center"/>
              <w:ind w:left="17"/>
              <w:spacing w:after="0"/>
              <w:rPr>
                <w:sz w:val="20"/>
                <w:szCs w:val="20"/>
                <w:color w:val="auto"/>
              </w:rPr>
            </w:pPr>
            <w:r>
              <w:rPr>
                <w:rFonts w:ascii="Arial" w:cs="Arial" w:eastAsia="Arial" w:hAnsi="Arial"/>
                <w:sz w:val="18"/>
                <w:szCs w:val="18"/>
                <w:color w:val="auto"/>
                <w:w w:val="92"/>
              </w:rPr>
              <w:t>% of completion of costs</w:t>
            </w:r>
          </w:p>
        </w:tc>
        <w:tc>
          <w:tcPr>
            <w:tcW w:w="540" w:type="dxa"/>
            <w:vAlign w:val="bottom"/>
            <w:gridSpan w:val="2"/>
          </w:tcPr>
          <w:p>
            <w:pPr>
              <w:jc w:val="right"/>
              <w:ind w:right="26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Manufacturing Services</w:t>
            </w:r>
            <w:r>
              <w:rPr>
                <w:rFonts w:ascii="Arial" w:cs="Arial" w:eastAsia="Arial" w:hAnsi="Arial"/>
                <w:sz w:val="15"/>
                <w:szCs w:val="15"/>
                <w:color w:val="auto"/>
              </w:rPr>
              <w:t>(7)</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Point in time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center"/>
              <w:ind w:left="17"/>
              <w:spacing w:after="0"/>
              <w:rPr>
                <w:sz w:val="20"/>
                <w:szCs w:val="20"/>
                <w:color w:val="auto"/>
              </w:rPr>
            </w:pPr>
            <w:r>
              <w:rPr>
                <w:rFonts w:ascii="Arial" w:cs="Arial" w:eastAsia="Arial" w:hAnsi="Arial"/>
                <w:sz w:val="18"/>
                <w:szCs w:val="18"/>
                <w:color w:val="auto"/>
                <w:w w:val="93"/>
              </w:rPr>
              <w:t>Transfer of control</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373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5"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is based on management’s assessment of the stand-alone selling price of each performance obligation.</w:t>
      </w:r>
    </w:p>
    <w:p>
      <w:pPr>
        <w:spacing w:after="0" w:line="49" w:lineRule="exact"/>
        <w:rPr>
          <w:rFonts w:ascii="Arial" w:cs="Arial" w:eastAsia="Arial" w:hAnsi="Arial"/>
          <w:sz w:val="18"/>
          <w:szCs w:val="18"/>
          <w:color w:val="auto"/>
        </w:rPr>
      </w:pPr>
    </w:p>
    <w:p>
      <w:pPr>
        <w:ind w:left="480" w:right="200" w:hanging="472"/>
        <w:spacing w:after="0" w:line="263"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total anticipated cash flow includes a transaction price of $64.3 million for the contractual obligations under the CSA for the Manufacturing Services and the Next-Gen R&amp;D Services performance obligations and $399.2 million for future supply of Tyvaso DPI over the remaining term of the CSA.</w:t>
      </w:r>
    </w:p>
    <w:p>
      <w:pPr>
        <w:spacing w:after="0" w:line="8" w:lineRule="exact"/>
        <w:rPr>
          <w:rFonts w:ascii="Arial" w:cs="Arial" w:eastAsia="Arial" w:hAnsi="Arial"/>
          <w:sz w:val="18"/>
          <w:szCs w:val="18"/>
          <w:color w:val="auto"/>
        </w:rPr>
      </w:pPr>
    </w:p>
    <w:p>
      <w:pPr>
        <w:jc w:val="both"/>
        <w:ind w:left="480" w:right="180" w:hanging="472"/>
        <w:spacing w:after="0" w:line="281" w:lineRule="auto"/>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license for the Company’s IP was considered to be interdependent with the development activities to support approval of Tyvaso DPI. A sales-based royalty is promised in exchange for the IP license; therefore, the royalties associated with the license are excluded from the determination of the transaction price and the Company will recognize revenue as the sale of Tyvaso DPI to a patient occurs.</w:t>
      </w:r>
    </w:p>
    <w:p>
      <w:pPr>
        <w:spacing w:after="0" w:line="1"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period when the revenue for the R&amp;D Services performance obligation was recognized.</w:t>
      </w:r>
    </w:p>
    <w:p>
      <w:pPr>
        <w:spacing w:after="0" w:line="49" w:lineRule="exact"/>
        <w:rPr>
          <w:rFonts w:ascii="Arial" w:cs="Arial" w:eastAsia="Arial" w:hAnsi="Arial"/>
          <w:sz w:val="18"/>
          <w:szCs w:val="18"/>
          <w:color w:val="auto"/>
        </w:rPr>
      </w:pPr>
    </w:p>
    <w:p>
      <w:pPr>
        <w:ind w:left="480" w:right="60" w:hanging="472"/>
        <w:spacing w:after="0" w:line="263"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standalone selling price (“SSP”) for the Next-Gen R&amp;D Services performance obligation was based on industry ratios as well as the Company’s historical R&amp;D projects. The transaction price for the Next-Gen R&amp;D Services was based on fixed consideration which was allocated between performance obligations as discussed in note (2) above.</w:t>
      </w:r>
    </w:p>
    <w:p>
      <w:pPr>
        <w:spacing w:after="0" w:line="8" w:lineRule="exact"/>
        <w:rPr>
          <w:rFonts w:ascii="Arial" w:cs="Arial" w:eastAsia="Arial" w:hAnsi="Arial"/>
          <w:sz w:val="18"/>
          <w:szCs w:val="18"/>
          <w:color w:val="auto"/>
        </w:rPr>
      </w:pPr>
    </w:p>
    <w:p>
      <w:pPr>
        <w:jc w:val="both"/>
        <w:ind w:left="480" w:right="400" w:hanging="472"/>
        <w:spacing w:after="0" w:line="263"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Next-Gen R&amp;D Services performance obligation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5" w:name="page86"/>
    <w:bookmarkEnd w:id="85"/>
    <w:p>
      <w:pPr>
        <w:ind w:left="480" w:right="460" w:hanging="472"/>
        <w:spacing w:after="0" w:line="263"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Pre-production activities under the CSA, such as facility expansion services and certain other administrative services, were considered bundled services that are part of the Company’s Manufacturing Services performance obligation, given the nature of the Company’s contractual responsibilities and ASC 606 requirements.</w:t>
      </w:r>
    </w:p>
    <w:p>
      <w:pPr>
        <w:spacing w:after="0" w:line="8" w:lineRule="exact"/>
        <w:rPr>
          <w:rFonts w:ascii="Arial" w:cs="Arial" w:eastAsia="Arial" w:hAnsi="Arial"/>
          <w:sz w:val="18"/>
          <w:szCs w:val="18"/>
          <w:color w:val="auto"/>
        </w:rPr>
      </w:pPr>
    </w:p>
    <w:p>
      <w:pPr>
        <w:ind w:left="480" w:right="180" w:hanging="472"/>
        <w:spacing w:after="0" w:line="257"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Manufacturing Services performance obligation will be recognized as control of manufactured products is transferred to the customer. The modification did not result in a cumulative catch-up adjustment as a result of the revenue being deferred for the performance obligations that were affected by the modification. The allocation of transaction price includes a material right related to manufacturing services in the amount of $144.5 million. The total anticipated cash flow is based on the Company’s estimated production and the ultimate cash flows may vary as manufacturing purchase orders are received.</w:t>
      </w:r>
    </w:p>
    <w:p>
      <w:pPr>
        <w:spacing w:after="0" w:line="188" w:lineRule="exact"/>
        <w:rPr>
          <w:sz w:val="20"/>
          <w:szCs w:val="20"/>
          <w:color w:val="auto"/>
        </w:rPr>
      </w:pPr>
    </w:p>
    <w:p>
      <w:pPr>
        <w:ind w:right="580" w:firstLine="477"/>
        <w:spacing w:after="0" w:line="277" w:lineRule="auto"/>
        <w:rPr>
          <w:sz w:val="20"/>
          <w:szCs w:val="20"/>
          <w:color w:val="auto"/>
        </w:rPr>
      </w:pPr>
      <w:r>
        <w:rPr>
          <w:rFonts w:ascii="Arial" w:cs="Arial" w:eastAsia="Arial" w:hAnsi="Arial"/>
          <w:sz w:val="18"/>
          <w:szCs w:val="18"/>
          <w:color w:val="auto"/>
        </w:rPr>
        <w:t>As of December 31, 2021, deferred revenue consisted of $18.6 million, of which $0.6 million was classified as current and $18.0 million was classified as long-term on the consolidated balance sheet.</w:t>
      </w:r>
    </w:p>
    <w:p>
      <w:pPr>
        <w:spacing w:after="0" w:line="170" w:lineRule="exact"/>
        <w:rPr>
          <w:sz w:val="20"/>
          <w:szCs w:val="20"/>
          <w:color w:val="auto"/>
        </w:rPr>
      </w:pPr>
    </w:p>
    <w:p>
      <w:pPr>
        <w:ind w:right="100" w:firstLine="477"/>
        <w:spacing w:after="0" w:line="275" w:lineRule="auto"/>
        <w:rPr>
          <w:sz w:val="20"/>
          <w:szCs w:val="20"/>
          <w:color w:val="auto"/>
        </w:rPr>
      </w:pPr>
      <w:r>
        <w:rPr>
          <w:rFonts w:ascii="Arial" w:cs="Arial" w:eastAsia="Arial" w:hAnsi="Arial"/>
          <w:sz w:val="17"/>
          <w:szCs w:val="17"/>
          <w:i w:val="1"/>
          <w:iCs w:val="1"/>
          <w:color w:val="auto"/>
        </w:rPr>
        <w:t xml:space="preserve">Vertice Pharma Co-Promotion Agreement </w:t>
      </w:r>
      <w:r>
        <w:rPr>
          <w:rFonts w:ascii="Arial" w:cs="Arial" w:eastAsia="Arial" w:hAnsi="Arial"/>
          <w:sz w:val="17"/>
          <w:szCs w:val="17"/>
          <w:color w:val="auto"/>
        </w:rPr>
        <w:t>— In December 2020, the Company entered into a co-promotion agreement with Vertice Pharma where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sales force will promote Thyquidity to adult endocrinologists, pediatric endocrinologists and other healthcare providers who treat hypothyroidism. Following the commercial launch of Thyquidity, in consideration of the sales and promotional activities provided by the Company’s sales force, Vertice Pharma is obligated to pay fixed quarterly payments to the Company, as well as variable consideration based on gross profits resulting from all sales of Thyquidity. Vertice Pharma launched Thyquidity in collaboration with the Company in February 2021.</w:t>
      </w:r>
    </w:p>
    <w:p>
      <w:pPr>
        <w:spacing w:after="0" w:line="176" w:lineRule="exact"/>
        <w:rPr>
          <w:sz w:val="20"/>
          <w:szCs w:val="20"/>
          <w:color w:val="auto"/>
        </w:rPr>
      </w:pPr>
    </w:p>
    <w:p>
      <w:pPr>
        <w:ind w:right="20" w:firstLine="477"/>
        <w:spacing w:after="0" w:line="287" w:lineRule="auto"/>
        <w:rPr>
          <w:sz w:val="20"/>
          <w:szCs w:val="20"/>
          <w:color w:val="auto"/>
        </w:rPr>
      </w:pPr>
      <w:r>
        <w:rPr>
          <w:rFonts w:ascii="Arial" w:cs="Arial" w:eastAsia="Arial" w:hAnsi="Arial"/>
          <w:sz w:val="16"/>
          <w:szCs w:val="16"/>
          <w:color w:val="auto"/>
        </w:rPr>
        <w:t>At inception of the agreement, the Company identified a single performance obligation that the Company will satisfy over time. The Company estimates the total transaction price is approximately $6.3 million, consisting of fixed consideration and the unconstrained amount of estimated variable consideration, which is based on gross profit applied to defined revenue benchmarks. The amount of variable consideration is constrained to the amount for which it is probable that a significant reversal of cumulative revenue recognized will not occur and the payments will be received.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total transaction price will be recognized over a two-year period. the period over which the Company is required to satisfy its performance obligation, using the input method based on the costs incurred to date as a percentage of the total estimated costs to fulfill the contract. Incurred cost represents work performed, which corresponds with, and thereby best depicts, the transfer of control to the customer. In July 2021, the Company and Vertice Pharma entered into an amendment to the Vertice Pharma Co-Promotion Agreement that modifies the terms of payment where 50% of the previously fixed consideration will be subject to certain promotional conditions, resulting in variable consideration.</w:t>
      </w:r>
    </w:p>
    <w:p>
      <w:pPr>
        <w:spacing w:after="0" w:line="172" w:lineRule="exact"/>
        <w:rPr>
          <w:sz w:val="20"/>
          <w:szCs w:val="20"/>
          <w:color w:val="auto"/>
        </w:rPr>
      </w:pPr>
    </w:p>
    <w:p>
      <w:pPr>
        <w:jc w:val="both"/>
        <w:ind w:right="60" w:firstLine="477"/>
        <w:spacing w:after="0" w:line="286" w:lineRule="auto"/>
        <w:rPr>
          <w:sz w:val="20"/>
          <w:szCs w:val="20"/>
          <w:color w:val="auto"/>
        </w:rPr>
      </w:pPr>
      <w:r>
        <w:rPr>
          <w:rFonts w:ascii="Arial" w:cs="Arial" w:eastAsia="Arial" w:hAnsi="Arial"/>
          <w:sz w:val="17"/>
          <w:szCs w:val="17"/>
          <w:color w:val="auto"/>
        </w:rPr>
        <w:t>In September 2021, the Company and Vertice Pharma mutually agreed that the Company would cease promotional activities under the co-promotion agreement effective September 30, 2021, other than certain transitional activities that continued until October 15, 2021. The Company and Vertice Pharma are currently negotiating a final settlement of all obligations related to the termination of the co-promotion agreement.</w:t>
      </w:r>
    </w:p>
    <w:p>
      <w:pPr>
        <w:spacing w:after="0" w:line="165"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As of December 31, 2021, the Company fully reserved $0.8 million of revenue from the co-promotion of Thyquidity, which was recognized as allowance for credit losses – collaborations and services, which is included in accounts receivable, net in the consolidated balance sheet. In addition, the Company recognized an impairment on contract assets of $0.1 million related to variable consideration from gross profits which was recognized during the year ended December 31, 2021.</w:t>
      </w:r>
    </w:p>
    <w:p>
      <w:pPr>
        <w:spacing w:after="0" w:line="187" w:lineRule="exact"/>
        <w:rPr>
          <w:sz w:val="20"/>
          <w:szCs w:val="20"/>
          <w:color w:val="auto"/>
        </w:rPr>
      </w:pPr>
    </w:p>
    <w:p>
      <w:pPr>
        <w:ind w:right="80" w:firstLine="477"/>
        <w:spacing w:after="0" w:line="255" w:lineRule="auto"/>
        <w:rPr>
          <w:sz w:val="20"/>
          <w:szCs w:val="20"/>
          <w:color w:val="auto"/>
        </w:rPr>
      </w:pPr>
      <w:r>
        <w:rPr>
          <w:rFonts w:ascii="Arial" w:cs="Arial" w:eastAsia="Arial" w:hAnsi="Arial"/>
          <w:sz w:val="18"/>
          <w:szCs w:val="18"/>
          <w:i w:val="1"/>
          <w:iCs w:val="1"/>
          <w:color w:val="auto"/>
        </w:rPr>
        <w:t xml:space="preserve">Thirona Collaboration Agreement </w:t>
      </w:r>
      <w:r>
        <w:rPr>
          <w:rFonts w:ascii="Arial" w:cs="Arial" w:eastAsia="Arial" w:hAnsi="Arial"/>
          <w:sz w:val="18"/>
          <w:szCs w:val="18"/>
          <w:color w:val="auto"/>
        </w:rPr>
        <w:t>— In June 2021, the Company and Thirona entered into a collaboration agreement to evaluate the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will be accounted for under ASC 808, Collaborative Agreements; however, no consideration will be exchanged between the parties. The Company will expense the costs incurred as research and development in the consolidated statements of operations.</w:t>
      </w:r>
    </w:p>
    <w:p>
      <w:pPr>
        <w:spacing w:after="0" w:line="192" w:lineRule="exact"/>
        <w:rPr>
          <w:sz w:val="20"/>
          <w:szCs w:val="20"/>
          <w:color w:val="auto"/>
        </w:rPr>
      </w:pPr>
    </w:p>
    <w:p>
      <w:pPr>
        <w:ind w:right="60" w:firstLine="477"/>
        <w:spacing w:after="0" w:line="284" w:lineRule="auto"/>
        <w:rPr>
          <w:sz w:val="20"/>
          <w:szCs w:val="20"/>
          <w:color w:val="auto"/>
        </w:rPr>
      </w:pPr>
      <w:r>
        <w:rPr>
          <w:rFonts w:ascii="Arial" w:cs="Arial" w:eastAsia="Arial" w:hAnsi="Arial"/>
          <w:sz w:val="17"/>
          <w:szCs w:val="17"/>
          <w:i w:val="1"/>
          <w:iCs w:val="1"/>
          <w:color w:val="auto"/>
        </w:rPr>
        <w:t xml:space="preserve">Biomm Supply and Distribution Agreement </w:t>
      </w:r>
      <w:r>
        <w:rPr>
          <w:rFonts w:ascii="Arial" w:cs="Arial" w:eastAsia="Arial" w:hAnsi="Arial"/>
          <w:sz w:val="17"/>
          <w:szCs w:val="17"/>
          <w:color w:val="auto"/>
        </w:rPr>
        <w:t>— In May 2017, the Company and Biomm S.A. (“Biomm”) entered into a supply and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for the commercialization of Afrezza in Brazil. Under this agreement, Biomm was responsible for pursuing regulatory approvals of Afrezza in Brazil, including from the ANVISA and, with respect to pricing matters, from the Camara de Regulação de Mercado de Medicamentos (“CMED”), both of which have now been received. Biomm commenced product sales in January 2020. During the year ended December 31, 2020, the Company sold $0.2 million of product to Biomm. No shipments of product were made to Biomm during the year ended December 31, 2021.</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Cipla License and Distribution Agreement </w:t>
      </w:r>
      <w:r>
        <w:rPr>
          <w:rFonts w:ascii="Arial" w:cs="Arial" w:eastAsia="Arial" w:hAnsi="Arial"/>
          <w:sz w:val="18"/>
          <w:szCs w:val="18"/>
          <w:color w:val="auto"/>
        </w:rPr>
        <w:t>— In May 2018, the Company and Cipla Ltd. (“Cipla”) entered into an exclusive agreement for the</w:t>
      </w:r>
    </w:p>
    <w:p>
      <w:pPr>
        <w:spacing w:after="0" w:line="3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marketing 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6" w:name="page87"/>
    <w:bookmarkEnd w:id="86"/>
    <w:p>
      <w:pPr>
        <w:ind w:right="180" w:firstLine="477"/>
        <w:spacing w:after="0" w:line="301" w:lineRule="auto"/>
        <w:rPr>
          <w:sz w:val="20"/>
          <w:szCs w:val="20"/>
          <w:color w:val="auto"/>
        </w:rPr>
      </w:pPr>
      <w:r>
        <w:rPr>
          <w:rFonts w:ascii="Arial" w:cs="Arial" w:eastAsia="Arial" w:hAnsi="Arial"/>
          <w:sz w:val="16"/>
          <w:szCs w:val="16"/>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December 31, 2021, the deferred revenue balance was $1.7 million, of which $0.1 million is classified as current and $1.6 million is classified as long term in the consolidated balance sheets.</w:t>
      </w:r>
    </w:p>
    <w:p>
      <w:pPr>
        <w:spacing w:after="0" w:line="157" w:lineRule="exact"/>
        <w:rPr>
          <w:sz w:val="20"/>
          <w:szCs w:val="20"/>
          <w:color w:val="auto"/>
        </w:rPr>
      </w:pPr>
    </w:p>
    <w:p>
      <w:pPr>
        <w:ind w:right="400" w:firstLine="477"/>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Australasian</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&amp; Scientific Ltd. (“AMSL”) for the commercialization of Afrezza in Australia. Under the terms of this agreement, AMSL is responsible for obtaining regulatory and reimbursement approvals to distribute Afrezza in Australia. On August 1, 2021, Dexcom, Inc. acquired all of the outstanding shares of AMSL. As a result, on November 4, 2021, the Company exercised its right under the marketing and distribution agreement to terminate such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right="80" w:firstLine="477"/>
        <w:spacing w:after="0" w:line="273" w:lineRule="auto"/>
        <w:rPr>
          <w:sz w:val="20"/>
          <w:szCs w:val="20"/>
          <w:color w:val="auto"/>
        </w:rPr>
      </w:pPr>
      <w:r>
        <w:rPr>
          <w:rFonts w:ascii="Arial" w:cs="Arial" w:eastAsia="Arial" w:hAnsi="Arial"/>
          <w:sz w:val="17"/>
          <w:szCs w:val="17"/>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100" w:firstLine="477"/>
        <w:spacing w:after="0" w:line="279" w:lineRule="auto"/>
        <w:rPr>
          <w:sz w:val="20"/>
          <w:szCs w:val="20"/>
          <w:color w:val="auto"/>
        </w:rPr>
      </w:pPr>
      <w:r>
        <w:rPr>
          <w:rFonts w:ascii="Arial" w:cs="Arial" w:eastAsia="Arial" w:hAnsi="Arial"/>
          <w:sz w:val="17"/>
          <w:szCs w:val="17"/>
          <w:color w:val="auto"/>
        </w:rPr>
        <w:t>The carrying amounts reported in the accompanying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long- and short-term investments, MidCap credit facility, Mann Group promissory notes, 2024 convertible notes, Senior convertible notes, Milestone Rights liabilities and Financing liability are disclosed below (amounts in 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Investment Level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2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4"/>
                <w:szCs w:val="14"/>
                <w:color w:val="auto"/>
              </w:rPr>
            </w:pPr>
          </w:p>
        </w:tc>
        <w:tc>
          <w:tcPr>
            <w:tcW w:w="12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Holding Losses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bonds and paper</w:t>
            </w: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Money market funds</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500"/>
              <w:spacing w:after="0"/>
              <w:rPr>
                <w:sz w:val="20"/>
                <w:szCs w:val="20"/>
                <w:color w:val="auto"/>
              </w:rPr>
            </w:pPr>
            <w:r>
              <w:rPr>
                <w:rFonts w:ascii="Arial" w:cs="Arial" w:eastAsia="Arial" w:hAnsi="Arial"/>
                <w:sz w:val="18"/>
                <w:szCs w:val="18"/>
                <w:color w:val="auto"/>
              </w:rPr>
              <w:t>Total cash equivalents and investments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cash equivalents</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4740" w:type="dxa"/>
            <w:vAlign w:val="bottom"/>
          </w:tcPr>
          <w:p>
            <w:pPr>
              <w:ind w:left="500"/>
              <w:spacing w:after="0"/>
              <w:rPr>
                <w:sz w:val="20"/>
                <w:szCs w:val="20"/>
                <w:color w:val="auto"/>
              </w:rPr>
            </w:pPr>
            <w:r>
              <w:rPr>
                <w:rFonts w:ascii="Arial" w:cs="Arial" w:eastAsia="Arial" w:hAnsi="Arial"/>
                <w:sz w:val="18"/>
                <w:szCs w:val="18"/>
                <w:color w:val="auto"/>
              </w:rPr>
              <w:t>Total Investments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7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Investment Level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2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4"/>
                <w:szCs w:val="14"/>
                <w:color w:val="auto"/>
              </w:rPr>
            </w:pPr>
          </w:p>
        </w:tc>
        <w:tc>
          <w:tcPr>
            <w:tcW w:w="12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Holding Losses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 - U.S. Treasuries</w:t>
            </w: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i w:val="1"/>
          <w:iCs w:val="1"/>
          <w:color w:val="auto"/>
        </w:rPr>
        <w:t xml:space="preserve">Cash Equivalents and Restricted Cash </w:t>
      </w:r>
      <w:r>
        <w:rPr>
          <w:rFonts w:ascii="Arial" w:cs="Arial" w:eastAsia="Arial" w:hAnsi="Arial"/>
          <w:sz w:val="18"/>
          <w:szCs w:val="18"/>
          <w:color w:val="auto"/>
        </w:rPr>
        <w:t>— Cash equivalents consist of highly liquid investments with original or remaining maturities of 90 days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at the time of purchase that are readily convertible into cash. As of December 31, 2021 and 2020, the Company held $124.2 million and $67.0 million, respectively, of cash and cash equivalents. The Company held $0.2 million in restricted cash as of December 31, 2020, which was comprised of money market funds, corporate bonds and commercial paper for the collateralization of a letter of credit and treasury bills. There was no restricted cash as of December 31, 2021.</w:t>
      </w:r>
    </w:p>
    <w:p>
      <w:pPr>
        <w:spacing w:after="0" w:line="188" w:lineRule="exact"/>
        <w:rPr>
          <w:sz w:val="20"/>
          <w:szCs w:val="20"/>
          <w:color w:val="auto"/>
        </w:rPr>
      </w:pPr>
    </w:p>
    <w:p>
      <w:pPr>
        <w:jc w:val="both"/>
        <w:ind w:right="60" w:firstLine="477"/>
        <w:spacing w:after="0" w:line="263" w:lineRule="auto"/>
        <w:rPr>
          <w:sz w:val="20"/>
          <w:szCs w:val="20"/>
          <w:color w:val="auto"/>
        </w:rPr>
      </w:pPr>
      <w:r>
        <w:rPr>
          <w:rFonts w:ascii="Arial" w:cs="Arial" w:eastAsia="Arial" w:hAnsi="Arial"/>
          <w:sz w:val="18"/>
          <w:szCs w:val="18"/>
          <w:i w:val="1"/>
          <w:iCs w:val="1"/>
          <w:color w:val="auto"/>
        </w:rPr>
        <w:t xml:space="preserve">Held-to-Maturity Investments </w:t>
      </w:r>
      <w:r>
        <w:rPr>
          <w:rFonts w:ascii="Arial" w:cs="Arial" w:eastAsia="Arial" w:hAnsi="Arial"/>
          <w:sz w:val="18"/>
          <w:szCs w:val="18"/>
          <w:color w:val="auto"/>
        </w:rPr>
        <w:t>— Investments consist of highly liquid investments that are intended to facilitate liquidity and capital preservation.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2021, the Company held $79.9 million of short-term investments and $56.6 million of long-term investments. As of December 31, 2020, the Company did not hold any investments.</w:t>
      </w:r>
    </w:p>
    <w:p>
      <w:pPr>
        <w:spacing w:after="0" w:line="184" w:lineRule="exact"/>
        <w:rPr>
          <w:sz w:val="20"/>
          <w:szCs w:val="20"/>
          <w:color w:val="auto"/>
        </w:rPr>
      </w:pPr>
    </w:p>
    <w:p>
      <w:pPr>
        <w:ind w:right="100" w:firstLine="477"/>
        <w:spacing w:after="0" w:line="286" w:lineRule="auto"/>
        <w:rPr>
          <w:sz w:val="20"/>
          <w:szCs w:val="20"/>
          <w:color w:val="auto"/>
        </w:rPr>
      </w:pPr>
      <w:r>
        <w:rPr>
          <w:rFonts w:ascii="Arial" w:cs="Arial" w:eastAsia="Arial" w:hAnsi="Arial"/>
          <w:sz w:val="17"/>
          <w:szCs w:val="17"/>
          <w:i w:val="1"/>
          <w:iCs w:val="1"/>
          <w:color w:val="auto"/>
        </w:rPr>
        <w:t xml:space="preserve">Available-for-Sale Investment </w:t>
      </w:r>
      <w:r>
        <w:rPr>
          <w:rFonts w:ascii="Arial" w:cs="Arial" w:eastAsia="Arial" w:hAnsi="Arial"/>
          <w:sz w:val="17"/>
          <w:szCs w:val="17"/>
          <w:color w:val="auto"/>
        </w:rPr>
        <w:t>— The Thirona convertible note is classified as an available-for-sale security and is included in other assets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Available-for-sale investments are subsequently measured at fair value. Unrealized holding gains and losses are excluded from earnings and reported in other comprehensive income until realized. The Company determines fair value of its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7" w:name="page88"/>
    <w:bookmarkEnd w:id="87"/>
    <w:p>
      <w:pPr>
        <w:ind w:right="540"/>
        <w:spacing w:after="0" w:line="277" w:lineRule="auto"/>
        <w:rPr>
          <w:sz w:val="20"/>
          <w:szCs w:val="20"/>
          <w:color w:val="auto"/>
        </w:rPr>
      </w:pPr>
      <w:r>
        <w:rPr>
          <w:rFonts w:ascii="Arial" w:cs="Arial" w:eastAsia="Arial" w:hAnsi="Arial"/>
          <w:sz w:val="18"/>
          <w:szCs w:val="18"/>
          <w:color w:val="auto"/>
        </w:rPr>
        <w:t>available-for-sale investments using level 3 inputs. As of December 31, 2021, the Company evaluated the fair value of its investment in Thirona and determined that the fair value approximates the carrying value of $3.0 million.</w:t>
      </w:r>
    </w:p>
    <w:p>
      <w:pPr>
        <w:spacing w:after="0" w:line="170" w:lineRule="exact"/>
        <w:rPr>
          <w:sz w:val="20"/>
          <w:szCs w:val="20"/>
          <w:color w:val="auto"/>
        </w:rPr>
      </w:pPr>
    </w:p>
    <w:p>
      <w:pPr>
        <w:ind w:right="140" w:firstLine="477"/>
        <w:spacing w:after="0" w:line="277" w:lineRule="auto"/>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(Level 3 in the fair value hierarchy)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56"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December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9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13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5"/>
                <w:szCs w:val="15"/>
                <w:color w:val="auto"/>
              </w:rPr>
              <w:t>(1)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223.9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237.5</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Mann Group convertible notes</w:t>
            </w:r>
            <w:r>
              <w:rPr>
                <w:rFonts w:ascii="Arial" w:cs="Arial" w:eastAsia="Arial" w:hAnsi="Arial"/>
                <w:sz w:val="15"/>
                <w:szCs w:val="15"/>
                <w:color w:val="auto"/>
              </w:rPr>
              <w:t>(3)</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r>
              <w:rPr>
                <w:rFonts w:ascii="Arial" w:cs="Arial" w:eastAsia="Arial" w:hAnsi="Arial"/>
                <w:sz w:val="15"/>
                <w:szCs w:val="15"/>
                <w:color w:val="auto"/>
              </w:rPr>
              <w:t>(4)</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373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9" w:lineRule="exact"/>
        <w:rPr>
          <w:sz w:val="20"/>
          <w:szCs w:val="20"/>
          <w:color w:val="auto"/>
        </w:rPr>
      </w:pPr>
    </w:p>
    <w:p>
      <w:pPr>
        <w:ind w:left="480" w:right="360" w:hanging="472"/>
        <w:spacing w:after="0" w:line="237" w:lineRule="auto"/>
        <w:tabs>
          <w:tab w:leader="none" w:pos="4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Fair value determined by applying a discounted cash flow analysis to the straight note with a hypothetical yield of 12%, volatility of 90% and a Monte Carlo simulation for the value of the conversion feature. A change in yield of + or – 2% would result in a fair value of $226.6 million and $249.4 million, respectively.</w:t>
      </w:r>
    </w:p>
    <w:p>
      <w:pPr>
        <w:spacing w:after="0" w:line="36" w:lineRule="exact"/>
        <w:rPr>
          <w:rFonts w:ascii="Arial" w:cs="Arial" w:eastAsia="Arial" w:hAnsi="Arial"/>
          <w:sz w:val="22"/>
          <w:szCs w:val="22"/>
          <w:color w:val="auto"/>
          <w:vertAlign w:val="superscript"/>
        </w:rPr>
      </w:pPr>
    </w:p>
    <w:p>
      <w:pPr>
        <w:ind w:left="480" w:right="240" w:hanging="472"/>
        <w:spacing w:after="0" w:line="208" w:lineRule="auto"/>
        <w:tabs>
          <w:tab w:leader="none" w:pos="480" w:val="left"/>
        </w:tabs>
        <w:numPr>
          <w:ilvl w:val="0"/>
          <w:numId w:val="50"/>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discounted cash flow analysis with a hypothetical yield of 10%. A change in yield of + or – 2% would result in a fair value of $39.1 million and $42.7 million, respectively.</w:t>
      </w:r>
    </w:p>
    <w:p>
      <w:pPr>
        <w:spacing w:after="0" w:line="36" w:lineRule="exact"/>
        <w:rPr>
          <w:rFonts w:ascii="Arial" w:cs="Arial" w:eastAsia="Arial" w:hAnsi="Arial"/>
          <w:sz w:val="25"/>
          <w:szCs w:val="25"/>
          <w:color w:val="auto"/>
          <w:vertAlign w:val="superscript"/>
        </w:rPr>
      </w:pPr>
    </w:p>
    <w:p>
      <w:pPr>
        <w:ind w:left="480" w:right="80" w:hanging="472"/>
        <w:spacing w:after="0" w:line="259" w:lineRule="auto"/>
        <w:tabs>
          <w:tab w:leader="none" w:pos="480" w:val="left"/>
        </w:tabs>
        <w:numPr>
          <w:ilvl w:val="0"/>
          <w:numId w:val="50"/>
        </w:numPr>
        <w:rPr>
          <w:rFonts w:ascii="Arial" w:cs="Arial" w:eastAsia="Arial" w:hAnsi="Arial"/>
          <w:sz w:val="23"/>
          <w:szCs w:val="23"/>
          <w:color w:val="auto"/>
          <w:vertAlign w:val="superscript"/>
        </w:rPr>
      </w:pPr>
      <w:r>
        <w:rPr>
          <w:rFonts w:ascii="Arial" w:cs="Arial" w:eastAsia="Arial" w:hAnsi="Arial"/>
          <w:sz w:val="15"/>
          <w:szCs w:val="15"/>
          <w:color w:val="auto"/>
        </w:rPr>
        <w:t>The April 2021 amendment to the Mann Group convertible note resulted in a substantial premium of $22.1 million based on the fair value post modification which was recognized as additional paid-in capital in the consolidated balance sheet as of December 31, 2021. The accounting for the $22.1 million loss on extinguishment did not result in a change in the financial position of the Company. The fair value assessed as of December 31, 2021 was determined by applying a discounted cash flow analysis with a hypothetical yield of 12% and volatility of 85% to the straight note and a binomial option pricing model for the value of the conversion feature. A change in yield of + or – 2% would result in a fair value of $36.9 million and $38.8 million, respectively.</w:t>
      </w:r>
    </w:p>
    <w:p>
      <w:pPr>
        <w:ind w:left="480" w:hanging="472"/>
        <w:spacing w:after="0" w:line="202" w:lineRule="auto"/>
        <w:tabs>
          <w:tab w:leader="none" w:pos="480" w:val="left"/>
        </w:tabs>
        <w:numPr>
          <w:ilvl w:val="0"/>
          <w:numId w:val="50"/>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Monte Carlo simulation.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r>
              <w:rPr>
                <w:rFonts w:ascii="Arial" w:cs="Arial" w:eastAsia="Arial" w:hAnsi="Arial"/>
                <w:sz w:val="15"/>
                <w:szCs w:val="15"/>
                <w:color w:val="auto"/>
              </w:rPr>
              <w:t>(1)</w:t>
            </w:r>
          </w:p>
        </w:tc>
        <w:tc>
          <w:tcPr>
            <w:tcW w:w="13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1340" w:type="dxa"/>
            <w:vAlign w:val="bottom"/>
          </w:tcPr>
          <w:p>
            <w:pPr>
              <w:jc w:val="right"/>
              <w:ind w:right="118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49.3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promissory notes</w:t>
            </w:r>
            <w:r>
              <w:rPr>
                <w:rFonts w:ascii="Arial" w:cs="Arial" w:eastAsia="Arial" w:hAnsi="Arial"/>
                <w:sz w:val="15"/>
                <w:szCs w:val="15"/>
                <w:color w:val="auto"/>
              </w:rPr>
              <w:t>(2)</w:t>
            </w: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63.0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2024 convertible notes</w:t>
            </w:r>
          </w:p>
        </w:tc>
        <w:tc>
          <w:tcPr>
            <w:tcW w:w="1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w:t>
            </w: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Milestone Rights</w:t>
            </w:r>
          </w:p>
        </w:tc>
        <w:tc>
          <w:tcPr>
            <w:tcW w:w="1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25"/>
          <w:szCs w:val="25"/>
          <w:color w:val="auto"/>
          <w:vertAlign w:val="superscript"/>
        </w:rPr>
      </w:pPr>
      <w:r>
        <w:rPr>
          <w:rFonts w:ascii="Arial" w:cs="Arial" w:eastAsia="Arial" w:hAnsi="Arial"/>
          <w:sz w:val="16"/>
          <w:szCs w:val="16"/>
          <w:color w:val="auto"/>
        </w:rPr>
        <w:t>Fair value measurements were based on a discounted cash flow model, except for the Milestone rights for which a Monte Carlo simulation was applied.</w:t>
      </w:r>
    </w:p>
    <w:p>
      <w:pPr>
        <w:spacing w:after="0" w:line="10" w:lineRule="exact"/>
        <w:rPr>
          <w:rFonts w:ascii="Arial" w:cs="Arial" w:eastAsia="Arial" w:hAnsi="Arial"/>
          <w:sz w:val="25"/>
          <w:szCs w:val="25"/>
          <w:color w:val="auto"/>
          <w:vertAlign w:val="superscript"/>
        </w:rPr>
      </w:pPr>
    </w:p>
    <w:p>
      <w:pPr>
        <w:ind w:left="480" w:hanging="472"/>
        <w:spacing w:after="0" w:line="182" w:lineRule="auto"/>
        <w:tabs>
          <w:tab w:leader="none" w:pos="48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Mann Group promissory notes consisted of the following carrying values and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3373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6"/>
          <w:szCs w:val="16"/>
          <w:color w:val="auto"/>
        </w:rPr>
        <w:t>Mann Group convertible notes carrying value of $28.0 million and fair value of $52.2 million.</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Mann Group non-convertible notes carrying value of $35.1 million and fair value of $26.7 million.</w:t>
      </w:r>
    </w:p>
    <w:p>
      <w:pPr>
        <w:spacing w:after="0" w:line="226" w:lineRule="exact"/>
        <w:rPr>
          <w:sz w:val="20"/>
          <w:szCs w:val="20"/>
          <w:color w:val="auto"/>
        </w:rPr>
      </w:pPr>
    </w:p>
    <w:p>
      <w:pPr>
        <w:ind w:right="320" w:firstLine="477"/>
        <w:spacing w:after="0" w:line="259"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The fair value measurement of the Milestone Rights liability is sensitive to the discount rate and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187" w:lineRule="exact"/>
        <w:rPr>
          <w:sz w:val="20"/>
          <w:szCs w:val="20"/>
          <w:color w:val="auto"/>
        </w:rPr>
      </w:pPr>
    </w:p>
    <w:p>
      <w:pPr>
        <w:ind w:right="220" w:firstLine="477"/>
        <w:spacing w:after="0" w:line="259" w:lineRule="auto"/>
        <w:rPr>
          <w:sz w:val="20"/>
          <w:szCs w:val="20"/>
          <w:color w:val="auto"/>
        </w:rPr>
      </w:pPr>
      <w:r>
        <w:rPr>
          <w:rFonts w:ascii="Arial" w:cs="Arial" w:eastAsia="Arial" w:hAnsi="Arial"/>
          <w:sz w:val="18"/>
          <w:szCs w:val="18"/>
          <w:i w:val="1"/>
          <w:iCs w:val="1"/>
          <w:color w:val="auto"/>
        </w:rPr>
        <w:t xml:space="preserve">Financing Liability </w:t>
      </w:r>
      <w:r>
        <w:rPr>
          <w:rFonts w:ascii="Arial" w:cs="Arial" w:eastAsia="Arial" w:hAnsi="Arial"/>
          <w:sz w:val="18"/>
          <w:szCs w:val="18"/>
          <w:color w:val="auto"/>
        </w:rPr>
        <w:t>— The failed Sale Leaseback Transaction in November 2021 resulted in a financing liability which is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as a current financing liability of $7.0 million and a long-term financing liability of $93.5 million. The Company determined the fair value of the financing liability using level 3 inputs. As of December 31, 2021, the Company evaluated the fair value of its financing liability and determined that the fair value approximates the carrying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121"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December 31, 2021 and 2020, 251,477,562 and 242,117,089 shares of common stock, respectively, were issued and outstanding and no shares of preferred stock were outstanding.</w:t>
      </w:r>
    </w:p>
    <w:p>
      <w:pPr>
        <w:spacing w:after="0" w:line="187"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In February 2018, the Company entered into a controlled equity offering sales agreement (the “CF Sales Agreement”) with Cantor Fitzgerald &amp; Co. (“Cantor Fitzgerald”), as sales agent, pursuant to which the Company may offer and sell, from time to time, through Cantor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8" w:name="page89"/>
    <w:bookmarkEnd w:id="88"/>
    <w:p>
      <w:pPr>
        <w:ind w:right="80"/>
        <w:spacing w:after="0" w:line="293" w:lineRule="auto"/>
        <w:rPr>
          <w:sz w:val="20"/>
          <w:szCs w:val="20"/>
          <w:color w:val="auto"/>
        </w:rPr>
      </w:pPr>
      <w:r>
        <w:rPr>
          <w:rFonts w:ascii="Arial" w:cs="Arial" w:eastAsia="Arial" w:hAnsi="Arial"/>
          <w:sz w:val="16"/>
          <w:szCs w:val="16"/>
          <w:color w:val="auto"/>
        </w:rPr>
        <w:t>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For the year ended December 31, 2021, the Company sold an aggregate of 578,063 shares of the Company’s common stock at an average purchase price of $3.26 per share for an aggregate gross proceeds of approximately $1.9 million pursuant to the Sales Agreement. For the year ended December 31, 2020, the Company sold an aggregate of 11,851,566 shares of the Company’s common stock at an average purchase price of $1.99 per share for an aggregate gross proceeds of approximately $23.5 million pursuant to the CF Sales Agreement.</w:t>
      </w:r>
    </w:p>
    <w:p>
      <w:pPr>
        <w:spacing w:after="0" w:line="164" w:lineRule="exact"/>
        <w:rPr>
          <w:sz w:val="20"/>
          <w:szCs w:val="20"/>
          <w:color w:val="auto"/>
        </w:rPr>
      </w:pPr>
    </w:p>
    <w:p>
      <w:pPr>
        <w:ind w:right="100" w:firstLine="477"/>
        <w:spacing w:after="0" w:line="301" w:lineRule="auto"/>
        <w:rPr>
          <w:sz w:val="20"/>
          <w:szCs w:val="20"/>
          <w:color w:val="auto"/>
        </w:rPr>
      </w:pPr>
      <w:r>
        <w:rPr>
          <w:rFonts w:ascii="Arial" w:cs="Arial" w:eastAsia="Arial" w:hAnsi="Arial"/>
          <w:sz w:val="16"/>
          <w:szCs w:val="16"/>
          <w:color w:val="auto"/>
        </w:rPr>
        <w:t xml:space="preserve">In June 2020, the Company prepaid the June 2020 note with the issuance of 1,235,094 shares of the Company’s common stock, in accordance with the terms of the June 2020 note. In October 2020, the Company prepaid the December 2020 note with the issuance of 1,377,356 shares of the Company’s common stock, in accordance with the terms of the December 2020 note. The number of shares issued for the prepayments in June and October 2020 were determined based on the Company’s closing stock price on the day preceding the settlement date. See Note 7 – </w:t>
      </w:r>
      <w:r>
        <w:rPr>
          <w:rFonts w:ascii="Arial" w:cs="Arial" w:eastAsia="Arial" w:hAnsi="Arial"/>
          <w:sz w:val="16"/>
          <w:szCs w:val="16"/>
          <w:i w:val="1"/>
          <w:iCs w:val="1"/>
          <w:color w:val="auto"/>
        </w:rPr>
        <w:t>Borrowings</w:t>
      </w:r>
      <w:r>
        <w:rPr>
          <w:rFonts w:ascii="Arial" w:cs="Arial" w:eastAsia="Arial" w:hAnsi="Arial"/>
          <w:sz w:val="16"/>
          <w:szCs w:val="16"/>
          <w:color w:val="auto"/>
        </w:rPr>
        <w:t>.</w:t>
      </w:r>
    </w:p>
    <w:p>
      <w:pPr>
        <w:spacing w:after="0" w:line="157" w:lineRule="exact"/>
        <w:rPr>
          <w:sz w:val="20"/>
          <w:szCs w:val="20"/>
          <w:color w:val="auto"/>
        </w:rPr>
      </w:pPr>
    </w:p>
    <w:p>
      <w:pPr>
        <w:ind w:right="60" w:firstLine="477"/>
        <w:spacing w:after="0" w:line="286" w:lineRule="auto"/>
        <w:rPr>
          <w:sz w:val="20"/>
          <w:szCs w:val="20"/>
          <w:color w:val="auto"/>
        </w:rPr>
      </w:pPr>
      <w:r>
        <w:rPr>
          <w:rFonts w:ascii="Arial" w:cs="Arial" w:eastAsia="Arial" w:hAnsi="Arial"/>
          <w:sz w:val="17"/>
          <w:szCs w:val="17"/>
          <w:color w:val="auto"/>
        </w:rPr>
        <w:t>In June 2020, 7,250,000 warrants were exercised at a price of $1.60 per share. The warrants were issued pursuant to an underwriting agreement with Leerink Partners LLC for a public offering of 26,666,667 shares of the Company’s common stock and warrants to purchase up to an aggregate of 26,666,667 shares of the Company’s common stock. There are no remaining warrants outstanding under this agreement.</w:t>
      </w:r>
    </w:p>
    <w:p>
      <w:pPr>
        <w:spacing w:after="0" w:line="98"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 xml:space="preserve">In the fourth quarter of 2020, the Mann Group converted $3.0 million of accrued interest and $7.0 million of principal under the Mann Group convertible note into 1.2 million shares and 2.8 million shares, respectively, of the Company’s common stock, in accordance with the terms of the convertible note. Subsequent to December 31, 2020, the Mann Group converted $0.4 million of interest and $9.6 million of principal into 4.0 million shares of common stock. See Note 7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7"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 xml:space="preserve">In December 2020, the Company issued 111,853 warrants to purchase shares of the Company’s common stock in connection with the third amendment to the Midcap Credit Facility. The warrants are set to expire on the earlier of December 1, 2027 or upon acquisition of the Company. See Note 7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ind w:right="60" w:firstLine="477"/>
        <w:spacing w:after="0" w:line="277" w:lineRule="auto"/>
        <w:rPr>
          <w:sz w:val="20"/>
          <w:szCs w:val="20"/>
          <w:color w:val="auto"/>
        </w:rPr>
      </w:pPr>
      <w:r>
        <w:rPr>
          <w:rFonts w:ascii="Arial" w:cs="Arial" w:eastAsia="Arial" w:hAnsi="Arial"/>
          <w:sz w:val="18"/>
          <w:szCs w:val="18"/>
          <w:color w:val="auto"/>
        </w:rPr>
        <w:t xml:space="preserve">In December 2020, the Company issued 3,067,179 shares of the Company’s common stock as consideration for the acquisition of QrumPharma. See Note 3 –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February 2021, the Company converted $5.0 million principal amount of 2024 convertible notes into 1,666,667 shares of the Company’s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right="220" w:firstLine="477"/>
        <w:spacing w:after="0" w:line="263" w:lineRule="auto"/>
        <w:rPr>
          <w:sz w:val="20"/>
          <w:szCs w:val="20"/>
          <w:color w:val="auto"/>
        </w:rPr>
      </w:pPr>
      <w:r>
        <w:rPr>
          <w:rFonts w:ascii="Arial" w:cs="Arial" w:eastAsia="Arial" w:hAnsi="Arial"/>
          <w:sz w:val="18"/>
          <w:szCs w:val="18"/>
          <w:color w:val="auto"/>
        </w:rPr>
        <w:t xml:space="preserve">In October 2021, MidCap exercised 1,171,614 and 111,853 warrants issued in association with Tranches 1 and 2, respectively, under the MidCap credit facility, as amended, to purchase an aggregate of 1,283,467 shares of the Company’s common stock through a cashless exercise that resulted in the net issuance of 964,113 shares. See Note 7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ind w:right="300" w:firstLine="477"/>
        <w:spacing w:after="0" w:line="277" w:lineRule="auto"/>
        <w:rPr>
          <w:sz w:val="20"/>
          <w:szCs w:val="20"/>
          <w:color w:val="auto"/>
        </w:rPr>
      </w:pPr>
      <w:r>
        <w:rPr>
          <w:rFonts w:ascii="Arial" w:cs="Arial" w:eastAsia="Arial" w:hAnsi="Arial"/>
          <w:sz w:val="18"/>
          <w:szCs w:val="18"/>
          <w:color w:val="auto"/>
        </w:rPr>
        <w:t xml:space="preserve">During the year ended December 31, 2021, the Company received $0.1 million from the market price stock purchase plan (“MPSPP”) for 25,000 shares and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during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 (“EPS”)</w:t>
      </w:r>
    </w:p>
    <w:p>
      <w:pPr>
        <w:spacing w:after="0" w:line="121" w:lineRule="exact"/>
        <w:rPr>
          <w:sz w:val="20"/>
          <w:szCs w:val="20"/>
          <w:color w:val="auto"/>
        </w:rPr>
      </w:pPr>
    </w:p>
    <w:p>
      <w:pPr>
        <w:ind w:right="220" w:firstLine="477"/>
        <w:spacing w:after="0" w:line="279" w:lineRule="auto"/>
        <w:rPr>
          <w:sz w:val="20"/>
          <w:szCs w:val="20"/>
          <w:color w:val="auto"/>
        </w:rPr>
      </w:pPr>
      <w:r>
        <w:rPr>
          <w:rFonts w:ascii="Arial" w:cs="Arial" w:eastAsia="Arial" w:hAnsi="Arial"/>
          <w:sz w:val="17"/>
          <w:szCs w:val="17"/>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summarize the components of the basic and diluted EPS computations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76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EPS — basic and diluted:</w:t>
            </w:r>
          </w:p>
        </w:tc>
        <w:tc>
          <w:tcPr>
            <w:tcW w:w="1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Net loss (numerator)</w:t>
            </w:r>
          </w:p>
        </w:tc>
        <w:tc>
          <w:tcPr>
            <w:tcW w:w="29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(80,926)</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(57,240)</w:t>
            </w: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(denominator)</w:t>
            </w:r>
          </w:p>
        </w:tc>
        <w:tc>
          <w:tcPr>
            <w:tcW w:w="19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249,244</w:t>
            </w:r>
          </w:p>
        </w:tc>
        <w:tc>
          <w:tcPr>
            <w:tcW w:w="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222,585</w:t>
            </w:r>
          </w:p>
        </w:tc>
        <w:tc>
          <w:tcPr>
            <w:tcW w:w="100" w:type="dxa"/>
            <w:vAlign w:val="bottom"/>
            <w:shd w:val="clear" w:color="auto" w:fill="CFF0FC"/>
          </w:tcPr>
          <w:p>
            <w:pPr>
              <w:spacing w:after="0"/>
              <w:rPr>
                <w:sz w:val="19"/>
                <w:szCs w:val="19"/>
                <w:color w:val="auto"/>
              </w:rPr>
            </w:pPr>
          </w:p>
        </w:tc>
      </w:tr>
      <w:tr>
        <w:trPr>
          <w:trHeight w:val="223"/>
        </w:trPr>
        <w:tc>
          <w:tcPr>
            <w:tcW w:w="5760" w:type="dxa"/>
            <w:vAlign w:val="bottom"/>
          </w:tcPr>
          <w:p>
            <w:pPr>
              <w:ind w:left="260"/>
              <w:spacing w:after="0"/>
              <w:rPr>
                <w:sz w:val="20"/>
                <w:szCs w:val="20"/>
                <w:color w:val="auto"/>
              </w:rPr>
            </w:pPr>
            <w:r>
              <w:rPr>
                <w:rFonts w:ascii="Arial" w:cs="Arial" w:eastAsia="Arial" w:hAnsi="Arial"/>
                <w:sz w:val="18"/>
                <w:szCs w:val="18"/>
                <w:color w:val="auto"/>
              </w:rPr>
              <w:t>Net loss per share</w:t>
            </w:r>
          </w:p>
        </w:tc>
        <w:tc>
          <w:tcPr>
            <w:tcW w:w="196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 and the Mann Group convertible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9" w:name="page90"/>
    <w:bookmarkEnd w:id="89"/>
    <w:p>
      <w:pPr>
        <w:ind w:left="480"/>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4"/>
          </w:tcPr>
          <w:p>
            <w:pPr>
              <w:ind w:left="9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44,120,463</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Common stock options and PNQs</w:t>
            </w:r>
          </w:p>
        </w:tc>
        <w:tc>
          <w:tcPr>
            <w:tcW w:w="1540" w:type="dxa"/>
            <w:vAlign w:val="bottom"/>
          </w:tcPr>
          <w:p>
            <w:pPr>
              <w:jc w:val="right"/>
              <w:spacing w:after="0"/>
              <w:rPr>
                <w:sz w:val="20"/>
                <w:szCs w:val="20"/>
                <w:color w:val="auto"/>
              </w:rPr>
            </w:pPr>
            <w:r>
              <w:rPr>
                <w:rFonts w:ascii="Arial" w:cs="Arial" w:eastAsia="Arial" w:hAnsi="Arial"/>
                <w:sz w:val="18"/>
                <w:szCs w:val="18"/>
                <w:color w:val="auto"/>
              </w:rPr>
              <w:t>10,655,146</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12,264,616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7,370,000</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11,200,000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Warrants associated with MidCap credit facility</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1,283,467</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2024 convertible notes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RSUs and Market RSUs</w:t>
            </w:r>
            <w:r>
              <w:rPr>
                <w:rFonts w:ascii="Arial" w:cs="Arial" w:eastAsia="Arial" w:hAnsi="Arial"/>
                <w:sz w:val="15"/>
                <w:szCs w:val="15"/>
                <w:color w:val="auto"/>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7,609,025</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6,037,542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243,375</w:t>
            </w:r>
          </w:p>
        </w:tc>
        <w:tc>
          <w:tcPr>
            <w:tcW w:w="30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292,981</w:t>
            </w:r>
          </w:p>
        </w:tc>
        <w:tc>
          <w:tcPr>
            <w:tcW w:w="100" w:type="dxa"/>
            <w:vAlign w:val="bottom"/>
            <w:shd w:val="clear" w:color="auto" w:fill="CFF0FC"/>
          </w:tcPr>
          <w:p>
            <w:pPr>
              <w:spacing w:after="0"/>
              <w:rPr>
                <w:sz w:val="19"/>
                <w:szCs w:val="19"/>
                <w:color w:val="auto"/>
              </w:rPr>
            </w:pPr>
          </w:p>
        </w:tc>
      </w:tr>
      <w:tr>
        <w:trPr>
          <w:trHeight w:val="224"/>
        </w:trPr>
        <w:tc>
          <w:tcPr>
            <w:tcW w:w="7720" w:type="dxa"/>
            <w:vAlign w:val="bottom"/>
          </w:tcPr>
          <w:p>
            <w:pPr>
              <w:ind w:left="260"/>
              <w:spacing w:after="0"/>
              <w:rPr>
                <w:sz w:val="20"/>
                <w:szCs w:val="20"/>
                <w:color w:val="auto"/>
              </w:rPr>
            </w:pPr>
            <w:r>
              <w:rPr>
                <w:rFonts w:ascii="Arial" w:cs="Arial" w:eastAsia="Arial" w:hAnsi="Arial"/>
                <w:sz w:val="18"/>
                <w:szCs w:val="18"/>
                <w:color w:val="auto"/>
              </w:rPr>
              <w:t>Total shares</w:t>
            </w:r>
          </w:p>
        </w:tc>
        <w:tc>
          <w:tcPr>
            <w:tcW w:w="1540" w:type="dxa"/>
            <w:vAlign w:val="bottom"/>
          </w:tcPr>
          <w:p>
            <w:pPr>
              <w:jc w:val="right"/>
              <w:spacing w:after="0"/>
              <w:rPr>
                <w:sz w:val="20"/>
                <w:szCs w:val="20"/>
                <w:color w:val="auto"/>
              </w:rPr>
            </w:pPr>
            <w:r>
              <w:rPr>
                <w:rFonts w:ascii="Arial" w:cs="Arial" w:eastAsia="Arial" w:hAnsi="Arial"/>
                <w:sz w:val="18"/>
                <w:szCs w:val="18"/>
                <w:color w:val="auto"/>
              </w:rPr>
              <w:t>69,998,009</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32,745,273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0</wp:posOffset>
            </wp:positionV>
            <wp:extent cx="216852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2168525" cy="2603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ind w:left="500" w:hanging="492"/>
        <w:spacing w:after="0" w:line="182" w:lineRule="auto"/>
        <w:tabs>
          <w:tab w:leader="none" w:pos="50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Market RSUs are included at the maximum share delivery percentage.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Award Plans</w:t>
      </w:r>
    </w:p>
    <w:p>
      <w:pPr>
        <w:spacing w:after="0" w:line="121"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On May 16, 2018, the Company adopted the 2018 Equity Incentive Plan (the “2018 Plan”) as the successor to and continuation of the 2013 Equity Incentive Plan (the “2013 Plan”). The 2018 Plan initially consisted of 12,000,000 new shares plus the number of unallocated shares remaining available for grant for new awards under the 2013 Plan. In May 2020, the 2018 Plan was amended to increase the number of shares of common stock that may be issued under the 2018 Plan by 12,500,000 shares.</w:t>
      </w:r>
    </w:p>
    <w:p>
      <w:pPr>
        <w:spacing w:after="0" w:line="79"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Effective upon the approval of the 2018 Plan by the Company’s stockholders in May 2018, no additional awards have been or may be granted under the 2013 Plan. Any Prior Plans’ returning shares will increase the number of shares issuable under the 2018 Plan. The Prior Plans’ returning shares are shares subject to outstanding stock awards granted under the 2013 Plan or the 2004 Equity Incentive Plan (collectively, “Prior Plans”) that, from and after the effective date of the 2018 Plan, (i) expire or terminate for any reason prior to exercise or settlement, (ii) are forfeited, cancelled or otherwise returned to the Company because of the failure to meet a contingency or condition required for the vesting of such shares, or (iii) other than with respect to outstanding stock options and stock appreciation rights granted under the Prior Plans with an exercise or strike price of at least 100% of the fair market value of the underlying common stock on the date of grant, are reacquired or withheld (or not issued) by the Company to satisfy a tax withholding obligation in connection with a stock award.</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2018 Plan provides for the granting of stock awards including stock options and restricted stock units to employees, directors and consultants.</w:t>
      </w:r>
    </w:p>
    <w:p>
      <w:pPr>
        <w:spacing w:after="0" w:line="248" w:lineRule="exact"/>
        <w:rPr>
          <w:sz w:val="20"/>
          <w:szCs w:val="20"/>
          <w:color w:val="auto"/>
        </w:rPr>
      </w:pPr>
    </w:p>
    <w:p>
      <w:pPr>
        <w:ind w:right="100" w:firstLine="477"/>
        <w:spacing w:after="0" w:line="289" w:lineRule="auto"/>
        <w:rPr>
          <w:sz w:val="20"/>
          <w:szCs w:val="20"/>
          <w:color w:val="auto"/>
        </w:rPr>
      </w:pPr>
      <w:r>
        <w:rPr>
          <w:rFonts w:ascii="Arial" w:cs="Arial" w:eastAsia="Arial" w:hAnsi="Arial"/>
          <w:sz w:val="16"/>
          <w:szCs w:val="16"/>
          <w:color w:val="auto"/>
        </w:rPr>
        <w:t>The Company’s board of directors or its compensation committee determines eligibility, vesting schedules and criteria, and exercise prices for stock awards granted under the 2018 Plan. Options and restricted stock unit awards under the 2018 Plan, or the Prior Plans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The Company also issues PNQ awards with performance conditions. For PNQs, the Company evaluates the probability that the performance conditions will be met and estimates the service period for recognition of the associated expense. RSUs with time-based vesting generally vest at a rate of 25% per year over four years with consideration satisfied by service to the Company. Certain RSUs issued to nonemployee directors vest immediately upon grant, but the underlying shares of common stock will not be delivered until there is a separation of service such as resignation, retirement or death. The Company also issued Market RSUs. The grant date fair value and the effect of the market conditions was estimated using a Monte Carlo valuation.</w:t>
      </w:r>
    </w:p>
    <w:p>
      <w:pPr>
        <w:spacing w:after="0" w:line="166" w:lineRule="exact"/>
        <w:rPr>
          <w:sz w:val="20"/>
          <w:szCs w:val="20"/>
          <w:color w:val="auto"/>
        </w:rPr>
      </w:pPr>
    </w:p>
    <w:p>
      <w:pPr>
        <w:ind w:right="20" w:firstLine="477"/>
        <w:spacing w:after="0" w:line="295" w:lineRule="auto"/>
        <w:rPr>
          <w:sz w:val="20"/>
          <w:szCs w:val="20"/>
          <w:color w:val="auto"/>
        </w:rPr>
      </w:pPr>
      <w:r>
        <w:rPr>
          <w:rFonts w:ascii="Arial" w:cs="Arial" w:eastAsia="Arial" w:hAnsi="Arial"/>
          <w:sz w:val="16"/>
          <w:szCs w:val="16"/>
          <w:color w:val="auto"/>
        </w:rPr>
        <w:t>Market RSUs issued during the year ended December 31, 2021 had a grant date fair value of $9.30 per share and will vest on May 17, 2024 provided that the closing price of the Company’s common stock on such vesting date is not less than the closing price on May 17, 2021. The fair value of the Market RSUs was determined using a share price of $4.26, risk-free interest rate of 0.34%, volatility of 88%, and a dividend yield of 0%. The number of shares delivered on the vesting date is determined by the percentile ranking of MannKind total shareholder return (TSR) over the period from May 18, 2021 until May 17, 2024 related to the TSR of the Russell 3000 Pharmaceutical &amp; Biotechnology Index over the same period, as follows: less than 25th percentile=0% of target, 25th percentile=50% of target, 50th percentile=100% of target, 75th percentile=200% percent of target, 90th percentile or higher=300% maximum. Payout values will be interpolated between the percentile rankings above. The resulting stock-based compensation expense will be recognized over the service period regardless of whether the market conditions are achieved, as long as the service condition is rendered.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0" w:name="page91"/>
    <w:bookmarkEnd w:id="90"/>
    <w:p>
      <w:pPr>
        <w:ind w:left="480"/>
        <w:spacing w:after="0"/>
        <w:rPr>
          <w:sz w:val="20"/>
          <w:szCs w:val="20"/>
          <w:color w:val="auto"/>
        </w:rPr>
      </w:pPr>
      <w:r>
        <w:rPr>
          <w:rFonts w:ascii="Arial" w:cs="Arial" w:eastAsia="Arial" w:hAnsi="Arial"/>
          <w:sz w:val="18"/>
          <w:szCs w:val="18"/>
          <w:color w:val="auto"/>
        </w:rPr>
        <w:t>The following table summarizes information about the Company’s stock-based award plans as of December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 Units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23"/>
        </w:trPr>
        <w:tc>
          <w:tcPr>
            <w:tcW w:w="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2004</w:t>
            </w:r>
          </w:p>
        </w:tc>
        <w:tc>
          <w:tcPr>
            <w:tcW w:w="6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206,358</w:t>
            </w:r>
          </w:p>
        </w:tc>
        <w:tc>
          <w:tcPr>
            <w:tcW w:w="2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62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300" w:type="dxa"/>
            <w:vAlign w:val="bottom"/>
          </w:tcPr>
          <w:p>
            <w:pPr>
              <w:jc w:val="right"/>
              <w:spacing w:after="0"/>
              <w:rPr>
                <w:sz w:val="20"/>
                <w:szCs w:val="20"/>
                <w:color w:val="auto"/>
              </w:rPr>
            </w:pPr>
            <w:r>
              <w:rPr>
                <w:rFonts w:ascii="Arial" w:cs="Arial" w:eastAsia="Arial" w:hAnsi="Arial"/>
                <w:sz w:val="18"/>
                <w:szCs w:val="18"/>
                <w:color w:val="auto"/>
              </w:rPr>
              <w:t>3,639,936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2,600</w:t>
            </w:r>
          </w:p>
        </w:tc>
        <w:tc>
          <w:tcPr>
            <w:tcW w:w="2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2018</w:t>
            </w:r>
          </w:p>
        </w:tc>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6,800,852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7,606,425</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5,344,810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624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1300" w:type="dxa"/>
            <w:vAlign w:val="bottom"/>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10,655,146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7,609,025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5,344,810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Share-based payment transactions are recognized as compensation cost based on the fair value of the instrument on the date of grant. 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 The Company recognizes forfeitures as they occur. During the years ended December 31, 2021 and 2020, the Company recorded RSU and option based stock compensation expense of $11.5 million, $6.2 million and employee stock purchase plan compensation of $0.7 million and $0.3 million, respectively.</w:t>
      </w:r>
    </w:p>
    <w:p>
      <w:pPr>
        <w:spacing w:after="0" w:line="164" w:lineRule="exact"/>
        <w:rPr>
          <w:sz w:val="20"/>
          <w:szCs w:val="20"/>
          <w:color w:val="auto"/>
        </w:rPr>
      </w:pPr>
    </w:p>
    <w:p>
      <w:pPr>
        <w:ind w:right="680" w:firstLine="477"/>
        <w:spacing w:after="0" w:line="277" w:lineRule="auto"/>
        <w:rPr>
          <w:sz w:val="20"/>
          <w:szCs w:val="20"/>
          <w:color w:val="auto"/>
        </w:rPr>
      </w:pPr>
      <w:r>
        <w:rPr>
          <w:rFonts w:ascii="Arial" w:cs="Arial" w:eastAsia="Arial" w:hAnsi="Arial"/>
          <w:sz w:val="18"/>
          <w:szCs w:val="18"/>
          <w:color w:val="auto"/>
        </w:rPr>
        <w:t>Total stock-based compensation expense recognized in the accompanying consolidated statements of operations is included in the following categories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3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1,708</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9,471</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2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The expected volatility assumption used in the Company’s Black-Sholes option valuation model is based on an assessment of the historical volatility derived from an analysis of historical trade activity.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There were no options issued in the year ended December 31, 2021. The Company calculated the fair value of employee stock options granted during the year ended December 31, 2020 using the following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0.39% — 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Expected lives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auto"/>
                <w:w w:val="97"/>
              </w:rPr>
              <w:t>5.67 — 7.0 years</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52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w w:val="91"/>
              </w:rPr>
              <w:t>93.83% — 94.25%</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Dividends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5820" w:type="dxa"/>
            <w:vAlign w:val="bottom"/>
          </w:tcPr>
          <w:p>
            <w:pPr>
              <w:ind w:left="480"/>
              <w:spacing w:after="0"/>
              <w:rPr>
                <w:sz w:val="20"/>
                <w:szCs w:val="20"/>
                <w:color w:val="auto"/>
              </w:rPr>
            </w:pPr>
            <w:r>
              <w:rPr>
                <w:rFonts w:ascii="Arial" w:cs="Arial" w:eastAsia="Arial" w:hAnsi="Arial"/>
                <w:sz w:val="18"/>
                <w:szCs w:val="18"/>
                <w:color w:val="auto"/>
                <w:w w:val="97"/>
              </w:rPr>
              <w:t>The following table summarizes information relating to stock options: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360" w:type="dxa"/>
            <w:vAlign w:val="bottom"/>
          </w:tcPr>
          <w:p>
            <w:pPr>
              <w:spacing w:after="0"/>
              <w:rPr>
                <w:sz w:val="12"/>
                <w:szCs w:val="12"/>
                <w:color w:val="auto"/>
              </w:rPr>
            </w:pPr>
          </w:p>
        </w:tc>
        <w:tc>
          <w:tcPr>
            <w:tcW w:w="78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 per Share</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Value ($000)</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12,264,616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(586,572)</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(258,410)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(764,488)</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10,655,146</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25,458</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2021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8,009,961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18,436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77"/>
        <w:spacing w:after="0" w:line="286" w:lineRule="auto"/>
        <w:rPr>
          <w:sz w:val="20"/>
          <w:szCs w:val="20"/>
          <w:color w:val="auto"/>
        </w:rPr>
      </w:pPr>
      <w:r>
        <w:rPr>
          <w:rFonts w:ascii="Arial" w:cs="Arial" w:eastAsia="Arial" w:hAnsi="Arial"/>
          <w:sz w:val="17"/>
          <w:szCs w:val="17"/>
          <w:color w:val="auto"/>
        </w:rPr>
        <w:t>There were no stock options granted in the year ended December 31, 2021. The weighted average grant date fair value of the stock options granted during the year ended December 31, 2020 was $0.97. Total fair value of stock options vested during the years ended December 31, 2021 and 2020 was $2.3 million and $4.5 million, respectively. The total intrinsic value of options exercised during the years ended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1" w:name="page92"/>
    <w:bookmarkEnd w:id="91"/>
    <w:p>
      <w:pPr>
        <w:ind w:right="60"/>
        <w:spacing w:after="0" w:line="277" w:lineRule="auto"/>
        <w:rPr>
          <w:sz w:val="20"/>
          <w:szCs w:val="20"/>
          <w:color w:val="auto"/>
        </w:rPr>
      </w:pPr>
      <w:r>
        <w:rPr>
          <w:rFonts w:ascii="Arial" w:cs="Arial" w:eastAsia="Arial" w:hAnsi="Arial"/>
          <w:sz w:val="18"/>
          <w:szCs w:val="18"/>
          <w:color w:val="auto"/>
        </w:rPr>
        <w:t>December 31, 2021 and 2020 was $1.7 million and $0.5 million, respectively. Intrinsic value is measured using the fair market value at the date of exercise for options exercised or at December 31 for outstanding options, less the applicable exercise price.</w:t>
      </w:r>
    </w:p>
    <w:p>
      <w:pPr>
        <w:spacing w:after="0" w:line="170" w:lineRule="exact"/>
        <w:rPr>
          <w:sz w:val="20"/>
          <w:szCs w:val="20"/>
          <w:color w:val="auto"/>
        </w:rPr>
      </w:pPr>
    </w:p>
    <w:p>
      <w:pPr>
        <w:ind w:right="140" w:firstLine="477"/>
        <w:spacing w:after="0" w:line="277" w:lineRule="auto"/>
        <w:rPr>
          <w:sz w:val="20"/>
          <w:szCs w:val="20"/>
          <w:color w:val="auto"/>
        </w:rPr>
      </w:pPr>
      <w:r>
        <w:rPr>
          <w:rFonts w:ascii="Arial" w:cs="Arial" w:eastAsia="Arial" w:hAnsi="Arial"/>
          <w:sz w:val="18"/>
          <w:szCs w:val="18"/>
          <w:color w:val="auto"/>
        </w:rPr>
        <w:t>Cash received from the exercise of options during the years ended December 31, 2021 and December 31, 2020 was approximately $1.0 million and $0.6 million, respectively.</w:t>
      </w:r>
    </w:p>
    <w:p>
      <w:pPr>
        <w:spacing w:after="0" w:line="170"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As of December 31, 2021 and 2020, the Company recognized a $0.1 million and $0.2 million, respectively, of compensation costs related to the performance-based stock options. As of December 31, 2021 and 2020, there was $0.3 million and $0.4 million, respectively of unrecognized compensation costs related to performance-based stock options subject to performance conditions.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relating to restricted stock units: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6,037,542</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3,326,798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(1,516,065)</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(239,250)</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7,609,025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77"/>
        <w:spacing w:after="0" w:line="286" w:lineRule="auto"/>
        <w:rPr>
          <w:sz w:val="20"/>
          <w:szCs w:val="20"/>
          <w:color w:val="auto"/>
        </w:rPr>
      </w:pPr>
      <w:r>
        <w:rPr>
          <w:rFonts w:ascii="Arial" w:cs="Arial" w:eastAsia="Arial" w:hAnsi="Arial"/>
          <w:sz w:val="17"/>
          <w:szCs w:val="17"/>
          <w:color w:val="auto"/>
        </w:rPr>
        <w:t>Total fair value of restricted stock units vested during the years ended December 31, 2021 and 2020 was $6.7 million and $2.5 million, respectively. Intrinsic value of restricted stock units vested is measured using the closing share price on the day prior to the vest date. The total grant date fair value of restricted stock units outstanding as of December 31, 2021 and 2020 was $19.3 million and $13.3 million, respectively.</w:t>
      </w:r>
    </w:p>
    <w:p>
      <w:pPr>
        <w:spacing w:after="0" w:line="192"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As of December 31, 2021, there was $2.1 million of unrecognized compensation expense related to options and PNQs and $21.1 million of unrecognized compensation expense related to restricted stock units and market based stock units, which are expected to be recognized over the weighted average period of 1.32 to 2.59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The Company provides all employees, including executive officers, the ability to purchase our common stock at a discount under our 2004 employee stock purchase plan (the “ESPP”). The ESPP is designed to comply with Section 423 of the Internal Revenue Code (“IRC”)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92" w:lineRule="exact"/>
        <w:rPr>
          <w:sz w:val="20"/>
          <w:szCs w:val="20"/>
          <w:color w:val="auto"/>
        </w:rPr>
      </w:pPr>
    </w:p>
    <w:p>
      <w:pPr>
        <w:ind w:right="280" w:firstLine="477"/>
        <w:spacing w:after="0" w:line="342" w:lineRule="auto"/>
        <w:rPr>
          <w:sz w:val="20"/>
          <w:szCs w:val="20"/>
          <w:color w:val="auto"/>
        </w:rPr>
      </w:pPr>
      <w:r>
        <w:rPr>
          <w:rFonts w:ascii="Arial" w:cs="Arial" w:eastAsia="Arial" w:hAnsi="Arial"/>
          <w:sz w:val="16"/>
          <w:szCs w:val="16"/>
          <w:color w:val="auto"/>
        </w:rPr>
        <w:t>The Company issued 0.5 million and 0.6 million shares of common stock pursuant to the ESPP for the years ended December 31, 2021 and 2020, respectively. There were approximately 1.1 million shares of common stock available for issuance under the ESPP as of December 31,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20" w:firstLine="477"/>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1" w:lineRule="exact"/>
        <w:rPr>
          <w:sz w:val="20"/>
          <w:szCs w:val="20"/>
          <w:color w:val="auto"/>
        </w:rPr>
      </w:pPr>
    </w:p>
    <w:p>
      <w:pPr>
        <w:ind w:right="20" w:firstLine="477"/>
        <w:spacing w:after="0" w:line="275"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reasonably estimated. The Company’s policy is to accrue for legal expenses in connection with legal proceedings and claims as they are incurred.</w:t>
      </w:r>
    </w:p>
    <w:p>
      <w:pPr>
        <w:spacing w:after="0" w:line="237" w:lineRule="exact"/>
        <w:rPr>
          <w:sz w:val="20"/>
          <w:szCs w:val="20"/>
          <w:color w:val="auto"/>
        </w:rPr>
      </w:pPr>
    </w:p>
    <w:p>
      <w:pPr>
        <w:ind w:right="140" w:firstLine="477"/>
        <w:spacing w:after="0" w:line="313"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In July 2013, the Company entered into an agreement with the Original Milestone Purchasers, pursuant to which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granted the Milestone Rights to receive payments up to $90.0 million upon the occurrence of specified strategic and sales milestones, $65.0 million of which remains payable to Barings upon achievement of such milestones (see Note 7 — </w:t>
      </w:r>
      <w:r>
        <w:rPr>
          <w:rFonts w:ascii="Arial" w:cs="Arial" w:eastAsia="Arial" w:hAnsi="Arial"/>
          <w:sz w:val="16"/>
          <w:szCs w:val="16"/>
          <w:i w:val="1"/>
          <w:iCs w:val="1"/>
          <w:color w:val="auto"/>
        </w:rPr>
        <w:t>Borrowings</w:t>
      </w:r>
      <w:r>
        <w:rPr>
          <w:rFonts w:ascii="Arial" w:cs="Arial" w:eastAsia="Arial" w:hAnsi="Arial"/>
          <w:sz w:val="16"/>
          <w:szCs w:val="16"/>
          <w:color w:val="auto"/>
        </w:rPr>
        <w:t>). The fair value of the Milestone Rights is recorded in the consolidated balance sheet, including $1.1 million in accrued expenses and other current liabilities and $4.8 million in milestone rights liability.</w:t>
      </w:r>
    </w:p>
    <w:p>
      <w:pPr>
        <w:spacing w:after="0" w:line="147" w:lineRule="exact"/>
        <w:rPr>
          <w:sz w:val="20"/>
          <w:szCs w:val="20"/>
          <w:color w:val="auto"/>
        </w:rPr>
      </w:pPr>
    </w:p>
    <w:p>
      <w:pPr>
        <w:ind w:right="200" w:firstLine="477"/>
        <w:spacing w:after="0" w:line="277" w:lineRule="auto"/>
        <w:rPr>
          <w:sz w:val="20"/>
          <w:szCs w:val="20"/>
          <w:color w:val="auto"/>
        </w:rPr>
      </w:pPr>
      <w:r>
        <w:rPr>
          <w:rFonts w:ascii="Arial" w:cs="Arial" w:eastAsia="Arial" w:hAnsi="Arial"/>
          <w:sz w:val="18"/>
          <w:szCs w:val="18"/>
          <w:i w:val="1"/>
          <w:iCs w:val="1"/>
          <w:color w:val="auto"/>
        </w:rPr>
        <w:t xml:space="preserve">Sale lease-back </w:t>
      </w:r>
      <w:r>
        <w:rPr>
          <w:rFonts w:ascii="Arial" w:cs="Arial" w:eastAsia="Arial" w:hAnsi="Arial"/>
          <w:sz w:val="18"/>
          <w:szCs w:val="18"/>
          <w:color w:val="auto"/>
        </w:rPr>
        <w:t>— On November 8, 2021, the Company sold the Property to the Purchaser for a sales price of $102.3 million, subject to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conditions contained in a purchase and sale agreement.</w:t>
      </w:r>
    </w:p>
    <w:p>
      <w:pPr>
        <w:spacing w:after="0" w:line="170" w:lineRule="exact"/>
        <w:rPr>
          <w:sz w:val="20"/>
          <w:szCs w:val="20"/>
          <w:color w:val="auto"/>
        </w:rPr>
      </w:pPr>
    </w:p>
    <w:p>
      <w:pPr>
        <w:ind w:right="60" w:firstLine="477"/>
        <w:spacing w:after="0" w:line="272" w:lineRule="auto"/>
        <w:rPr>
          <w:sz w:val="20"/>
          <w:szCs w:val="20"/>
          <w:color w:val="auto"/>
        </w:rPr>
      </w:pPr>
      <w:r>
        <w:rPr>
          <w:rFonts w:ascii="Arial" w:cs="Arial" w:eastAsia="Arial" w:hAnsi="Arial"/>
          <w:sz w:val="17"/>
          <w:szCs w:val="17"/>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77" w:lineRule="exact"/>
        <w:rPr>
          <w:sz w:val="20"/>
          <w:szCs w:val="20"/>
          <w:color w:val="auto"/>
        </w:rPr>
      </w:pPr>
    </w:p>
    <w:p>
      <w:pPr>
        <w:ind w:right="80" w:firstLine="477"/>
        <w:spacing w:after="0" w:line="301" w:lineRule="auto"/>
        <w:rPr>
          <w:sz w:val="20"/>
          <w:szCs w:val="20"/>
          <w:color w:val="auto"/>
        </w:rPr>
      </w:pPr>
      <w:r>
        <w:rPr>
          <w:rFonts w:ascii="Arial" w:cs="Arial" w:eastAsia="Arial" w:hAnsi="Arial"/>
          <w:sz w:val="16"/>
          <w:szCs w:val="16"/>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57" w:lineRule="exact"/>
        <w:rPr>
          <w:sz w:val="20"/>
          <w:szCs w:val="20"/>
          <w:color w:val="auto"/>
        </w:rPr>
      </w:pPr>
    </w:p>
    <w:p>
      <w:pPr>
        <w:ind w:right="540" w:firstLine="477"/>
        <w:spacing w:after="0" w:line="277" w:lineRule="auto"/>
        <w:rPr>
          <w:sz w:val="20"/>
          <w:szCs w:val="20"/>
          <w:color w:val="auto"/>
        </w:rPr>
      </w:pPr>
      <w:r>
        <w:rPr>
          <w:rFonts w:ascii="Arial" w:cs="Arial" w:eastAsia="Arial" w:hAnsi="Arial"/>
          <w:sz w:val="18"/>
          <w:szCs w:val="18"/>
          <w:color w:val="auto"/>
        </w:rPr>
        <w:t>As of December 31, 2021, the related financing liability was $100.5 million, which was recognized in our consolidated balance sheet as $93.5 million of financing liability — long-term and $7.0 million of financing liability — short-term.</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Financing liability information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December 31, 2021</w:t>
            </w:r>
          </w:p>
        </w:tc>
      </w:tr>
      <w:tr>
        <w:trPr>
          <w:trHeight w:val="223"/>
        </w:trPr>
        <w:tc>
          <w:tcPr>
            <w:tcW w:w="9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4"/>
          </w:tcPr>
          <w:p>
            <w:pPr>
              <w:jc w:val="right"/>
              <w:ind w:right="20"/>
              <w:spacing w:after="0"/>
              <w:rPr>
                <w:sz w:val="20"/>
                <w:szCs w:val="20"/>
                <w:color w:val="auto"/>
              </w:rPr>
            </w:pPr>
            <w:r>
              <w:rPr>
                <w:rFonts w:ascii="Arial" w:cs="Arial" w:eastAsia="Arial" w:hAnsi="Arial"/>
                <w:sz w:val="18"/>
                <w:szCs w:val="18"/>
                <w:color w:val="auto"/>
              </w:rPr>
              <w:t>9.0%</w:t>
            </w:r>
          </w:p>
        </w:tc>
      </w:tr>
      <w:tr>
        <w:trPr>
          <w:trHeight w:val="445"/>
        </w:trPr>
        <w:tc>
          <w:tcPr>
            <w:tcW w:w="9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9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 on financing liability</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8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1,373</w:t>
            </w:r>
          </w:p>
        </w:tc>
        <w:tc>
          <w:tcPr>
            <w:tcW w:w="100" w:type="dxa"/>
            <w:vAlign w:val="bottom"/>
            <w:tcBorders>
              <w:top w:val="single" w:sz="8" w:color="CFF0FC"/>
            </w:tcBorders>
            <w:shd w:val="clear" w:color="auto" w:fill="CFF0FC"/>
          </w:tcPr>
          <w:p>
            <w:pPr>
              <w:spacing w:after="0"/>
              <w:rPr>
                <w:sz w:val="19"/>
                <w:szCs w:val="19"/>
                <w:color w:val="auto"/>
              </w:rPr>
            </w:pPr>
          </w:p>
        </w:tc>
      </w:tr>
      <w:tr>
        <w:trPr>
          <w:trHeight w:val="445"/>
        </w:trPr>
        <w:tc>
          <w:tcPr>
            <w:tcW w:w="9040" w:type="dxa"/>
            <w:vAlign w:val="bottom"/>
          </w:tcPr>
          <w:p>
            <w:pPr>
              <w:ind w:left="480"/>
              <w:spacing w:after="0"/>
              <w:rPr>
                <w:sz w:val="20"/>
                <w:szCs w:val="20"/>
                <w:color w:val="auto"/>
              </w:rPr>
            </w:pPr>
            <w:r>
              <w:rPr>
                <w:rFonts w:ascii="Arial" w:cs="Arial" w:eastAsia="Arial" w:hAnsi="Arial"/>
                <w:sz w:val="18"/>
                <w:szCs w:val="18"/>
                <w:color w:val="auto"/>
              </w:rPr>
              <w:t>Financing liability payments as of December 31, 2021 was as follows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9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r>
              <w:rPr>
                <w:rFonts w:ascii="Arial" w:cs="Arial" w:eastAsia="Arial" w:hAnsi="Arial"/>
                <w:sz w:val="15"/>
                <w:szCs w:val="15"/>
                <w:color w:val="auto"/>
              </w:rPr>
              <w:t>(1)</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6,373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9,778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10,274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199,091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9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246,078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Interest payments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(142,485)</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(3,091)</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Total financing liability</w:t>
            </w:r>
          </w:p>
        </w:tc>
        <w:tc>
          <w:tcPr>
            <w:tcW w:w="80" w:type="dxa"/>
            <w:vAlign w:val="bottom"/>
            <w:gridSpan w:val="2"/>
          </w:tcPr>
          <w:p>
            <w:pPr>
              <w:spacing w:after="0"/>
              <w:rPr>
                <w:sz w:val="19"/>
                <w:szCs w:val="19"/>
                <w:color w:val="auto"/>
              </w:rPr>
            </w:pPr>
          </w:p>
        </w:tc>
        <w:tc>
          <w:tcPr>
            <w:tcW w:w="220" w:type="dxa"/>
            <w:vAlign w:val="bottom"/>
            <w:tcBorders>
              <w:top w:val="single" w:sz="8" w:color="auto"/>
            </w:tcBorders>
            <w:gridSpan w:val="2"/>
          </w:tcPr>
          <w:p>
            <w:pPr>
              <w:jc w:val="right"/>
              <w:ind w:right="109"/>
              <w:spacing w:after="0"/>
              <w:rPr>
                <w:sz w:val="20"/>
                <w:szCs w:val="20"/>
                <w:color w:val="auto"/>
              </w:rPr>
            </w:pPr>
            <w:r>
              <w:rPr>
                <w:rFonts w:ascii="Arial" w:cs="Arial" w:eastAsia="Arial" w:hAnsi="Arial"/>
                <w:sz w:val="10"/>
                <w:szCs w:val="10"/>
                <w:color w:val="auto"/>
                <w:w w:val="71"/>
              </w:rPr>
              <w:t>$</w:t>
            </w:r>
          </w:p>
        </w:tc>
        <w:tc>
          <w:tcPr>
            <w:tcW w:w="1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100,502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13373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2022 includes the amortization of the rent abatement.</w:t>
      </w:r>
    </w:p>
    <w:p>
      <w:pPr>
        <w:spacing w:after="0" w:line="208" w:lineRule="exact"/>
        <w:rPr>
          <w:sz w:val="20"/>
          <w:szCs w:val="20"/>
          <w:color w:val="auto"/>
        </w:rPr>
      </w:pPr>
    </w:p>
    <w:p>
      <w:pPr>
        <w:ind w:right="60" w:firstLine="477"/>
        <w:spacing w:after="0" w:line="311" w:lineRule="auto"/>
        <w:rPr>
          <w:sz w:val="20"/>
          <w:szCs w:val="20"/>
          <w:color w:val="auto"/>
        </w:rPr>
      </w:pPr>
      <w:r>
        <w:rPr>
          <w:rFonts w:ascii="Arial" w:cs="Arial" w:eastAsia="Arial" w:hAnsi="Arial"/>
          <w:sz w:val="16"/>
          <w:szCs w:val="16"/>
          <w:i w:val="1"/>
          <w:iCs w:val="1"/>
          <w:color w:val="auto"/>
        </w:rPr>
        <w:t xml:space="preserve">Commitments </w:t>
      </w:r>
      <w:r>
        <w:rPr>
          <w:rFonts w:ascii="Arial" w:cs="Arial" w:eastAsia="Arial" w:hAnsi="Arial"/>
          <w:sz w:val="16"/>
          <w:szCs w:val="16"/>
          <w:color w:val="auto"/>
        </w:rPr>
        <w:t>— In July 2014, the Company entered into the Insulin Supply Agreement with Amphastar pursuant to which Amphastar manufactures</w:t>
      </w:r>
      <w:r>
        <w:rPr>
          <w:rFonts w:ascii="Arial" w:cs="Arial" w:eastAsia="Arial" w:hAnsi="Arial"/>
          <w:sz w:val="16"/>
          <w:szCs w:val="16"/>
          <w:i w:val="1"/>
          <w:iCs w:val="1"/>
          <w:color w:val="auto"/>
        </w:rPr>
        <w:t xml:space="preserve"> </w:t>
      </w:r>
      <w:r>
        <w:rPr>
          <w:rFonts w:ascii="Arial" w:cs="Arial" w:eastAsia="Arial" w:hAnsi="Arial"/>
          <w:sz w:val="16"/>
          <w:szCs w:val="16"/>
          <w:color w:val="auto"/>
        </w:rPr>
        <w:t>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3" w:name="page94"/>
    <w:bookmarkEnd w:id="93"/>
    <w:p>
      <w:pPr>
        <w:ind w:right="220" w:firstLine="477"/>
        <w:spacing w:after="0" w:line="259" w:lineRule="auto"/>
        <w:rPr>
          <w:sz w:val="20"/>
          <w:szCs w:val="20"/>
          <w:color w:val="auto"/>
        </w:rPr>
      </w:pPr>
      <w:r>
        <w:rPr>
          <w:rFonts w:ascii="Arial" w:cs="Arial" w:eastAsia="Arial" w:hAnsi="Arial"/>
          <w:sz w:val="18"/>
          <w:szCs w:val="18"/>
          <w:color w:val="auto"/>
        </w:rPr>
        <w:t>In May 2021, the Company and Amphastar France Pharmaceuticals S.A.S. (“Amphastar”) amended the Insulin Supply Agreement to extend the term and restructure the annual purchase commitments. In connection with the amendment, the Company agreed to pay $2.0 million of amendment fees, which were recognized in cost of goods sold for the year ended December 31, 2021. The remaining purchase commitments as of December 31, 2021 and March 31, 2021 (pre-amendment)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6320" w:type="dxa"/>
            <w:vAlign w:val="bottom"/>
            <w:shd w:val="clear" w:color="auto" w:fill="CFF0FC"/>
          </w:tcPr>
          <w:p>
            <w:pPr>
              <w:jc w:val="right"/>
              <w:ind w:right="5870"/>
              <w:spacing w:after="0"/>
              <w:rPr>
                <w:sz w:val="20"/>
                <w:szCs w:val="20"/>
                <w:color w:val="auto"/>
              </w:rPr>
            </w:pPr>
            <w:r>
              <w:rPr>
                <w:rFonts w:ascii="Arial" w:cs="Arial" w:eastAsia="Arial" w:hAnsi="Arial"/>
                <w:sz w:val="18"/>
                <w:szCs w:val="18"/>
                <w:color w:val="auto"/>
                <w:w w:val="84"/>
              </w:rPr>
              <w:t>2022</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million</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million</w:t>
            </w:r>
          </w:p>
        </w:tc>
      </w:tr>
      <w:tr>
        <w:trPr>
          <w:trHeight w:val="229"/>
        </w:trPr>
        <w:tc>
          <w:tcPr>
            <w:tcW w:w="6320" w:type="dxa"/>
            <w:vAlign w:val="bottom"/>
          </w:tcPr>
          <w:p>
            <w:pPr>
              <w:jc w:val="right"/>
              <w:ind w:right="5870"/>
              <w:spacing w:after="0"/>
              <w:rPr>
                <w:sz w:val="20"/>
                <w:szCs w:val="20"/>
                <w:color w:val="auto"/>
              </w:rPr>
            </w:pPr>
            <w:r>
              <w:rPr>
                <w:rFonts w:ascii="Arial" w:cs="Arial" w:eastAsia="Arial" w:hAnsi="Arial"/>
                <w:sz w:val="18"/>
                <w:szCs w:val="18"/>
                <w:color w:val="auto"/>
                <w:w w:val="84"/>
              </w:rPr>
              <w:t>2023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8.8 million</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8.5 million</w:t>
            </w:r>
          </w:p>
        </w:tc>
      </w:tr>
      <w:tr>
        <w:trPr>
          <w:trHeight w:val="229"/>
        </w:trPr>
        <w:tc>
          <w:tcPr>
            <w:tcW w:w="6320" w:type="dxa"/>
            <w:vAlign w:val="bottom"/>
            <w:shd w:val="clear" w:color="auto" w:fill="CFF0FC"/>
          </w:tcPr>
          <w:p>
            <w:pPr>
              <w:jc w:val="right"/>
              <w:ind w:right="5870"/>
              <w:spacing w:after="0"/>
              <w:rPr>
                <w:sz w:val="20"/>
                <w:szCs w:val="20"/>
                <w:color w:val="auto"/>
              </w:rPr>
            </w:pPr>
            <w:r>
              <w:rPr>
                <w:rFonts w:ascii="Arial" w:cs="Arial" w:eastAsia="Arial" w:hAnsi="Arial"/>
                <w:sz w:val="18"/>
                <w:szCs w:val="18"/>
                <w:color w:val="auto"/>
                <w:w w:val="84"/>
              </w:rPr>
              <w:t>2024</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 million</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million</w:t>
            </w:r>
          </w:p>
        </w:tc>
      </w:tr>
      <w:tr>
        <w:trPr>
          <w:trHeight w:val="230"/>
        </w:trPr>
        <w:tc>
          <w:tcPr>
            <w:tcW w:w="6320" w:type="dxa"/>
            <w:vAlign w:val="bottom"/>
          </w:tcPr>
          <w:p>
            <w:pPr>
              <w:jc w:val="right"/>
              <w:ind w:right="5870"/>
              <w:spacing w:after="0"/>
              <w:rPr>
                <w:sz w:val="20"/>
                <w:szCs w:val="20"/>
                <w:color w:val="auto"/>
              </w:rPr>
            </w:pPr>
            <w:r>
              <w:rPr>
                <w:rFonts w:ascii="Arial" w:cs="Arial" w:eastAsia="Arial" w:hAnsi="Arial"/>
                <w:sz w:val="18"/>
                <w:szCs w:val="18"/>
                <w:color w:val="auto"/>
                <w:w w:val="84"/>
              </w:rPr>
              <w:t>2025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15.5 million</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14.6 million</w:t>
            </w:r>
          </w:p>
        </w:tc>
      </w:tr>
      <w:tr>
        <w:trPr>
          <w:trHeight w:val="229"/>
        </w:trPr>
        <w:tc>
          <w:tcPr>
            <w:tcW w:w="6320" w:type="dxa"/>
            <w:vAlign w:val="bottom"/>
            <w:shd w:val="clear" w:color="auto" w:fill="CFF0FC"/>
          </w:tcPr>
          <w:p>
            <w:pPr>
              <w:jc w:val="right"/>
              <w:ind w:right="5870"/>
              <w:spacing w:after="0"/>
              <w:rPr>
                <w:sz w:val="20"/>
                <w:szCs w:val="20"/>
                <w:color w:val="auto"/>
              </w:rPr>
            </w:pPr>
            <w:r>
              <w:rPr>
                <w:rFonts w:ascii="Arial" w:cs="Arial" w:eastAsia="Arial" w:hAnsi="Arial"/>
                <w:sz w:val="18"/>
                <w:szCs w:val="18"/>
                <w:color w:val="auto"/>
                <w:w w:val="84"/>
              </w:rPr>
              <w:t>2026</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6320" w:type="dxa"/>
            <w:vAlign w:val="bottom"/>
          </w:tcPr>
          <w:p>
            <w:pPr>
              <w:jc w:val="right"/>
              <w:ind w:right="5870"/>
              <w:spacing w:after="0"/>
              <w:rPr>
                <w:sz w:val="20"/>
                <w:szCs w:val="20"/>
                <w:color w:val="auto"/>
              </w:rPr>
            </w:pPr>
            <w:r>
              <w:rPr>
                <w:rFonts w:ascii="Arial" w:cs="Arial" w:eastAsia="Arial" w:hAnsi="Arial"/>
                <w:sz w:val="18"/>
                <w:szCs w:val="18"/>
                <w:color w:val="auto"/>
                <w:w w:val="84"/>
              </w:rPr>
              <w:t>2027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9.2 million</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19.4 million</w:t>
            </w:r>
          </w:p>
        </w:tc>
      </w:tr>
    </w:tbl>
    <w:p>
      <w:pPr>
        <w:spacing w:after="0" w:line="255" w:lineRule="exact"/>
        <w:rPr>
          <w:sz w:val="20"/>
          <w:szCs w:val="20"/>
          <w:color w:val="auto"/>
        </w:rPr>
      </w:pPr>
    </w:p>
    <w:p>
      <w:pPr>
        <w:ind w:right="40" w:firstLine="477"/>
        <w:spacing w:after="0" w:line="254" w:lineRule="auto"/>
        <w:rPr>
          <w:sz w:val="20"/>
          <w:szCs w:val="20"/>
          <w:color w:val="auto"/>
        </w:rPr>
      </w:pPr>
      <w:r>
        <w:rPr>
          <w:rFonts w:ascii="Arial" w:cs="Arial" w:eastAsia="Arial" w:hAnsi="Arial"/>
          <w:sz w:val="18"/>
          <w:szCs w:val="18"/>
          <w:color w:val="auto"/>
        </w:rPr>
        <w:t>Pursuant to the amendment, the term of the Insulin Supply Agreement expires on December 31, 2027,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219"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During the second quarter of 2018, the Company entered into a lease agreement with Enterprise Fleet Management Inc.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2021, 85 vehicles were retired and all of those vehicles were replaced, resulting in a fleet size of 89 vehicles. The Company received proceeds for the gain on the retired vehicles residual value in the amount of $0.5, which is included as a reduction to our lease expense. The revised monthly payment inclusive of maintenance fees, insurance and taxes is approximately $0.1 million and the additional right of use asset and lease obligation is approximately $1.4 million in the consolidated balance sheets. The lease expense is included in selling, general and administrative expenses in the consolidated statements of operations.</w:t>
      </w:r>
    </w:p>
    <w:p>
      <w:pPr>
        <w:spacing w:after="0" w:line="84"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i w:val="1"/>
          <w:iCs w:val="1"/>
          <w:color w:val="auto"/>
        </w:rPr>
        <w:t xml:space="preserve">Office Leases </w:t>
      </w:r>
      <w:r>
        <w:rPr>
          <w:rFonts w:ascii="Arial" w:cs="Arial" w:eastAsia="Arial" w:hAnsi="Arial"/>
          <w:sz w:val="18"/>
          <w:szCs w:val="18"/>
          <w:color w:val="auto"/>
        </w:rPr>
        <w:t>— In May 2017, the Company executed an office lease with Russell Ranch Road II LLC for the Company’s corporate offices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five-month concession from October 2017 through February 2018. The lease also provides for allowances for tenant alterations and maintenance. The lease expires in January 2023 and provides the Company with a five-year renewal option. The lease expense is included in selling, general and administrative expenses in the accompanying consolidated statement of operations.</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November 2017, the Company executed an office lease with Russell Ranch Road II LLC to expand the office space for the Company’s corporate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offices in Westlake Village, California. The office lease commenced in October 2018. The Company agreed to pay initial monthly lease payments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$35,969, subject to a 3% annual increase, plus the estimated operating cost of maintaining the property by the landlord, which are allocable based an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assessment made by the landlord. In addition, the Company received reimbursement from the landlord of $56,325 for tenant improvements and was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pay a first-year common area maintenance fee. The lease expires in January 2023 and provides the Company with a five-year renewal option.</w:t>
      </w:r>
    </w:p>
    <w:p>
      <w:pPr>
        <w:spacing w:after="0" w:line="2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Lease information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2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7"/>
              </w:rPr>
              <w:t>2.6</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1400"/>
              <w:spacing w:after="0"/>
              <w:rPr>
                <w:sz w:val="20"/>
                <w:szCs w:val="20"/>
                <w:color w:val="auto"/>
              </w:rPr>
            </w:pPr>
            <w:r>
              <w:rPr>
                <w:rFonts w:ascii="Arial" w:cs="Arial" w:eastAsia="Arial" w:hAnsi="Arial"/>
                <w:sz w:val="18"/>
                <w:szCs w:val="18"/>
                <w:color w:val="auto"/>
                <w:w w:val="87"/>
              </w:rPr>
              <w:t>1.9</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ind w:left="1400"/>
              <w:spacing w:after="0"/>
              <w:rPr>
                <w:sz w:val="20"/>
                <w:szCs w:val="20"/>
                <w:color w:val="auto"/>
              </w:rPr>
            </w:pPr>
            <w:r>
              <w:rPr>
                <w:rFonts w:ascii="Arial" w:cs="Arial" w:eastAsia="Arial" w:hAnsi="Arial"/>
                <w:sz w:val="18"/>
                <w:szCs w:val="18"/>
                <w:color w:val="auto"/>
                <w:w w:val="97"/>
              </w:rPr>
              <w:t>7.5%</w:t>
            </w:r>
          </w:p>
        </w:tc>
      </w:tr>
      <w:tr>
        <w:trPr>
          <w:trHeight w:val="445"/>
        </w:trPr>
        <w:tc>
          <w:tcPr>
            <w:tcW w:w="4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w:t>
            </w: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60" w:type="dxa"/>
            <w:vAlign w:val="bottom"/>
          </w:tcPr>
          <w:p>
            <w:pPr>
              <w:spacing w:after="0"/>
              <w:rPr>
                <w:sz w:val="19"/>
                <w:szCs w:val="19"/>
                <w:color w:val="auto"/>
              </w:rPr>
            </w:pPr>
          </w:p>
        </w:tc>
        <w:tc>
          <w:tcPr>
            <w:tcW w:w="3760" w:type="dxa"/>
            <w:vAlign w:val="bottom"/>
            <w:gridSpan w:val="3"/>
          </w:tcPr>
          <w:p>
            <w:pPr>
              <w:jc w:val="right"/>
              <w:ind w:right="307"/>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ind w:right="6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220" w:type="dxa"/>
            <w:vAlign w:val="bottom"/>
            <w:tcBorders>
              <w:top w:val="single" w:sz="8" w:color="CFF0FC"/>
            </w:tcBorders>
            <w:gridSpan w:val="2"/>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ind w:right="13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Variable lease costs</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Cash paid</w:t>
            </w:r>
          </w:p>
        </w:tc>
        <w:tc>
          <w:tcPr>
            <w:tcW w:w="2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FF0FC"/>
          </w:tcPr>
          <w:p>
            <w:pPr>
              <w:spacing w:after="0"/>
              <w:rPr>
                <w:sz w:val="19"/>
                <w:szCs w:val="19"/>
                <w:color w:val="auto"/>
              </w:rPr>
            </w:pPr>
          </w:p>
        </w:tc>
      </w:tr>
      <w:tr>
        <w:trPr>
          <w:trHeight w:val="648"/>
        </w:trPr>
        <w:tc>
          <w:tcPr>
            <w:tcW w:w="4560" w:type="dxa"/>
            <w:vAlign w:val="bottom"/>
          </w:tcPr>
          <w:p>
            <w:pPr>
              <w:spacing w:after="0"/>
              <w:rPr>
                <w:sz w:val="24"/>
                <w:szCs w:val="24"/>
                <w:color w:val="auto"/>
              </w:rPr>
            </w:pPr>
          </w:p>
        </w:tc>
        <w:tc>
          <w:tcPr>
            <w:tcW w:w="2080" w:type="dxa"/>
            <w:vAlign w:val="bottom"/>
          </w:tcPr>
          <w:p>
            <w:pPr>
              <w:jc w:val="right"/>
              <w:ind w:right="839"/>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4" w:name="page95"/>
    <w:bookmarkEnd w:id="94"/>
    <w:p>
      <w:pPr>
        <w:ind w:left="480"/>
        <w:spacing w:after="0"/>
        <w:rPr>
          <w:sz w:val="20"/>
          <w:szCs w:val="20"/>
          <w:color w:val="auto"/>
        </w:rPr>
      </w:pPr>
      <w:r>
        <w:rPr>
          <w:rFonts w:ascii="Arial" w:cs="Arial" w:eastAsia="Arial" w:hAnsi="Arial"/>
          <w:sz w:val="18"/>
          <w:szCs w:val="18"/>
          <w:color w:val="auto"/>
        </w:rPr>
        <w:t>Future minimum office and vehicle lease payments as of December 31, 2021 and 2020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160" w:type="dxa"/>
            <w:vAlign w:val="bottom"/>
            <w:tcBorders>
              <w:bottom w:val="single" w:sz="8" w:color="CFF0FC"/>
            </w:tcBorders>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160" w:type="dxa"/>
            <w:vAlign w:val="bottom"/>
            <w:shd w:val="clear" w:color="auto" w:fill="CFF0FC"/>
          </w:tcPr>
          <w:p>
            <w:pPr>
              <w:jc w:val="right"/>
              <w:ind w:right="3710"/>
              <w:spacing w:after="0"/>
              <w:rPr>
                <w:sz w:val="20"/>
                <w:szCs w:val="20"/>
                <w:color w:val="auto"/>
              </w:rPr>
            </w:pPr>
            <w:r>
              <w:rPr>
                <w:rFonts w:ascii="Arial" w:cs="Arial" w:eastAsia="Arial" w:hAnsi="Arial"/>
                <w:sz w:val="18"/>
                <w:szCs w:val="18"/>
                <w:color w:val="auto"/>
                <w:w w:val="84"/>
              </w:rPr>
              <w:t>2021</w:t>
            </w:r>
          </w:p>
        </w:tc>
        <w:tc>
          <w:tcPr>
            <w:tcW w:w="3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jc w:val="right"/>
              <w:ind w:right="3710"/>
              <w:spacing w:after="0"/>
              <w:rPr>
                <w:sz w:val="20"/>
                <w:szCs w:val="20"/>
                <w:color w:val="auto"/>
              </w:rPr>
            </w:pPr>
            <w:r>
              <w:rPr>
                <w:rFonts w:ascii="Arial" w:cs="Arial" w:eastAsia="Arial" w:hAnsi="Arial"/>
                <w:sz w:val="18"/>
                <w:szCs w:val="18"/>
                <w:color w:val="auto"/>
                <w:w w:val="84"/>
              </w:rPr>
              <w:t>2022</w:t>
            </w:r>
          </w:p>
        </w:tc>
        <w:tc>
          <w:tcPr>
            <w:tcW w:w="3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jc w:val="right"/>
              <w:ind w:right="3710"/>
              <w:spacing w:after="0"/>
              <w:rPr>
                <w:sz w:val="20"/>
                <w:szCs w:val="20"/>
                <w:color w:val="auto"/>
              </w:rPr>
            </w:pPr>
            <w:r>
              <w:rPr>
                <w:rFonts w:ascii="Arial" w:cs="Arial" w:eastAsia="Arial" w:hAnsi="Arial"/>
                <w:sz w:val="18"/>
                <w:szCs w:val="18"/>
                <w:color w:val="auto"/>
                <w:w w:val="84"/>
              </w:rPr>
              <w:t>2023</w:t>
            </w:r>
          </w:p>
        </w:tc>
        <w:tc>
          <w:tcPr>
            <w:tcW w:w="3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jc w:val="right"/>
              <w:ind w:right="3710"/>
              <w:spacing w:after="0"/>
              <w:rPr>
                <w:sz w:val="20"/>
                <w:szCs w:val="20"/>
                <w:color w:val="auto"/>
              </w:rPr>
            </w:pPr>
            <w:r>
              <w:rPr>
                <w:rFonts w:ascii="Arial" w:cs="Arial" w:eastAsia="Arial" w:hAnsi="Arial"/>
                <w:sz w:val="18"/>
                <w:szCs w:val="18"/>
                <w:color w:val="auto"/>
                <w:w w:val="84"/>
              </w:rPr>
              <w:t>2024</w:t>
            </w:r>
          </w:p>
        </w:tc>
        <w:tc>
          <w:tcPr>
            <w:tcW w:w="3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FF0FC"/>
          </w:tcPr>
          <w:p>
            <w:pPr>
              <w:jc w:val="right"/>
              <w:ind w:right="3710"/>
              <w:spacing w:after="0"/>
              <w:rPr>
                <w:sz w:val="20"/>
                <w:szCs w:val="20"/>
                <w:color w:val="auto"/>
              </w:rPr>
            </w:pPr>
            <w:r>
              <w:rPr>
                <w:rFonts w:ascii="Arial" w:cs="Arial" w:eastAsia="Arial" w:hAnsi="Arial"/>
                <w:sz w:val="18"/>
                <w:szCs w:val="18"/>
                <w:color w:val="auto"/>
                <w:w w:val="84"/>
              </w:rPr>
              <w:t>2025</w:t>
            </w:r>
          </w:p>
        </w:tc>
        <w:tc>
          <w:tcPr>
            <w:tcW w:w="3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Pr>
          <w:p>
            <w:pPr>
              <w:jc w:val="right"/>
              <w:ind w:right="3450"/>
              <w:spacing w:after="0"/>
              <w:rPr>
                <w:sz w:val="20"/>
                <w:szCs w:val="20"/>
                <w:color w:val="auto"/>
              </w:rPr>
            </w:pPr>
            <w:r>
              <w:rPr>
                <w:rFonts w:ascii="Arial" w:cs="Arial" w:eastAsia="Arial" w:hAnsi="Arial"/>
                <w:sz w:val="18"/>
                <w:szCs w:val="18"/>
                <w:color w:val="auto"/>
              </w:rPr>
              <w:t>Total</w:t>
            </w:r>
          </w:p>
        </w:tc>
        <w:tc>
          <w:tcPr>
            <w:tcW w:w="35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243" w:lineRule="exact"/>
        <w:rPr>
          <w:sz w:val="20"/>
          <w:szCs w:val="20"/>
          <w:color w:val="auto"/>
        </w:rPr>
      </w:pPr>
    </w:p>
    <w:p>
      <w:pPr>
        <w:ind w:right="80" w:firstLine="477"/>
        <w:spacing w:after="0" w:line="296" w:lineRule="auto"/>
        <w:rPr>
          <w:sz w:val="20"/>
          <w:szCs w:val="20"/>
          <w:color w:val="auto"/>
        </w:rPr>
      </w:pPr>
      <w:r>
        <w:rPr>
          <w:rFonts w:ascii="Arial" w:cs="Arial" w:eastAsia="Arial" w:hAnsi="Arial"/>
          <w:sz w:val="16"/>
          <w:szCs w:val="16"/>
          <w:color w:val="auto"/>
        </w:rPr>
        <w:t>The Company administers a defined contribution 401(k) savings retirement plan for its employees. The Company may make discretionary matching contributions. For the year ended December 31, 2021, the Company matched each participant’s deferral at the rate of 50% of each participant’s deferral up to the first 10% of compensation. Participants hired after March 31, 2021 became vested in Company contributions at 100% after two years of service. For the year ended December 31, 2020, the Company matched each participant’s deferral at the rate of 50% of each participant’s deferral up to the first 6% of compensation. Participants are vested in Company contributions at 50% after one year of service and are 100% vested after two years of service.</w:t>
      </w:r>
    </w:p>
    <w:p>
      <w:pPr>
        <w:spacing w:after="0" w:line="161" w:lineRule="exact"/>
        <w:rPr>
          <w:sz w:val="20"/>
          <w:szCs w:val="20"/>
          <w:color w:val="auto"/>
        </w:rPr>
      </w:pPr>
    </w:p>
    <w:p>
      <w:pPr>
        <w:ind w:right="380" w:firstLine="477"/>
        <w:spacing w:after="0" w:line="277" w:lineRule="auto"/>
        <w:rPr>
          <w:sz w:val="20"/>
          <w:szCs w:val="20"/>
          <w:color w:val="auto"/>
        </w:rPr>
      </w:pPr>
      <w:r>
        <w:rPr>
          <w:rFonts w:ascii="Arial" w:cs="Arial" w:eastAsia="Arial" w:hAnsi="Arial"/>
          <w:sz w:val="18"/>
          <w:szCs w:val="18"/>
          <w:color w:val="auto"/>
        </w:rPr>
        <w:t>The Company’s total discretionary matching contributions were $1.5 million and $0.9 million for the years ended December 31, 2021 and 2020,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460" w:firstLine="477"/>
        <w:spacing w:after="0" w:line="277" w:lineRule="auto"/>
        <w:rPr>
          <w:sz w:val="20"/>
          <w:szCs w:val="20"/>
          <w:color w:val="auto"/>
        </w:rPr>
      </w:pPr>
      <w:r>
        <w:rPr>
          <w:rFonts w:ascii="Arial" w:cs="Arial" w:eastAsia="Arial" w:hAnsi="Arial"/>
          <w:sz w:val="18"/>
          <w:szCs w:val="18"/>
          <w:color w:val="auto"/>
        </w:rPr>
        <w:t>Loss from continuing operations before provision for income taxes for the Company’s domestic and international operations was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00" w:type="dxa"/>
            <w:vAlign w:val="bottom"/>
            <w:tcBorders>
              <w:bottom w:val="single" w:sz="8" w:color="CFF0FC"/>
            </w:tcBorders>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(80,926)</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(57,458)</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Foreign</w:t>
            </w: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23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(80,926)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(57,458)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77"/>
        <w:spacing w:after="0" w:line="263" w:lineRule="auto"/>
        <w:rPr>
          <w:sz w:val="20"/>
          <w:szCs w:val="20"/>
          <w:color w:val="auto"/>
        </w:rPr>
      </w:pPr>
      <w:r>
        <w:rPr>
          <w:rFonts w:ascii="Arial" w:cs="Arial" w:eastAsia="Arial" w:hAnsi="Arial"/>
          <w:sz w:val="18"/>
          <w:szCs w:val="18"/>
          <w:color w:val="auto"/>
        </w:rPr>
        <w:t>At December 31, 2021, the Company has concluded that it is more likely than not that the Company may not realize the benefit of its deferred tax assets due to its history of losses. The Company has incurred operating losses since inception. Accordingly, the net deferred tax assets have been fully reserved. The provision for income taxes consists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87"/>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4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U.S. federal</w:t>
            </w:r>
          </w:p>
        </w:tc>
        <w:tc>
          <w:tcPr>
            <w:tcW w:w="50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state</w:t>
            </w:r>
          </w:p>
        </w:tc>
        <w:tc>
          <w:tcPr>
            <w:tcW w:w="4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260"/>
              <w:spacing w:after="0"/>
              <w:rPr>
                <w:sz w:val="20"/>
                <w:szCs w:val="20"/>
                <w:color w:val="auto"/>
              </w:rPr>
            </w:pPr>
            <w:r>
              <w:rPr>
                <w:rFonts w:ascii="Arial" w:cs="Arial" w:eastAsia="Arial" w:hAnsi="Arial"/>
                <w:sz w:val="18"/>
                <w:szCs w:val="18"/>
                <w:color w:val="auto"/>
              </w:rPr>
              <w:t>Non-U.S.</w:t>
            </w:r>
          </w:p>
        </w:tc>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current</w:t>
            </w:r>
          </w:p>
        </w:tc>
        <w:tc>
          <w:tcPr>
            <w:tcW w:w="4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Deferred</w:t>
            </w:r>
          </w:p>
        </w:tc>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federal</w:t>
            </w:r>
          </w:p>
        </w:tc>
        <w:tc>
          <w:tcPr>
            <w:tcW w:w="4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U.S. state</w:t>
            </w:r>
          </w:p>
        </w:tc>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(14,461)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w:t>
            </w:r>
          </w:p>
        </w:tc>
        <w:tc>
          <w:tcPr>
            <w:tcW w:w="4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deferred</w:t>
            </w:r>
          </w:p>
        </w:tc>
        <w:tc>
          <w:tcPr>
            <w:tcW w:w="40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(19,631)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4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40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80" w:type="dxa"/>
            <w:vAlign w:val="bottom"/>
            <w:vMerge w:val="restart"/>
          </w:tcPr>
          <w:p>
            <w:pPr>
              <w:jc w:val="right"/>
              <w:ind w:right="1890"/>
              <w:spacing w:after="0"/>
              <w:rPr>
                <w:sz w:val="20"/>
                <w:szCs w:val="20"/>
                <w:color w:val="auto"/>
              </w:rPr>
            </w:pPr>
            <w:r>
              <w:rPr>
                <w:rFonts w:ascii="Arial" w:cs="Arial" w:eastAsia="Arial" w:hAnsi="Arial"/>
                <w:sz w:val="18"/>
                <w:szCs w:val="18"/>
                <w:color w:val="auto"/>
              </w:rPr>
              <w:t>95</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6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95" w:name="page96"/>
    <w:bookmarkEnd w:id="95"/>
    <w:p>
      <w:pPr>
        <w:jc w:val="both"/>
        <w:ind w:right="220" w:firstLine="477"/>
        <w:spacing w:after="0" w:line="311" w:lineRule="auto"/>
        <w:rPr>
          <w:sz w:val="20"/>
          <w:szCs w:val="20"/>
          <w:color w:val="auto"/>
        </w:rPr>
      </w:pPr>
      <w:r>
        <w:rPr>
          <w:rFonts w:ascii="Arial" w:cs="Arial" w:eastAsia="Arial" w:hAnsi="Arial"/>
          <w:sz w:val="16"/>
          <w:szCs w:val="16"/>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as of December 31, 2021 and 2020, are approximately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542,800</w:t>
            </w:r>
          </w:p>
        </w:tc>
        <w:tc>
          <w:tcPr>
            <w:tcW w:w="300" w:type="dxa"/>
            <w:vAlign w:val="bottom"/>
          </w:tcPr>
          <w:p>
            <w:pPr>
              <w:spacing w:after="0"/>
              <w:rPr>
                <w:sz w:val="19"/>
                <w:szCs w:val="19"/>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533,448</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79,455</w:t>
            </w:r>
          </w:p>
        </w:tc>
        <w:tc>
          <w:tcPr>
            <w:tcW w:w="12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Milestone Rights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Loss on purchase commitment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23,864</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Non-qualified stock option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12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Capitalized patent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Lease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limitation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2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20,735</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Product Revenue &amp; Costs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695,921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676,205</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(695,094)</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(675,463)</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(555)</w:t>
            </w: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(510)</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Other prepaids</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Company’s effective tax rate differs from the statutory federal income tax rate as follows for the years ended December 31, 2021 and 2020:</w:t>
      </w:r>
    </w:p>
    <w:p>
      <w:pPr>
        <w:spacing w:after="0" w:line="334"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tax benefit rate</w:t>
            </w: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Tax attribute expirations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withholding tax</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color w:val="auto"/>
        </w:rPr>
        <w:t>As of December 31, 2021 and 2020, management assessed the realizability of deferred tax assets. Management evaluated the need for an amount of any valuation allowance for deferred tax assets on a jurisdictional basis. This evaluation utilizes the framework contained in ASC 740, Income Taxes, wherein management analyzes all positive and negative evidence available at the balance sheet date to determine whether all or some portion of our deferred tax assets will not be realized. Under this guidance, a valuation allowance must be established for deferred tax assets when it is more likely than not (a probability level of more than 50 percent) that they will not be realized. In assessing the realization of the Company's deferred tax assets, the Company considers all available evidence, both positive and negative.</w:t>
      </w:r>
    </w:p>
    <w:p>
      <w:pPr>
        <w:spacing w:after="0" w:line="178" w:lineRule="exact"/>
        <w:rPr>
          <w:sz w:val="20"/>
          <w:szCs w:val="20"/>
          <w:color w:val="auto"/>
        </w:rPr>
      </w:pPr>
    </w:p>
    <w:p>
      <w:pPr>
        <w:ind w:right="140" w:firstLine="477"/>
        <w:spacing w:after="0" w:line="257"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it was concluded on a more-likely-than-not basis that all deferred tax assets were not realizable as of December 31, 2021. Accordingly, a valuation allowance of $695.1 million has been recorded to offset this deferred tax asset. During the years ended December 31, 2021 and 2020, the change in valuation allowance was $19.6 million and $4.8 million, respectively.</w:t>
      </w:r>
    </w:p>
    <w:p>
      <w:pPr>
        <w:spacing w:after="0" w:line="188" w:lineRule="exact"/>
        <w:rPr>
          <w:sz w:val="20"/>
          <w:szCs w:val="20"/>
          <w:color w:val="auto"/>
        </w:rPr>
      </w:pPr>
    </w:p>
    <w:p>
      <w:pPr>
        <w:ind w:right="380" w:firstLine="477"/>
        <w:spacing w:after="0" w:line="263" w:lineRule="auto"/>
        <w:rPr>
          <w:sz w:val="20"/>
          <w:szCs w:val="20"/>
          <w:color w:val="auto"/>
        </w:rPr>
      </w:pPr>
      <w:r>
        <w:rPr>
          <w:rFonts w:ascii="Arial" w:cs="Arial" w:eastAsia="Arial" w:hAnsi="Arial"/>
          <w:sz w:val="18"/>
          <w:szCs w:val="18"/>
          <w:color w:val="auto"/>
        </w:rPr>
        <w:t>As of December 31, 2021, the Company had federal and state net operating loss carryforwards of approximately $2.2 billion and $1.3 billion available, respectively, to reduce future taxable income. $452.7 million of the federal losses do not expire and the remaining federal losses have started expiring, beginning in the current year through various future 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ind w:right="40" w:firstLine="477"/>
        <w:spacing w:after="0" w:line="269" w:lineRule="auto"/>
        <w:rPr>
          <w:sz w:val="20"/>
          <w:szCs w:val="20"/>
          <w:color w:val="auto"/>
        </w:rPr>
      </w:pPr>
      <w:r>
        <w:rPr>
          <w:rFonts w:ascii="Arial" w:cs="Arial" w:eastAsia="Arial" w:hAnsi="Arial"/>
          <w:sz w:val="17"/>
          <w:szCs w:val="17"/>
          <w:color w:val="auto"/>
        </w:rPr>
        <w:t>Pursuant to IRC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IRC Section 382 occurred in August 2004. As a result, federal net operating loss and credit carryforwards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2021, to determine whether additional limitations may be placed on the net operating loss carryforwards and other tax attributes, and no additional changes in ownership that met Section 382 study ownership change threshold has been identified through December 31, 2021]. There is a risk that changes in ownership may occur in tax years after December 31, 2021.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79"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At December 31, 2021, the Company had $54.2 million of U.S. federal research and development credits which expire beginning in 2024, and $24.6 million of state research and development credits. The California credits do not expire and $2.0 million of the available $2.2 million New Jersey credits expired at the end of 2021. The Company also had two types of credits in Connecticut of which $19.8 million do not expire and $0.1 million of $1.2 million expired at the end of 2021.</w:t>
      </w:r>
    </w:p>
    <w:p>
      <w:pPr>
        <w:spacing w:after="0" w:line="187"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tax laws. The Company's tax years since 2016 remain subject to examination by federal, state and foreign tax authorities.</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reconciliation of beginning and ending amounts of unrecognized tax benefits in 2021 and 2020, respectively, was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7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3"/>
                <w:szCs w:val="13"/>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Unrecognized Tax Benefit</w:t>
            </w:r>
          </w:p>
        </w:tc>
        <w:tc>
          <w:tcPr>
            <w:tcW w:w="2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Beginning of Year</w:t>
            </w:r>
          </w:p>
        </w:tc>
        <w:tc>
          <w:tcPr>
            <w:tcW w:w="2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268,902</w:t>
            </w:r>
          </w:p>
        </w:tc>
        <w:tc>
          <w:tcPr>
            <w:tcW w:w="10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Gross increases for tax positions of prior years</w:t>
            </w:r>
          </w:p>
        </w:tc>
        <w:tc>
          <w:tcPr>
            <w:tcW w:w="2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268,902</w:t>
            </w: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Gross decreases for tax positions of current year</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Settlements</w:t>
            </w:r>
          </w:p>
        </w:tc>
        <w:tc>
          <w:tcPr>
            <w:tcW w:w="2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Year</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268,902</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At December 31, 2021 and 2020, the Company has not recognized a liability for unrecognized tax benefits. If any were recognized, it would affect the Company’s effective tax rate. The Company does not expect its unrecognized tax benefits to change significantly over the next 12 months. The Company recognizes interest and penalties accrued related to unrecognized tax benefits in income tax expense. During the years ended December 31, 2021 and 2020, the Company did not recognize any interest and/or penalties.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57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23.1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333-117811, 333-127876, 333-137332, 333-149049, 333-160225, 333-176409, 333-182457, 333-188790, 333-213366, 333-225428, 333-226648, and 333-242367 on Form S-8 and Registration Statement No. 333-230633 on Form S-3 of our reports dated February 24, 2022, relating to the financial statements of MannKind Corporation and subsidiaries (“MannKind Corporation”) and the effectiveness of MannKind Corporation’s internal control over financial reporting appearing in this Annual Report on Form 10-K of MannKind Corporation for the year ended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1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Michael E. Castagna</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ectPr>
          <w:pgSz w:w="11900" w:h="16838" w:orient="portrait"/>
          <w:cols w:equalWidth="0" w:num="1">
            <w:col w:w="11240"/>
          </w:cols>
          <w:pgMar w:left="320" w:top="33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Steven B. Binder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ectPr>
          <w:pgSz w:w="11900" w:h="16838" w:orient="portrait"/>
          <w:cols w:equalWidth="0" w:num="1">
            <w:col w:w="11240"/>
          </w:cols>
          <w:pgMar w:left="320" w:top="33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6" w:lineRule="exact"/>
        <w:rPr>
          <w:sz w:val="20"/>
          <w:szCs w:val="20"/>
          <w:color w:val="auto"/>
        </w:rPr>
      </w:pPr>
    </w:p>
    <w:p>
      <w:pPr>
        <w:ind w:left="540" w:right="160" w:hanging="532"/>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2021,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24th day of February,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25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150" w:lineRule="exact"/>
        <w:rPr>
          <w:sz w:val="20"/>
          <w:szCs w:val="20"/>
          <w:color w:val="auto"/>
        </w:rPr>
      </w:pPr>
    </w:p>
    <w:p>
      <w:pPr>
        <w:ind w:left="540" w:right="200" w:hanging="532"/>
        <w:spacing w:after="0" w:line="259"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6" w:lineRule="exact"/>
        <w:rPr>
          <w:sz w:val="20"/>
          <w:szCs w:val="20"/>
          <w:color w:val="auto"/>
        </w:rPr>
      </w:pPr>
    </w:p>
    <w:p>
      <w:pPr>
        <w:ind w:left="540" w:right="160" w:hanging="532"/>
        <w:spacing w:after="0" w:line="277"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2021, to which this Certification is attached as Exhibit 32.2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24th day of February,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259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150" w:lineRule="exact"/>
        <w:rPr>
          <w:sz w:val="20"/>
          <w:szCs w:val="20"/>
          <w:color w:val="auto"/>
        </w:rPr>
      </w:pPr>
    </w:p>
    <w:p>
      <w:pPr>
        <w:ind w:left="540" w:right="200" w:hanging="532"/>
        <w:spacing w:after="0" w:line="259"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endash "/>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Letter"/>
      <w:start w:val="1"/>
    </w:lvl>
    <w:lvl w:ilvl="1">
      <w:lvlJc w:val="left"/>
      <w:lvlText w:val="(%2)"/>
      <w:numFmt w:val="decimal"/>
      <w:start w:val="3"/>
    </w:lvl>
  </w:abstractNum>
  <w:abstractNum w:abstractNumId="33">
    <w:nsid w:val="579478FE"/>
    <w:multiLevelType w:val="hybridMultilevel"/>
    <w:lvl w:ilvl="0">
      <w:lvlJc w:val="left"/>
      <w:lvlText w:val="(%1)"/>
      <w:numFmt w:val="lowerLetter"/>
      <w:start w:val="2"/>
    </w:lvl>
    <w:lvl w:ilvl="1">
      <w:lvlJc w:val="left"/>
      <w:lvlText w:val="%2"/>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upperLetter"/>
      <w:start w:val="68"/>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7"/>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decimal"/>
      <w:start w:val="5"/>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5"/>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bullet"/>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22" Type="http://schemas.openxmlformats.org/officeDocument/2006/relationships/image" Target="media/image66.png"/><Relationship Id="rId123" Type="http://schemas.openxmlformats.org/officeDocument/2006/relationships/image" Target="media/image67.png"/><Relationship Id="rId134" Type="http://schemas.openxmlformats.org/officeDocument/2006/relationships/image" Target="media/image68.png"/><Relationship Id="rId135" Type="http://schemas.openxmlformats.org/officeDocument/2006/relationships/image" Target="media/image69.png"/><Relationship Id="rId136" Type="http://schemas.openxmlformats.org/officeDocument/2006/relationships/image" Target="media/image70.png"/><Relationship Id="rId137" Type="http://schemas.openxmlformats.org/officeDocument/2006/relationships/image" Target="media/image71.png"/><Relationship Id="rId138" Type="http://schemas.openxmlformats.org/officeDocument/2006/relationships/image" Target="media/image72.png"/><Relationship Id="rId139" Type="http://schemas.openxmlformats.org/officeDocument/2006/relationships/image" Target="media/image73.png"/><Relationship Id="rId140" Type="http://schemas.openxmlformats.org/officeDocument/2006/relationships/image" Target="media/image74.png"/><Relationship Id="rId141" Type="http://schemas.openxmlformats.org/officeDocument/2006/relationships/image" Target="media/image75.png"/><Relationship Id="rId142" Type="http://schemas.openxmlformats.org/officeDocument/2006/relationships/image" Target="media/image76.png"/><Relationship Id="rId143" Type="http://schemas.openxmlformats.org/officeDocument/2006/relationships/image" Target="media/image77.png"/><Relationship Id="rId144" Type="http://schemas.openxmlformats.org/officeDocument/2006/relationships/image" Target="media/image78.png"/><Relationship Id="rId145" Type="http://schemas.openxmlformats.org/officeDocument/2006/relationships/image" Target="media/image79.png"/><Relationship Id="rId146" Type="http://schemas.openxmlformats.org/officeDocument/2006/relationships/image" Target="media/image80.png"/><Relationship Id="rId147" Type="http://schemas.openxmlformats.org/officeDocument/2006/relationships/image" Target="media/image81.png"/><Relationship Id="rId148" Type="http://schemas.openxmlformats.org/officeDocument/2006/relationships/image" Target="media/image82.png"/><Relationship Id="rId149" Type="http://schemas.openxmlformats.org/officeDocument/2006/relationships/image" Target="media/image83.png"/><Relationship Id="rId150" Type="http://schemas.openxmlformats.org/officeDocument/2006/relationships/image" Target="media/image84.png"/><Relationship Id="rId151" Type="http://schemas.openxmlformats.org/officeDocument/2006/relationships/image" Target="media/image85.png"/><Relationship Id="rId152" Type="http://schemas.openxmlformats.org/officeDocument/2006/relationships/image" Target="media/image86.png"/><Relationship Id="rId153" Type="http://schemas.openxmlformats.org/officeDocument/2006/relationships/image" Target="media/image87.png"/><Relationship Id="rId154" Type="http://schemas.openxmlformats.org/officeDocument/2006/relationships/image" Target="media/image88.png"/><Relationship Id="rId155"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69" Type="http://schemas.openxmlformats.org/officeDocument/2006/relationships/hyperlink" Target="http://www.sec.gov/Archives/edgar/data/899460/000119312520311859/d50698dex21.htm" TargetMode="External"/><Relationship Id="rId70" Type="http://schemas.openxmlformats.org/officeDocument/2006/relationships/hyperlink" Target="http://www.sec.gov/Archives/edgar/data/899460/000119312516676980/d225552dex31.htm" TargetMode="External"/><Relationship Id="rId71" Type="http://schemas.openxmlformats.org/officeDocument/2006/relationships/hyperlink" Target="http://www.sec.gov/Archives/edgar/data/899460/000119312517066630/d313758dex31.htm" TargetMode="External"/><Relationship Id="rId72" Type="http://schemas.openxmlformats.org/officeDocument/2006/relationships/hyperlink" Target="http://www.sec.gov/Archives/edgar/data/899460/000119312517368329/d511527dex31.htm" TargetMode="External"/><Relationship Id="rId73" Type="http://schemas.openxmlformats.org/officeDocument/2006/relationships/hyperlink" Target="http://www.sec.gov/Archives/edgar/data/899460/000119312520153051/d936164dex31.htm" TargetMode="External"/><Relationship Id="rId74" Type="http://schemas.openxmlformats.org/officeDocument/2006/relationships/hyperlink" Target="http://www.sec.gov/Archives/edgar/data/899460/000119312520153051/d936164dex32.htm" TargetMode="External"/><Relationship Id="rId75" Type="http://schemas.openxmlformats.org/officeDocument/2006/relationships/hyperlink" Target="http://www.sec.gov/Archives/edgar/data/899460/000119312517085519/d305327dex42.htm" TargetMode="External"/><Relationship Id="rId76" Type="http://schemas.openxmlformats.org/officeDocument/2006/relationships/hyperlink" Target="http://www.sec.gov/Archives/edgar/data/899460/000156459021008440/mnkd-ex43_10.htm" TargetMode="External"/><Relationship Id="rId77" Type="http://schemas.openxmlformats.org/officeDocument/2006/relationships/hyperlink" Target="http://www.sec.gov/Archives/edgar/data/899460/000119312513279522/d562665dex993.htm" TargetMode="External"/><Relationship Id="rId78" Type="http://schemas.openxmlformats.org/officeDocument/2006/relationships/hyperlink" Target="http://www.sec.gov/Archives/edgar/data/899460/000119312519215305/d757696dex41.htm" TargetMode="External"/><Relationship Id="rId79" Type="http://schemas.openxmlformats.org/officeDocument/2006/relationships/hyperlink" Target="http://www.sec.gov/Archives/edgar/data/899460/000119312519215305/d757696dex46.htm" TargetMode="External"/><Relationship Id="rId82" Type="http://schemas.openxmlformats.org/officeDocument/2006/relationships/hyperlink" Target="http://www.sec.gov/Archives/edgar/data/0000899460/000119312521130221/d174090dex992.htm" TargetMode="External"/><Relationship Id="rId83" Type="http://schemas.openxmlformats.org/officeDocument/2006/relationships/hyperlink" Target="http://www.sec.gov/Archives/edgar/data/899460/000119312519215305/d757696dex47.htm" TargetMode="External"/><Relationship Id="rId84" Type="http://schemas.openxmlformats.org/officeDocument/2006/relationships/hyperlink" Target="http://www.sec.gov/Archives/edgar/data/899460/000119312521070265/d45565dex41.htm" TargetMode="External"/><Relationship Id="rId85" Type="http://schemas.openxmlformats.org/officeDocument/2006/relationships/hyperlink" Target="http://www.sec.gov/Archives/edgar/data/899460/000119312521070265/d45565dex41.htm#exa" TargetMode="External"/><Relationship Id="rId86" Type="http://schemas.openxmlformats.org/officeDocument/2006/relationships/hyperlink" Target="http://www.sec.gov/Archives/edgar/data/899460/000119312517229404/d406524dex991.htm" TargetMode="External"/><Relationship Id="rId87" Type="http://schemas.openxmlformats.org/officeDocument/2006/relationships/hyperlink" Target="http://www.sec.gov/Archives/edgar/data/899460/000119312516505366/d107849dex1038.htm" TargetMode="External"/><Relationship Id="rId88" Type="http://schemas.openxmlformats.org/officeDocument/2006/relationships/hyperlink" Target="http://www.sec.gov/Archives/edgar/data/899460/000119312517085519/d305327dex1036.htm" TargetMode="External"/><Relationship Id="rId89" Type="http://schemas.openxmlformats.org/officeDocument/2006/relationships/hyperlink" Target="http://www.sec.gov/Archives/edgar/data/899460/000156459021008440/mnkd-ex104_262.htm" TargetMode="External"/><Relationship Id="rId90" Type="http://schemas.openxmlformats.org/officeDocument/2006/relationships/hyperlink" Target="http://www.sec.gov/Archives/edgar/data/899460/000156459021008440/mnkd-ex105_263.htm" TargetMode="External"/><Relationship Id="rId91" Type="http://schemas.openxmlformats.org/officeDocument/2006/relationships/hyperlink" Target="http://www.sec.gov/Archives/edgar/data/899460/000095012407005167/v34640aexv99w1.htm" TargetMode="External"/><Relationship Id="rId92" Type="http://schemas.openxmlformats.org/officeDocument/2006/relationships/hyperlink" Target="http://www.sec.gov/Archives/edgar/data/899460/000095014804000827/v98169orexv10w1.txt" TargetMode="External"/><Relationship Id="rId93" Type="http://schemas.openxmlformats.org/officeDocument/2006/relationships/hyperlink" Target="http://www.sec.gov/Archives/edgar/data/899460/000119312517116178/d350284dex991.htm" TargetMode="External"/><Relationship Id="rId94" Type="http://schemas.openxmlformats.org/officeDocument/2006/relationships/hyperlink" Target="http://www.sec.gov/Archives/edgar/data/899460/000095014806000014/v18231exv10w5.htm" TargetMode="External"/><Relationship Id="rId95" Type="http://schemas.openxmlformats.org/officeDocument/2006/relationships/hyperlink" Target="http://www.sec.gov/Archives/edgar/data/899460/000119312512153102/d328382ddef14a.htm" TargetMode="External"/><Relationship Id="rId96" Type="http://schemas.openxmlformats.org/officeDocument/2006/relationships/hyperlink" Target="http://www.sec.gov/Archives/edgar/data/899460/000095014804000827/v98169orexv10w2.txt" TargetMode="External"/><Relationship Id="rId97" Type="http://schemas.openxmlformats.org/officeDocument/2006/relationships/hyperlink" Target="http://www.sec.gov/Archives/edgar/data/899460/000095012905011954/v15351exv99w1.htm" TargetMode="External"/><Relationship Id="rId98" Type="http://schemas.openxmlformats.org/officeDocument/2006/relationships/hyperlink" Target="http://www.sec.gov/Archives/edgar/data/899460/000095014806000014/v18231exv10w20.htm" TargetMode="External"/><Relationship Id="rId99" Type="http://schemas.openxmlformats.org/officeDocument/2006/relationships/hyperlink" Target="http://www.sec.gov/Archives/edgar/data/899460/000156459019004263/mnkd-ex1015_871.htm" TargetMode="External"/><Relationship Id="rId100" Type="http://schemas.openxmlformats.org/officeDocument/2006/relationships/hyperlink" Target="http://www.sec.gov/Archives/edgar/data/899460/000119312516676980/d225552dex101.htm" TargetMode="External"/><Relationship Id="rId101" Type="http://schemas.openxmlformats.org/officeDocument/2006/relationships/hyperlink" Target="http://www.sec.gov/Archives/edgar/data/899460/000119312513232988/d543380dex992.htm" TargetMode="External"/><Relationship Id="rId102" Type="http://schemas.openxmlformats.org/officeDocument/2006/relationships/hyperlink" Target="http://www.sec.gov/Archives/edgar/data/899460/000119312513232988/d543380dex993.htm" TargetMode="External"/><Relationship Id="rId105" Type="http://schemas.openxmlformats.org/officeDocument/2006/relationships/hyperlink" Target="http://www.sec.gov/Archives/edgar/data/899460/000156459020036811/mnkd-ex101_294.htm" TargetMode="External"/><Relationship Id="rId106" Type="http://schemas.openxmlformats.org/officeDocument/2006/relationships/hyperlink" Target="http://www.sec.gov/Archives/edgar/data/899460/000119312518241209/d576776dex992.htm" TargetMode="External"/><Relationship Id="rId107" Type="http://schemas.openxmlformats.org/officeDocument/2006/relationships/hyperlink" Target="http://www.sec.gov/Archives/edgar/data/899460/000119312518241209/d576776dex993.htm" TargetMode="External"/><Relationship Id="rId108" Type="http://schemas.openxmlformats.org/officeDocument/2006/relationships/hyperlink" Target="http://www.sec.gov/Archives/edgar/data/899460/000119312518183644/d578515dex991.htm" TargetMode="External"/><Relationship Id="rId109" Type="http://schemas.openxmlformats.org/officeDocument/2006/relationships/hyperlink" Target="http://www.sec.gov/Archives/edgar/data/899460/000156459021008440/mnkd-ex1023_161.htm" TargetMode="External"/><Relationship Id="rId110" Type="http://schemas.openxmlformats.org/officeDocument/2006/relationships/hyperlink" Target="http://www.sec.gov/Archives/edgar/data/899460/000119312517085519/d305327dex1032.htm" TargetMode="External"/><Relationship Id="rId111" Type="http://schemas.openxmlformats.org/officeDocument/2006/relationships/hyperlink" Target="http://www.sec.gov/Archives/edgar/data/899460/000119312517085519/d305327dex1033.htm" TargetMode="External"/><Relationship Id="rId112" Type="http://schemas.openxmlformats.org/officeDocument/2006/relationships/hyperlink" Target="http://www.sec.gov/Archives/edgar/data/899460/000156459018012419/mnkd-ex108_456.htm" TargetMode="External"/><Relationship Id="rId113" Type="http://schemas.openxmlformats.org/officeDocument/2006/relationships/hyperlink" Target="http://www.sec.gov/Archives/edgar/data/899460/000156459019004263/mnkd-ex1050_1079.htm" TargetMode="External"/><Relationship Id="rId114" Type="http://schemas.openxmlformats.org/officeDocument/2006/relationships/hyperlink" Target="http://www.sec.gov/Archives/edgar/data/899460/000119312519215305/d757696dex995.htm" TargetMode="External"/><Relationship Id="rId115" Type="http://schemas.openxmlformats.org/officeDocument/2006/relationships/hyperlink" Target="http://www.sec.gov/Archives/edgar/data/0000899460/000119312521171623/d153193dex991.htm" TargetMode="External"/><Relationship Id="rId116" Type="http://schemas.openxmlformats.org/officeDocument/2006/relationships/hyperlink" Target="http://www.sec.gov/Archives/edgar/data/899460/000119312516505366/d107849dex1037.htm" TargetMode="External"/><Relationship Id="rId117" Type="http://schemas.openxmlformats.org/officeDocument/2006/relationships/hyperlink" Target="http://www.sec.gov/Archives/edgar/data/899460/000119312517249866/d412831dex103.htm" TargetMode="External"/><Relationship Id="rId118" Type="http://schemas.openxmlformats.org/officeDocument/2006/relationships/hyperlink" Target="http://www.sec.gov/Archives/edgar/data/899460/000156459018003510/mnkd-ex1047_871.htm" TargetMode="External"/><Relationship Id="rId119" Type="http://schemas.openxmlformats.org/officeDocument/2006/relationships/hyperlink" Target="http://www.sec.gov/Archives/edgar/data/899460/000156459018026006/mnkd-ex108_399.htm" TargetMode="External"/><Relationship Id="rId120" Type="http://schemas.openxmlformats.org/officeDocument/2006/relationships/hyperlink" Target="http://www.sec.gov/Archives/edgar/data/899460/000156459018026006/mnkd-ex109_400.htm" TargetMode="External"/><Relationship Id="rId121" Type="http://schemas.openxmlformats.org/officeDocument/2006/relationships/hyperlink" Target="http://www.sec.gov/Archives/edgar/data/899460/000119312519215305/d757696dex991.htm" TargetMode="External"/><Relationship Id="rId124" Type="http://schemas.openxmlformats.org/officeDocument/2006/relationships/hyperlink" Target="http://www.sec.gov/Archives/edgar/data/899460/000119312519317492/d780971dex991.htm" TargetMode="External"/><Relationship Id="rId125" Type="http://schemas.openxmlformats.org/officeDocument/2006/relationships/hyperlink" Target="http://www.sec.gov/Archives/edgar/data/0000899460/000119312520230054/d53673dex991.htm" TargetMode="External"/><Relationship Id="rId126" Type="http://schemas.openxmlformats.org/officeDocument/2006/relationships/hyperlink" Target="http://www.sec.gov/Archives/edgar/data/899460/000119312520306330/d73266dex991.htm" TargetMode="External"/><Relationship Id="rId127" Type="http://schemas.openxmlformats.org/officeDocument/2006/relationships/hyperlink" Target="http://www.sec.gov/Archives/edgar/data/899460/000119312520311859/d50698dex41.htm" TargetMode="External"/><Relationship Id="rId128" Type="http://schemas.openxmlformats.org/officeDocument/2006/relationships/hyperlink" Target="http://www.sec.gov/Archives/edgar/data/899460/000119312520329209/d56159dex991.htm" TargetMode="External"/><Relationship Id="rId129" Type="http://schemas.openxmlformats.org/officeDocument/2006/relationships/hyperlink" Target="http://www.sec.gov/Archives/edgar/data/899460/000119312521070265/d45565dex991.htm" TargetMode="External"/><Relationship Id="rId130" Type="http://schemas.openxmlformats.org/officeDocument/2006/relationships/hyperlink" Target="http://www.sec.gov/Archives/edgar/data/899460/000119312521130221/d174090dex991.htm" TargetMode="External"/><Relationship Id="rId131" Type="http://schemas.openxmlformats.org/officeDocument/2006/relationships/hyperlink" Target="http://www.sec.gov/Archives/edgar/data/899460/000156459021055727/mnkd-ex101_251.htm" TargetMode="External"/><Relationship Id="rId132" Type="http://schemas.openxmlformats.org/officeDocument/2006/relationships/hyperlink" Target="http://www.sec.gov/Archives/edgar/data/899460/000156459021055727/mnkd-ex102_250.htm" TargetMode="External"/><Relationship Id="rId133" Type="http://schemas.openxmlformats.org/officeDocument/2006/relationships/hyperlink" Target="http://www.sec.gov/Archives/edgar/data/899460/000156459021055727/mnkd-ex103_4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2022-02-24T15:42:32Z</dcterms:created>
  <dcterms:modified xsi:type="dcterms:W3CDTF">2022-02-24T15:42:32Z</dcterms:modified>
</cp:coreProperties>
</file>