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00" w:lineRule="exact"/>
        <w:rPr>
          <w:sz w:val="20"/>
          <w:szCs w:val="20"/>
          <w:color w:val="auto"/>
        </w:rPr>
      </w:pPr>
    </w:p>
    <w:p>
      <w:pPr>
        <w:spacing w:after="0" w:line="228" w:lineRule="exact"/>
        <w:rPr>
          <w:sz w:val="20"/>
          <w:szCs w:val="20"/>
          <w:color w:val="auto"/>
        </w:rPr>
      </w:pPr>
    </w:p>
    <w:p>
      <w:pPr>
        <w:ind w:left="820" w:right="20" w:hanging="812"/>
        <w:spacing w:after="0" w:line="256" w:lineRule="auto"/>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quarterly period ended March 31, 2005</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200" w:lineRule="exact"/>
        <w:rPr>
          <w:sz w:val="20"/>
          <w:szCs w:val="20"/>
          <w:color w:val="auto"/>
        </w:rPr>
      </w:pPr>
    </w:p>
    <w:p>
      <w:pPr>
        <w:spacing w:after="0" w:line="228" w:lineRule="exact"/>
        <w:rPr>
          <w:sz w:val="20"/>
          <w:szCs w:val="20"/>
          <w:color w:val="auto"/>
        </w:rPr>
      </w:pPr>
    </w:p>
    <w:p>
      <w:pPr>
        <w:ind w:left="820" w:hanging="812"/>
        <w:spacing w:after="0" w:line="256" w:lineRule="auto"/>
        <w:tabs>
          <w:tab w:leader="none" w:pos="8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0"/>
          <w:szCs w:val="20"/>
          <w:color w:val="auto"/>
        </w:rPr>
      </w:pPr>
    </w:p>
    <w:p>
      <w:pPr>
        <w:ind w:left="3580"/>
        <w:spacing w:after="0"/>
        <w:tabs>
          <w:tab w:leader="none" w:pos="6700" w:val="left"/>
          <w:tab w:leader="none" w:pos="77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3663315</wp:posOffset>
            </wp:positionH>
            <wp:positionV relativeFrom="paragraph">
              <wp:posOffset>-10160</wp:posOffset>
            </wp:positionV>
            <wp:extent cx="1289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MannKind Corporation</w:t>
      </w: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tcPr>
          <w:p>
            <w:pPr>
              <w:jc w:val="right"/>
              <w:ind w:right="79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(State or other jurisdiction of incorporation</w:t>
            </w:r>
          </w:p>
        </w:tc>
        <w:tc>
          <w:tcPr>
            <w:tcW w:w="4180" w:type="dxa"/>
            <w:vAlign w:val="bottom"/>
          </w:tcPr>
          <w:p>
            <w:pPr>
              <w:jc w:val="center"/>
              <w:ind w:left="14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80" w:type="dxa"/>
            <w:vAlign w:val="bottom"/>
          </w:tcPr>
          <w:p>
            <w:pPr>
              <w:jc w:val="center"/>
              <w:ind w:right="1470"/>
              <w:spacing w:after="0"/>
              <w:rPr>
                <w:sz w:val="20"/>
                <w:szCs w:val="20"/>
                <w:color w:val="auto"/>
              </w:rPr>
            </w:pPr>
            <w:r>
              <w:rPr>
                <w:rFonts w:ascii="Arial" w:cs="Arial" w:eastAsia="Arial" w:hAnsi="Arial"/>
                <w:sz w:val="18"/>
                <w:szCs w:val="18"/>
                <w:color w:val="auto"/>
                <w:w w:val="92"/>
              </w:rPr>
              <w:t>or organization)</w:t>
            </w:r>
          </w:p>
        </w:tc>
        <w:tc>
          <w:tcPr>
            <w:tcW w:w="4180" w:type="dxa"/>
            <w:vAlign w:val="bottom"/>
          </w:tcPr>
          <w:p>
            <w:pPr>
              <w:spacing w:after="0"/>
              <w:rPr>
                <w:sz w:val="20"/>
                <w:szCs w:val="20"/>
                <w:color w:val="auto"/>
              </w:rPr>
            </w:pPr>
          </w:p>
        </w:tc>
      </w:tr>
      <w:tr>
        <w:trPr>
          <w:trHeight w:val="414"/>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28903 North Avenue Paine</w:t>
            </w:r>
          </w:p>
        </w:tc>
        <w:tc>
          <w:tcPr>
            <w:tcW w:w="4180" w:type="dxa"/>
            <w:vAlign w:val="bottom"/>
          </w:tcPr>
          <w:p>
            <w:pPr>
              <w:spacing w:after="0"/>
              <w:rPr>
                <w:sz w:val="24"/>
                <w:szCs w:val="24"/>
                <w:color w:val="auto"/>
              </w:rPr>
            </w:pPr>
          </w:p>
        </w:tc>
      </w:tr>
      <w:tr>
        <w:trPr>
          <w:trHeight w:val="220"/>
        </w:trPr>
        <w:tc>
          <w:tcPr>
            <w:tcW w:w="46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2"/>
              </w:rPr>
              <w:t>Valencia, California</w:t>
            </w:r>
          </w:p>
        </w:tc>
        <w:tc>
          <w:tcPr>
            <w:tcW w:w="4180" w:type="dxa"/>
            <w:vAlign w:val="bottom"/>
          </w:tcPr>
          <w:p>
            <w:pPr>
              <w:jc w:val="right"/>
              <w:ind w:right="990"/>
              <w:spacing w:after="0"/>
              <w:rPr>
                <w:sz w:val="20"/>
                <w:szCs w:val="20"/>
                <w:color w:val="auto"/>
              </w:rPr>
            </w:pPr>
            <w:r>
              <w:rPr>
                <w:rFonts w:ascii="Arial" w:cs="Arial" w:eastAsia="Arial" w:hAnsi="Arial"/>
                <w:sz w:val="18"/>
                <w:szCs w:val="18"/>
                <w:b w:val="1"/>
                <w:bCs w:val="1"/>
                <w:color w:val="auto"/>
              </w:rPr>
              <w:t>91355</w:t>
            </w:r>
          </w:p>
        </w:tc>
      </w:tr>
      <w:tr>
        <w:trPr>
          <w:trHeight w:val="230"/>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418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ind w:right="16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o No </w:t>
      </w:r>
      <w:r>
        <w:rPr>
          <w:rFonts w:ascii="MS PGothic" w:cs="MS PGothic" w:eastAsia="MS PGothic" w:hAnsi="MS PGothic"/>
          <w:sz w:val="18"/>
          <w:szCs w:val="18"/>
          <w:color w:val="auto"/>
        </w:rPr>
        <w: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May 10, 2005, there were 32,778,404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2005</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80" w:type="dxa"/>
            <w:vAlign w:val="bottom"/>
          </w:tcPr>
          <w:p>
            <w:pPr>
              <w:jc w:val="right"/>
              <w:ind w:right="11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2920" w:type="dxa"/>
            <w:vAlign w:val="bottom"/>
            <w:gridSpan w:val="4"/>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20" w:type="dxa"/>
            <w:vAlign w:val="bottom"/>
            <w:gridSpan w:val="2"/>
            <w:vMerge w:val="restart"/>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4"/>
        </w:trPr>
        <w:tc>
          <w:tcPr>
            <w:tcW w:w="2920" w:type="dxa"/>
            <w:vAlign w:val="bottom"/>
            <w:tcBorders>
              <w:bottom w:val="single" w:sz="8" w:color="0000EE"/>
            </w:tcBorders>
            <w:gridSpan w:val="4"/>
            <w:vMerge w:val="continue"/>
          </w:tcPr>
          <w:p>
            <w:pPr>
              <w:spacing w:after="0"/>
              <w:rPr>
                <w:sz w:val="14"/>
                <w:szCs w:val="14"/>
                <w:color w:val="auto"/>
              </w:rPr>
            </w:pPr>
          </w:p>
        </w:tc>
        <w:tc>
          <w:tcPr>
            <w:tcW w:w="772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40" w:type="dxa"/>
            <w:vAlign w:val="bottom"/>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March 31, 2005 and December 31, 2004</w:t>
              </w:r>
            </w:hyperlink>
          </w:p>
        </w:tc>
        <w:tc>
          <w:tcPr>
            <w:tcW w:w="77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w:t>
              </w:r>
            </w:hyperlink>
          </w:p>
        </w:tc>
        <w:tc>
          <w:tcPr>
            <w:tcW w:w="776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40" w:type="dxa"/>
            <w:vAlign w:val="bottom"/>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Three Months ended March 31, 2005 and 2004 and the period from inception (February 14, 1991) to March 31, 2005</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4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2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240" w:top="122" w:right="3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Three Months ended March 31, 2005 and 2004 and the period from inception (February 14, 1991) to March 31, 2005</w:t>
              </w:r>
            </w:hyperlink>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196"/>
        </w:trPr>
        <w:tc>
          <w:tcPr>
            <w:tcW w:w="31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w:t>
              </w:r>
            </w:hyperlink>
          </w:p>
        </w:tc>
        <w:tc>
          <w:tcPr>
            <w:tcW w:w="5280" w:type="dxa"/>
            <w:vAlign w:val="bottom"/>
            <w:tcBorders>
              <w:top w:val="single" w:sz="8" w:color="0000EE"/>
            </w:tcBorders>
            <w:gridSpan w:val="5"/>
          </w:tcPr>
          <w:p>
            <w:pPr>
              <w:spacing w:after="0"/>
              <w:rPr>
                <w:sz w:val="17"/>
                <w:szCs w:val="17"/>
                <w:color w:val="auto"/>
              </w:rPr>
            </w:pPr>
          </w:p>
        </w:tc>
        <w:tc>
          <w:tcPr>
            <w:tcW w:w="1340" w:type="dxa"/>
            <w:vAlign w:val="bottom"/>
          </w:tcPr>
          <w:p>
            <w:pPr>
              <w:spacing w:after="0"/>
              <w:rPr>
                <w:sz w:val="17"/>
                <w:szCs w:val="17"/>
                <w:color w:val="auto"/>
              </w:rPr>
            </w:pP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w:t>
            </w:r>
          </w:p>
        </w:tc>
      </w:tr>
      <w:tr>
        <w:trPr>
          <w:trHeight w:val="196"/>
        </w:trPr>
        <w:tc>
          <w:tcPr>
            <w:tcW w:w="9780" w:type="dxa"/>
            <w:vAlign w:val="bottom"/>
            <w:gridSpan w:val="1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11</w:t>
            </w:r>
          </w:p>
        </w:tc>
      </w:tr>
      <w:tr>
        <w:trPr>
          <w:trHeight w:val="196"/>
        </w:trPr>
        <w:tc>
          <w:tcPr>
            <w:tcW w:w="7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3. Quantitative and Qualitative Disclosure about Market Risk</w:t>
              </w:r>
            </w:hyperlink>
          </w:p>
        </w:tc>
        <w:tc>
          <w:tcPr>
            <w:tcW w:w="2760" w:type="dxa"/>
            <w:vAlign w:val="bottom"/>
            <w:gridSpan w:val="2"/>
          </w:tcPr>
          <w:p>
            <w:pPr>
              <w:spacing w:after="0"/>
              <w:rPr>
                <w:sz w:val="17"/>
                <w:szCs w:val="17"/>
                <w:color w:val="auto"/>
              </w:rPr>
            </w:pP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35</w:t>
            </w:r>
          </w:p>
        </w:tc>
      </w:tr>
      <w:tr>
        <w:trPr>
          <w:trHeight w:val="196"/>
        </w:trPr>
        <w:tc>
          <w:tcPr>
            <w:tcW w:w="2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4. Controls and Procedures</w:t>
              </w:r>
            </w:hyperlink>
          </w:p>
        </w:tc>
        <w:tc>
          <w:tcPr>
            <w:tcW w:w="2460" w:type="dxa"/>
            <w:vAlign w:val="bottom"/>
            <w:tcBorders>
              <w:top w:val="single" w:sz="8" w:color="0000EE"/>
            </w:tcBorders>
            <w:gridSpan w:val="5"/>
          </w:tcPr>
          <w:p>
            <w:pPr>
              <w:spacing w:after="0"/>
              <w:rPr>
                <w:sz w:val="17"/>
                <w:szCs w:val="17"/>
                <w:color w:val="auto"/>
              </w:rPr>
            </w:pPr>
          </w:p>
        </w:tc>
        <w:tc>
          <w:tcPr>
            <w:tcW w:w="4980" w:type="dxa"/>
            <w:vAlign w:val="bottom"/>
            <w:gridSpan w:val="4"/>
          </w:tcPr>
          <w:p>
            <w:pPr>
              <w:spacing w:after="0"/>
              <w:rPr>
                <w:sz w:val="17"/>
                <w:szCs w:val="17"/>
                <w:color w:val="auto"/>
              </w:rPr>
            </w:pP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35</w:t>
            </w:r>
          </w:p>
        </w:tc>
      </w:tr>
      <w:tr>
        <w:trPr>
          <w:trHeight w:val="196"/>
        </w:trPr>
        <w:tc>
          <w:tcPr>
            <w:tcW w:w="978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1640" w:type="dxa"/>
            <w:vAlign w:val="bottom"/>
          </w:tcPr>
          <w:p>
            <w:pPr>
              <w:spacing w:after="0"/>
              <w:rPr>
                <w:sz w:val="17"/>
                <w:szCs w:val="17"/>
                <w:color w:val="auto"/>
              </w:rPr>
            </w:pPr>
          </w:p>
        </w:tc>
      </w:tr>
      <w:tr>
        <w:trPr>
          <w:trHeight w:val="196"/>
        </w:trPr>
        <w:tc>
          <w:tcPr>
            <w:tcW w:w="1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7200" w:type="dxa"/>
            <w:vAlign w:val="bottom"/>
            <w:gridSpan w:val="8"/>
          </w:tcPr>
          <w:p>
            <w:pPr>
              <w:spacing w:after="0"/>
              <w:rPr>
                <w:sz w:val="17"/>
                <w:szCs w:val="17"/>
                <w:color w:val="auto"/>
              </w:rPr>
            </w:pP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35</w:t>
            </w: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Item 2. Unregistered Sales of Equity Securities and Use of Proceeds</w:t>
              </w:r>
            </w:hyperlink>
          </w:p>
        </w:tc>
        <w:tc>
          <w:tcPr>
            <w:tcW w:w="4860" w:type="dxa"/>
            <w:vAlign w:val="bottom"/>
            <w:gridSpan w:val="3"/>
          </w:tcPr>
          <w:p>
            <w:pPr>
              <w:spacing w:after="0"/>
              <w:rPr>
                <w:sz w:val="17"/>
                <w:szCs w:val="17"/>
                <w:color w:val="auto"/>
              </w:rPr>
            </w:pP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3.</w:t>
              </w:r>
            </w:hyperlink>
          </w:p>
        </w:tc>
        <w:tc>
          <w:tcPr>
            <w:tcW w:w="9240" w:type="dxa"/>
            <w:vAlign w:val="bottom"/>
            <w:gridSpan w:val="17"/>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36</w:t>
            </w: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4.</w:t>
              </w:r>
            </w:hyperlink>
          </w:p>
        </w:tc>
        <w:tc>
          <w:tcPr>
            <w:tcW w:w="9240" w:type="dxa"/>
            <w:vAlign w:val="bottom"/>
            <w:gridSpan w:val="17"/>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Submission of Matters to a Vote of Security Holders</w:t>
              </w:r>
            </w:hyperlink>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6"/>
          </w:tcPr>
          <w:p>
            <w:pPr>
              <w:ind w:left="20"/>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6"/>
          </w:tcPr>
          <w:p>
            <w:pPr>
              <w:spacing w:after="0"/>
              <w:rPr>
                <w:sz w:val="17"/>
                <w:szCs w:val="17"/>
                <w:color w:val="auto"/>
              </w:rPr>
            </w:pPr>
          </w:p>
        </w:tc>
        <w:tc>
          <w:tcPr>
            <w:tcW w:w="5460" w:type="dxa"/>
            <w:vAlign w:val="bottom"/>
            <w:gridSpan w:val="5"/>
          </w:tcPr>
          <w:p>
            <w:pPr>
              <w:spacing w:after="0"/>
              <w:rPr>
                <w:sz w:val="17"/>
                <w:szCs w:val="17"/>
                <w:color w:val="auto"/>
              </w:rPr>
            </w:pP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6.</w:t>
              </w:r>
            </w:hyperlink>
          </w:p>
        </w:tc>
        <w:tc>
          <w:tcPr>
            <w:tcW w:w="9240" w:type="dxa"/>
            <w:vAlign w:val="bottom"/>
            <w:gridSpan w:val="17"/>
          </w:tcPr>
          <w:p>
            <w:pPr>
              <w:ind w:left="2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38</w:t>
            </w: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Signature</w:t>
              </w:r>
            </w:hyperlink>
          </w:p>
        </w:tc>
        <w:tc>
          <w:tcPr>
            <w:tcW w:w="460" w:type="dxa"/>
            <w:vAlign w:val="bottom"/>
            <w:tcBorders>
              <w:top w:val="single" w:sz="8" w:color="0000EE"/>
            </w:tcBorders>
            <w:gridSpan w:val="4"/>
          </w:tcPr>
          <w:p>
            <w:pPr>
              <w:spacing w:after="0"/>
              <w:rPr>
                <w:sz w:val="17"/>
                <w:szCs w:val="17"/>
                <w:color w:val="auto"/>
              </w:rPr>
            </w:pPr>
          </w:p>
        </w:tc>
        <w:tc>
          <w:tcPr>
            <w:tcW w:w="8620" w:type="dxa"/>
            <w:vAlign w:val="bottom"/>
            <w:gridSpan w:val="12"/>
          </w:tcPr>
          <w:p>
            <w:pPr>
              <w:spacing w:after="0"/>
              <w:rPr>
                <w:sz w:val="17"/>
                <w:szCs w:val="17"/>
                <w:color w:val="auto"/>
              </w:rPr>
            </w:pP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39</w:t>
            </w:r>
          </w:p>
        </w:tc>
      </w:tr>
      <w:tr>
        <w:trPr>
          <w:trHeight w:val="196"/>
        </w:trPr>
        <w:tc>
          <w:tcPr>
            <w:tcW w:w="6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Exhibit 31.1</w:t>
            </w:r>
          </w:p>
        </w:tc>
        <w:tc>
          <w:tcPr>
            <w:tcW w:w="8840" w:type="dxa"/>
            <w:vAlign w:val="bottom"/>
            <w:gridSpan w:val="13"/>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9720" w:type="dxa"/>
            <w:vAlign w:val="bottom"/>
            <w:gridSpan w:val="18"/>
          </w:tcPr>
          <w:p>
            <w:pPr>
              <w:spacing w:after="0" w:line="196" w:lineRule="exact"/>
              <w:rPr>
                <w:sz w:val="20"/>
                <w:szCs w:val="20"/>
                <w:color w:val="auto"/>
              </w:rPr>
            </w:pPr>
            <w:r>
              <w:rPr>
                <w:rFonts w:ascii="Arial" w:cs="Arial" w:eastAsia="Arial" w:hAnsi="Arial"/>
                <w:sz w:val="18"/>
                <w:szCs w:val="18"/>
                <w:color w:val="0000EE"/>
              </w:rPr>
              <w:t>Exhibit 31.2</w:t>
            </w:r>
          </w:p>
        </w:tc>
        <w:tc>
          <w:tcPr>
            <w:tcW w:w="16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8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Exhibit 32</w:t>
            </w:r>
          </w:p>
        </w:tc>
        <w:tc>
          <w:tcPr>
            <w:tcW w:w="8860" w:type="dxa"/>
            <w:vAlign w:val="bottom"/>
            <w:gridSpan w:val="14"/>
          </w:tcPr>
          <w:p>
            <w:pPr>
              <w:spacing w:after="0"/>
              <w:rPr>
                <w:sz w:val="17"/>
                <w:szCs w:val="17"/>
                <w:color w:val="auto"/>
              </w:rPr>
            </w:pPr>
          </w:p>
        </w:tc>
        <w:tc>
          <w:tcPr>
            <w:tcW w:w="164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gridSpan w:val="2"/>
          </w:tcPr>
          <w:p>
            <w:pPr>
              <w:spacing w:after="0"/>
              <w:rPr>
                <w:sz w:val="24"/>
                <w:szCs w:val="24"/>
                <w:color w:val="auto"/>
              </w:rPr>
            </w:pPr>
          </w:p>
        </w:tc>
        <w:tc>
          <w:tcPr>
            <w:tcW w:w="6240" w:type="dxa"/>
            <w:vAlign w:val="bottom"/>
            <w:gridSpan w:val="13"/>
          </w:tcPr>
          <w:p>
            <w:pPr>
              <w:jc w:val="right"/>
              <w:ind w:right="126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18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 Development Stage Company)</w:t>
      </w:r>
    </w:p>
    <w:p>
      <w:pPr>
        <w:spacing w:after="0" w:line="16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March 31, 2005</w:t>
            </w:r>
          </w:p>
        </w:tc>
        <w:tc>
          <w:tcPr>
            <w:tcW w:w="14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2004</w:t>
            </w:r>
          </w:p>
        </w:tc>
      </w:t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1"/>
              </w:rPr>
              <w:t>(unaudited)</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22,089</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78,987</w:t>
            </w: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44,958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11,546</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State research and development credit exchange receivable</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3,265</w:t>
            </w:r>
          </w:p>
        </w:tc>
      </w:tr>
      <w:tr>
        <w:trPr>
          <w:trHeight w:val="223"/>
        </w:trPr>
        <w:tc>
          <w:tcPr>
            <w:tcW w:w="20" w:type="dxa"/>
            <w:vAlign w:val="bottom"/>
          </w:tcPr>
          <w:p>
            <w:pPr>
              <w:spacing w:after="0"/>
              <w:rPr>
                <w:sz w:val="19"/>
                <w:szCs w:val="19"/>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72,159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95,881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66,511</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141,757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163,483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5,095</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3,477</w:t>
            </w: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7,618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8,194</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r>
      <w:tr>
        <w:trPr>
          <w:trHeight w:val="223"/>
        </w:trPr>
        <w:tc>
          <w:tcPr>
            <w:tcW w:w="20" w:type="dxa"/>
            <w:vAlign w:val="bottom"/>
          </w:tcPr>
          <w:p>
            <w:pPr>
              <w:spacing w:after="0"/>
              <w:rPr>
                <w:sz w:val="19"/>
                <w:szCs w:val="19"/>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30"/>
        </w:trPr>
        <w:tc>
          <w:tcPr>
            <w:tcW w:w="20" w:type="dxa"/>
            <w:vAlign w:val="bottom"/>
          </w:tcPr>
          <w:p>
            <w:pPr>
              <w:spacing w:after="0"/>
              <w:rPr>
                <w:sz w:val="20"/>
                <w:szCs w:val="20"/>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760" w:type="dxa"/>
            <w:vAlign w:val="bottom"/>
          </w:tcPr>
          <w:p>
            <w:pPr>
              <w:spacing w:after="0" w:line="201" w:lineRule="exact"/>
              <w:rPr>
                <w:sz w:val="20"/>
                <w:szCs w:val="20"/>
                <w:color w:val="auto"/>
              </w:rPr>
            </w:pPr>
            <w:r>
              <w:rPr>
                <w:rFonts w:ascii="Arial" w:cs="Arial" w:eastAsia="Arial" w:hAnsi="Arial"/>
                <w:sz w:val="18"/>
                <w:szCs w:val="18"/>
                <w:color w:val="auto"/>
                <w:w w:val="97"/>
              </w:rPr>
              <w:t>Undesignated preferred stock, $0.01 par value-10,000,000 shares authorized; no shares issued or outstanding at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March 31, 2005 and December 31, 2004</w:t>
            </w:r>
          </w:p>
        </w:tc>
        <w:tc>
          <w:tcPr>
            <w:tcW w:w="1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$0.01 par value-90,000,000 shares authorized; 32,769,058 and 32,756,237 shares issued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March 31, 2005 and December 31, 2004, respectively</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592,414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592,999</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(465,125)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(442,963)</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150,363</w:t>
            </w:r>
          </w:p>
        </w:tc>
        <w:tc>
          <w:tcPr>
            <w:tcW w:w="100" w:type="dxa"/>
            <w:vAlign w:val="bottom"/>
            <w:shd w:val="clear" w:color="auto" w:fill="CCEEFF"/>
          </w:tcPr>
          <w:p>
            <w:pPr>
              <w:spacing w:after="0"/>
              <w:rPr>
                <w:sz w:val="18"/>
                <w:szCs w:val="18"/>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141,757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163,483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7"/>
            <w:vMerge w:val="restart"/>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February 14, 1991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7"/>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(date of inception)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Borders>
              <w:top w:val="single" w:sz="8" w:color="auto"/>
            </w:tcBorders>
            <w:gridSpan w:val="4"/>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to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12,799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costs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Goodwill impairment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16,568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472,054</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(22,647)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(16,568)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before provision for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(22,161)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(16,409)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(22,162)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(16,409)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Deemed dividend related to beneficial conversion feature of convertible preferred stock</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(22,162</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(17,085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Basic and diluted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(0.68)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Basic and diluted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32,764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19,975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4740" w:type="dxa"/>
            <w:vAlign w:val="bottom"/>
            <w:gridSpan w:val="6"/>
            <w:vMerge w:val="restart"/>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58"/>
        </w:trPr>
        <w:tc>
          <w:tcPr>
            <w:tcW w:w="5560" w:type="dxa"/>
            <w:vAlign w:val="bottom"/>
          </w:tcPr>
          <w:p>
            <w:pPr>
              <w:spacing w:after="0"/>
              <w:rPr>
                <w:sz w:val="13"/>
                <w:szCs w:val="13"/>
                <w:color w:val="auto"/>
              </w:rPr>
            </w:pPr>
          </w:p>
        </w:tc>
        <w:tc>
          <w:tcPr>
            <w:tcW w:w="4740" w:type="dxa"/>
            <w:vAlign w:val="bottom"/>
            <w:gridSpan w:val="6"/>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1020" w:type="dxa"/>
            <w:vAlign w:val="bottom"/>
            <w:gridSpan w:val="2"/>
          </w:tcPr>
          <w:p>
            <w:pPr>
              <w:jc w:val="center"/>
              <w:ind w:left="111"/>
              <w:spacing w:after="0" w:line="142"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600" w:type="dxa"/>
            <w:vAlign w:val="bottom"/>
            <w:gridSpan w:val="3"/>
          </w:tcPr>
          <w:p>
            <w:pPr>
              <w:jc w:val="right"/>
              <w:ind w:right="200"/>
              <w:spacing w:after="0"/>
              <w:rPr>
                <w:sz w:val="20"/>
                <w:szCs w:val="20"/>
                <w:color w:val="auto"/>
              </w:rPr>
            </w:pPr>
            <w:r>
              <w:rPr>
                <w:rFonts w:ascii="Arial" w:cs="Arial" w:eastAsia="Arial" w:hAnsi="Arial"/>
                <w:sz w:val="18"/>
                <w:szCs w:val="18"/>
                <w:color w:val="auto"/>
              </w:rPr>
              <w:t>$ (22,162)</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 (16,409)</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 (465,125)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Adjustments to reconcile net loss to net cash used in operating activities:</w:t>
            </w:r>
          </w:p>
        </w:tc>
        <w:tc>
          <w:tcPr>
            <w:tcW w:w="2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600" w:type="dxa"/>
            <w:vAlign w:val="bottom"/>
            <w:gridSpan w:val="3"/>
          </w:tcPr>
          <w:p>
            <w:pPr>
              <w:jc w:val="right"/>
              <w:ind w:right="260"/>
              <w:spacing w:after="0"/>
              <w:rPr>
                <w:sz w:val="20"/>
                <w:szCs w:val="20"/>
                <w:color w:val="auto"/>
              </w:rPr>
            </w:pPr>
            <w:r>
              <w:rPr>
                <w:rFonts w:ascii="Arial" w:cs="Arial" w:eastAsia="Arial" w:hAnsi="Arial"/>
                <w:sz w:val="18"/>
                <w:szCs w:val="18"/>
                <w:color w:val="auto"/>
              </w:rPr>
              <w:t>1,811</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1,769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25,057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w:t>
            </w:r>
          </w:p>
        </w:tc>
        <w:tc>
          <w:tcPr>
            <w:tcW w:w="2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556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3600" w:type="dxa"/>
            <w:vAlign w:val="bottom"/>
            <w:gridSpan w:val="3"/>
          </w:tcPr>
          <w:p>
            <w:pPr>
              <w:jc w:val="right"/>
              <w:ind w:right="200"/>
              <w:spacing w:after="0"/>
              <w:rPr>
                <w:sz w:val="20"/>
                <w:szCs w:val="20"/>
                <w:color w:val="auto"/>
              </w:rPr>
            </w:pPr>
            <w:r>
              <w:rPr>
                <w:rFonts w:ascii="Arial" w:cs="Arial" w:eastAsia="Arial" w:hAnsi="Arial"/>
                <w:sz w:val="18"/>
                <w:szCs w:val="18"/>
                <w:color w:val="auto"/>
              </w:rPr>
              <w:t>(685)</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1,195</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23,561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Discount on stockholder notes below market rate</w:t>
            </w:r>
          </w:p>
        </w:tc>
        <w:tc>
          <w:tcPr>
            <w:tcW w:w="2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5560" w:type="dxa"/>
            <w:vAlign w:val="bottom"/>
          </w:tcPr>
          <w:p>
            <w:pPr>
              <w:ind w:left="420"/>
              <w:spacing w:after="0"/>
              <w:rPr>
                <w:sz w:val="20"/>
                <w:szCs w:val="20"/>
                <w:color w:val="auto"/>
              </w:rPr>
            </w:pPr>
            <w:r>
              <w:rPr>
                <w:rFonts w:ascii="Arial" w:cs="Arial" w:eastAsia="Arial" w:hAnsi="Arial"/>
                <w:sz w:val="18"/>
                <w:szCs w:val="18"/>
                <w:color w:val="auto"/>
              </w:rPr>
              <w:t>Non-cash compensation to officers</w:t>
            </w:r>
          </w:p>
        </w:tc>
        <w:tc>
          <w:tcPr>
            <w:tcW w:w="26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Loss on sale and abandonment/disposal of property and equipment</w:t>
            </w:r>
          </w:p>
        </w:tc>
        <w:tc>
          <w:tcPr>
            <w:tcW w:w="3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16"/>
        </w:trPr>
        <w:tc>
          <w:tcPr>
            <w:tcW w:w="5560" w:type="dxa"/>
            <w:vAlign w:val="bottom"/>
          </w:tcPr>
          <w:p>
            <w:pPr>
              <w:ind w:left="420"/>
              <w:spacing w:after="0"/>
              <w:rPr>
                <w:sz w:val="20"/>
                <w:szCs w:val="20"/>
                <w:color w:val="auto"/>
              </w:rPr>
            </w:pPr>
            <w:r>
              <w:rPr>
                <w:rFonts w:ascii="Arial" w:cs="Arial" w:eastAsia="Arial" w:hAnsi="Arial"/>
                <w:sz w:val="18"/>
                <w:szCs w:val="18"/>
                <w:color w:val="auto"/>
              </w:rPr>
              <w:t>Accrued interest expense on notes payable to stockholders</w:t>
            </w:r>
          </w:p>
        </w:tc>
        <w:tc>
          <w:tcPr>
            <w:tcW w:w="26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 on notes</w:t>
            </w:r>
          </w:p>
        </w:tc>
        <w:tc>
          <w:tcPr>
            <w:tcW w:w="2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556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26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(Gain)/loss on available-for-sale securities, net</w:t>
            </w:r>
          </w:p>
        </w:tc>
        <w:tc>
          <w:tcPr>
            <w:tcW w:w="2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556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2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State research and development credit exchange receivable</w:t>
            </w:r>
          </w:p>
        </w:tc>
        <w:tc>
          <w:tcPr>
            <w:tcW w:w="3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6"/>
        </w:trPr>
        <w:tc>
          <w:tcPr>
            <w:tcW w:w="5560" w:type="dxa"/>
            <w:vAlign w:val="bottom"/>
          </w:tcPr>
          <w:p>
            <w:pPr>
              <w:ind w:left="620"/>
              <w:spacing w:after="0"/>
              <w:rPr>
                <w:sz w:val="20"/>
                <w:szCs w:val="20"/>
                <w:color w:val="auto"/>
              </w:rPr>
            </w:pPr>
            <w:r>
              <w:rPr>
                <w:rFonts w:ascii="Arial" w:cs="Arial" w:eastAsia="Arial" w:hAnsi="Arial"/>
                <w:sz w:val="18"/>
                <w:szCs w:val="18"/>
                <w:color w:val="auto"/>
              </w:rPr>
              <w:t>Prepaid expenses and other current assets</w:t>
            </w:r>
          </w:p>
        </w:tc>
        <w:tc>
          <w:tcPr>
            <w:tcW w:w="3600" w:type="dxa"/>
            <w:vAlign w:val="bottom"/>
            <w:gridSpan w:val="3"/>
          </w:tcPr>
          <w:p>
            <w:pPr>
              <w:jc w:val="right"/>
              <w:ind w:right="260"/>
              <w:spacing w:after="0"/>
              <w:rPr>
                <w:sz w:val="20"/>
                <w:szCs w:val="20"/>
                <w:color w:val="auto"/>
              </w:rPr>
            </w:pPr>
            <w:r>
              <w:rPr>
                <w:rFonts w:ascii="Arial" w:cs="Arial" w:eastAsia="Arial" w:hAnsi="Arial"/>
                <w:sz w:val="18"/>
                <w:szCs w:val="18"/>
                <w:color w:val="auto"/>
              </w:rPr>
              <w:t>238</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(58)</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Restricted cash</w:t>
            </w:r>
          </w:p>
        </w:tc>
        <w:tc>
          <w:tcPr>
            <w:tcW w:w="3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5560" w:type="dxa"/>
            <w:vAlign w:val="bottom"/>
          </w:tcPr>
          <w:p>
            <w:pPr>
              <w:ind w:left="620"/>
              <w:spacing w:after="0"/>
              <w:rPr>
                <w:sz w:val="20"/>
                <w:szCs w:val="20"/>
                <w:color w:val="auto"/>
              </w:rPr>
            </w:pPr>
            <w:r>
              <w:rPr>
                <w:rFonts w:ascii="Arial" w:cs="Arial" w:eastAsia="Arial" w:hAnsi="Arial"/>
                <w:sz w:val="18"/>
                <w:szCs w:val="18"/>
                <w:color w:val="auto"/>
              </w:rPr>
              <w:t>Other assets</w:t>
            </w:r>
          </w:p>
        </w:tc>
        <w:tc>
          <w:tcPr>
            <w:tcW w:w="3600" w:type="dxa"/>
            <w:vAlign w:val="bottom"/>
            <w:gridSpan w:val="3"/>
          </w:tcPr>
          <w:p>
            <w:pPr>
              <w:jc w:val="right"/>
              <w:ind w:right="200"/>
              <w:spacing w:after="0"/>
              <w:rPr>
                <w:sz w:val="20"/>
                <w:szCs w:val="20"/>
                <w:color w:val="auto"/>
              </w:rPr>
            </w:pPr>
            <w:r>
              <w:rPr>
                <w:rFonts w:ascii="Arial" w:cs="Arial" w:eastAsia="Arial" w:hAnsi="Arial"/>
                <w:sz w:val="18"/>
                <w:szCs w:val="18"/>
                <w:color w:val="auto"/>
              </w:rPr>
              <w:t>(142)</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86</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payable</w:t>
            </w:r>
          </w:p>
        </w:tc>
        <w:tc>
          <w:tcPr>
            <w:tcW w:w="3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1,618</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16"/>
        </w:trPr>
        <w:tc>
          <w:tcPr>
            <w:tcW w:w="5560" w:type="dxa"/>
            <w:vAlign w:val="bottom"/>
          </w:tcPr>
          <w:p>
            <w:pPr>
              <w:ind w:left="620"/>
              <w:spacing w:after="0"/>
              <w:rPr>
                <w:sz w:val="20"/>
                <w:szCs w:val="20"/>
                <w:color w:val="auto"/>
              </w:rPr>
            </w:pPr>
            <w:r>
              <w:rPr>
                <w:rFonts w:ascii="Arial" w:cs="Arial" w:eastAsia="Arial" w:hAnsi="Arial"/>
                <w:sz w:val="18"/>
                <w:szCs w:val="18"/>
                <w:color w:val="auto"/>
              </w:rPr>
              <w:t>Accrued expenses and other current liabilities</w:t>
            </w:r>
          </w:p>
        </w:tc>
        <w:tc>
          <w:tcPr>
            <w:tcW w:w="3600" w:type="dxa"/>
            <w:vAlign w:val="bottom"/>
            <w:gridSpan w:val="3"/>
          </w:tcPr>
          <w:p>
            <w:pPr>
              <w:jc w:val="right"/>
              <w:ind w:right="200"/>
              <w:spacing w:after="0"/>
              <w:rPr>
                <w:sz w:val="20"/>
                <w:szCs w:val="20"/>
                <w:color w:val="auto"/>
              </w:rPr>
            </w:pPr>
            <w:r>
              <w:rPr>
                <w:rFonts w:ascii="Arial" w:cs="Arial" w:eastAsia="Arial" w:hAnsi="Arial"/>
                <w:sz w:val="18"/>
                <w:szCs w:val="18"/>
                <w:color w:val="auto"/>
              </w:rPr>
              <w:t>(576)</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932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liabilities</w:t>
            </w:r>
          </w:p>
        </w:tc>
        <w:tc>
          <w:tcPr>
            <w:tcW w:w="3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5560" w:type="dxa"/>
            <w:vAlign w:val="bottom"/>
          </w:tcPr>
          <w:p>
            <w:pPr>
              <w:ind w:left="620"/>
              <w:spacing w:after="0"/>
              <w:rPr>
                <w:sz w:val="20"/>
                <w:szCs w:val="20"/>
                <w:color w:val="auto"/>
              </w:rPr>
            </w:pPr>
            <w:r>
              <w:rPr>
                <w:rFonts w:ascii="Arial" w:cs="Arial" w:eastAsia="Arial" w:hAnsi="Arial"/>
                <w:sz w:val="18"/>
                <w:szCs w:val="18"/>
                <w:color w:val="auto"/>
              </w:rPr>
              <w:t>Payment of deferred compensation</w:t>
            </w:r>
          </w:p>
        </w:tc>
        <w:tc>
          <w:tcPr>
            <w:tcW w:w="26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used in operating activities</w:t>
            </w:r>
          </w:p>
        </w:tc>
        <w:tc>
          <w:tcPr>
            <w:tcW w:w="3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(20,296)</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(11,998)</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(233,249)</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marketable securities</w:t>
            </w:r>
          </w:p>
        </w:tc>
        <w:tc>
          <w:tcPr>
            <w:tcW w:w="3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(66,900)</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(1,394)</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(211,468)</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Sales of marketable securities</w:t>
            </w:r>
          </w:p>
        </w:tc>
        <w:tc>
          <w:tcPr>
            <w:tcW w:w="3600" w:type="dxa"/>
            <w:vAlign w:val="bottom"/>
            <w:gridSpan w:val="3"/>
          </w:tcPr>
          <w:p>
            <w:pPr>
              <w:jc w:val="right"/>
              <w:ind w:right="260"/>
              <w:spacing w:after="0"/>
              <w:rPr>
                <w:sz w:val="20"/>
                <w:szCs w:val="20"/>
                <w:color w:val="auto"/>
              </w:rPr>
            </w:pPr>
            <w:r>
              <w:rPr>
                <w:rFonts w:ascii="Arial" w:cs="Arial" w:eastAsia="Arial" w:hAnsi="Arial"/>
                <w:sz w:val="18"/>
                <w:szCs w:val="18"/>
                <w:color w:val="auto"/>
              </w:rPr>
              <w:t>33,495</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166,290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3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(3,393)</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(1,369)</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(96,593)</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Proceeds from sale of property and equipment</w:t>
            </w:r>
          </w:p>
        </w:tc>
        <w:tc>
          <w:tcPr>
            <w:tcW w:w="26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used in investing activities</w:t>
            </w:r>
          </w:p>
        </w:tc>
        <w:tc>
          <w:tcPr>
            <w:tcW w:w="3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(36,702)</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(2,763)</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(141,583)</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6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received for common stock to be issued</w:t>
            </w:r>
          </w:p>
        </w:tc>
        <w:tc>
          <w:tcPr>
            <w:tcW w:w="2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Repurchase of common stock</w:t>
            </w:r>
          </w:p>
        </w:tc>
        <w:tc>
          <w:tcPr>
            <w:tcW w:w="26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for cash</w:t>
            </w:r>
          </w:p>
        </w:tc>
        <w:tc>
          <w:tcPr>
            <w:tcW w:w="3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320,671</w:t>
            </w:r>
          </w:p>
        </w:tc>
        <w:tc>
          <w:tcPr>
            <w:tcW w:w="0" w:type="dxa"/>
            <w:vAlign w:val="bottom"/>
          </w:tcPr>
          <w:p>
            <w:pPr>
              <w:spacing w:after="0"/>
              <w:rPr>
                <w:sz w:val="1"/>
                <w:szCs w:val="1"/>
                <w:color w:val="auto"/>
              </w:rPr>
            </w:pPr>
          </w:p>
        </w:tc>
      </w:tr>
      <w:tr>
        <w:trPr>
          <w:trHeight w:val="392"/>
        </w:trPr>
        <w:tc>
          <w:tcPr>
            <w:tcW w:w="5560" w:type="dxa"/>
            <w:vAlign w:val="bottom"/>
          </w:tcPr>
          <w:p>
            <w:pPr>
              <w:spacing w:after="0"/>
              <w:rPr>
                <w:sz w:val="24"/>
                <w:szCs w:val="24"/>
                <w:color w:val="auto"/>
              </w:rPr>
            </w:pPr>
          </w:p>
        </w:tc>
        <w:tc>
          <w:tcPr>
            <w:tcW w:w="2640" w:type="dxa"/>
            <w:vAlign w:val="bottom"/>
          </w:tcPr>
          <w:p>
            <w:pPr>
              <w:jc w:val="right"/>
              <w:ind w:right="2351"/>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6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62"/>
        </w:trPr>
        <w:tc>
          <w:tcPr>
            <w:tcW w:w="6880" w:type="dxa"/>
            <w:vAlign w:val="bottom"/>
          </w:tcPr>
          <w:p>
            <w:pPr>
              <w:spacing w:after="0"/>
              <w:rPr>
                <w:sz w:val="14"/>
                <w:szCs w:val="14"/>
                <w:color w:val="auto"/>
              </w:rPr>
            </w:pPr>
          </w:p>
        </w:tc>
        <w:tc>
          <w:tcPr>
            <w:tcW w:w="3420" w:type="dxa"/>
            <w:vAlign w:val="bottom"/>
            <w:gridSpan w:val="8"/>
            <w:vMerge w:val="restart"/>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58"/>
        </w:trPr>
        <w:tc>
          <w:tcPr>
            <w:tcW w:w="6880" w:type="dxa"/>
            <w:vAlign w:val="bottom"/>
          </w:tcPr>
          <w:p>
            <w:pPr>
              <w:spacing w:after="0"/>
              <w:rPr>
                <w:sz w:val="13"/>
                <w:szCs w:val="13"/>
                <w:color w:val="auto"/>
              </w:rPr>
            </w:pPr>
          </w:p>
        </w:tc>
        <w:tc>
          <w:tcPr>
            <w:tcW w:w="3420" w:type="dxa"/>
            <w:vAlign w:val="bottom"/>
            <w:gridSpan w:val="8"/>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Put shares sold to majority stockholder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Borrowings under lines of credit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notes receivables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Principal payments on notes payable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 to stockholder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Issuance of Series B convertible preferred stock for cash</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Borrowings on notes payable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23"/>
        </w:trPr>
        <w:tc>
          <w:tcPr>
            <w:tcW w:w="6880" w:type="dxa"/>
            <w:vAlign w:val="bottom"/>
          </w:tcPr>
          <w:p>
            <w:pPr>
              <w:ind w:left="220"/>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18,153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16,752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396,921</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1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(56,898)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78,987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47,020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49,011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DISCLOSURES: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 in cash</w:t>
            </w:r>
          </w:p>
        </w:tc>
        <w:tc>
          <w:tcPr>
            <w:tcW w:w="1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220"/>
              <w:spacing w:after="0"/>
              <w:rPr>
                <w:sz w:val="20"/>
                <w:szCs w:val="20"/>
                <w:color w:val="auto"/>
              </w:rPr>
            </w:pPr>
            <w:r>
              <w:rPr>
                <w:rFonts w:ascii="Arial" w:cs="Arial" w:eastAsia="Arial" w:hAnsi="Arial"/>
                <w:sz w:val="18"/>
                <w:szCs w:val="18"/>
                <w:color w:val="auto"/>
              </w:rPr>
              <w:t>Issuance of common stock upon conversion of notes payable</w:t>
            </w: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for notes receivable</w:t>
            </w:r>
          </w:p>
        </w:tc>
        <w:tc>
          <w:tcPr>
            <w:tcW w:w="1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220"/>
              <w:spacing w:after="0"/>
              <w:rPr>
                <w:sz w:val="20"/>
                <w:szCs w:val="20"/>
                <w:color w:val="auto"/>
              </w:rPr>
            </w:pPr>
            <w:r>
              <w:rPr>
                <w:rFonts w:ascii="Arial" w:cs="Arial" w:eastAsia="Arial" w:hAnsi="Arial"/>
                <w:sz w:val="18"/>
                <w:szCs w:val="18"/>
                <w:color w:val="auto"/>
              </w:rPr>
              <w:t>Increase in additional paid-in capital resulting from merger</w:t>
            </w: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Put option redemption by stockholder</w:t>
            </w:r>
          </w:p>
        </w:tc>
        <w:tc>
          <w:tcPr>
            <w:tcW w:w="1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220"/>
              <w:spacing w:after="0"/>
              <w:rPr>
                <w:sz w:val="20"/>
                <w:szCs w:val="20"/>
                <w:color w:val="auto"/>
              </w:rPr>
            </w:pPr>
            <w:r>
              <w:rPr>
                <w:rFonts w:ascii="Arial" w:cs="Arial" w:eastAsia="Arial" w:hAnsi="Arial"/>
                <w:sz w:val="18"/>
                <w:szCs w:val="18"/>
                <w:color w:val="auto"/>
              </w:rPr>
              <w:t>Accretion on redeemable convertible preferred stock</w:t>
            </w: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put option by stockholder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220"/>
              <w:spacing w:after="0"/>
              <w:rPr>
                <w:sz w:val="20"/>
                <w:szCs w:val="20"/>
                <w:color w:val="auto"/>
              </w:rPr>
            </w:pPr>
            <w:r>
              <w:rPr>
                <w:rFonts w:ascii="Arial" w:cs="Arial" w:eastAsia="Arial" w:hAnsi="Arial"/>
                <w:sz w:val="18"/>
                <w:szCs w:val="18"/>
                <w:color w:val="auto"/>
              </w:rPr>
              <w:t>Notes receivable by stockholder to officers</w:t>
            </w: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Series C convertible preferred stock subscriptions</w:t>
            </w:r>
          </w:p>
        </w:tc>
        <w:tc>
          <w:tcPr>
            <w:tcW w:w="1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220"/>
              <w:spacing w:after="0"/>
              <w:rPr>
                <w:sz w:val="20"/>
                <w:szCs w:val="20"/>
                <w:color w:val="auto"/>
              </w:rPr>
            </w:pPr>
            <w:r>
              <w:rPr>
                <w:rFonts w:ascii="Arial" w:cs="Arial" w:eastAsia="Arial" w:hAnsi="Arial"/>
                <w:sz w:val="18"/>
                <w:szCs w:val="18"/>
                <w:color w:val="auto"/>
              </w:rPr>
              <w:t>Issuance of Series A redeemable convertible preferred stock</w:t>
            </w: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Series A redeemable convertible preferred stock</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consolidated financial statements of MannKind Corporation (the “Company”), have been prepared in accordance with generally accepted accounting principles in the United States of America for interim financial information and with the instructions to Form 10-Q and Article 10 of Regulation S-X of the Securities and Exchange Commission (the “SEC”). Accordingly, they do not include all of the information and footnotes required by generally accepted accounting principles in the United States of America for complete financial statements. These statements should be read in conjunction with the consolidated financial statements and notes thereto included in the Company’s latest audited annual financial statements. These audited statements for the year ended December 31, 2004 are included in the Annual Report on Form 10-K for the fiscal year ended December 31, 2004 filed with the SEC on March 16, 2005.</w:t>
      </w:r>
    </w:p>
    <w:p>
      <w:pPr>
        <w:spacing w:after="0" w:line="14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July 22, 2004, the Company effected a one-for-three reverse stock split of its common stock. All share and per share amounts included in these unaudited consolidated financial statements have been retroactively adjusted for all periods presented to give effect to the reverse stock split, including reclassifying an amount equal to the reduction in par value to additional paid-in capital.</w:t>
      </w:r>
    </w:p>
    <w:p>
      <w:pPr>
        <w:spacing w:after="0" w:line="14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2005 may not be indicative of the results that may be expected for the full year.</w:t>
      </w:r>
    </w:p>
    <w:p>
      <w:pPr>
        <w:spacing w:after="0" w:line="15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financial statements involve accrued expenses and the valuation of stock-based compensation.</w:t>
      </w:r>
    </w:p>
    <w:p>
      <w:pPr>
        <w:spacing w:after="0" w:line="1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is considered to be in the development stage as its primary activities since incorporation have been establishing its facilities, recruiting personnel, conducting research and development, business development, business and financial planning, and raising capital. Since its inception through March 31, 2005 the Company has reported accumulated net losses of $465.1 million which includes a goodwill impairment charge of $151.4 million. Also, since its inception through March 31, 2005, the Company has reported negative cash flow from operations of $233.2 million. It is costly to develop therapeutic products and conduct clinical trials for these products. Based upon the Company’s current expectations, management believes the Company’s existing capital resources will enable it to continue planned operations through the third quarter of 2005. However, the Company cannot provide assurances that its plans will not change or that changed circumstances will not result in the depletion of its capital resources more rapidly than it currently anticipates. If planned operating results are not achieved or the Company is not successful in raising additional equity financing, management believes that planned expenditures could be reduced substantially, extending the time period over which the Company’s currently available capital resources will be adequate to fund the Company’s operations, on a reduced basis, into 2006.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Initial public offering</w:t>
      </w:r>
    </w:p>
    <w:p>
      <w:pPr>
        <w:spacing w:after="0" w:line="202"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On August 2, 2004, the Company completed an initial public offering of its common stock at a price to the public of $14.00 per share. The Company sold 6,250,000 shares of common stock in the offering resulting in gross proceeds of $87.5 million. In connection with the offering, the Company paid</w:t>
      </w:r>
    </w:p>
    <w:p>
      <w:pPr>
        <w:ind w:right="20"/>
        <w:spacing w:after="0" w:line="287" w:lineRule="auto"/>
        <w:rPr>
          <w:sz w:val="20"/>
          <w:szCs w:val="20"/>
          <w:color w:val="auto"/>
        </w:rPr>
      </w:pPr>
      <w:r>
        <w:rPr>
          <w:rFonts w:ascii="Arial" w:cs="Arial" w:eastAsia="Arial" w:hAnsi="Arial"/>
          <w:sz w:val="16"/>
          <w:szCs w:val="16"/>
          <w:color w:val="auto"/>
        </w:rPr>
        <w:t>$6.1 million in underwriting discounts and commissions to underwriters and incurred $2.2 million in other offering expenses. After deducting the underwriting discounts and commissions and other offering expenses, the Company received net proceeds from the offering of approximately $79.2 million. The Company had granted the underwriters a 30-day option to purchase up to an additional 937,500 shares of common stock from the Company to cover over-allotments, if any. This option was exercised for 307,100 shares on August 28, 2004 and closing occurred on September 1, 2004 with net proceeds to the Company of $4.0 million. Additionally, in connection with the initial public offering, all of the outstanding shares of the Company’s preferred stock were converted into shares of its common stock. Accordingly, the automatic conversion of preferred stock on August 2, 2004 into common stock is reflected in the accompanying unaudited consolidated financial statements. A summary of the terms of the offering can be found in the Prospectus filed by the Company pursuant to Rule 424(b) under the Securities Act of 1933, as amended (the “Securities Act”), with the SEC on July 28, 2004.</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20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accounts for employee stock options and the employee stock purchase plan using the intrinsic-value method in accordance with Accounting Principles Board (“APB”) Opinion No. 25, “Accounting for Stock Issued to Employees,” and its interpretations, and has adopted the disclosure-only alternative of SFAS No. 123, “Accounting for Stock-Based Compensation”. Stock options issued to consultants are accounted for in accordance with the provisions of Emerging Issues Task Force Issue (“EITF”) No. 96-18, “Accounting for Equity Instruments That Are Issued to Other Than Employees for Acquiring, or in Conjunction with Selling, Goods or Services”, and FASB Interpretation No. 28 (“FIN 28”), “Accounting for Stock Appreciation Rights and Other Variable Stock Option or Award Plans”. Accordingly, no compensation expense is recorded for options issued to employees with fixed amounts and fixed exercise prices which, for accounting purposes, are at least equal to the fair value of the Company’s common stock at the date of grant. Conversely, when the exercise price for accounting purposes is below fair value of the Company’s common stock on the date of grant, a non-cash charge to compensation expense is recorded for the amount equal to the difference between the exercise price and the fair value ratably over the term of the option vesting period. On October 7, 2003, our board of directors approved a repricing program for certain outstanding options to purchase shares of our common stock granted under each of our stock plans. Compensation cost for all options repriced under the repricing program will be remeasured on a quarterly basis until the options expire or are exercised or canceled. The Company uses the fair-value method to account for non-employee stock-based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Stock options granted during the three months ended March 31, 2005 are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0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6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6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1"/>
        </w:trPr>
        <w:tc>
          <w:tcPr>
            <w:tcW w:w="4960" w:type="dxa"/>
            <w:vAlign w:val="bottom"/>
            <w:vMerge w:val="restart"/>
          </w:tcPr>
          <w:p>
            <w:pPr>
              <w:spacing w:after="0"/>
              <w:rPr>
                <w:sz w:val="20"/>
                <w:szCs w:val="20"/>
                <w:color w:val="auto"/>
              </w:rPr>
            </w:pPr>
            <w:r>
              <w:rPr>
                <w:rFonts w:ascii="Arial" w:cs="Arial" w:eastAsia="Arial" w:hAnsi="Arial"/>
                <w:sz w:val="18"/>
                <w:szCs w:val="18"/>
                <w:color w:val="auto"/>
              </w:rPr>
              <w:t>For the three months ended:</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Per Share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25"/>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95"/>
        </w:trPr>
        <w:tc>
          <w:tcPr>
            <w:tcW w:w="4960" w:type="dxa"/>
            <w:vAlign w:val="bottom"/>
            <w:vMerge w:val="continue"/>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March 31, 2005</w:t>
            </w:r>
          </w:p>
        </w:tc>
        <w:tc>
          <w:tcPr>
            <w:tcW w:w="1680" w:type="dxa"/>
            <w:vAlign w:val="bottom"/>
            <w:gridSpan w:val="2"/>
          </w:tcPr>
          <w:p>
            <w:pPr>
              <w:jc w:val="right"/>
              <w:ind w:right="420"/>
              <w:spacing w:after="0"/>
              <w:rPr>
                <w:sz w:val="20"/>
                <w:szCs w:val="20"/>
                <w:color w:val="auto"/>
              </w:rPr>
            </w:pPr>
            <w:r>
              <w:rPr>
                <w:rFonts w:ascii="Arial" w:cs="Arial" w:eastAsia="Arial" w:hAnsi="Arial"/>
                <w:sz w:val="18"/>
                <w:szCs w:val="18"/>
                <w:color w:val="auto"/>
              </w:rPr>
              <w:t>342,616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13.02-$14.72</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January 31, 2005, the Company’s Board of Directors approved stock option grants to the Chief Executive Officer and the President and Chief Operating Officer to purchase an aggregate of 185,000 shares of common stock which vest annually over four years at an exercise price of $13.39 per share.</w:t>
      </w:r>
    </w:p>
    <w:p>
      <w:pPr>
        <w:spacing w:after="0" w:line="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February 14, 2005, the Company’s Board of Directors approved new hire stock option grants to purchase 127,616 shares of common stock which vest annually over four years at an exercise price of $14.72 per share.</w:t>
      </w:r>
    </w:p>
    <w:p>
      <w:pPr>
        <w:spacing w:after="0" w:line="13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Pursuant to the 2004 Non-Employee Directors’ Stock Option Plan, a stock option grant to purchase 30,000 shares of common stock at an exercise price of $13.02 was awarded to a non-employee director in March 2005 upon his acceptance of an appointment to the Company’s Board of Directors. This option vests in three equal annual installments.</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the Company had determined compensation cost for grants issued during the current and prior periods based on the fair-value approach in accordance with Statement of Financial Accounting Standards (“SFAS”) No. 123, “Accounting for Stock-based Compensation,” pro forma net loss and net loss per share would have been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(22,162)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Add: Stock-based employee compensation expense (benefit) included in reported net loss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Deduct: Stock-based compensation expense determined under fair value method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color w:val="auto"/>
              </w:rPr>
              <w:t>Net loss — pro forma</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(26,223)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related to beneficial conversion features of convertible preferred stock</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Accretion on redeemable preferred stock</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(26,223)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(18,040)</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(0.80)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377"/>
        </w:trPr>
        <w:tc>
          <w:tcPr>
            <w:tcW w:w="9160" w:type="dxa"/>
            <w:vAlign w:val="bottom"/>
            <w:gridSpan w:val="2"/>
          </w:tcPr>
          <w:p>
            <w:pPr>
              <w:jc w:val="right"/>
              <w:ind w:right="331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202"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Basic net loss per common share excludes dilution for potentially dilutive securities and is computed by dividing the loss applicable to common stockholders by the weighted-average number of common shares outstanding during the period. Common shares outstanding during the period include shares of common stock issued in exchange for notes receivable, including those that are being accounted for as in-substance stock options. Diluted net loss per common share reflects the potential dilution that could occur if securities or other contracts to issue common stock were exercised or converted into common stock.</w:t>
      </w:r>
    </w:p>
    <w:p>
      <w:pPr>
        <w:spacing w:after="0" w:line="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Potentially dilutive securities are excluded from the computation of diluted net loss per share for all the periods presented in the accompanying statements of operations because the reported net loss in each of these periods results in their inclusion being antidilutive. Antidilutive securities, which consist of redeemable convertible preferred stock, convertible preferred stock, stock options and warrants that are not included in the diluted net loss per share calculation, consisted of an aggregate of 4,517,093 shares and 7,256,463 shares as of March 31, 2005 and 2004,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State research and development credit exchange receivable</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foregoing the carryforward of the research and development income credits. The program provides for an exchange of research and development income tax credits for cash equal to 65% of the value of corporation tax credit available for exchange. The Company has recorded an offset to research and development expenses of $4.0 million through the year ended December 31, 2004 and an additional $0.4 million for the three months ended March 31, 2005 related to this research and development credit exchange program. Of these amounts, approximately $1.5 million consisted of cash received during 2004 and $1.5 million was received in April 2005.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4"/>
          </w:tcPr>
          <w:p>
            <w:pPr>
              <w:jc w:val="right"/>
              <w:ind w:right="120"/>
              <w:spacing w:after="0" w:line="119" w:lineRule="exact"/>
              <w:rPr>
                <w:sz w:val="20"/>
                <w:szCs w:val="20"/>
                <w:color w:val="auto"/>
              </w:rPr>
            </w:pPr>
            <w:r>
              <w:rPr>
                <w:rFonts w:ascii="Arial" w:cs="Arial" w:eastAsia="Arial" w:hAnsi="Arial"/>
                <w:sz w:val="13"/>
                <w:szCs w:val="13"/>
                <w:b w:val="1"/>
                <w:bCs w:val="1"/>
                <w:color w:val="auto"/>
                <w:w w:val="99"/>
              </w:rPr>
              <w:t>March 31,</w:t>
            </w:r>
          </w:p>
        </w:tc>
        <w:tc>
          <w:tcPr>
            <w:tcW w:w="3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5,273</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9,566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38,292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18,915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2,445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88,966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(20,967)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(19,368)</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67,999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and preferred stock</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authorized to issue 90,000,000 shares of common stock, par value $0.01 per share, and 10,000,000 shares of undesignated preferred stock, par value $0.01 per share, issuable in one or more series designated by the Company’s board of directors. No other class of capital stock is authorized. As of December 31, 2004 and March 31, 2005, 32,756,237 and 32,769,058 shares of common stock, respectively, were issued and outstanding. No shares of preferred stock were issued and outstanding at December 31, 2004 and March 31, 2005.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Recently issued accounting pronouncements</w:t>
      </w:r>
    </w:p>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In December 2004, the Financial Accounting Standard Board (FASB) issued SFAS No. 123R, </w:t>
      </w:r>
      <w:r>
        <w:rPr>
          <w:rFonts w:ascii="Arial" w:cs="Arial" w:eastAsia="Arial" w:hAnsi="Arial"/>
          <w:sz w:val="18"/>
          <w:szCs w:val="18"/>
          <w:i w:val="1"/>
          <w:iCs w:val="1"/>
          <w:color w:val="auto"/>
        </w:rPr>
        <w:t>Share-based Payment: an Amendment of FASB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No. 123 and 95</w:t>
      </w:r>
      <w:r>
        <w:rPr>
          <w:rFonts w:ascii="Arial" w:cs="Arial" w:eastAsia="Arial" w:hAnsi="Arial"/>
          <w:sz w:val="18"/>
          <w:szCs w:val="18"/>
          <w:color w:val="auto"/>
        </w:rPr>
        <w:t>. The statement requires companies to expense share-based payments to employees, including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stock options, based on the fair value of the award at the grant date. The statement also eliminates the intrinsic value method of accounting for stock options permitted by APB No. 25, which the Company currently follows. In April 2005, the SEC deferred the effective date of SFAS No. 123R, and the Company is required to adopt the standard for the quarter that begins January 1, 2006. While the fair value method under SFAS No. 123R is very similar to the fair value method under SFAS No. 123 with regards to measurement and recognition of stock-based compensation, management is currently evaluating the impact of several of the key differences between the two standards on the Company’s financial statements. For example, SFAS No. 123 permits recognition of forfeitures as they occur while SFAS No. 123R will require estimating future forfeitures and adjusting estimates on a quarterly basis. SFAS No. 123R will also require a classification change in the statement of cash flows, whereby a portion of any tax benefit from stock options will move from operating cash flows to financing cash flows (total cash flows will remain unchanged). While the Company continues to evaluate the impact of SFAS No. 123R on its financial statements, management believes that the expensing of stock-based compensation will have an impact on the Company’s Statements of Operations similar to the pro forma disclosure under SFAS No. 123.</w:t>
      </w:r>
    </w:p>
    <w:p>
      <w:pPr>
        <w:spacing w:after="0" w:line="15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March 2004, the FASB ratified the measurement and recognition guidance and certain disclosure requirements for impaired securities as described in EITF Issue No. 03-1, “The Meaning of Other-Than-Temporary Impairment and Its Application to Certain Investments”. In September 2004, the FASB issued a proposed Staff Position (“FSP”) EITF Issue No. 03-1a, “Implementation Guidance for the Application of Paragraph 16 of EITF 03-1”. The proposed FSP will provide measurement and recognition guidance with respect to debt securities that are impaired solely due to interest rates and/or sector spreads. The FSP has delayed the effective date until such time that the FASB issues the final standard. Management has not determined what impact the adoption of the measurement and recognition guidance in EITF Issue No. 03-1 will have on the Company’s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the ordinary course of its business, the Company makes certain indemnities, commitments and 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15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Additionally, the Company may be involved in various legal proceedings and other matters. In accordance with SFAS No. 5, Accounting for Contingencies, the Company would record a provision for a liability when it is both probable that a liability has been incurred and the amount of the loss can be reasonably estimated. During the year ended December 31, 2000, the Company issued an aggregate 699,972 shares of common stock to three consultants in exchange for notes receivable aggregating approximately $10,891,000. The notes are collateralized by the underlying common stock, bear interest at fixed rates, and are payable in October 2005. The notes-for-stock transactions are being accounted for as in-substance stock option grants to non-employees. On November 10, 2004, the borrowers notified the Company that they believed that they had entered into an agreement in October 2001 with the Company’s principal stockholder under which the stockholder would purchase from the borrowers some of the common stock, with the proceeds to be paid to the Company to pay down the notes. The borrowers informed the Company that they believe both the Company and its majority stockholder are in breach of certain agreements related to the transaction and indicated they intend to seek alleged damages arising from any failure of the agreement to be performed. The Company is in discussion with the borrowers and has concluded that the matter does not have any financial statement impact as of March 31, 2005. The Company believes that the ultimate resolution of this matter will not have a material impact on the Company’s financial position or results of operations.</w:t>
      </w:r>
    </w:p>
    <w:p>
      <w:pPr>
        <w:spacing w:after="0" w:line="13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Further, in November 2004, the Company learned that the parent company of a vendor with whom the Company has equipment deposits in the amount of $2.9 million as of March 31, 2005 is experiencing financial difficulties. The vendor has indicated it intends to supply the equipment against which the deposits were made. The vendor and its parent company are located in France, and the Company has engaged counsel in France to assist it in evaluating the matter. The Company has assessed this matter in accordance with SFAS No. 5 and concluded that, based on currently available information, a loss accrual is not warranted.</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under the caption “Risk Factors” and elsewhere in this quarterly report on Form 10-Q. The interim financial statements and this Management’s discussion and analysis of financial condition and results of operations should be read in conjunction with the financial statements and notes thereto for the year ended December 31, 2004 and the related Management’s discussion and analysis of financial condition and results of operations, both of which are contained in our Form 10-K filed pursuant to Section 13 of the Securities Exchange Act of 1934.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 biopharmaceutical company focused on the discovery, development and commercialization of therapeutic products for diseases such as diabetes and cancer. We commenced Phase 3 clinical trials in Europe of our lead product, the Technosphere Insulin System, to study its potential for the treatment of diabetes. This therapy consists of a proprietary dry powder Technosphere formulation of insulin that is inhaled into the deep lung using our MedTone inhaler. We believe that the performance characteristics, unique kinetics, convenience and ease of use of the Technosphere Insulin System may have the potential to change the way diabetes is treated.</w:t>
      </w:r>
    </w:p>
    <w:p>
      <w:pPr>
        <w:spacing w:after="0" w:line="16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were incorporated in February 1991 under the laws of the State of Delaware as Pharmaceutical Discovery Corporation, or PDC. On December 12, 2001, AlleCure and CTL merged with wholly-owned subsidiaries of PDC. Pursuant to the merger, all of the outstanding shares of capital stock of AlleCure and CTL were exchanged for shares of capital stock of PDC, and AlleCure and CTL became wholly-owned subsidiaries of PDC. In connection with the merger, PDC changed its name to MannKind Corporation. On December 31, 2002, AlleCure and CTL merged with and into MannKind and ceased to be separate entities.</w:t>
      </w:r>
    </w:p>
    <w:p>
      <w:pPr>
        <w:spacing w:after="0" w:line="14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To date, we have not generated any revenues, and except for our recently completed initial public offering, we have funded our operations primarily through private placements of equity securities. We are a development stage enterprise and have incurred significant losses since our inception in 1991. As of March 31, 2005, we have incurred a cumulative net loss of $465.1 million which includes a goodwill impairment charge of $151.4 million. We do not anticipate receiving revenues from the sales of any product prior to regulatory approval and commercialization of our Technosphere Insulin System. We expect to make substantial and increasing expenditures and to incur additional operating losses for at least the next several years as we:</w:t>
      </w:r>
    </w:p>
    <w:p>
      <w:pPr>
        <w:spacing w:after="0" w:line="173" w:lineRule="exact"/>
        <w:rPr>
          <w:sz w:val="20"/>
          <w:szCs w:val="20"/>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the clinical development and commercialization of our Technosphere Insulin System for the treatment of diabetes;</w:t>
      </w:r>
    </w:p>
    <w:p>
      <w:pPr>
        <w:spacing w:after="0" w:line="225" w:lineRule="exact"/>
        <w:rPr>
          <w:rFonts w:ascii="Arial" w:cs="Arial" w:eastAsia="Arial" w:hAnsi="Arial"/>
          <w:sz w:val="18"/>
          <w:szCs w:val="18"/>
          <w:color w:val="auto"/>
        </w:rPr>
      </w:pPr>
    </w:p>
    <w:p>
      <w:pPr>
        <w:ind w:left="800" w:right="540" w:hanging="454"/>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our manufacturing operations and quality systems to meet our currently anticipated commercial production needs as we advance the Technosphere Insulin System through Phase 3 clinical trials and into commercialization;</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our other research, discovery and development programs focused primarily on the development of therapies for cancer;</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our proprietary Technosphere formulation technology and develop additional applications for the delivery of other drugs; and</w:t>
      </w:r>
    </w:p>
    <w:p>
      <w:pPr>
        <w:spacing w:after="0" w:line="225" w:lineRule="exact"/>
        <w:rPr>
          <w:rFonts w:ascii="Arial" w:cs="Arial" w:eastAsia="Arial" w:hAnsi="Arial"/>
          <w:sz w:val="18"/>
          <w:szCs w:val="18"/>
          <w:color w:val="auto"/>
        </w:rPr>
      </w:pPr>
    </w:p>
    <w:p>
      <w:pPr>
        <w:ind w:left="800" w:right="240" w:hanging="454"/>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17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have a limited history of operations with our current management team. To date, we have not generated any revenues from sales of any product. We currently do not have the required approvals to market any of our product candidates, and we may not receive them. We may not be profitable even if we succeed in commercializing any of our product candidates.</w:t>
      </w:r>
    </w:p>
    <w:p>
      <w:pPr>
        <w:spacing w:after="0" w:line="14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Since 1991, we have been successful in completing several rounds of private equity financing. In 2003, we raised $100.0 million through private placements of our equity securities, comprised of 3,493,194 shares of common stock sold at a weighted average price of $14.31 per share and 980,392 shares of Series C convertible preferred stock that were subscribed for in 2003 at a price of $51.00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per share. Of the $50.0 million of Series C convertible preferred stock subscribed for in 2003, $31.8 million, representing the purchase price for 624,449 shares of Series C convertible preferred stock, was received in 2003 and $18.2 million, representing the purchase price of the remaining 355,943 shares of Series C convertible preferred stock, was received in the first quarter of 2004. On August 2, 2004, we sold 6,250,000 shares of common stock in an initial public offering for aggregate gross proceeds of $87.5 million. The underwriters exercised 307,100 shares of the over-allotment option on August 28, 2004, and the closing occurred on September 1, 2004 for aggregate gross proceeds of $4.3 million. After deducting the underwriters’ commission and offering expenses, we received aggregate net proceeds of $83.2 million.</w:t>
      </w:r>
    </w:p>
    <w:p>
      <w:pPr>
        <w:spacing w:after="0" w:line="15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8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and manufacturing and related activities. This staff is divided between our facilities in Valencia, California, Elmsford, New York, Paramus, New Jersey and Danbury, Connecticut. We expense research and development costs as we incur them.</w:t>
      </w:r>
    </w:p>
    <w:p>
      <w:pPr>
        <w:spacing w:after="0" w:line="14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Clinical development timelines, likelihood of success and total costs vary widely. We are focused primarily on advancing the Technosphere Insulin System through Phase 3 clinical trials and regulatory filings. We plan to commercialize our lead product as a treatment for type 2 diabetes.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 We anticipate that our research and development expenses, particularly for the Technosphere Insulin System, will increase significantly with the continuation of existing and the initiation of new clinical trials, the resulting manufacturing costs associated with producing materials for these clinical trials, and the expansion, qualification and validation of our commercial manufacturing processes.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14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We expect general and administrative expenses to increase significantly, in part due to increased (non-cash) stock compensation expense resulting in part from the anticipated adoption of Statement of Financial Accounting Standards (SFAS) No. 123R, </w:t>
      </w:r>
      <w:r>
        <w:rPr>
          <w:rFonts w:ascii="Arial" w:cs="Arial" w:eastAsia="Arial" w:hAnsi="Arial"/>
          <w:sz w:val="16"/>
          <w:szCs w:val="16"/>
          <w:i w:val="1"/>
          <w:iCs w:val="1"/>
          <w:color w:val="auto"/>
        </w:rPr>
        <w:t>Share-based Payment: an Amendment of FASB Statement 123</w:t>
      </w:r>
      <w:r>
        <w:rPr>
          <w:rFonts w:ascii="Arial" w:cs="Arial" w:eastAsia="Arial" w:hAnsi="Arial"/>
          <w:sz w:val="16"/>
          <w:szCs w:val="16"/>
          <w:color w:val="auto"/>
        </w:rPr>
        <w:t xml:space="preserve"> </w:t>
      </w:r>
      <w:r>
        <w:rPr>
          <w:rFonts w:ascii="Arial" w:cs="Arial" w:eastAsia="Arial" w:hAnsi="Arial"/>
          <w:sz w:val="16"/>
          <w:szCs w:val="16"/>
          <w:i w:val="1"/>
          <w:iCs w:val="1"/>
          <w:color w:val="auto"/>
        </w:rPr>
        <w:t>and 95</w:t>
      </w:r>
      <w:r>
        <w:rPr>
          <w:rFonts w:ascii="Arial" w:cs="Arial" w:eastAsia="Arial" w:hAnsi="Arial"/>
          <w:sz w:val="16"/>
          <w:szCs w:val="16"/>
          <w:color w:val="auto"/>
        </w:rPr>
        <w:t>. See “Note 3 — Accounting for stock-based compensation” in the footnotes to our financial statements. Also, we became a public company in</w:t>
      </w:r>
    </w:p>
    <w:p>
      <w:pPr>
        <w:ind w:right="340"/>
        <w:spacing w:after="0" w:line="255" w:lineRule="auto"/>
        <w:rPr>
          <w:sz w:val="20"/>
          <w:szCs w:val="20"/>
          <w:color w:val="auto"/>
        </w:rPr>
      </w:pPr>
      <w:r>
        <w:rPr>
          <w:rFonts w:ascii="Arial" w:cs="Arial" w:eastAsia="Arial" w:hAnsi="Arial"/>
          <w:sz w:val="18"/>
          <w:szCs w:val="18"/>
          <w:color w:val="auto"/>
        </w:rPr>
        <w:t>July 2004. As a public company, we expect our general and administrative expenses to increase significantly in such areas as audit and legal fees, internal control compliance and insurance. A significant portion of these increases will be paid directly to third parties; most of the remainder will be related to increased staffing in these areas.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long-lived assets</w:t>
      </w:r>
    </w:p>
    <w:p>
      <w:pPr>
        <w:spacing w:after="0" w:line="18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Assessing goodwill, intangibles and other long-lived assets for impairment requires us to make assumptions and judgments regarding the carrying value of these assets. Goodwill and intangible assets with indefinite lives are tested for impairment annually, or on an interim basis if events or circumstances indicate that the fair value of the asset has decreased below its carrying value. Other long-lived assets are tested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158"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our strategic business objectives and utilization of the assets;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determination that the carrying value of such assets can not be recovered through undiscounted cash flows;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legal ownership or title to the assets; or</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significant negative industry or economic trends.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If we believe that one of our assets is impaired, the impairment we recognize is the amount by which the carrying value of the asset exceeds the fair value of the asset.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14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expenses</w:t>
      </w:r>
    </w:p>
    <w:p>
      <w:pPr>
        <w:spacing w:after="0" w:line="1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 negotiations which vary from contract to contract and may result in uneven payment flows. Our objective is to reflect the appropriate trial expenses in our financial statements by matching period expenses with period services and efforts expended. We account for these expenses according to the progress of the trial as measured by patient enrollment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We have recorded compensation expense related to options to purchase our common stock issued to employees and consultants. We have elected to follow Accounting Principles Board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and related interpretations, in accounting for our stock-options issued to employees, and we have adopted the disclosure-only alternative of SFAS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Accordingly, we have recorded stock-based compensation expense in connection with the grant of common stock options to employees based on the intrinsic-value method provided for under APB No. 25 rather than the alternative fair-value method provided for under SFAS No. 123. The intrinsic value of an employee stock option under APB No. 25 is equal to the difference between the exercise price of the option and the estimated fair value of the stock, on the measurement date, of the common stock purchasable with the option. In the notes to our financial statements, we provide pro forma disclosures that indicate the effect on our net income as if we had applied the fair-value method.</w:t>
      </w:r>
    </w:p>
    <w:p>
      <w:pPr>
        <w:spacing w:after="0" w:line="1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measurement date for stock-based compensation, if any, in connection with an employee stock option is generally the option grant date. However, modifying option terms subsequent to the grant date can result in a remeasurement of stock option compensation on the modification date and subsequently under certain circumstances. On October 7, 2003, our board of directors approved a repricing program for certain outstanding options to purchase shares of our common stock granted under each of our stock plans. Under the repricing program, each holder of outstanding options granted under the stock plans who was an employee of ours on November 5, 2003 could elect to exchange up to all of his or her outstanding options that had an exercise price greater than $7.95 for repriced stock options with an exercise price of $7.95 per share and a term of four years. The option repricing became effective on November 5, 2003. Each replacement option vested 50% in November 2004 and then monthly thereafter until fully vested in November 2005. Employees who voluntarily resigned in the 12-month period beginning November 5, 2003 forfeited their repriced options. Employees who were involuntarily terminated in the 12-month period beginning November 5, 2003 vested 50% upon termination and forfeited the remaining portions of their options. Compensation cost for all options repriced under the repricing program will be remeasured on a quarterly basis until the options expire or are exercised or canceled.</w:t>
      </w:r>
    </w:p>
    <w:p>
      <w:pPr>
        <w:spacing w:after="0" w:line="1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Stock options issued to consultants are accounted for in accordance with the provisions of SFAS No. 123 and Emerging Issues Task Force (EITF) Issue No. 96-18, </w:t>
      </w:r>
      <w:r>
        <w:rPr>
          <w:rFonts w:ascii="Arial" w:cs="Arial" w:eastAsia="Arial" w:hAnsi="Arial"/>
          <w:sz w:val="17"/>
          <w:szCs w:val="17"/>
          <w:i w:val="1"/>
          <w:iCs w:val="1"/>
          <w:color w:val="auto"/>
        </w:rPr>
        <w:t>Accounting for Equity Instruments That Are Issued to Other Than Employees for Acquiring, or in Conjunction with Selling, Goods or Services.</w:t>
      </w:r>
      <w:r>
        <w:rPr>
          <w:rFonts w:ascii="Arial" w:cs="Arial" w:eastAsia="Arial" w:hAnsi="Arial"/>
          <w:sz w:val="17"/>
          <w:szCs w:val="17"/>
          <w:color w:val="auto"/>
        </w:rPr>
        <w:t xml:space="preserve"> Under SFAS No. 123, stock-based compensation for stock options granted to non-employees is equal to the fair value of the stock options rather than the intrinsic value under APB No. 25. We determine the fair value of options granted to non-employees using the Black-Scholes option valuation model, which was developed for use in estimating the fair value of traded options that have no vesting restrictions and are fully transferable. The Black-Scholes option valuation model requires the input of highly subjective assumptions, including the expected volatility of our stock price. Stock-based compensation related to options granted to consultants is generally remeasured periodically as the underlying options vest.</w:t>
      </w:r>
    </w:p>
    <w:p>
      <w:pPr>
        <w:spacing w:after="0" w:line="15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Stock-based compensation expense includes amounts attributable to certain issuances of common stock for notes receivable that we have accounted for as in-substance stock options and are further described in the notes to our annual financial statements appearing in our Annual Report on Form 10-K for the year ended December 31, 2004. Stock-based compensation expense is assigned to operating expense categories in our statements of operations according to nature of the services rendered by the employee or consultant to whom the expense applies.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future periods, we are required to remeasure stock-based compensation cost for all employee options repriced under the repricing program that remain outstanding and to periodically remeasure the stock-based compensation cost of options we have granted to consultants. Since the amount of compensation cost attributable to the repriced options and consultant options is dependent on the fair value of our common stock underlying the options on the future remeasurement dates, the amount of stock-based compensation recognized in any given future period cannot be predicted and may have a material impact on our results of operations.</w:t>
      </w:r>
    </w:p>
    <w:p>
      <w:pPr>
        <w:spacing w:after="0" w:line="14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December 2004, the Financial Accounting Standard Board (“FASB”) issued SFAS No. 123R. The statement requires companies to expense share-based payments to employees, including stock options, based on the fair value of the award at the grant date. The statement also eliminates the intrinsic value method of accounting for stock options permitted by APB No. 25, which we currently follow. In April 2005, the SEC deferred the effective date of SFAS No. 123R, and the Company is required to adopt the standard for the quarter that begins January 1, 2006. While the fair value method under SFAS No. 123R is very similar to the fair value method under SFAS No. 123 with regards to measurement and recognition of stock-based compensation, management is currently evaluating the impact of several of the key differences between the two standards on our financial statements. For example, SFAS No. 123 permits recognizing forfeitures as they occur while SFAS No. 123R will require estimating future forfeitures and adjusting estimates on a quarterly basis. SFAS No. 123R will also require a classification change in the statement of cash flows, whereby a portion of any tax benefits from stock options will move from operating cash flows to financing cash flows (total cash flows will remain unchanged).</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While we continue to evaluate the impact of SFAS No. 123R on our financial statements, we believe that the expensing of stock-based compensation will have an impact on our Statements of Operations similar to our pro forma disclosure under SFAS No. 123.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must make significant management judgments when determining our provision for income taxes, our deferred tax assets and liabilities and any valuation allowance recorded against our net deferred tax assets. As of March 31, 2005, we established a full valuation allowance against our gross deferred tax asset balance due to uncertainties related to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2005 and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 revenues were recorded for the three months ended March 31, 2005 or 2004. We do not anticipate receiving revenues from the sales of any product prior to regulatory approval and commercialization of our Technosphere Insulin System.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Research and development expenses increased by $5.9 million to $18.7 million for the three months ended March 31, 2005 compared to $12.8 million for the three months ended March 31, 2004, an increase of 46.1%. The increase was primarily due to ongoing expenses in 2005 related to our Technosphere Insulin System. Continuation of preclinical and clinical studies in 2005 increased research expenditures by $5.1 million, which also resulted in increased manufacturing costs of $0.9 million to supply clinical trial materials and our continued validation of our manufacturing system. Offsetting the total increase in research and development expenses of $6.3 million was the recognition of an estimated $0.4 million receivable from the State of Connecticut pursuant to a program under which we can exchange qualified research and development income tax credits for cash. We anticipate that our research and development expenses will increase significantly with the continuation of existing, and initiation of new, clinical trials and the resulting manufacturing costs associated with producing materials for these clinical trials.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02"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General and administrative expenses increased by $0.2 million to $4.0 million for the three months ended March 31, 2005 compared to $3.8 million for the three months ended March 31, 2004, an increase of 4.8%. The increase was primarily due to increased salaries and other employee related expenses of</w:t>
      </w:r>
    </w:p>
    <w:p>
      <w:pPr>
        <w:spacing w:after="0" w:line="255" w:lineRule="auto"/>
        <w:rPr>
          <w:sz w:val="20"/>
          <w:szCs w:val="20"/>
          <w:color w:val="auto"/>
        </w:rPr>
      </w:pPr>
      <w:r>
        <w:rPr>
          <w:rFonts w:ascii="Arial" w:cs="Arial" w:eastAsia="Arial" w:hAnsi="Arial"/>
          <w:sz w:val="18"/>
          <w:szCs w:val="18"/>
          <w:color w:val="auto"/>
        </w:rPr>
        <w:t>$0.9 million and various other general and administrative expenses which increased by $0.7 million, such as insurance, accounting and legal fees as a result of operating as a public company. This increase was offset by a $1.5 million decrease in stock compensation expense resulting from the effect of the fluctuation of our stock price on the valuation of stock options that were repriced in November 2003.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8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Other income of $14,000 and $54,000 for the three months ended March 31, 2005 and 2004, respectively, relates primarily to dividend income from available-for-sale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 income increased by $367,000 to $472,000 for the three months ended March 31, 2005 compared to $105,000 for the three months ended March 31, 2004, an increase of 349.5%. The increase was primarily due to higher levels of cash equivalents and marketable securities available for investment during 2005 compared to 2004.</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Dividend</w:t>
      </w:r>
    </w:p>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deemed dividend of $0.6 million for the three months ended March 31, 2004 represents the beneficial conversion charge to common stockholders related to the downward adjustment of the Series B preferred stock conversion price. No further deemed dividend has been recognized as all outstanding preferred stock automatically converted into common stock at the close of the initial public offering in the third quarter of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Prior to our initial public offering, we have historically funded our operations primarily through the private placement of equity securities with our majority stockholder and his affiliated entities, who have invested approximately $228.5 million of the approximately $328.5 million that we have raised prior to the closing of our initial public offering on August 2, 2004. In 2003, we raised $100.0 million through private placements of our equity securities, comprising 3,493,194 shares of common stock sold at a weighted average price of $14.31 per share, and 980,392 shares of Series C convertible preferred stock that were subscribed for in 2003 at a price of $51.00 per preferred share. Of the $50.0 million of Series C convertible preferred stock subscribed for in 2003,</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$31.8 million, representing the purchase price of 624,449 shares of Series C convertible preferred stock, was received in 2003 and $18.2 million, representing the purchase price of the remaining 355,943 shares of Series C convertible preferred stock, was received in the first quarter of 2004. All of the shares of our Series C convertible preferred stock were issued in the first quarter of 2004.</w:t>
      </w:r>
    </w:p>
    <w:p>
      <w:pPr>
        <w:spacing w:after="0" w:line="16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August 2, 2004, we closed our initial public offering at a price to the public of $14.00 per share. We sold 6,250,000 shares of our common stock in the offering for a gross offering price of $87.5 million. We granted the underwriters a 30-day option to purchase up to an additional 937,500 shares of common stock to cover over-allotments. This option was exercised for 307,100 shares on August 28, 2004 and closing occurred on September 1, 2004 with net proceeds to us of approximately $4.0 million. In connection with the initial public offering, we paid $6.4 million in underwriting discounts and commissions to underwriters and incurred $2.2 million in other offering expenses. After deducting the underwriting discounts and commissions and other offering expenses, we received net proceeds from the initial public offering, including the over-allotment, of approximately $83.2 million. These proceeds and the conversion of our preferred stock to common stock are reflected in the accompanying consolidated financial statements as of December 31, 2004 and March 31, 2005.</w:t>
      </w:r>
    </w:p>
    <w:p>
      <w:pPr>
        <w:spacing w:after="0" w:line="15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During the three months ended March 31, 2005, operating activities used $20.3 million of cash. Net cash used by operating activities during this period resulted primarily from a net loss of $22.2 million, which included a credit to non-cash stock-based compensation of $0.7 million and depreciation of $1.8 million. We expect our negative operating cash flow to continue for several years.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2005, investing activities used $36.7 million of cash. This use of cash was for purchases of equipment of</w:t>
      </w:r>
    </w:p>
    <w:p>
      <w:pPr>
        <w:spacing w:after="0" w:line="35"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$3.4 million and net purchases of marketable securities of $33.5 million. Our efforts with respect to our Technosphere Insulin System include expansion of our manufacturing operations and quality systems. Accordingly, we expect to make significant purchases of equipment in the foreseeable future.</w:t>
      </w:r>
    </w:p>
    <w:p>
      <w:pPr>
        <w:spacing w:after="0" w:line="11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three months ended March 31, 2005, financing activities provided $0.1 million in cash from the exercise of options to purchase an aggregate of 12,821 shares of common stock at an average exercise price of $7.84 per share.</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March 31, 2005, we had $67.0 million in cash, cash equivalents and marketable securities. We expect our capital resources and interest income will be sufficient to fund currently planned operations through the third quarter of 2005. We intend to seek additional funding through public or private equity financing, arrangements with corporate partners or other sources. There can be no assurance that we will be able to obtain such additional capital or enter into such relationships with corporate partners on a timely basis, on favorable terms, or at all. If adequate funds are not available, we may be required to delay, reduce or eliminate expenditures for certain of our programs, including our Technosphere Insulin development activities. Because the majority of our expenses in 2005 can be reduced or eliminated in a relatively short period, we believe that if we are unable to obtain additional capital we can continue activities, on a reduced basis, into 2006.</w:t>
      </w:r>
    </w:p>
    <w:p>
      <w:pPr>
        <w:spacing w:after="0" w:line="1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intend to use our capital resources to continue the development of our Technosphere Insulin System and to develop additional applications for our proprietary Technosphere formulation technology. In addition, portions of our capital resources will be devoted to expanding our other product development programs for the treatment of solid-tumor cancers. We anticipate that we will expend a portion of our capital to scale up our manufacturing capabilities in our Danbury facilities. We also intend to use our capital resources for general corporate purposes, which may include in-licensing or acquiring additional technologies.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If we enter into a strategic business collaboration with a pharmaceutical or biotechnology company, we would expect, as part of the transaction, to receive additional capital and share a portion of the costs associated with the development, manufacture and commercialization of our Technosphere Insulin product candidate.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we may be required to reduce expenses through the delay, reduction or curtailment of our projects, including our Technosphere Insulin System development activities, or further reduction of costs for facilities and administration.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2005, we did not have any off-balance sheet arrangements as defined under Item 303(a)(4)(ii) of SEC Regulation 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contractual obligations consist of operating leases, purchase obligations, capital lease commitments and deferred compensation. Some of our current and former employees elected to defer part or all of their compensation from 1991 through 1998, resulting in total deferred compensation of $1.4 million at March 31, 2005. The amounts due for deferred compensation are non-interest-bearing with no repayment terms. Our other obligations are included in the table below.</w:t>
      </w:r>
    </w:p>
    <w:p>
      <w:pPr>
        <w:spacing w:after="0" w:line="1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Future payments under our operating lease obligations, including a facility lease executed in March 2005, and open purchase commitments consist of the following at March 31, 2005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Payments due in</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 commitments and lease obligations</w:t>
            </w:r>
          </w:p>
        </w:tc>
        <w:tc>
          <w:tcPr>
            <w:tcW w:w="360" w:type="dxa"/>
            <w:vAlign w:val="bottom"/>
          </w:tcPr>
          <w:p>
            <w:pPr>
              <w:spacing w:after="0"/>
              <w:rPr>
                <w:sz w:val="10"/>
                <w:szCs w:val="10"/>
                <w:color w:val="auto"/>
              </w:rPr>
            </w:pPr>
          </w:p>
        </w:tc>
        <w:tc>
          <w:tcPr>
            <w:tcW w:w="94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Less than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1-3</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3-5</w:t>
            </w:r>
          </w:p>
        </w:tc>
        <w:tc>
          <w:tcPr>
            <w:tcW w:w="4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One Year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years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Open purchase order commitments (1)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18,248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18,947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540" w:right="120" w:hanging="532"/>
        <w:spacing w:after="0" w:line="264" w:lineRule="auto"/>
        <w:tabs>
          <w:tab w:leader="none" w:pos="5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amounts included in open purchase order commitments are subject to performance under the purchase order by the supplier of the goods or services and do not become our obligation until such performance is rendered. The amount shown is principally for the purchase of materials for our clinical trials and the acquisition of manufacturing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December 2004, the FASB issued SFAS No. 123R, </w:t>
      </w:r>
      <w:r>
        <w:rPr>
          <w:rFonts w:ascii="Arial" w:cs="Arial" w:eastAsia="Arial" w:hAnsi="Arial"/>
          <w:sz w:val="17"/>
          <w:szCs w:val="17"/>
          <w:i w:val="1"/>
          <w:iCs w:val="1"/>
          <w:color w:val="auto"/>
        </w:rPr>
        <w:t>Share-based Payment: an Amendment of FASB Statements No. 123 and 95</w:t>
      </w:r>
      <w:r>
        <w:rPr>
          <w:rFonts w:ascii="Arial" w:cs="Arial" w:eastAsia="Arial" w:hAnsi="Arial"/>
          <w:sz w:val="17"/>
          <w:szCs w:val="17"/>
          <w:color w:val="auto"/>
        </w:rPr>
        <w:t>. The statement requires companies to expense share-based payments to employees, including stock options, based on the fair value of the award at the grant date. The statement also eliminates the intrinsic value method of accounting for stock options permitted by APB No. 25, which we currently follow. In April 2005, the SEC deferred the effective date of SFAS No. 123R, and we are required to adopt the standard for the quarter that begins January 1, 2006. While the fair value method under SFAS No. 123R is very similar to the fair value method under SFAS No. 123 with regards to measurement and recognition of stock-based compensation, we are currently evaluating the impact of several of the key differences between the two standards on our financial statements. For example, SFAS No. 123 permits recognition of forfeitures as they occur while SFAS No. 123R will require estimating future forfeitures and adjusting estimates on a quarterly basis. SFAS No. 123R will also require a classification change in the statement of cash flows,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780"/>
        <w:spacing w:after="0" w:line="286" w:lineRule="auto"/>
        <w:rPr>
          <w:sz w:val="20"/>
          <w:szCs w:val="20"/>
          <w:color w:val="auto"/>
        </w:rPr>
      </w:pPr>
      <w:r>
        <w:rPr>
          <w:rFonts w:ascii="Arial" w:cs="Arial" w:eastAsia="Arial" w:hAnsi="Arial"/>
          <w:sz w:val="17"/>
          <w:szCs w:val="17"/>
          <w:color w:val="auto"/>
        </w:rPr>
        <w:t>whereby a portion of any tax benefit from stock options will move from operating cash flows to financing cash flows (total cash flows will remain unchanged). While we continue to evaluate the impact of SFAS No. 123R on our financial statements, we believe that the expensing of stock-based compensation will have an impact on our Statements of Operations similar to the pro forma disclosure under SFAS No. 123.</w:t>
      </w:r>
    </w:p>
    <w:p>
      <w:pPr>
        <w:spacing w:after="0" w:line="1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March 2004, the FASB ratified the measurement and recognition guidance and certain disclosure requirements for impaired securities as described in EITF Issue No. 03-1, “The Meaning of Other-Than-Temporary Impairment and Its Application to Certain Investments”. In September 2004, the FASB issued a proposed Staff Position (“FSP”) EITF Issue No. 03-1a, “Implementation Guidance for the Application of Paragraph 16 of EITF 03-1”. The proposed FSP will provide measurement and recognition guidance with respect to debt securities that are impaired solely due to interest rates and/or sector spreads. The FSP has delayed the effective date until such time that the FASB issues the final standard. We have not determined what impact the adoption of the measurement and recognition guidance in EITF Issue No. 03-1 will have on our financial statements.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we expect to continue to incur losses, and we may never become profitable.</w:t>
      </w:r>
    </w:p>
    <w:p>
      <w:pPr>
        <w:spacing w:after="0" w:line="20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1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never been profitable, and, as of March 31, 2005, we had an accumulated deficit of $465.1 million and a net loss of $22.2 million for the three months ended March 31, 2005 and $76.0 million for the year ended December 31, 2004. The accumulated deficit has resulted principally from costs incurred in our research and development programs, the write-off of goodwill and general operating expenses. We expect to make substantial expenditures and to incur additional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 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raise additional capital, our financial condition and business will suffer.</w:t>
      </w:r>
    </w:p>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It is costly to develop therapeutic products and conduct clinical trials for these products. Although we currently are focusing on our Technosphere Insulin System as our lead product candidate, we may in the future conduct clinical trials and perform preclinical research for a number of additional product candidates. Our future revenues may not be sufficient to support the expense of these activities.</w:t>
      </w:r>
    </w:p>
    <w:p>
      <w:pPr>
        <w:spacing w:after="0" w:line="14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Based upon our current expectations, we believe that our existing capital resources will enable us to continue planned operations through the third quarter of 2005. However, we cannot assure you that our plans will not change or that changed circumstances will not result in the depletion of our capital resources more rapidly than we currently anticipate. Accordingly, we expect that we will need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193" w:lineRule="exact"/>
        <w:rPr>
          <w:sz w:val="20"/>
          <w:szCs w:val="20"/>
          <w:color w:val="auto"/>
        </w:rPr>
      </w:pPr>
    </w:p>
    <w:p>
      <w:pPr>
        <w:ind w:left="800" w:right="460" w:hanging="454"/>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amount of milestone or other payments we might receive from potential third parties;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amount of payments we might receive from potential licensees;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or decommissioning existing facilities, if we undertake those activities;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degree of success in commercializing our Technosphere Insulin System or our other product candidates;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 developments; and</w:t>
      </w:r>
    </w:p>
    <w:p>
      <w:pPr>
        <w:spacing w:after="0" w:line="225" w:lineRule="exact"/>
        <w:rPr>
          <w:rFonts w:ascii="Arial" w:cs="Arial" w:eastAsia="Arial" w:hAnsi="Arial"/>
          <w:sz w:val="18"/>
          <w:szCs w:val="18"/>
          <w:color w:val="auto"/>
        </w:rPr>
      </w:pPr>
    </w:p>
    <w:p>
      <w:pPr>
        <w:ind w:left="800" w:right="440" w:hanging="454"/>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have raised capital in the past primarily through the sale of equity securities. We may in the future pursue the sale of equity and/or debt securities, or the establishment of other funding facilities. Issuances of debt or additional equity could impact your rights as a holder of our common stock, may dilute your ownership percentage and may impose restrictions on our operations. These restrictions could include limitations on additional borrowing, specific restrictions on the use of our assets, as well as prohibitions on our ability to create liens, pay dividends, redeem our stock or make investments.</w:t>
      </w:r>
    </w:p>
    <w:p>
      <w:pPr>
        <w:spacing w:after="0" w:line="1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sale or divestiture of certain intellectual property and other assets, including our Technosphere technology platform. We cannot assure you, however, that any strategic collaborations, sales of securities or sale or license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4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licensing arrangements, sales of securities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137" w:lineRule="exact"/>
        <w:rPr>
          <w:sz w:val="20"/>
          <w:szCs w:val="20"/>
          <w:color w:val="auto"/>
        </w:rPr>
      </w:pPr>
    </w:p>
    <w:p>
      <w:pPr>
        <w:jc w:val="both"/>
        <w:ind w:right="120"/>
        <w:spacing w:after="0" w:line="282" w:lineRule="auto"/>
        <w:rPr>
          <w:sz w:val="20"/>
          <w:szCs w:val="20"/>
          <w:color w:val="auto"/>
        </w:rPr>
      </w:pPr>
      <w:r>
        <w:rPr>
          <w:rFonts w:ascii="Arial" w:cs="Arial" w:eastAsia="Arial" w:hAnsi="Arial"/>
          <w:sz w:val="18"/>
          <w:szCs w:val="18"/>
          <w:b w:val="1"/>
          <w:bCs w:val="1"/>
          <w:color w:val="auto"/>
        </w:rPr>
        <w:t>We depend heavily on the successful development and commercialization of our lead product candidate, the Technosphere Insulin System, which is still under development, and our other product candidates, which are in early stages of preclinical development.</w:t>
      </w:r>
    </w:p>
    <w:p>
      <w:pPr>
        <w:spacing w:after="0" w:line="139"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To date, we have not completed the development of any products through to commercialization. Only our Technosphere Insulin System is currently undergoing clinical trials, while our other product candidates are in research or preclinical development. We anticipate that in the near term our ability to generate revenues will depend solely on the successful development and commercialization of our Technosphere Insulin System.</w:t>
      </w:r>
    </w:p>
    <w:p>
      <w:pPr>
        <w:spacing w:after="0" w:line="1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advance our Technosphere Insulin System through Phase 3 clinical trials and demonstrate in these trials that our Technosphere Insulin System is safe and effective. We currently anticipate conducting several pivotal Phase 3 clinical trials as well as several special population studies involving, in total, more than 3,000 patients, which will require the expenditure of additional time and resources. We must also receive the necessary approvals from the FDA and similar foreign regulatory agencies before this product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immunology. All of these product candidates will require additional research and development and significant preclinical, clinical and other testing prior to seeking regulatory approval to market them. Accordingly, these product candidates will not be commercially available for many years, if at all.</w:t>
      </w:r>
    </w:p>
    <w:p>
      <w:pPr>
        <w:spacing w:after="0" w:line="16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significant portion of the research that we are conducting involves new and unproven compounds and technologies, including our Technosphere Insulin System, Technosphere formulation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including discovery upon further research that these candidates have adverse effects or other characteristics that indicate they are unlikely to be effective drugs or therapeutics.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14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we do not achieve our projected development goals in the timeframes we announce and expect, the commercialization of our product candidates may be delayed and our business will be harmed.</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compared to our estimates—in many cases for reasons beyond our control—depending on numerous factors, including:</w:t>
      </w:r>
    </w:p>
    <w:p>
      <w:pPr>
        <w:spacing w:after="0" w:line="188" w:lineRule="exact"/>
        <w:rPr>
          <w:sz w:val="20"/>
          <w:szCs w:val="20"/>
          <w:color w:val="auto"/>
        </w:rPr>
      </w:pPr>
    </w:p>
    <w:p>
      <w:pPr>
        <w:ind w:left="800" w:right="740" w:hanging="454"/>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of approvals by our competitors and by us from the FDA and other regulatory agencies;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actions by regulators;</w:t>
      </w:r>
    </w:p>
    <w:p>
      <w:pPr>
        <w:spacing w:after="0" w:line="225" w:lineRule="exact"/>
        <w:rPr>
          <w:rFonts w:ascii="Arial" w:cs="Arial" w:eastAsia="Arial" w:hAnsi="Arial"/>
          <w:sz w:val="18"/>
          <w:szCs w:val="18"/>
          <w:color w:val="auto"/>
        </w:rPr>
      </w:pPr>
    </w:p>
    <w:p>
      <w:pPr>
        <w:ind w:left="800" w:hanging="454"/>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our Technosphere Insulin System;</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of scheduling conflicts with participating clinicians and clinical institutions;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sale or license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144"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We face substantial competition in the development of our product candidates and may not be able to compete successfully, and our product candidates may be rendered obsolete by rapid technological change.</w:t>
      </w:r>
    </w:p>
    <w:p>
      <w:pPr>
        <w:spacing w:after="0" w:line="13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initially are focusing on the development of the Technosphere Insulin System for the treatment of diabetes, and we face intense competition in this area. Pfizer, Inc. and Sanofi-Aventis, in collaboration with Nektar Therapeutics, have been conducting Phase 3 clinical trials for the Exubera product. In March 2004, these collaborators filed a submission seeking regulatory approval in Europe, and in March 2005, their new drug application, or NDA, was accepted by the FDA. Novo Nordisk A.S. has a pulmonary insulin product in development. Eli Lilly and Company, in collaboration with Alkermes, Inc., is conducting clinical trials for a pulmonary insulin product. In addition, a number of established pharmaceutical companies have or are developing proprietary technologies or have entered into arrangements with, or acquired, companies with technologies for the treatment of diabetes. We also face substantial competition for the development of our other product candidates.</w:t>
      </w:r>
    </w:p>
    <w:p>
      <w:pPr>
        <w:spacing w:after="0" w:line="1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products becoming obsolete or noncompetitive. Our competitors may develop or introduce new products that would render our technology and our Technosphere Insulin System less competitive, uneconomical or obsolete. The fact that another company will likely be the first to commercialize a pulmonary insulin system may give that company an advantage in terms of being able to gain reputation and market share as well as set parameters for the pulmonary insulin market such as pricing. Our future success will depend not only on our ability to develop our products but to improve them and to keep pace with emerging industry developments. We cannot assure you that we will be able to do so.</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13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If we fail to enter into a strategic collaboration with respect to our Technosphere Insulin System, our most clinically advanced program, we may not be able to execute on our business model.</w:t>
      </w:r>
    </w:p>
    <w:p>
      <w:pPr>
        <w:spacing w:after="0" w:line="1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current strategy for developing, manufacturing and commercializing our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w:t>
      </w:r>
    </w:p>
    <w:p>
      <w:pPr>
        <w:spacing w:after="0" w:line="1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we are not able to enter into a collaboration on terms that are favorable to us for our products, we could be required to undertake and fund product development, clinical trials, manufacturing and marketing activities solely at our own expense. For example, we are currently evaluating potential collaborations with respect to our Technosphere Insulin System. We currently estimate that the cost of a self-funded Phase 3 program over the next 12 months would be in the range of $110 to $140 million. However, this estimate may change based on how the program proceeds. Failure to enter into a collaboration with respect to our Technosphere Insulin System following initial Phase 3 clinical trials or with respect to any other product candidate could substantially increase our requirements for capital, which might not be available on favorable terms, if at all. Alternatively, we would have to substantially reduce our development efforts, which would delay or otherwise impede the commercialization of our product candidates.</w:t>
      </w:r>
    </w:p>
    <w:p>
      <w:pPr>
        <w:spacing w:after="0" w:line="13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enter into collaborative agreements and if our third-party collaborators do not perform satisfactorily or if our collaborations fail, development or commercialization of our product candidates may be delayed and our business could be harmed.</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currently rely on hospitals and clinical research organizations to conduct, supervise or monitor some or all aspects of clinical trials involving our product candidates, including our Technosphere Insulin System. Further, we may also enter into license agreements, partnerships or other collaborative arrangements to support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our product candidates. We cannot assure you that we will be able to enter into satisfactory arrangements with third parties as contemplated or that any of our existing or future collaborations will be successful.</w:t>
      </w:r>
    </w:p>
    <w:p>
      <w:pPr>
        <w:spacing w:after="0" w:line="13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Testing of a particular product candidate may not yield successful results, and even if it does, we may still be unable to commercialize that product candidate.</w:t>
      </w:r>
    </w:p>
    <w:p>
      <w:pPr>
        <w:spacing w:after="0" w:line="1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preclinical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181" w:lineRule="exact"/>
        <w:rPr>
          <w:sz w:val="20"/>
          <w:szCs w:val="20"/>
          <w:color w:val="auto"/>
        </w:rPr>
      </w:pPr>
    </w:p>
    <w:p>
      <w:pPr>
        <w:ind w:left="180" w:right="220" w:hanging="172"/>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and efficacy results obtained in our preclinical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225" w:lineRule="exact"/>
        <w:rPr>
          <w:rFonts w:ascii="Arial" w:cs="Arial" w:eastAsia="Arial" w:hAnsi="Arial"/>
          <w:sz w:val="18"/>
          <w:szCs w:val="18"/>
          <w:color w:val="auto"/>
        </w:rPr>
      </w:pPr>
    </w:p>
    <w:p>
      <w:pPr>
        <w:ind w:left="180" w:right="80" w:hanging="172"/>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initiated one of several long-term safety studies of our Technosphere Insulin System designed to evaluate a number of safety issues, including pulmonary function. Our Technosphere Insulin System is intended for multiple uses per day. Due to the size and time frame over which the clinical trials are conducted, the results of clinical trials may not be indicative of the effects of long-term use. If long-term use of our product results in adverse health effects or reduced efficacy or both, the FDA or other regulatory agencies may terminate our ability to market and sell our Technosphere Insulin System, may narrow the approved indications for use or otherwise require restrictive product labeling or marketing, or may require further clinical trials, which may be time-consuming and expensive, and may not produce favorable results.</w:t>
      </w:r>
    </w:p>
    <w:p>
      <w:pPr>
        <w:spacing w:after="0" w:line="16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a result of any of these events, the FDA, other regulatory authorities, any collaborator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third-party payors do not reimburse customers for our products, they might not be used or purchased, which would adversely affect our revenues.</w:t>
      </w:r>
    </w:p>
    <w:p>
      <w:pPr>
        <w:spacing w:after="0" w:line="2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revenues and profitability may be affected by the continuing efforts of governments and third-party payors to contain or reduce the costs of healthcare through various means. For example, in certain foreign markets the pricing or profitability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healthcare reform proposals or legislation. Such reforms may make it difficult to complete the development and testing of our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In addition, because each third-party payor individually approves reimbursement, obtaining these approvals is a time-consuming and costly process that will require us to provide scientific and clinical support for the use of each of our products to each third-party payor separately with no assurance that approval will be obtained. This process could delay the market acceptance of new products and could have a negative effect on our revenues and operating results. Even if we succeed in bringing one or more products to market, we cannot be certain that these products will be considered cost-effective or that reimbursement to the consumer will be available, in which case our business and results of operations will be harmed and the market price of our common stock may decline.</w:t>
      </w:r>
    </w:p>
    <w:p>
      <w:pPr>
        <w:spacing w:after="0" w:line="14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are unable to transition successfully from an early-stage development company to a company that commercializes therapeutics, our operations will suffer.</w:t>
      </w:r>
    </w:p>
    <w:p>
      <w:pPr>
        <w:spacing w:after="0" w:line="1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are reaching a critical juncture in our development, transitioning from an early-stage development company to one with multiple Phase 3 clinical trials moving toward commercializing products. Phase 3 development of the Technosphere Insulin System will be far more complex than the earlier phases. Overall, we plan to support a significant number of studies in the near term. We have not previously implemented the range of studies contemplated for our Phase 3 clinical program. Moreover, as a company, we have no previous experience in the Phase 3-through-NDA stage of product development.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require a well-structured plan to make this transition. We are in the process of implementing the following measures, among others, to accommodate our transition and successfully implement our commercialization strategy for our Technosphere Insulin System:</w:t>
      </w:r>
    </w:p>
    <w:p>
      <w:pPr>
        <w:spacing w:after="0" w:line="170" w:lineRule="exact"/>
        <w:rPr>
          <w:sz w:val="20"/>
          <w:szCs w:val="20"/>
          <w:color w:val="auto"/>
        </w:rPr>
      </w:pPr>
    </w:p>
    <w:p>
      <w:pPr>
        <w:ind w:left="800" w:right="780" w:hanging="454"/>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a significant number of new personnel, particularly in clinical development and manufacturing production, including personnel with significant Phase 3-to-commercialization experience;</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manufacturing capabilities;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comprehensive and detailed commercialization, clinical development and regulatory plans;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 standard operating procedures, including those for protocol development;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align our management structure to accommodate the increasing complexity of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accomplish these measures in a timely manner, we would be at considerable risk of failing to:</w:t>
      </w:r>
    </w:p>
    <w:p>
      <w:pPr>
        <w:spacing w:after="0" w:line="225" w:lineRule="exact"/>
        <w:rPr>
          <w:sz w:val="20"/>
          <w:szCs w:val="20"/>
          <w:color w:val="auto"/>
        </w:rPr>
      </w:pPr>
    </w:p>
    <w:p>
      <w:pPr>
        <w:ind w:left="800" w:hanging="454"/>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 and complete our Phase 3 clinical trial program in a deliberate fashion, on time and within budget;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develop through our Phase 3 trials the key clinical data needed to obtain regulatory approval and compete successfully in the marketplace.</w:t>
      </w:r>
    </w:p>
    <w:p>
      <w:pPr>
        <w:spacing w:after="0" w:line="233"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We have never manufactured any of our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currently use our Danbury, Connecticut facility to manufacture raw Technosphere material,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price, our facilities expansion could be delayed or its costs increased.</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never manufactured any of our product candidates in commercial quantities. As our product candidates move through the regulatory process, we will need to either develop the capability of manufacturing on a commercial scale or engage third-party manufacturers with this capability, and we cannot assure you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will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its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14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our potential third-party manufacturers fail to deliver the required commercial quantities of our products on a timely basis and at commercially reasonable prices, and we were unable to promptly find one or more replacement manufacturers capable of production at a substantially equivalent cost, in substantially equivalent volume and on a timely basis, we would likely be unable to meet demand for our products and we would lose potential revenues.</w:t>
      </w:r>
    </w:p>
    <w:p>
      <w:pPr>
        <w:spacing w:after="0" w:line="142" w:lineRule="exact"/>
        <w:rPr>
          <w:sz w:val="20"/>
          <w:szCs w:val="20"/>
          <w:color w:val="auto"/>
        </w:rPr>
      </w:pPr>
    </w:p>
    <w:p>
      <w:pPr>
        <w:jc w:val="both"/>
        <w:ind w:right="600"/>
        <w:spacing w:after="0" w:line="266" w:lineRule="auto"/>
        <w:rPr>
          <w:sz w:val="20"/>
          <w:szCs w:val="20"/>
          <w:color w:val="auto"/>
        </w:rPr>
      </w:pPr>
      <w:r>
        <w:rPr>
          <w:rFonts w:ascii="Arial" w:cs="Arial" w:eastAsia="Arial" w:hAnsi="Arial"/>
          <w:sz w:val="18"/>
          <w:szCs w:val="18"/>
          <w:b w:val="1"/>
          <w:bCs w:val="1"/>
          <w:color w:val="auto"/>
        </w:rPr>
        <w:t>If our suppliers fail to deliver materials and services needed for the production of our Technosphere Insulin System in a timely and sufficient manner, or they fail to comply with applicable regulations, our business and results of operations will be harmed and the market price of our common stock may decline.</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an independent supplier of insulin and a subsidiary of Akzo Nobel, which is currently our sole supplier for insulin. We are aware of at least five other suppliers of bulk insulin but to date we have not entered into a commercial relationship with any of the five. Currently, we manufacture the raw Technosphere material, but we are in the process of qualifying a secondary manufacturer to supply us with commercial quantities of this raw material. We recently entered into a long-term supply agreement with Vaupell, Inc., the supplier of our MedTone inhaler and cartridges. We must rely on our suppliers to comply with relevant regulatory and other legal requirements, including the production of insulin in accordance with current drug Good Manufacturing Practices, or cGMP, and the</w:t>
      </w:r>
    </w:p>
    <w:p>
      <w:pPr>
        <w:sectPr>
          <w:pgSz w:w="11900" w:h="16838" w:orient="portrait"/>
          <w:cols w:equalWidth="0" w:num="1">
            <w:col w:w="11400"/>
          </w:cols>
          <w:pgMar w:left="240" w:top="41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production of MedTone inhaler and related cartridges in accordance with device Quality System Regulations, or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our development or manufacturing may be delayed. Any such events would delay the submission of our product candidates for regulatory approval or market introduction and subsequent sales and, if so, our business and results of operations will be harmed and the market price of our common stock may decline.</w:t>
      </w:r>
    </w:p>
    <w:p>
      <w:pPr>
        <w:spacing w:after="0" w:line="12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fail to enter into collaborations with third parties, we will be required to establish our own sales, marketing and distribution capabilities, which could delay the commercialization of our products and harm our business.</w:t>
      </w:r>
    </w:p>
    <w:p>
      <w:pPr>
        <w:spacing w:after="0" w:line="12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 broad base of physicians and specialists treat patients with diabetes. A large sales force will be required in order to educate and support these physicians and specialists. Therefore, we plan to enter into collaborations with one or more pharmaceutical companies to sell, market and distribute our Technosphere Insulin System. If we fail to enter into collaborations, we will be required to establish our own direct sales, marketing and distribution capabilities. Establishing these capabilities can be time-consuming and expensive and we estimate that establishing a specialty sales force would cost more than</w:t>
      </w:r>
    </w:p>
    <w:p>
      <w:pPr>
        <w:spacing w:after="0" w:line="2"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$20 million. Because of our size, we would be at a disadvantage to our potential competitors, all of which have collaborated with large pharmaceutical companies that have substantially more resources than we do. As a result, we would not initially be able to field a sales force as large as our competitors or provide the same degree of market research or marketing support. 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11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If our products do not become widely accepted by physicians, patients, third-party payors and the healthcare community, we may be unable to generate significant revenue, if any.</w:t>
      </w:r>
    </w:p>
    <w:p>
      <w:pPr>
        <w:spacing w:after="0" w:line="1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product candidates are new and unproven. Even if our product candidates obtain regulatory approvals, they may not gain market acceptance among physicians, patients, third-party payors and the healthcare community. Failure to achieve market acceptance would limit our ability to generate revenue and would adversely affect our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our product candidates will depend on many factors, including:</w:t>
      </w:r>
    </w:p>
    <w:p>
      <w:pPr>
        <w:spacing w:after="0" w:line="225" w:lineRule="exact"/>
        <w:rPr>
          <w:sz w:val="20"/>
          <w:szCs w:val="20"/>
          <w:color w:val="auto"/>
        </w:rPr>
      </w:pPr>
    </w:p>
    <w:p>
      <w:pPr>
        <w:ind w:left="800" w:hanging="454"/>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claims for which FDA approval can be obtained, including superiority claims;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perceived advantages and disadvantages of competitive products;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adopt new technologies;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manufacture the product in sufficient quantities with acceptable quality and at an acceptable cost;</w:t>
      </w:r>
    </w:p>
    <w:p>
      <w:pPr>
        <w:spacing w:after="0" w:line="225" w:lineRule="exact"/>
        <w:rPr>
          <w:rFonts w:ascii="Arial" w:cs="Arial" w:eastAsia="Arial" w:hAnsi="Arial"/>
          <w:sz w:val="18"/>
          <w:szCs w:val="18"/>
          <w:color w:val="auto"/>
        </w:rPr>
      </w:pPr>
    </w:p>
    <w:p>
      <w:pPr>
        <w:ind w:left="800" w:right="320" w:hanging="454"/>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perception of patients and the healthcare community, including third-party payors, regarding the safety, efficacy and benefits of the product compared to those of competing products or therapies;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convenience and ease of administration of the products relative to existing treatment methods;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pricing and reimbursement of our products relative to existing treatment therapeutics and methods;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and distribution support for our products.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Physicians will not recommend our products until clinical data or other factors demonstrate the safety and efficacy of our products as compared to other treatments. Even if the clinical safety and efficacy of our product candidates is established, physicians may elect not to recommend these product candidates for a variety of factors, including the reimbursement policies of government and third-party payors and the effectiveness of our competitors in marketing their therapies. Because of these and other factors, our products may not gain market acceptance, which would materially harm our business, financial condition and results of operations.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product liability claims are brought against us, we may incur significant liabilities and suffer damage to our reputation.</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testing, manufacturing, marketing and sale of our various product candidates, including the Technosphere Insulin System,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$5 million. We believe these limits are reasonable to cover us from potential damages arising from current and previous clinical trials of our Technosphere Insulin System. In addition, we carry local policies per trial in each country in which we conduct clinical trials that requires us to carry local coverage. We intend to obtain product liability coverage for commercial sales in the future.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will be harmed and the market price of our common stock may decline.</w:t>
      </w:r>
    </w:p>
    <w:p>
      <w:pPr>
        <w:spacing w:after="0" w:line="138"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We deal with hazardous materials and must comply with environmental laws and regulations, which can be expensive and restrict how we do business.</w:t>
      </w:r>
    </w:p>
    <w:p>
      <w:pPr>
        <w:spacing w:after="0" w:line="1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15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When we purchased the facilities located in Danbury, Connecticut,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estimate that the cost to complete the soil cleanup plan for industrial use is $1.5 to $3.0 million over the next 18 to 24 months.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any key employees or scientific advisors, our operations and our ability to execute our business strategy could be materially harmed.</w:t>
      </w:r>
    </w:p>
    <w:p>
      <w:pPr>
        <w:spacing w:after="0" w:line="212"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14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loss of the services of any principal member of our management and scientific staff, including Alfred Mann, our Chairman and Chief Executive Officer, or Hakan Edstrom, our President and Chief Operating Officer,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 In May 2005, Wendell Cheatham, M.D., ceased to be an employee of ours. Although Mr. Edstrom has assumed Dr. Cheatham’s management responsibilities while we search for a senior executive to lead our development operations, there can be no assurance that we will be able to recruit such an individual with the appropriate skills and experience.</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4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Chief Executive Officer is unable to devote sufficient time and attention to our business, our operations and our ability to execute our business strategy could be materially harmed.</w:t>
      </w:r>
    </w:p>
    <w:p>
      <w:pPr>
        <w:spacing w:after="0" w:line="1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Alfred Mann, our Chairman and Chief Executive Officer, is also serving as the Chairman and Co-Chief Executive Officer of Advanced Bionics Corporation, which was acquired by Boston Scientific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Mr. Mann typically devotes anywhere between 25 and 50 hours a week to our business. If Mr. Mann is unable to devote the time and attention necessary to running our business, we may not be able to execute our business strategy and our business could be materially harmed.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that are located in Southern California may be affected by natural disasters.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an enhanced risk of natural and other disasters such as power and telecommunications failures, mudslides, fires and earthquakes. A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4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Failure to achieve and maintain effective internal controls in accordance with Section 404 of the Sarbanes-Oxley Act could have a material adverse effect on our business and stock price.</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in the process of documenting and testing our internal control procedures in order to satisfy the requirements of Section 404 of the Sarbanes-Oxley Act, which, beginning with our fiscal year ending December 31, 2005, will require annual management assessments of the effectiveness of our internal controls over financial reporting and a report by our independent auditors that both addresses management’s assessments and provides for the independent auditor’s assessment of the effectiveness of our internal controls. During the course of our testing, we may identify deficiencies which we may not be able to remediate in time to meet the deadline for compliance with Section 404. Testing and maintaining internal controls also involves significant costs and can divert our management’s attention from other matters that are important to our business. We may not be able to conclude on an ongoing basis that we have effective internal controls over financial reporting in accordance with Section 404, and our independent auditors may not be able or willing to issue a favorable assessment of our conclusions. Failure to achieve and maintain an effective internal control environment could harm our operating results and could cause us to fail to meet our reporting obligations. Inferior internal controls could also cause investors to lose confidence in our reported financial information, which could have a negative effect on the trading price of our stock.</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9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product candidates must undergo rigorous preclinical and clinical testing and we must obtain regulatory approvals, which could be costly and time-consuming and subject us to unanticipated delays or prevent us from marketing any products.</w:t>
      </w:r>
    </w:p>
    <w:p>
      <w:pPr>
        <w:spacing w:after="0" w:line="1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are wide-ranging and govern, among other things:</w:t>
      </w:r>
    </w:p>
    <w:p>
      <w:pPr>
        <w:spacing w:after="0" w:line="181" w:lineRule="exact"/>
        <w:rPr>
          <w:sz w:val="20"/>
          <w:szCs w:val="20"/>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Clinical testing can be costly and take many years, and the outcome is uncertain and susceptible to varying interpretations. We expect, based on our discussions with the FDA and on our understanding of the interactions between the FDA and other pharmaceutical companies developing pulmonary insulin delivery systems, that we will need safety data covering at least two years from patients treated with our Technosphere Insulin System and that we must conduct a two-year carcinogenicity study of Technosphere Insulin in rodents to obtain approval, among other requirements. We cannot be certain when or under what conditions we will undertake further clinical trials, including a US Phase 3 program for our Technosphere Insulin System.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4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3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To our knowledge, no pulmonary insulin product has yet been approved for marketing, and we are not aware of any precedent for the successful commercialization of products based on our technology or technologies similar to ours. However, an application for approval for another pulmonary insulin product candidate was recently filed in the United States, and we believe a decision could be made by the FDA in early 2006.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 (1) 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the Technosphere Insulin System will be reviewed and approved.</w:t>
      </w:r>
    </w:p>
    <w:p>
      <w:pPr>
        <w:spacing w:after="0" w:line="12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Also, recent events regarding questions about the safety of marketed drugs, including pertaining to the lack of adequate labeling, may result in increased cautiousness by the FDA in reviewing new drugs based on safety, efficacy, or other regulatory considerations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developing our Technosphere Insulin System as a new treatment for diabetes utilizing unique, proprietary components. The FDA advised us that the Technosphere Insulin System must be tested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15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currently expect that our inhaler will be approved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the Technosphere Insulin System, numerous device regulatory requirements still apply to the device part of the drug-device combination.</w:t>
      </w:r>
    </w:p>
    <w:p>
      <w:pPr>
        <w:spacing w:after="0" w:line="14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13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will not be able to commercialize our Technosphere Insulin System and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21"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42"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Even if we obtain regulatory approval for our product candidates, such approval may be limited and we will be subject to stringent, ongoing government regulation.</w:t>
      </w:r>
    </w:p>
    <w:p>
      <w:pPr>
        <w:spacing w:after="0" w:line="1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Even if regulatory authorities approve any of our product candidates, they could approve less than the full scope of uses or labeling that we seek or otherwise require special warnings or other restrictions on use or marketing.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or pulmonary insulin products in development, including its approximation of the natural first-phase insulin release spike. Nonetheless, there are no assurances that these and other advantages, if any, of the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20"/>
        <w:spacing w:after="0" w:line="256"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recent events regarding questions about the safety of certain approved prescription products, including the lack of</w:t>
      </w:r>
    </w:p>
    <w:p>
      <w:pPr>
        <w:ind w:right="180"/>
        <w:spacing w:after="0" w:line="273" w:lineRule="auto"/>
        <w:rPr>
          <w:sz w:val="20"/>
          <w:szCs w:val="20"/>
          <w:color w:val="auto"/>
        </w:rPr>
      </w:pPr>
      <w:r>
        <w:rPr>
          <w:rFonts w:ascii="Arial" w:cs="Arial" w:eastAsia="Arial" w:hAnsi="Arial"/>
          <w:sz w:val="17"/>
          <w:szCs w:val="17"/>
          <w:color w:val="auto"/>
        </w:rPr>
        <w:t>adequate warnings, the FDA and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Congressional and FDA initiatives pertaining to ensuring the safety of marketed drugs or other developments pertaining to the pharmaceutical industry will not adversely affect our operations.</w:t>
      </w:r>
    </w:p>
    <w:p>
      <w:pPr>
        <w:spacing w:after="0" w:line="15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2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1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4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regulatory approvals that we receive for our product candidates may also be subject to limitations on the indicated uses for which the product candidate may be marketed or contain requirements for potentially costly post-marketing follow-up clinical trials.</w:t>
      </w:r>
    </w:p>
    <w:p>
      <w:pPr>
        <w:spacing w:after="0" w:line="12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1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At present, there are a number of clinical trials being conducted by us and other pharmaceutical companies involving insulin delivery systems. If we discover that our product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products might be adversely affected, which could harm our business and results of operations and cause the market price of our common stock to decline, even if the concern relates to another company’s product.</w:t>
      </w:r>
    </w:p>
    <w:p>
      <w:pPr>
        <w:spacing w:after="0" w:line="13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example, in August 2004, an analyst reported that the United Kingdom Committee on the Safety of Medicines had expressed concern that a European application for approval of a drug for the treatment of diabetes was not licensable at the time. Earlier in 2004,</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Sanofi-Aventis, on behalf of Pfizer and Nektar, filed for regulatory approval in Europe of Exubera. Although the identity of the drug was not disclosed in the analyst’s report, the news nonetheless triggered temporary but sharp declines in the market prices of Nektar’s common stock as well as our common stock.</w:t>
      </w:r>
    </w:p>
    <w:p>
      <w:pPr>
        <w:spacing w:after="0" w:line="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proprietary rights, we may not be able to compete effectively, or operate profitably.</w:t>
      </w:r>
    </w:p>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know-how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technologies.</w:t>
      </w:r>
    </w:p>
    <w:p>
      <w:pPr>
        <w:spacing w:after="0" w:line="1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if we attempt to enforce them and they are challenged in court or in other proceedings, such as oppositions, which may be brought in US or foreign jurisdictions to challenge the validity of a patent. A third party may challenge the validity or enforceability of a patent after its issuance by the US Patent and Trademark Office, or USPTO.</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1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An adverse determination of any litigation or defense proceedings could put one or more of our patents at risk of being invalidated or interpreted narrowly and could put our patent applications at risk of not issuing.</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a patent and the courts do not always arrive at uniform conclusions.</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third party may claim that we are using inventions covered by such third party’s patents and may go to court to stop us from engaging in our normal operations and activities. These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 Insulin System and cancer vaccine products under development, we have identified certain third-party patents that a court may interpret to restrict our freedom to operate (that is, to cover our products) in the areas of Technosphere formulations, pulmonary insulin delivery and the treatment of cancer. Specifically,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Patent litigation is costly and time-consuming. Among other things, such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Although patent and intellectual property disputes in the pharmaceutical area have often been settled for licensing or similar arrangements, associated costs may be substantial and could include ongoing royalties.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obtain trademark registrations for our potential trade names.</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not selected trade names for some of our products and product candidates; therefore, we have not filed trademark registrations for our potential trade names for those products in any jurisdiction, including the United States.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that our stock price will fluctuate significantly.</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completed our initial public offering on August 2, 2004. Prior to that, our stockholders could not buy or sell our common stock publicly. An active public market for our common stock may not continue to develop or be sustained. The stock market, particularly in recent years, has experienced significant volatility particularly with respect to pharmaceutical and biotechnology stocks.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188" w:lineRule="exact"/>
        <w:rPr>
          <w:sz w:val="20"/>
          <w:szCs w:val="20"/>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and results of our clinical trials;</w:t>
      </w:r>
    </w:p>
    <w:p>
      <w:pPr>
        <w:spacing w:after="0" w:line="225" w:lineRule="exact"/>
        <w:rPr>
          <w:rFonts w:ascii="Arial" w:cs="Arial" w:eastAsia="Arial" w:hAnsi="Arial"/>
          <w:sz w:val="18"/>
          <w:szCs w:val="18"/>
          <w:color w:val="auto"/>
        </w:rPr>
      </w:pPr>
    </w:p>
    <w:p>
      <w:pPr>
        <w:ind w:left="800" w:hanging="454"/>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their clinical trial results, acquisitions, strategic alliances, technological innovations and newly approved commercial products;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availability of critical materials used in developing and manufacturing our Technosphere Insulin System or other product candidates;</w:t>
      </w:r>
    </w:p>
    <w:p>
      <w:pPr>
        <w:spacing w:after="0" w:line="236"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concerning our patents, proprietary rights and potential infringement claims;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and operating performance;</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225" w:lineRule="exact"/>
        <w:rPr>
          <w:rFonts w:ascii="Arial" w:cs="Arial" w:eastAsia="Arial" w:hAnsi="Arial"/>
          <w:sz w:val="18"/>
          <w:szCs w:val="18"/>
          <w:color w:val="auto"/>
        </w:rPr>
      </w:pPr>
    </w:p>
    <w:p>
      <w:pPr>
        <w:ind w:left="800" w:right="600" w:hanging="454"/>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our Technosphere Insulin System, our other product candidates, competitors’ products, or our stock price by the financial and scientific press, the healthcare community and online investor communities such as chat rooms.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9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other biotechnology and biopharmaceutical companies or the securities markets in general encounter problems, the market price of our common stock could be adversely affected.</w:t>
      </w:r>
    </w:p>
    <w:p>
      <w:pPr>
        <w:spacing w:after="0" w:line="1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Public companies in general and companies included on The Nasdaq National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3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153"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Mr. Mann has been our primary source of financing to date. As of March 31, 2005, Mr. Mann beneficially owned approximately 48.4% of our outstanding shares of capital stock. As of the same date, members of Mr. Mann’s family beneficially owned at least an additional 2.4%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Subject to compliance with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and that may serve as funding organizations for any other charities that he may establish. The AEMMRO is a membership foundation consisting of six members, including</w:t>
      </w:r>
    </w:p>
    <w:p>
      <w:pPr>
        <w:spacing w:after="0" w:line="3"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auto"/>
        </w:rPr>
        <w:t>Mr. Mann, four of his children and Dr. Joseph Schulman, the director of AMF. The AEMFBE is a membership foundation consisting of five members, including Mr. Mann and the same four of his children. Although we understand that the members of AEMMRO and AEMFBE have been advised of</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Mann’s objectives for these foundations, once Mr. Mann’s shares of our capital stock become the property of the foundations, we cannot assure you as to how those shares will be distributed or how they will be voted.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future sale of our common stock could negatively affect our stock price.</w:t>
      </w:r>
    </w:p>
    <w:p>
      <w:pPr>
        <w:spacing w:after="0" w:line="1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March 31, 2005, we had approximately 32.8 million shares of common stock outstanding, all of which are available for public sale, subject in some cases to volume and other limitations. If our common stockholders sell substantial amounts of common stock in the public market, or the market perceives that such sales may occur, the market price of our common stock may decline. The holders of 916,715 shares of our common stock and the holders of warrants to purchase 131,628 shares of our common stock have rights, subject to some conditions, to require us to file registration statements covering their shares or to include their shares in registration statements that we may file for ourselves or other stockholders. Furthermore, if we were to include in a company-initiated registration statement shares held by those holders pursuant to the exercise of their registrations rights, the sale of those shares could impair our ability to raise needed capital by depressing the price at which we could sell our common stock.</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the market price of our common stock may decline and our existing stockholders may experience significant dilution.</w:t>
      </w:r>
    </w:p>
    <w:p>
      <w:pPr>
        <w:spacing w:after="0" w:line="126" w:lineRule="exact"/>
        <w:rPr>
          <w:sz w:val="20"/>
          <w:szCs w:val="20"/>
          <w:color w:val="auto"/>
        </w:rPr>
      </w:pPr>
    </w:p>
    <w:p>
      <w:pPr>
        <w:ind w:right="680"/>
        <w:spacing w:after="0" w:line="347" w:lineRule="auto"/>
        <w:rPr>
          <w:sz w:val="20"/>
          <w:szCs w:val="20"/>
          <w:color w:val="auto"/>
        </w:rPr>
      </w:pPr>
      <w:r>
        <w:rPr>
          <w:rFonts w:ascii="Arial" w:cs="Arial" w:eastAsia="Arial" w:hAnsi="Arial"/>
          <w:sz w:val="16"/>
          <w:szCs w:val="16"/>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amended and restated certificate of incorporation and bylaws include anti-takeover provisions, such as a prohibition on stockholder actions by written consent, the authority of our board of directors to issue preferred stock without stockholder approval, and supermajority voting requirements for specified actions. In addition, because we are incorporated in Delaware,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 See “Description of capital stock—Amended and restated certificate of incorporation and bylaw provisions.”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Because we do not expect to pay dividends in the foreseeable future, you must rely on stock appreciation for any return on your investment.</w:t>
      </w:r>
    </w:p>
    <w:p>
      <w:pPr>
        <w:spacing w:after="0" w:line="20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offering or even maintain the price at which you purchased your shares, and you may not realize a return on your investment in our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have not used derivative financial instruments for speculation or trading purposes. However, we are exposed to market risk related to changes in interest rates. Our current policy is to maintain a highly liquid short-term investment portfolio consisting mainly of US money market funds and government and investment-grade corporate debt. 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March 31, 2005, we estimate that the fair value of our investment portfolio would decline by an immaterial amount.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assets are primarily monetary, consisting of cash and cash equivalents. Because of their liquidity, these assets are not directly affected by inflation. We also believe that we have intangible assets in the value of our technology. In accordance with generally accepted accounting principles, we have not capitalized the value of this intellectual property on our consolidated balance sheet. Due to the nature of this intellectual property, we believe that these intangible assets are not affected by inflation.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resources.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foregoing, our chief executive officer and chief financial officer concluded that our disclosure controls and procedures were effective at the reasonable assurance level.</w:t>
      </w:r>
    </w:p>
    <w:p>
      <w:pPr>
        <w:spacing w:after="0" w:line="1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March 31, 2005 that has materially affected, or is reasonably likely to materially affect, our internal control over financial reporting.</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not currently a party to any material legal proceedings. We may from time to time become a party to legal proceedings arising in the ordinary course of business. During the year ended December 31, 2000, we issued an aggregate 699,972 shares of common stock to three consultants in exchange for notes receivable aggregating approximately $10,891,000. The notes are collateralized by the underlying common stock, bear interest at fixed rates, and are payable in October 2005. On November 10, 2004, the borrowers notified us that they believed that they had entered into an agreement in October 2001 with Alfred E. Mann, our Chairman, Chief Executive Officer and principal stockholder, under which Mr. Mann would purchase from the borrowers some of the common stock, with the proceeds to be paid to us to pay down the notes. The borrowers have informed us that they believe both we and Mr. Mann are in breach of certain agreements related to the transaction and indicated they intend to seek alleged damages arising from any failure of the agreement to be performed. To the best of our knowledge, the borrowers have not commenced any legal proceedings against Mr.</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Mann or us. We believe that the ultimate resolution of this matter will not have a material impact on our financial position or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240" w:right="8100" w:hanging="7"/>
        <w:spacing w:after="0" w:line="461" w:lineRule="auto"/>
        <w:tabs>
          <w:tab w:leader="none" w:pos="4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Unregistered Sales of Equity Securities None.</w:t>
      </w:r>
    </w:p>
    <w:p>
      <w:pPr>
        <w:spacing w:after="0" w:line="1" w:lineRule="exact"/>
        <w:rPr>
          <w:rFonts w:ascii="Arial" w:cs="Arial" w:eastAsia="Arial" w:hAnsi="Arial"/>
          <w:sz w:val="18"/>
          <w:szCs w:val="18"/>
          <w:color w:val="auto"/>
        </w:rPr>
      </w:pPr>
    </w:p>
    <w:p>
      <w:pPr>
        <w:ind w:left="480" w:hanging="24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Proceeds</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initial public offering of our common stock, par value $0.01 per share, was effected through a Registration Statement on Form S-1 (File No. 333-115020) that was declared effective by the SEC on July 27, 2004, and a Registration Statement on Form S-1 (File No. 333-117702) that became effective upon filing with the SEC on July 28, 2004. The Registration Statements covered the offer and sale of up to 7,187,500 shares of our common stock, including an over-allotment option we granted to the underwriters to purchase up to 937,500 shares of our common stock from us, for an aggregate offering price of</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$100.6 million. Our initial public offering commenced on July 28, 2004. On August 2, 2004, 6,250,000 shares of our common stock were sold for an aggregate offering price of $87.5 million. The managing underwriters in the offering were UBS Investment Bank, Piper Jaffray, Wachovia Securities, Jefferies</w:t>
      </w:r>
    </w:p>
    <w:p>
      <w:pPr>
        <w:spacing w:after="0" w:line="1" w:lineRule="exact"/>
        <w:rPr>
          <w:sz w:val="20"/>
          <w:szCs w:val="20"/>
          <w:color w:val="auto"/>
        </w:rPr>
      </w:pPr>
    </w:p>
    <w:p>
      <w:pPr>
        <w:ind w:right="40" w:firstLine="8"/>
        <w:spacing w:after="0" w:line="261" w:lineRule="auto"/>
        <w:tabs>
          <w:tab w:leader="none" w:pos="1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Company, Inc. and Harris Nesbitt. The underwriters exercised 307,100 shares of the over-allotment option on August 28, 2004 and the closing occurred on September 1, 2004.</w:t>
      </w:r>
    </w:p>
    <w:p>
      <w:pPr>
        <w:spacing w:after="0" w:line="14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initial public offering resulted in aggregate net proceeds to us of approximately $83.2 million, including approximately $4.0 million in proceeds from the exercise of the underwriter’s over-allotment option. In connection with the offering, we paid $6.4 million in underwriting discounts and commissions and offering expenses of approximately $2.2 million.</w:t>
      </w:r>
    </w:p>
    <w:p>
      <w:pPr>
        <w:spacing w:after="0" w:line="15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 owning ten percent or more of any class of our equity securities or to any other affiliates. All offering expenses were paid directly to others.</w:t>
      </w:r>
    </w:p>
    <w:p>
      <w:pPr>
        <w:spacing w:after="0" w:line="13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March 31, 2005, we estimate that we had used approximately $47.8 million of the net proceeds of our initial public offering for operating activities and approximately $6.8 million of the net proceeds for the purchase of manufacturing equipment. The remainder of the net proceeds has been invested into short-term securities and cash equivalents.</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foregoing payments were direct payments made to third parties who were not our directors or officers (or their associates), persons owning ten percent or more of any class of our equity securities or any other affiliate, except that the proceeds used for working capital included regular compensation for officers and directors. The use of proceeds does not represent a material change from the use of proceeds described in the prospectus we filed pursuant to Rule 424(b) of the Securities Act with the SEC on July 28, 2004.</w:t>
      </w:r>
    </w:p>
    <w:p>
      <w:pPr>
        <w:spacing w:after="0" w:line="160" w:lineRule="exact"/>
        <w:rPr>
          <w:sz w:val="20"/>
          <w:szCs w:val="20"/>
          <w:color w:val="auto"/>
        </w:rPr>
      </w:pPr>
    </w:p>
    <w:p>
      <w:pPr>
        <w:ind w:left="240" w:right="10020" w:hanging="7"/>
        <w:spacing w:after="0" w:line="542" w:lineRule="auto"/>
        <w:tabs>
          <w:tab w:leader="none" w:pos="485"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Repurchases None.</w:t>
      </w: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security holders during the quarter ended March 31,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January 2005, pursuant to our Officers’ Incentive Program, the Compensation Committee of our Board of Directors authorized bonus payments for 2004 to our executive officers, including the following bonus payments: Alfred E. Mann, $159,809; Hakan 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Edstrom, $144,913; Dan R. Burns, $107,300; Richard L. Anderson, $97,093; and Wayman Wendell Cheatham, $78,038. The Officers’ Incentive Program is not set forth in a separate document, but a summary of the program follows.</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Officers’ Incentive Program, each of our executive officers is eligible to earn cash bonus compensation based upon a target bonus amount equal to a predetermined percentage of his or her salary. The actual amount of any bonus is determined by the level of achievement of specified objectives relating to our corporate performance and to each participant’s individual performance. The Board of Directors establishes the corporate objectives at the beginning of each fiscal year. The corporate objectives established for 2004 were related to clinical trial milestones, partnership discussions, pipeline developments, financial performance, and organizational development.</w:t>
      </w:r>
    </w:p>
    <w:p>
      <w:pPr>
        <w:spacing w:after="0" w:line="148"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Following the end of each fiscal year, the Board of Directors determines the extent to which the corporate objectives were attained and the Compensation Committee determines the extent to which each participant attained his or her individual objectives. Based on these determinations, the Compensation Committee awards each participant a bonus equal to a percentage of the participant’s target bonus amount. This percentage can range from zero to 125%.</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2005, the Board approved 2005 target bonus amounts for each of the participating executive officers, including the following: Mr. Mann, 50% of his annual salary; Mr. Edstrom, 45%; Mr. Burns, 40%; Mr. Anderson, 35%; and Dr. Cheatham, 35%. The Board also established 2005 corporate goals related to clinical trial milestones, commercialization objectives, manufacturing productivity, pipeline advancement objectives, organizational effectiveness, and financial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In February 2005, the Board of Directors also approved 2005 annual salaries for our executive officers, including the following: Mr. Mann, $356,160;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Edstrom, $356,150; Mr. Burns, $305,000; Mr. Anderson, $300,300; and Dr. Cheatham, $275,000. In May 2005, Dr. Cheatham ceased to be an employee.</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260" w:type="dxa"/>
            <w:vAlign w:val="bottom"/>
            <w:vMerge w:val="restart"/>
          </w:tcPr>
          <w:p>
            <w:pPr>
              <w:ind w:left="45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1"/>
              </w:rPr>
              <w:t>Amended and Restated Certificate of Incorporation (incorporated by reference from Exhibit 3.5 to the Registrant’s Registration Statement on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S-1, File No. 333-115020)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Arial" w:cs="Arial" w:eastAsia="Arial" w:hAnsi="Arial"/>
                <w:sz w:val="18"/>
                <w:szCs w:val="18"/>
                <w:color w:val="auto"/>
                <w:w w:val="94"/>
              </w:rPr>
              <w:t>Amended and Restated Bylaws (incorporated by reference from Exhibit 3.7 to the Registrant’s Registration Statement on Form S-1, File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333-115020)</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Common Stock Certificate (incorporated by reference from Exhibit 4.1 to the Registrant’s Registration Statement on Form S-1, File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333-115020)</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Registration Rights Agreement made and entered into as of October 15, 1998 by and among CTL Immunotherapies Corp., Medical Research</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Group, LLC, McLean Watson Advisory Inc. and Alfred E. Mann, as amended (incorporated by reference from Exhibit 4.2 to the Registrant’s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Registration Statement on Form S-1, File No. 333-115020)</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the Chief Executive Officer under Section 302 of the Sarbanes-Oxley Act of 2002</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the Chief Financial Officer under Section 302 of the Sarbanes-Oxley Act of 2002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hanging="115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under Section 906 of the Sarbanes-Oxley Act of 2002</w:t>
      </w:r>
    </w:p>
    <w:p>
      <w:pPr>
        <w:spacing w:after="0" w:line="18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16th day of May 2005.</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Richard L. Anderson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3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19"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OF CHIEF EXECUTIVE OFFICER</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98" w:lineRule="exact"/>
        <w:rPr>
          <w:sz w:val="20"/>
          <w:szCs w:val="20"/>
          <w:color w:val="auto"/>
        </w:rPr>
      </w:pPr>
    </w:p>
    <w:p>
      <w:pPr>
        <w:ind w:left="420" w:hanging="187"/>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MannKind Corporation;</w:t>
      </w:r>
    </w:p>
    <w:p>
      <w:pPr>
        <w:spacing w:after="0" w:line="184" w:lineRule="exact"/>
        <w:rPr>
          <w:rFonts w:ascii="Arial" w:cs="Arial" w:eastAsia="Arial" w:hAnsi="Arial"/>
          <w:sz w:val="18"/>
          <w:szCs w:val="18"/>
          <w:color w:val="auto"/>
        </w:rPr>
      </w:pPr>
    </w:p>
    <w:p>
      <w:pPr>
        <w:ind w:right="340" w:firstLine="233"/>
        <w:spacing w:after="0" w:line="342" w:lineRule="auto"/>
        <w:tabs>
          <w:tab w:leader="none" w:pos="4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0" w:firstLine="233"/>
        <w:spacing w:after="0" w:line="277" w:lineRule="auto"/>
        <w:tabs>
          <w:tab w:leader="none" w:pos="4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640" w:firstLine="233"/>
        <w:spacing w:after="0" w:line="277" w:lineRule="auto"/>
        <w:tabs>
          <w:tab w:leader="none" w:pos="4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020" w:right="120" w:hanging="445"/>
        <w:spacing w:after="0" w:line="264"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20" w:right="580" w:hanging="445"/>
        <w:spacing w:after="0" w:line="342"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20" w:right="120" w:hanging="445"/>
        <w:spacing w:after="0" w:line="264"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20" w:firstLine="233"/>
        <w:spacing w:after="0" w:line="308" w:lineRule="auto"/>
        <w:tabs>
          <w:tab w:leader="none" w:pos="40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40" w:hanging="445"/>
        <w:spacing w:after="0" w:line="308" w:lineRule="auto"/>
        <w:tabs>
          <w:tab w:leader="none" w:pos="10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hanging="445"/>
        <w:spacing w:after="0" w:line="277"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16, 2005</w:t>
      </w:r>
    </w:p>
    <w:p>
      <w:pPr>
        <w:spacing w:after="0" w:line="200" w:lineRule="exact"/>
        <w:rPr>
          <w:sz w:val="20"/>
          <w:szCs w:val="20"/>
          <w:color w:val="auto"/>
        </w:rPr>
      </w:pP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93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OF CHIEF FINANCIAL OFFICER</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Richard L. Anderson, certify that:</w:t>
      </w:r>
    </w:p>
    <w:p>
      <w:pPr>
        <w:spacing w:after="0" w:line="198" w:lineRule="exact"/>
        <w:rPr>
          <w:sz w:val="20"/>
          <w:szCs w:val="20"/>
          <w:color w:val="auto"/>
        </w:rPr>
      </w:pPr>
    </w:p>
    <w:p>
      <w:pPr>
        <w:ind w:left="420" w:hanging="187"/>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MannKind Corporation;</w:t>
      </w:r>
    </w:p>
    <w:p>
      <w:pPr>
        <w:spacing w:after="0" w:line="184" w:lineRule="exact"/>
        <w:rPr>
          <w:rFonts w:ascii="Arial" w:cs="Arial" w:eastAsia="Arial" w:hAnsi="Arial"/>
          <w:sz w:val="18"/>
          <w:szCs w:val="18"/>
          <w:color w:val="auto"/>
        </w:rPr>
      </w:pPr>
    </w:p>
    <w:p>
      <w:pPr>
        <w:ind w:right="340" w:firstLine="233"/>
        <w:spacing w:after="0" w:line="342" w:lineRule="auto"/>
        <w:tabs>
          <w:tab w:leader="none" w:pos="4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0" w:firstLine="233"/>
        <w:spacing w:after="0" w:line="277" w:lineRule="auto"/>
        <w:tabs>
          <w:tab w:leader="none" w:pos="4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640" w:firstLine="233"/>
        <w:spacing w:after="0" w:line="277" w:lineRule="auto"/>
        <w:tabs>
          <w:tab w:leader="none" w:pos="4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020" w:right="120" w:hanging="445"/>
        <w:spacing w:after="0" w:line="264" w:lineRule="auto"/>
        <w:tabs>
          <w:tab w:leader="none" w:pos="10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particularly during the period in which this report is being prepared;</w:t>
      </w:r>
    </w:p>
    <w:p>
      <w:pPr>
        <w:spacing w:after="0" w:line="181" w:lineRule="exact"/>
        <w:rPr>
          <w:rFonts w:ascii="Arial" w:cs="Arial" w:eastAsia="Arial" w:hAnsi="Arial"/>
          <w:sz w:val="18"/>
          <w:szCs w:val="18"/>
          <w:color w:val="auto"/>
        </w:rPr>
      </w:pPr>
    </w:p>
    <w:p>
      <w:pPr>
        <w:jc w:val="both"/>
        <w:ind w:left="1020" w:right="580" w:hanging="445"/>
        <w:spacing w:after="0" w:line="342" w:lineRule="auto"/>
        <w:tabs>
          <w:tab w:leader="none" w:pos="10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20" w:right="120" w:hanging="445"/>
        <w:spacing w:after="0" w:line="264" w:lineRule="auto"/>
        <w:tabs>
          <w:tab w:leader="none" w:pos="10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20" w:firstLine="233"/>
        <w:spacing w:after="0" w:line="308" w:lineRule="auto"/>
        <w:tabs>
          <w:tab w:leader="none" w:pos="40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40" w:hanging="445"/>
        <w:spacing w:after="0" w:line="308" w:lineRule="auto"/>
        <w:tabs>
          <w:tab w:leader="none" w:pos="10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hanging="445"/>
        <w:spacing w:after="0" w:line="277" w:lineRule="auto"/>
        <w:tabs>
          <w:tab w:leader="none" w:pos="10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16, 2005</w:t>
      </w:r>
    </w:p>
    <w:p>
      <w:pPr>
        <w:spacing w:after="0" w:line="200" w:lineRule="exact"/>
        <w:rPr>
          <w:sz w:val="20"/>
          <w:szCs w:val="20"/>
          <w:color w:val="auto"/>
        </w:rPr>
      </w:pP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L. Anderson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93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EXHIBIT 32</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CERTIFICATIONS OF</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Alfred E. Mann, Chief Executive Officer of MannKind Corporation (the “Company”), certify, pursuant to Section 906 of the Sarbanes-Oxley Act of 2002, 18 U.S.C. Section 1350, that to my knowledge:</w:t>
      </w:r>
    </w:p>
    <w:p>
      <w:pPr>
        <w:spacing w:after="0" w:line="130" w:lineRule="exact"/>
        <w:rPr>
          <w:sz w:val="20"/>
          <w:szCs w:val="20"/>
          <w:color w:val="auto"/>
        </w:rPr>
      </w:pPr>
    </w:p>
    <w:p>
      <w:pPr>
        <w:ind w:right="400" w:firstLine="233"/>
        <w:spacing w:after="0" w:line="277" w:lineRule="auto"/>
        <w:tabs>
          <w:tab w:leader="none" w:pos="40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2005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firstLine="233"/>
        <w:spacing w:after="0" w:line="277" w:lineRule="auto"/>
        <w:tabs>
          <w:tab w:leader="none" w:pos="40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 covered by the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16, 2005</w:t>
      </w:r>
    </w:p>
    <w:p>
      <w:pPr>
        <w:spacing w:after="0" w:line="200" w:lineRule="exact"/>
        <w:rPr>
          <w:sz w:val="20"/>
          <w:szCs w:val="20"/>
          <w:color w:val="auto"/>
        </w:rPr>
      </w:pP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 Richard L. Anderson, Chief Financial Officer of MannKind Corporation (the “Company”), certify pursuant to Section 906 of the Sarbanes-Oxley Act of 2002, 18 U.S.C. Section 1350, that to my knowledge:</w:t>
      </w:r>
    </w:p>
    <w:p>
      <w:pPr>
        <w:spacing w:after="0" w:line="130" w:lineRule="exact"/>
        <w:rPr>
          <w:sz w:val="20"/>
          <w:szCs w:val="20"/>
          <w:color w:val="auto"/>
        </w:rPr>
      </w:pPr>
    </w:p>
    <w:p>
      <w:pPr>
        <w:ind w:right="400" w:firstLine="233"/>
        <w:spacing w:after="0" w:line="277" w:lineRule="auto"/>
        <w:tabs>
          <w:tab w:leader="none" w:pos="40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2005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firstLine="233"/>
        <w:spacing w:after="0" w:line="277" w:lineRule="auto"/>
        <w:tabs>
          <w:tab w:leader="none" w:pos="40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 covered by the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16, 2005</w:t>
      </w:r>
    </w:p>
    <w:p>
      <w:pPr>
        <w:spacing w:after="0" w:line="200" w:lineRule="exact"/>
        <w:rPr>
          <w:sz w:val="20"/>
          <w:szCs w:val="20"/>
          <w:color w:val="auto"/>
        </w:rPr>
      </w:pP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L. Anderson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signed original of these certifications has been provided to MannKind Corporation and will be retained by MannKind Corporation and furnished to the Securities and Exchange Commission or its staff upon request.</w:t>
      </w:r>
    </w:p>
    <w:p>
      <w:pPr>
        <w:spacing w:after="0" w:line="143"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These certifications are being furnished solely to accompany this quarterly report pursuant to 18 U.S.C. Section 1350, and shall not be deemed filed for purposes of Section 18 of the Securities Exchange Act of 1934 into any filing of MannKind Corporation, whether made before or after the date hereof, regardless of any general incorporation language in such filing.</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sectPr>
      <w:pgSz w:w="11900" w:h="16838" w:orient="portrait"/>
      <w:cols w:equalWidth="0" w:num="1">
        <w:col w:w="11340"/>
      </w:cols>
      <w:pgMar w:left="240" w:top="93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amp;"/>
      <w:numFmt w:val="bullet"/>
      <w:start w:val="1"/>
    </w:lvl>
  </w:abstractNum>
  <w:abstractNum w:abstractNumId="17">
    <w:nsid w:val="436C6125"/>
    <w:multiLevelType w:val="hybridMultilevel"/>
    <w:lvl w:ilvl="0">
      <w:lvlJc w:val="left"/>
      <w:lvlText w:val="(%1)"/>
      <w:numFmt w:val="lowerLetter"/>
      <w:start w:val="3"/>
    </w:lvl>
  </w:abstractNum>
  <w:abstractNum w:abstractNumId="18">
    <w:nsid w:val="628C895D"/>
    <w:multiLevelType w:val="hybridMultilevel"/>
    <w:lvl w:ilvl="0">
      <w:lvlJc w:val="left"/>
      <w:lvlText w:val="%1"/>
      <w:numFmt w:val="decimal"/>
      <w:start w:val="32"/>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2019-12-11T23:16:18Z</dcterms:created>
  <dcterms:modified xsi:type="dcterms:W3CDTF">2019-12-11T23:16:18Z</dcterms:modified>
</cp:coreProperties>
</file>