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900"/>
        <w:spacing w:after="0"/>
        <w:tabs>
          <w:tab w:leader="none" w:pos="6760" w:val="left"/>
          <w:tab w:leader="none" w:pos="7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140" w:type="dxa"/>
            <w:vAlign w:val="bottom"/>
          </w:tcPr>
          <w:p>
            <w:pPr>
              <w:jc w:val="right"/>
              <w:ind w:right="44"/>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23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4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88"/>
              </w:rPr>
              <w:t>28903 North Avenue Paine</w:t>
            </w:r>
          </w:p>
        </w:tc>
        <w:tc>
          <w:tcPr>
            <w:tcW w:w="5140" w:type="dxa"/>
            <w:vAlign w:val="bottom"/>
          </w:tcPr>
          <w:p>
            <w:pPr>
              <w:spacing w:after="0"/>
              <w:rPr>
                <w:sz w:val="24"/>
                <w:szCs w:val="24"/>
                <w:color w:val="auto"/>
              </w:rPr>
            </w:pPr>
          </w:p>
        </w:tc>
      </w:tr>
      <w:tr>
        <w:trPr>
          <w:trHeight w:val="231"/>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90"/>
              </w:rPr>
              <w:t>Valencia, California</w:t>
            </w:r>
          </w:p>
        </w:tc>
        <w:tc>
          <w:tcPr>
            <w:tcW w:w="5140" w:type="dxa"/>
            <w:vAlign w:val="bottom"/>
          </w:tcPr>
          <w:p>
            <w:pPr>
              <w:jc w:val="right"/>
              <w:ind w:right="244"/>
              <w:spacing w:after="0"/>
              <w:rPr>
                <w:sz w:val="20"/>
                <w:szCs w:val="20"/>
                <w:color w:val="auto"/>
              </w:rPr>
            </w:pPr>
            <w:r>
              <w:rPr>
                <w:rFonts w:ascii="Arial" w:cs="Arial" w:eastAsia="Arial" w:hAnsi="Arial"/>
                <w:sz w:val="18"/>
                <w:szCs w:val="18"/>
                <w:b w:val="1"/>
                <w:bCs w:val="1"/>
                <w:color w:val="auto"/>
              </w:rPr>
              <w:t>91355</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40" w:type="dxa"/>
            <w:vAlign w:val="bottom"/>
          </w:tcPr>
          <w:p>
            <w:pPr>
              <w:spacing w:after="0"/>
              <w:rPr>
                <w:sz w:val="24"/>
                <w:szCs w:val="24"/>
                <w:color w:val="auto"/>
              </w:rPr>
            </w:pPr>
          </w:p>
        </w:tc>
        <w:tc>
          <w:tcPr>
            <w:tcW w:w="5140" w:type="dxa"/>
            <w:vAlign w:val="bottom"/>
          </w:tcPr>
          <w:p>
            <w:pPr>
              <w:jc w:val="right"/>
              <w:ind w:right="2884"/>
              <w:spacing w:after="0"/>
              <w:rPr>
                <w:sz w:val="20"/>
                <w:szCs w:val="20"/>
                <w:color w:val="auto"/>
              </w:rPr>
            </w:pPr>
            <w:r>
              <w:rPr>
                <w:rFonts w:ascii="Arial" w:cs="Arial" w:eastAsia="Arial" w:hAnsi="Arial"/>
                <w:sz w:val="18"/>
                <w:szCs w:val="18"/>
                <w:b w:val="1"/>
                <w:bCs w:val="1"/>
                <w:color w:val="auto"/>
              </w:rPr>
              <w:t>(661) 775-5300</w:t>
            </w:r>
          </w:p>
        </w:tc>
      </w:tr>
      <w:tr>
        <w:trPr>
          <w:trHeight w:val="174"/>
        </w:trPr>
        <w:tc>
          <w:tcPr>
            <w:tcW w:w="2340" w:type="dxa"/>
            <w:vAlign w:val="bottom"/>
          </w:tcPr>
          <w:p>
            <w:pPr>
              <w:spacing w:after="0"/>
              <w:rPr>
                <w:sz w:val="15"/>
                <w:szCs w:val="15"/>
                <w:color w:val="auto"/>
              </w:rPr>
            </w:pPr>
          </w:p>
        </w:tc>
        <w:tc>
          <w:tcPr>
            <w:tcW w:w="514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ind w:left="77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7900" w:space="500"/>
            <w:col w:w="3020"/>
          </w:cols>
          <w:pgMar w:left="240" w:top="230" w:right="239" w:bottom="1440" w:gutter="0" w:footer="0" w:header="0"/>
          <w:type w:val="continuous"/>
        </w:sectPr>
      </w:pPr>
    </w:p>
    <w:p>
      <w:pPr>
        <w:spacing w:after="0" w:line="71" w:lineRule="exact"/>
        <w:rPr>
          <w:sz w:val="24"/>
          <w:szCs w:val="24"/>
          <w:color w:val="auto"/>
        </w:rPr>
      </w:pPr>
    </w:p>
    <w:p>
      <w:pPr>
        <w:spacing w:after="0"/>
        <w:rPr>
          <w:sz w:val="20"/>
          <w:szCs w:val="20"/>
          <w:color w:val="auto"/>
        </w:rPr>
      </w:pPr>
      <w:r>
        <w:rPr>
          <w:rFonts w:ascii="Arial" w:cs="Arial" w:eastAsia="Arial" w:hAnsi="Arial"/>
          <w:sz w:val="15"/>
          <w:szCs w:val="15"/>
          <w:color w:val="auto"/>
        </w:rPr>
        <w:t>As of October 21, 2011, there were 131,339,001 shares of the registrant’s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gridSpan w:val="12"/>
            <w:vMerge w:val="restart"/>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 FINANCIAL INFORMATION</w:t>
              </w:r>
            </w:hyperlink>
          </w:p>
        </w:tc>
        <w:tc>
          <w:tcPr>
            <w:tcW w:w="8200" w:type="dxa"/>
            <w:vAlign w:val="bottom"/>
            <w:gridSpan w:val="9"/>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12"/>
            <w:vMerge w:val="continue"/>
          </w:tcPr>
          <w:p>
            <w:pPr>
              <w:spacing w:after="0"/>
              <w:rPr>
                <w:sz w:val="13"/>
                <w:szCs w:val="13"/>
                <w:color w:val="auto"/>
              </w:rPr>
            </w:pPr>
          </w:p>
        </w:tc>
        <w:tc>
          <w:tcPr>
            <w:tcW w:w="8200" w:type="dxa"/>
            <w:vAlign w:val="bottom"/>
            <w:gridSpan w:val="9"/>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9020" w:type="dxa"/>
            <w:vAlign w:val="bottom"/>
            <w:gridSpan w:val="14"/>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September 30, 2011 and December 31,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Three and Nine months ended September 30, 2011 and 2010 and the period from February 14,</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1991 (date of inception) to September 30, 2011</w:t>
              </w:r>
            </w:hyperlink>
          </w:p>
        </w:tc>
        <w:tc>
          <w:tcPr>
            <w:tcW w:w="7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Cash Flows: Nine months ended September 30, 2011 and 2010 and the period from February 14, 1991 (date of</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4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inception) to September 30, 2011</w:t>
              </w:r>
            </w:hyperlink>
          </w:p>
        </w:tc>
        <w:tc>
          <w:tcPr>
            <w:tcW w:w="4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8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gridSpan w:val="2"/>
          </w:tcPr>
          <w:p>
            <w:pPr>
              <w:spacing w:after="0"/>
              <w:rPr>
                <w:sz w:val="17"/>
                <w:szCs w:val="17"/>
                <w:color w:val="auto"/>
              </w:rPr>
            </w:pPr>
          </w:p>
        </w:tc>
        <w:tc>
          <w:tcPr>
            <w:tcW w:w="42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Item 4. Controls and Procedures</w:t>
              </w:r>
            </w:hyperlink>
          </w:p>
        </w:tc>
        <w:tc>
          <w:tcPr>
            <w:tcW w:w="87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Item 1. Legal Proceedings</w:t>
              </w:r>
            </w:hyperlink>
          </w:p>
        </w:tc>
        <w:tc>
          <w:tcPr>
            <w:tcW w:w="700" w:type="dxa"/>
            <w:vAlign w:val="bottom"/>
            <w:tcBorders>
              <w:top w:val="single" w:sz="8" w:color="0000EE"/>
            </w:tcBorders>
            <w:gridSpan w:val="4"/>
          </w:tcPr>
          <w:p>
            <w:pPr>
              <w:spacing w:after="0"/>
              <w:rPr>
                <w:sz w:val="17"/>
                <w:szCs w:val="17"/>
                <w:color w:val="auto"/>
              </w:rPr>
            </w:pPr>
          </w:p>
        </w:tc>
        <w:tc>
          <w:tcPr>
            <w:tcW w:w="84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1A. Risk Factors</w:t>
              </w:r>
            </w:hyperlink>
          </w:p>
        </w:tc>
        <w:tc>
          <w:tcPr>
            <w:tcW w:w="94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Item 2. Unregistered Sales of Equity Securities and Use of Proceeds</w:t>
              </w:r>
            </w:hyperlink>
          </w:p>
        </w:tc>
        <w:tc>
          <w:tcPr>
            <w:tcW w:w="62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Item 3. Defaults Upon Senior Securities</w:t>
              </w:r>
            </w:hyperlink>
          </w:p>
        </w:tc>
        <w:tc>
          <w:tcPr>
            <w:tcW w:w="822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Item 4. (Removed and Reserved)</w:t>
              </w:r>
            </w:hyperlink>
          </w:p>
        </w:tc>
        <w:tc>
          <w:tcPr>
            <w:tcW w:w="87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5. Other Information</w:t>
              </w:r>
            </w:hyperlink>
          </w:p>
        </w:tc>
        <w:tc>
          <w:tcPr>
            <w:tcW w:w="920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6. Exhibits</w:t>
              </w:r>
            </w:hyperlink>
          </w:p>
        </w:tc>
        <w:tc>
          <w:tcPr>
            <w:tcW w:w="99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AFREZZA</w:t>
      </w:r>
      <w:r>
        <w:rPr>
          <w:rFonts w:ascii="Arial" w:cs="Arial" w:eastAsia="Arial" w:hAnsi="Arial"/>
          <w:sz w:val="11"/>
          <w:szCs w:val="11"/>
          <w:color w:val="auto"/>
        </w:rPr>
        <w:t>®</w:t>
      </w:r>
      <w:r>
        <w:rPr>
          <w:rFonts w:ascii="Arial" w:cs="Arial" w:eastAsia="Arial" w:hAnsi="Arial"/>
          <w:sz w:val="18"/>
          <w:szCs w:val="18"/>
          <w:color w:val="auto"/>
        </w:rPr>
        <w:t>, MedTone</w:t>
      </w:r>
      <w:r>
        <w:rPr>
          <w:rFonts w:ascii="Arial" w:cs="Arial" w:eastAsia="Arial" w:hAnsi="Arial"/>
          <w:sz w:val="11"/>
          <w:szCs w:val="11"/>
          <w:color w:val="auto"/>
        </w:rPr>
        <w:t>®</w:t>
      </w:r>
      <w:r>
        <w:rPr>
          <w:rFonts w:ascii="Arial" w:cs="Arial" w:eastAsia="Arial" w:hAnsi="Arial"/>
          <w:sz w:val="18"/>
          <w:szCs w:val="18"/>
          <w:color w:val="auto"/>
        </w:rPr>
        <w:t xml:space="preserve"> and Technosphere</w:t>
      </w:r>
      <w:r>
        <w:rPr>
          <w:rFonts w:ascii="Arial" w:cs="Arial" w:eastAsia="Arial" w:hAnsi="Arial"/>
          <w:sz w:val="11"/>
          <w:szCs w:val="11"/>
          <w:color w:val="auto"/>
        </w:rPr>
        <w:t>®</w:t>
      </w:r>
      <w:r>
        <w:rPr>
          <w:rFonts w:ascii="Arial" w:cs="Arial" w:eastAsia="Arial" w:hAnsi="Arial"/>
          <w:sz w:val="18"/>
          <w:szCs w:val="18"/>
          <w:color w:val="auto"/>
        </w:rPr>
        <w:t xml:space="preserve"> are our registered trademarks in the United States. We have also applied for and have registered company trademarks in other jurisdictions, including Europe and Japan.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2010</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ind w:left="346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22,786</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66,061</w:t>
            </w: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research and development credit exchange receivable — current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3"/>
        </w:trPr>
        <w:tc>
          <w:tcPr>
            <w:tcW w:w="828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196,374</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202,356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224,014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277,256</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1,598</w:t>
            </w:r>
          </w:p>
        </w:tc>
        <w:tc>
          <w:tcPr>
            <w:tcW w:w="8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15,715</w:t>
            </w:r>
          </w:p>
        </w:tc>
        <w:tc>
          <w:tcPr>
            <w:tcW w:w="8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17,313</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18,134</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210,308</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209,335</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277,203</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504,824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462,788</w:t>
            </w:r>
          </w:p>
        </w:tc>
        <w:tc>
          <w:tcPr>
            <w:tcW w:w="0" w:type="dxa"/>
            <w:vAlign w:val="bottom"/>
          </w:tcPr>
          <w:p>
            <w:pPr>
              <w:spacing w:after="0"/>
              <w:rPr>
                <w:sz w:val="1"/>
                <w:szCs w:val="1"/>
                <w:color w:val="auto"/>
              </w:rPr>
            </w:pPr>
          </w:p>
        </w:tc>
      </w:tr>
      <w:tr>
        <w:trPr>
          <w:trHeight w:val="221"/>
        </w:trPr>
        <w:tc>
          <w:tcPr>
            <w:tcW w:w="8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tcPr>
          <w:p>
            <w:pPr>
              <w:spacing w:after="0"/>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80" w:type="dxa"/>
            <w:vAlign w:val="bottom"/>
          </w:tcPr>
          <w:p>
            <w:pPr>
              <w:ind w:left="220"/>
              <w:spacing w:after="0"/>
              <w:rPr>
                <w:sz w:val="20"/>
                <w:szCs w:val="20"/>
                <w:color w:val="auto"/>
              </w:rPr>
            </w:pPr>
            <w:r>
              <w:rPr>
                <w:rFonts w:ascii="Arial" w:cs="Arial" w:eastAsia="Arial" w:hAnsi="Arial"/>
                <w:sz w:val="18"/>
                <w:szCs w:val="18"/>
                <w:color w:val="auto"/>
              </w:rPr>
              <w:t>outstanding at September 30, 2011 and December 31, 2010</w:t>
            </w:r>
          </w:p>
        </w:tc>
        <w:tc>
          <w:tcPr>
            <w:tcW w:w="240" w:type="dxa"/>
            <w:vAlign w:val="bottom"/>
          </w:tcPr>
          <w:p>
            <w:pPr>
              <w:spacing w:after="0"/>
              <w:rPr>
                <w:sz w:val="19"/>
                <w:szCs w:val="19"/>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$0.01 par value — 250,000,000 and 200,000,000 shares authorized at September 30, 2011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and December 31, 2010, respectively; 131,337,279 and 127,793,178 shares issued and outstanding at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2011 and December 31, 2010, respectively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1,616,981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1,587,858</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240" w:type="dxa"/>
            <w:vAlign w:val="bottom"/>
          </w:tcPr>
          <w:p>
            <w:pPr>
              <w:spacing w:after="0"/>
              <w:rPr>
                <w:sz w:val="18"/>
                <w:szCs w:val="18"/>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w w:val="99"/>
              </w:rPr>
              <w:t>(1,899,149)</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(1,774,742)</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deficit</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(280,810)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(185,532)</w:t>
            </w:r>
          </w:p>
        </w:tc>
        <w:tc>
          <w:tcPr>
            <w:tcW w:w="0" w:type="dxa"/>
            <w:vAlign w:val="bottom"/>
          </w:tcPr>
          <w:p>
            <w:pPr>
              <w:spacing w:after="0"/>
              <w:rPr>
                <w:sz w:val="1"/>
                <w:szCs w:val="1"/>
                <w:color w:val="auto"/>
              </w:rPr>
            </w:pPr>
          </w:p>
        </w:tc>
      </w:tr>
      <w:tr>
        <w:trPr>
          <w:trHeight w:val="222"/>
        </w:trPr>
        <w:tc>
          <w:tcPr>
            <w:tcW w:w="8280" w:type="dxa"/>
            <w:vAlign w:val="bottom"/>
          </w:tcPr>
          <w:p>
            <w:pPr>
              <w:ind w:left="4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224,014</w:t>
            </w:r>
          </w:p>
        </w:tc>
        <w:tc>
          <w:tcPr>
            <w:tcW w:w="8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w w:val="97"/>
              </w:rPr>
              <w:t>Three months ended</w:t>
            </w:r>
          </w:p>
        </w:tc>
        <w:tc>
          <w:tcPr>
            <w:tcW w:w="100" w:type="dxa"/>
            <w:vAlign w:val="bottom"/>
          </w:tcPr>
          <w:p>
            <w:pPr>
              <w:spacing w:after="0"/>
              <w:rPr>
                <w:sz w:val="12"/>
                <w:szCs w:val="12"/>
                <w:color w:val="auto"/>
              </w:rPr>
            </w:pPr>
          </w:p>
        </w:tc>
        <w:tc>
          <w:tcPr>
            <w:tcW w:w="2180" w:type="dxa"/>
            <w:vAlign w:val="bottom"/>
            <w:gridSpan w:val="5"/>
            <w:vMerge w:val="restart"/>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from February 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jc w:val="right"/>
              <w:ind w:right="860"/>
              <w:spacing w:after="0" w:line="12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2180" w:type="dxa"/>
            <w:vAlign w:val="bottom"/>
            <w:gridSpan w:val="5"/>
          </w:tcPr>
          <w:p>
            <w:pPr>
              <w:jc w:val="right"/>
              <w:ind w:right="920"/>
              <w:spacing w:after="0" w:line="12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31,411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79,717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11,129</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30,293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369,894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42,540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110,010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120,498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1,886,857</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(32,773)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(42,540)</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(109,960)</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(120,405)</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(1,883,726)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(2,863)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(7,849)</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(8,092)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36,989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(38,402)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(45,303)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(124,407)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(132,254)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(1,899,123)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(38,402)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(45,303)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(124,407)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(132,254)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(1,899,149)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(38,402)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(45,303)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(124,407)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(132,254)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(1,922,361)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w w:val="98"/>
              </w:rPr>
              <w:t>Shares used to compute basic and diluted net loss per share applicable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122,130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82"/>
              </w:rPr>
              <w:t>113,528</w:t>
            </w: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121,636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113,248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February 14,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5"/>
            <w:vMerge w:val="continue"/>
          </w:tcPr>
          <w:p>
            <w:pPr>
              <w:spacing w:after="0"/>
              <w:rPr>
                <w:sz w:val="5"/>
                <w:szCs w:val="5"/>
                <w:color w:val="auto"/>
              </w:rPr>
            </w:pPr>
          </w:p>
        </w:tc>
        <w:tc>
          <w:tcPr>
            <w:tcW w:w="9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1991 (Date of</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5"/>
            <w:vMerge w:val="continue"/>
          </w:tcPr>
          <w:p>
            <w:pPr>
              <w:spacing w:after="0"/>
              <w:rPr>
                <w:sz w:val="6"/>
                <w:szCs w:val="6"/>
                <w:color w:val="auto"/>
              </w:rPr>
            </w:pPr>
          </w:p>
        </w:tc>
        <w:tc>
          <w:tcPr>
            <w:tcW w:w="98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3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(124,407)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(132,254)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(1,899,149)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12,097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Stock expense for shares issued pursuant to research agreement</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loss on sale, abandonment/disposal or impairment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Accrued interest on investments, net of amortization of discounts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available-for-sale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644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rPr>
              <w:t>State research and development credit exchange receivable</w:t>
            </w: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w w:val="86"/>
              </w:rPr>
              <w:t>152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363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79"/>
              </w:rPr>
              <w:t>180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2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w w:val="86"/>
              </w:rPr>
              <w:t>861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(103,482)</w:t>
            </w:r>
          </w:p>
        </w:tc>
        <w:tc>
          <w:tcPr>
            <w:tcW w:w="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(109,682)</w:t>
            </w: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(1,456,046)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(796,779)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(6,703)</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(5,607)</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(326,954)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(2,812)</w:t>
            </w:r>
          </w:p>
        </w:tc>
        <w:tc>
          <w:tcPr>
            <w:tcW w:w="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(326,993)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10,544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1,229,624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Borrowings on notes payable to related party</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95,786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63,019</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181,198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1,805,825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(43,275)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Interest paid in cash, net of amounts capitalized</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15,092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Non-cash construction in progress and property and equipment</w:t>
            </w: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w w:val="86"/>
              </w:rPr>
              <w:t>181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Cancellation of principal on note payable to related party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11,116</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5" w:name="page6"/>
    <w:bookmarkEnd w:id="5"/>
    <w:p>
      <w:pPr>
        <w:spacing w:after="0" w:line="268"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2010 are included in the Company’s annual report on Form 10-K for the fiscal year ended December 31, 2010 filed with the SEC on March 16, 2011 (the “Annual Report”).</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nine months ended September 30, 2011 may not be indicative of the results that may be expected for the full year.</w:t>
      </w:r>
    </w:p>
    <w:p>
      <w:pPr>
        <w:spacing w:after="0" w:line="14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accompanying financial statements involve assessing long-lived assets for impairment, accrued expenses, the valuation of stock-based compensation and the determination of the provision for income taxes and corresponding deferred tax assets and liabilities and any valuation allowance recorded against net deferred tax assets.</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 xml:space="preserve">Business — </w:t>
      </w:r>
      <w:r>
        <w:rPr>
          <w:rFonts w:ascii="Arial" w:cs="Arial" w:eastAsia="Arial" w:hAnsi="Arial"/>
          <w:sz w:val="16"/>
          <w:szCs w:val="16"/>
          <w:color w:val="auto"/>
        </w:rPr>
        <w:t>The Company is a biopharmaceutical company focused on the discovery and development of therapeutic products for diseases such as diabetes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cancer. The Company’s lead product candidate, AFREZZA (insulin human [rDNA origin]) Inhalation Powder, is an ultra rapid-acting insulin therapy in late-stage clinical investigation for the treatment of adults with type 1 or type 2 diabetes for the control of hyperglycemia.</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AFREZZA consists of the Company’s proprietary Technosphere particles onto which insulin molecules are loaded. These loaded particles are then aerosolized and inhaled deep into the lung using the Company’s AFREZZA inhaler.</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Basis of Presentation — </w:t>
      </w:r>
      <w:r>
        <w:rPr>
          <w:rFonts w:ascii="Arial" w:cs="Arial" w:eastAsia="Arial" w:hAnsi="Arial"/>
          <w:sz w:val="16"/>
          <w:szCs w:val="16"/>
          <w:color w:val="auto"/>
        </w:rPr>
        <w:t>The Company is considered to be in the development stage as its primary activities since incorporation have been establishing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recruiting personnel, conducting research and development, business development, business and financial planning, and raising capital. Since its inception through September 30, 2011 the Company has reported accumulated net losses of $1.9 billion, which include a goodwill impairment charge of $151.4 million, and cumulative negative cash flow from operations of $1.5 billion. It is costly to develop therapeutic products and conduct clinical trials for these products. At September 30, 2011, the Company’s capital resources consisted of cash, cash equivalents, and marketable securities of $23.3 million and $45.0 million of available borrowings under the loan agreement with an entity controlled by the Company’s principal stockholder (see Note 12 — Related-party arrangements). Based upon the Company’s current expectations, management believes the Company’s existing capital resources will enable it to continue planned operations into the first quarter of 2012. However, the Company cannot provide assurances that its plans will not change or that changed circumstances will not result in the depletion of its capital resources more rapidly than it currently anticipates. If the Company is not successful in raising additional capital through equity or debt financing, entering a business collaboration, establishing other funding facilities, licensing arrangements, assets sales or other means, or increasing the borrowings available under the loan arrangement with its related party, the Company will be required to reduce expenses through the delay, reduction or curtailment of its projects, including AFREZZA development activities, or further reduction of costs for facilities and administration, and there will be substantial doubt about its ability to continue as a going concern.</w:t>
      </w:r>
    </w:p>
    <w:p>
      <w:pPr>
        <w:spacing w:after="0" w:line="12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b w:val="1"/>
          <w:bCs w:val="1"/>
          <w:i w:val="1"/>
          <w:iCs w:val="1"/>
          <w:color w:val="auto"/>
        </w:rPr>
        <w:t xml:space="preserve">Fair Value of Financial Instruments — </w:t>
      </w:r>
      <w:r>
        <w:rPr>
          <w:rFonts w:ascii="Arial" w:cs="Arial" w:eastAsia="Arial" w:hAnsi="Arial"/>
          <w:sz w:val="16"/>
          <w:szCs w:val="16"/>
          <w:color w:val="auto"/>
        </w:rPr>
        <w:t>The carrying amounts of financial instruments, which include cash equivalents, marketable securities and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approximate their fair values due to their relatively short maturities. The fair value of the note payable to related party cannot be reasonably estimated as the Company would not be able to obtain a similar credit arrangement in the current economic environment.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equivalents consist of highly liquid investments, with original or remaining maturities of 90 days or less at the time of purchase, that are readily convertible into cash. As of September 30, 2011 and December 31, 2010, the Company held $15.8 million and $52.8 million, respectively of cash equivalents, consisting of money market funds, U.S. Treasury notes and commercial paper. The $15.8 million of cash equivalents at September 30, 2011 consisted entirely of money market funds. The fair value of these investments was determined by using quoted prices for identical investments in an active market (Level 1 in the fair value hierarchy).</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Company’s marketable securities consist principally of a certificate of deposit with a maturity greater than 90 days, held as collateral for the Company’s commercial credit card programs and a common stock investment that are classified as available-for-sale securities. The certificate of deposit is stated at fair value based on quoted prices for similar instruments in an active market (Level 2 in the fair value hierarchy) and the common stock investment is stated at fair value based on quoted prices in an active market (Level 1 in the fair value hierarchy). As of September 30, 2011 and December 31, 2010, there were marketable securities of $0.5 million and $4.4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carrying values and estimated fair values of the Company’s senior convertible notes due in 2013 and 2015 (in millions).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7"/>
              </w:rPr>
              <w:t>September 30, 2011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ind w:left="200"/>
              <w:spacing w:after="0"/>
              <w:rPr>
                <w:sz w:val="20"/>
                <w:szCs w:val="20"/>
                <w:color w:val="auto"/>
              </w:rPr>
            </w:pPr>
            <w:r>
              <w:rPr>
                <w:rFonts w:ascii="Arial" w:cs="Arial" w:eastAsia="Arial" w:hAnsi="Arial"/>
                <w:sz w:val="14"/>
                <w:szCs w:val="14"/>
                <w:b w:val="1"/>
                <w:bCs w:val="1"/>
                <w:color w:val="auto"/>
              </w:rPr>
              <w:t>December 31, 2010</w:t>
            </w:r>
          </w:p>
        </w:tc>
      </w:tr>
      <w:tr>
        <w:trPr>
          <w:trHeight w:val="129"/>
        </w:trPr>
        <w:tc>
          <w:tcPr>
            <w:tcW w:w="38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100" w:type="dxa"/>
            <w:vAlign w:val="bottom"/>
          </w:tcPr>
          <w:p>
            <w:pPr>
              <w:spacing w:after="0"/>
              <w:rPr>
                <w:sz w:val="11"/>
                <w:szCs w:val="11"/>
                <w:color w:val="auto"/>
              </w:rPr>
            </w:pPr>
          </w:p>
        </w:tc>
      </w:tr>
      <w:tr>
        <w:trPr>
          <w:trHeight w:val="161"/>
        </w:trPr>
        <w:tc>
          <w:tcPr>
            <w:tcW w:w="38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Notes due 2013</w:t>
            </w:r>
          </w:p>
        </w:tc>
        <w:tc>
          <w:tcPr>
            <w:tcW w:w="2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113.7</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Notes due 2015</w:t>
            </w:r>
          </w:p>
        </w:tc>
        <w:tc>
          <w:tcPr>
            <w:tcW w:w="2780" w:type="dxa"/>
            <w:vAlign w:val="bottom"/>
            <w:gridSpan w:val="2"/>
          </w:tcPr>
          <w:p>
            <w:pPr>
              <w:ind w:left="26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96.6</w:t>
            </w:r>
          </w:p>
        </w:tc>
        <w:tc>
          <w:tcPr>
            <w:tcW w:w="5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76.5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96.0</w:t>
            </w:r>
          </w:p>
        </w:tc>
        <w:tc>
          <w:tcPr>
            <w:tcW w:w="2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134.1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estimated fair value of the senior convertible notes due 2013 was calculated based on quoted prices in an active market (Level 1 in the fair value hierarchy). The estimated fair value of the senior convertible notes due 2015 was calculated based on model-derived valuations, based on the market approach (Level 2 in the fair value hierarchy).</w:t>
      </w:r>
    </w:p>
    <w:p>
      <w:pPr>
        <w:spacing w:after="0" w:line="14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Derivative financial instruments are reported in “Other assets” or “Accrued expenses and other current liabilities” in the condensed consolidated balance sheets and measured at fair value. The fair value of foreign exchange hedging contracts equals the carrying value at each balance sheet date. The fair value of these contracts are determined using methodologies based on market observable inputs (Level 2 in the fair value hierarchy), including foreign currency spot rates. The Company has used derivative financial instruments to manage its exposure to foreign currency exchange risks related to quarterly purchases on insulin. The Company does not use derivative financial instruments for trading or speculative purposes, nor does it use leveraged financial instruments. Credit risk related to derivative financial instruments is considered minimal and is managed by requiring high credit standards for counterparties and through periodic settlements of positions.</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Company’s derivative financial instruments are not designated as hedging instruments for accounting purposes, and gains or losses resulting from changes in the fair value are reported in “Other income (expense)”, in the condensed consolidated statements of operations. The Company entered into foreign exchange hedging contracts with notional amounts totaling zero and $25.5 million at September 30, 2011 and December 31, 2010, respectively. The Company recorded an unrealized loss of $567,000 on the outstanding contracts at December 31, 2010. The Company recorded a realized gain of zero and $1.3 million for the three and nine months ended September 30, 2011, respectively and a realized loss of $961,000 and $1.3 million related to these foreign exchange hedging contracts for the three and nine months ended September 30, 2010, respectively. The Company terminated these contracts during the quarter ended March 31, 2011.</w:t>
      </w:r>
    </w:p>
    <w:p>
      <w:pPr>
        <w:spacing w:after="0" w:line="12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Recently Issued Accounting Standards </w:t>
      </w:r>
      <w:r>
        <w:rPr>
          <w:rFonts w:ascii="Arial" w:cs="Arial" w:eastAsia="Arial" w:hAnsi="Arial"/>
          <w:sz w:val="18"/>
          <w:szCs w:val="18"/>
          <w:color w:val="auto"/>
        </w:rPr>
        <w:t>— In June 2011, the Financial Accounting Standards Board (“FASB”) issued Accounting Standards Update No. 2011-05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Comprehensive Income (Topic 220): “Presentation of Comprehensive Income”. This update improves the comparability, consistency and transparency of financial reporting and increases the prominence of items reported in other comprehensive income. This update is effective for interim and annual periods beginning after December 15, 2011. The adoption of this update will have an impact on the disclosure of comprehensive income on the Company’s consolidated financial statements.</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May 2011, the FASB issued Accounting Standards Update No. 2011-04 for Fair Value Measurement (Topic 820): “Amendments to Achieve Common Fair Value Measurement and Disclosure Requirements in U.S. GAAP and IFRSs”. This update addresses how to measure fair value and requires new disclosures about fair value measurements. The amendments in this update are effective for interim and annual periods beginning after December 15, 2011. The Company is currently evaluating the impact the adoption of this update will have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3"/>
              </w:rPr>
              <w:t>2011</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2010</w:t>
            </w: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3"/>
              </w:rPr>
              <w:t>Gross</w:t>
            </w: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3"/>
              </w:rPr>
              <w:t>Gross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Cost</w:t>
            </w:r>
          </w:p>
        </w:tc>
        <w:tc>
          <w:tcPr>
            <w:tcW w:w="38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61"/>
        </w:trPr>
        <w:tc>
          <w:tcPr>
            <w:tcW w:w="59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0"/>
              </w:rPr>
              <w:t>Cost Basis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Gain</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Gain</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Available-for-sale securities</w:t>
            </w: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467</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513</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$4,295</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$4,370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Company’s available-for-sale securities at September 30, 2011 consist of a $0.4 million certificate of deposit with a maturity greater than 90 days, held as collateral for the Company’s commercial credit card programs, and a common stock investment. The Company’s available-for-sale securities at December 31, 2010 consist principally of $4.2 million of certificates of deposit with a maturity greater than 90 days, held as collateral primarily for foreign exchange hedging instruments, and a common stock investment.</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Gross realized gains and losses for available-for-sale securities were insignificant and recorded as “Other income (expense)” in the condensed consolidated statements of operations. Gross unrealized gains and losses are included in “Other comprehensive gain (loss)” (see Note 5 — Comprehensive loss).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Salary and related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15,715</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Total stock-based compensation expense recognized in the accompanying condensed consolidated statements of operations for the three and nine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2010 was as follows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8"/>
              </w:rPr>
              <w:t>Three months ended</w:t>
            </w: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45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7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5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w:t>
            </w:r>
          </w:p>
        </w:tc>
        <w:tc>
          <w:tcPr>
            <w:tcW w:w="2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3,321</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3,338</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8,023</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11,343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issued stock awards to employees during the nine months ended September 30, 2011 primarily with a four-year vesting schedule. The grant date fair value of the 3,310,800 stock options and 2,462,590 restricted stock units issued during the nine months ended September 30, 2011 were $6.7 million and $7.7 million, respectively, with a grant date fair value per share of $2.03 and $3.12, respectively.</w:t>
      </w:r>
    </w:p>
    <w:p>
      <w:pPr>
        <w:spacing w:after="0" w:line="140"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As of September 30, 2011, there was $14.2 million and $16.8 million of unrecognized compensation cost related to options and restricted stock units, respectively, which are expected to be recognized over the remaining weighted average vesting period of 2.4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loss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Accounting Standards Codification (“ASC”) 220-10-45 </w:t>
      </w:r>
      <w:r>
        <w:rPr>
          <w:rFonts w:ascii="Arial" w:cs="Arial" w:eastAsia="Arial" w:hAnsi="Arial"/>
          <w:sz w:val="16"/>
          <w:szCs w:val="16"/>
          <w:i w:val="1"/>
          <w:iCs w:val="1"/>
          <w:color w:val="auto"/>
        </w:rPr>
        <w:t>Comprehensive Income Other Presentation</w:t>
      </w:r>
      <w:r>
        <w:rPr>
          <w:rFonts w:ascii="Arial" w:cs="Arial" w:eastAsia="Arial" w:hAnsi="Arial"/>
          <w:sz w:val="16"/>
          <w:szCs w:val="16"/>
          <w:color w:val="auto"/>
        </w:rPr>
        <w:t xml:space="preserve"> requires reporting and displaying comprehensive income (loss) and its components, which, for the Company, includes net loss and unrealized gains and losses on investments and cumulative translation gains and losses. In accordance with this guidance, the accumulated balance of other comprehensive income (loss) is disclosed as a separate component of stockholders’ equity. For the three and nine months ended September 30, 2011 and 2010, comprehensive loss consisted of (in thousands):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9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(38,402)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(45,303)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$(124,407)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$(132,254)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investments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Cumulative translation (loss) gain</w:t>
            </w:r>
          </w:p>
        </w:tc>
        <w:tc>
          <w:tcPr>
            <w:tcW w:w="16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(38,395)</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(45,302)</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(124,436)</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common share</w:t>
      </w:r>
    </w:p>
    <w:p>
      <w:pPr>
        <w:spacing w:after="0" w:line="9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Basic net loss per share excludes dilution for potentially dilutive securities and is computed by dividing loss applicable to common stockholders by the weighted average number of common shares outstanding during the period excluding the shares loaned under the share lending arrangement (see Note 10 — Common and preferred stock). As of September 30, 2011, 9,000,000 shares of the Company’s common stock, which were loaned to a share borrower pursuant to the terms of a share lending agreement as described 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Note 10,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33,895,480 shares and 31,034,946 shares as of September 30, 2011 and 2010, respectively, and exclude the 9,000,000 shares loaned under the share lending arrangement.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 charges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February 10, 2011, the Company announced that following receipt of the Complete Response letter from the United States Food and Drug Administration (“FDA”) regarding the new drug application (“NDA”) for AFREZZA, it implemented a restructuring to streamline operations, reduce operating expenses, extend the cash runway and focus its resources on securing the FDA’s approval of the NDA for AFREZZA. In connection with the restructuring, the Company reduced its total workforce by approximately 41% to 257 employees. The Company recorded charges of approximately $6.7 million for employee severance and other related termination benefits and recognized an initial liability of $6.7 million in February, which approximated fair value.</w:t>
      </w:r>
    </w:p>
    <w:p>
      <w:pPr>
        <w:spacing w:after="0" w:line="13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Workforce</w:t>
            </w: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Reduction</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Balance, February 11, 2011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Cash payments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(6,032)</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Restructuring Balance, September 30, 2011</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quarter ended September 30, 2011, the Company adjusted the restructuring balance based on the election of certain termination benefits by a portion of the terminated employees.</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remaining restructuring balance as of September 30, 2011 primarily consists of the remaining health benefits which are paid out over six months subsequent to termination.</w:t>
      </w:r>
    </w:p>
    <w:p>
      <w:pPr>
        <w:spacing w:after="0" w:line="132"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The net $6.4 million of costs associated with the restructuring are included in “Research and development” and “General and administrative” operating expenses in the condensed consolidated statements of operations as $4.8 million and $1.6 million, respectively, for the nine months ended September 30,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State research and development credit exchange receivable</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September 30, 2011 and December 31, 2010, the estimated amounts receivable under the program were $1.2 million and $1.3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04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Useful</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4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Life</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604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4"/>
              </w:rPr>
              <w:t>(Years)</w:t>
            </w:r>
          </w:p>
        </w:tc>
        <w:tc>
          <w:tcPr>
            <w:tcW w:w="1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6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6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Buildings</w:t>
            </w:r>
          </w:p>
        </w:tc>
        <w:tc>
          <w:tcPr>
            <w:tcW w:w="600" w:type="dxa"/>
            <w:vAlign w:val="bottom"/>
          </w:tcPr>
          <w:p>
            <w:pPr>
              <w:jc w:val="right"/>
              <w:spacing w:after="0"/>
              <w:rPr>
                <w:sz w:val="20"/>
                <w:szCs w:val="20"/>
                <w:color w:val="auto"/>
              </w:rPr>
            </w:pPr>
            <w:r>
              <w:rPr>
                <w:rFonts w:ascii="Arial" w:cs="Arial" w:eastAsia="Arial" w:hAnsi="Arial"/>
                <w:sz w:val="18"/>
                <w:szCs w:val="18"/>
                <w:color w:val="auto"/>
              </w:rPr>
              <w:t>39-40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54,948</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113,878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113,489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00" w:type="dxa"/>
            <w:vAlign w:val="bottom"/>
          </w:tcPr>
          <w:p>
            <w:pPr>
              <w:jc w:val="right"/>
              <w:spacing w:after="0"/>
              <w:rPr>
                <w:sz w:val="20"/>
                <w:szCs w:val="20"/>
                <w:color w:val="auto"/>
              </w:rPr>
            </w:pPr>
            <w:r>
              <w:rPr>
                <w:rFonts w:ascii="Arial" w:cs="Arial" w:eastAsia="Arial" w:hAnsi="Arial"/>
                <w:sz w:val="18"/>
                <w:szCs w:val="18"/>
                <w:color w:val="auto"/>
              </w:rPr>
              <w:t>3-15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83,819</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73,812</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5,369</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16,332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16,306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8,946</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14,496</w:t>
            </w:r>
          </w:p>
        </w:tc>
        <w:tc>
          <w:tcPr>
            <w:tcW w:w="100" w:type="dxa"/>
            <w:vAlign w:val="bottom"/>
          </w:tcPr>
          <w:p>
            <w:pPr>
              <w:spacing w:after="0"/>
              <w:rPr>
                <w:sz w:val="19"/>
                <w:szCs w:val="19"/>
                <w:color w:val="auto"/>
              </w:rPr>
            </w:pPr>
          </w:p>
        </w:tc>
      </w:tr>
      <w:tr>
        <w:trPr>
          <w:trHeight w:val="216"/>
        </w:trPr>
        <w:tc>
          <w:tcPr>
            <w:tcW w:w="6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288,618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283,746</w:t>
            </w: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(92,244)</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(81,390)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196,374</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202,356</w:t>
            </w:r>
          </w:p>
        </w:tc>
        <w:tc>
          <w:tcPr>
            <w:tcW w:w="100" w:type="dxa"/>
            <w:vAlign w:val="bottom"/>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Depreciation and amortization expense related to property and equipment for the three and nine months ended September 30, 2011 and 2010 was as follows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4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4"/>
                <w:szCs w:val="14"/>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 expense</w:t>
            </w:r>
          </w:p>
        </w:tc>
        <w:tc>
          <w:tcPr>
            <w:tcW w:w="2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3,745</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4,102</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11,124</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12,444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and preferred stock</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June 2011, the Company’s stockholders approved an increase in its authorized shares of common stock from 200,000,000 to 250,000,000. As such, the Company is authorized to issue 250,000,000 shares of common stock, par value $0.01 per share, and 10,000,000 shares of undesignated preferred stock, par value $0.01 per share, issuable in one or more series designated by the Company’s board of directors. No other class of capital stock is authorized. As of September 30, 2011 and December 31, 2010, 131,337,279 and 127,793,178 shares of common stock, respectively, were issued and outstanding. Included in the common stock outstanding as of September 30, 2011 are 9,000,000 shares of common stock loaned to Bank of America under a share lending agreement in connection with the offering of the $100.0 million aggregate principal amount of 5.75% Senior Convertible Notes due 2015 (see Note 13 — Senior convertible notes). Bank of America is obligated to return the borrowed shares (or, in certain circumstances, the cash value thereof) to the Company on or about the 45th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 As of September 30, 2011 the Company had not issued any shares of undesignated preferred stock.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 August 2010, the Company entered into an agreement with Seaside 88, LP (“Seaside”) for the sale of up to 18,200,000 shares of common stock in increments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700,000 shares on a bi-weekly basis with the first closing date scheduled for September 22, 2010 provided that certain conditions are met, including 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particular closing to take place, the ten-day volume weighted average trading price for the Company’s common stock immediately prior to such closing must meet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exceed a minimum priced set by the Company at $6.50 per share. If the ten-day volume weighted average trading price for a particular closing was below</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$6.50 per share, then that closing would not occur and the aggregate number of shares to be purchased would be reduced by 700,000 shares. The purchase price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per share at each closing was equal to 92% of that 10-day volume weighted average price. During the quarter ended March 31, 2011, the Company issued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sold a total of 1.4 million shares of common stock to Seaside for net proceeds of $9.7 million. No additional shares of common stock were sold to Seaside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subsequent to the quarter ended March 31, 2011. As of September 30, 2011, the Company had issued and sold a total of 3,500,000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Seaside for net proceeds of $23.8 million in accordance with the agreement. The agreement with Seaside terminated during the quarter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w:t>
      </w:r>
    </w:p>
    <w:p>
      <w:pPr>
        <w:spacing w:after="0" w:line="16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conjunction with the Seaside agreement, in August 2010, the Company entered into a common stock purchase agreement with The Mann Group LLC (“The Mann Group”), an entity controlled by the Company’s principal stockholder. Under this common stock purchase agreement, the Company was required to issue and sell, and The Mann Group was obligated to purchase at a price equal to the greater of $7.15 per share (the closing bid price of the Company’s common stock on August 10, 2010) and the closing bid price of common stock on the trading day immediately preceding the applicable closing date, the same number of shares of the Company’s common stock that Seaside purchased on each closing date under its agreement with the Company (see Note 12 — Related-party arrangements). During the quarter ended March 31, 2011, the Company issued and sold a total of 1.4 million shares of common stock to The Mann Group that resulted in reduction in the note payable to related party of $11.1 million. No additional shares were sold to The Mann Group under this agreement subsequent to the quarter ended March 31, 2011. As of September 30, 2011, the Company had issued and sold a total of 3,500,000 shares of common stock to The Mann Group that had resulted in total reduction in the note payable to related party of $27.8 million. The agreement with The Mann Group terminated during the quarter ended September 30, 2011.</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i w:val="1"/>
          <w:iCs w:val="1"/>
          <w:color w:val="auto"/>
        </w:rPr>
        <w:t xml:space="preserve">Supply Commitments — </w:t>
      </w:r>
      <w:r>
        <w:rPr>
          <w:rFonts w:ascii="Arial" w:cs="Arial" w:eastAsia="Arial" w:hAnsi="Arial"/>
          <w:sz w:val="16"/>
          <w:szCs w:val="16"/>
          <w:color w:val="auto"/>
        </w:rPr>
        <w:t>In November 2007, the Company entered into a long-term supply agreement (the “Supply Agreement”) with N.V. Organon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(“Organon”), now a subsidiary of Merck &amp; Co., Inc., pursuant to which Organon manufactured and supplied specified quantities of recombinant human insulin to the Company. In June 2011, the Company entered into a letter agreement (the “Letter Agreement”) with Organon to settle a dispute that arose between the Company and Organon in connection with the termination by the Company of the Supply Agreement. Under the terms of the Letter Agreement, the Company paid Organon an aggregate of $16.0 million in two installments, each of which was paid after the Company received certain quantities of recombinant human insulin manufactured and supplied by Organon. The Letter Agreement is in full and final settlement of, and the Company and Organon agreed to release each other from, any and all actions and claims that the Company and Organon had or may have against each other in connection with the dispute regarding the Supply Agreement and related maters. The Company has concluded that the Letter Agreement represents a multiple element arrangement consisting of two elements representing the purchase of insulin and a contract cancellation fee. The Company has allocated the $16.0 million settlement first to the fair value of the insulin with the residual being allocated to the contract cancellation fee. During the three months ended June 30, 2011, the Company received the first of two shipments of recombinant human insulin and paid the first installment of $8.0 million. The Company expensed $4.3 million for insulin received and recorded $3.7 million for a contract cancellation fee. As of June 30, 2011, the Company recorded a loss contingency of $3.9 million in connection with the Letter Agreement representing the portion of the second $8.0 million payment related to the contract cancellation fee. During the three months ended September 30, 2011, the Company received the second shipment of insulin, paid the second installment of $8.0 million and recorded expense of $4.1 million for the insulin received.</w:t>
      </w:r>
    </w:p>
    <w:p>
      <w:pPr>
        <w:spacing w:after="0" w:line="12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 which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18"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b w:val="1"/>
          <w:bCs w:val="1"/>
          <w:i w:val="1"/>
          <w:iCs w:val="1"/>
          <w:color w:val="auto"/>
        </w:rPr>
        <w:t xml:space="preserve">Litigation — </w:t>
      </w:r>
      <w:r>
        <w:rPr>
          <w:rFonts w:ascii="Arial" w:cs="Arial" w:eastAsia="Arial" w:hAnsi="Arial"/>
          <w:sz w:val="18"/>
          <w:szCs w:val="18"/>
          <w:color w:val="auto"/>
        </w:rPr>
        <w:t>The Company is involved in various legal proceedings and other matters. In accordance with ASC 450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previously the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Accounting Standards Board (“FASB”) Statement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 Company would record a provision for a liability when it is both probable that a liability has been incurred and the amount of the loss can be reasonably estimated.</w:t>
      </w:r>
    </w:p>
    <w:p>
      <w:pPr>
        <w:spacing w:after="0" w:line="14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November 23, 2010, John Arditi, former Senior Director — GCP — Regulatory Affairs of the Company, filed a Demand for Arbitration against the Company and three of its employees — the Chief Scientific Officer, the Vice President — World Wide Regulatory Affairs, and the Chief Financial Officer — claiming that the Company terminated his employment in retaliation for his purported reporting of alleged unlawful practices in connection with the Company’s clinical trials. Mr. Arditi has asserted claims for violation of the New Jersey Conscientious Employee Protection Act, wrongful discharge, breach of contract, breach of the implied covenant of good faith and fair dealing, defamation and intentional infliction of emotional distress. Mr. Arditi is seeking, among other relief, compensatory and punitive damages and counsel fees, costs and interest. Before Mr. Arditi filed his arbitration demand, the Company completed an internal investigation and retained an independent outside firm to conduct an independent investigation of Mr. Arditi’s claims. Neither investigation found any basis for his claims. The Company believes the allegations made by Mr. Arditi are without merit and intends to defend against them vigorously. The Company has not accrued any liability in this matter, as the Company does not believe it is probable that a loss has been incurred as of September 30, 2011. In addition, the Company believes that any reasonably possible losses which may be incurred would not be material to the financial statements as a whole.</w:t>
      </w:r>
    </w:p>
    <w:p>
      <w:pPr>
        <w:spacing w:after="0" w:line="1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Following the receipt of the Complete Response letter from the FDA regarding the NDA for AFREZZA in January 2011 and the subsequent decline of the price of the Company’s common stock, several complaints were filed in the U.S. District Court for the Central District of California against the Company and certain of its officers and directors on behalf of certain purchasers of the Company’s common stock. The complaints include claims asserted under Sections 10(b) and 20(a) of the Securities Exchange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1934, as amended, and have been brought as purported shareholder class actions. In general, the complaints allege that the Company and certain of its officers and directors violated federal securities laws by making materially false and misleading statements regarding the Company’s business and prospects for AFREZZA, thereby artificially inflating the price of its common stock. The plaintiffs are seeking unspecified monetary damages and other relief. The complaints have been transferred to a single court and consolidated for all purposes. The court has appointed a lead plaintiff and lead counsel and a consolidated complaint was filed on June 27, 2011. On August 12, 2011, we filed a motion to dismiss the consolidated complaint. The hearing on this motion is set for November 14, 2011. The Company plans to continue vigorously defending against the claims advanced. Based on the early stage of the claim and evaluation of the facts available at this time, the amount or range of reasonably possible losses to which the Company is exposed cannot be estimated and the ultimate resolution of this matter and the associated financial impact to the Company, if any, remains uncertain at this time.</w:t>
      </w:r>
    </w:p>
    <w:p>
      <w:pPr>
        <w:spacing w:after="0" w:line="11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Starting in February 2011, shareholder derivative complaints were filed in the Superior Court of California for the County of Los Angeles and in the U.S. District Court for the Central District of California against the Company’s directors and certain of its officers. The complaints in the shareholder derivative actions allege breaches of fiduciary duties by the defendants and other violations of law. In general, the complaints allege that the Company’s directors and certain of its officers caused or allowed for the dissemination of materially false and misleading statements regarding the Company’s business and prospects for AFREZZA, thereby artificially inflating the price of its common stock. The plaintiffs are seeking unspecified monetary damages and other relief, including reforms to the Company’s corporate governance and internal procedures. The Superior Court of California for the County of Los Angeles has consolidated the actions pending before it. Likewise, the U.S. District Court for the Central District of California has consolidated the actions pending before it. The U.S. District Court for the Central District of California has also appointed lead plaintiffs and lead counsel. On August 12, 2011, the federal lead plaintiffs filed a consolidated complaint. On September 26, 2011, the Company and the individual defendants filed a motion to dismiss the consolidated complaint. The hearing on this motion is set for January 30, 2012. The Company plans to continue vigorously defending against the claims advanced. Based on the early stage of the claim and evaluation of the facts available at this time, the amount or range of reasonably possible losses to which the Company is exposed cannot be estimated and the ultimate resolution of this matter and the associated financial impact to the Company, if any, remains uncertain at this time.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Related-party arrangements</w:t>
      </w:r>
    </w:p>
    <w:p>
      <w:pPr>
        <w:spacing w:after="0" w:line="9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In October 2007, the Company entered into a $350.0 million loan arrangement with its principal stockholder. In February 2009, the promissory note underlying the loan arrangement was revised as a result of the principal stockholder being licensed as a finance lender under the California Finance Lenders Law. Accordingly, the lender was revised to The Mann Group. Interest accrues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is payable quarterly in arrears. The borrowing rate was 4.6% at September 30, 2011 and 4.7% at December 31, 2010. In August 2010, the Company amended and restated the promissory note to extend the maturity date from December 31, 2011 to December 31, 2012, to provide for the cancellation of indebtedness under the note as described below, to provide that The Mann Group may require the Company to prepay the note in an amount not to exceed $200.0 million (less the amount of cancelled indebtedness) upon 90 days’ prior written notice or on December 31, 2012, whichever is earlier, and to limit the Company’s ability to borrow and reborrow under the note through December 31, 2011 to an amount equal to $350.0 million less the amount of cancelled indebtedness. The Mann Group has agreed not to exercise its prepayment right if such prepayment would require the use of working capital resources to repay the loan. In the event of a default,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 The principal amount outstanding under the loan arrangement was $277.2 million and $235.3 million at September 30, 2011 and December 31, 2010, respectively. As of September 30, 2011, the Company had accrued interest of $2.9 million related to the amount outstanding, had cancelled a total of $27.8 million indebtedness and had $45.0 million of available borrowings under the loan arrangement.</w:t>
      </w:r>
    </w:p>
    <w:p>
      <w:pPr>
        <w:spacing w:after="0" w:line="124"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In August 2010, the Company entered into a common stock purchase agreement with The Mann Group. Under this common stock purchase agreement, the Company was required to issue and sell, and The Mann Group was obligated to purchase, the same number of shares of the Company’s common stock that Seaside purchased on each closing date under its agreement with the Company. The price of the shares that the Company sold to The Mann Group under the agreement was equal to the greater of $7.15 per share (the closing bid price of the Company’s common stock on August 10, 2010) and the closing bid price of the Company’s common stock on the trading day immediately preceding the applicable closing date. The aggregate purchase price for the shares of common stock the Company issued and sold to The Mann Group was paid by cancelling an equal amount of the outstanding principal under the $350.0 million loan arrangement provided by The Mann Group. The common stock purchase agreement with The Mann Group terminated during the quarter ended September 30, 2011.</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Senior convertible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080" w:type="dxa"/>
            <w:vAlign w:val="bottom"/>
            <w:gridSpan w:val="4"/>
          </w:tcPr>
          <w:p>
            <w:pPr>
              <w:ind w:left="198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4"/>
          </w:tcPr>
          <w:p>
            <w:pPr>
              <w:ind w:left="260"/>
              <w:spacing w:after="0"/>
              <w:rPr>
                <w:sz w:val="20"/>
                <w:szCs w:val="20"/>
                <w:color w:val="auto"/>
              </w:rPr>
            </w:pPr>
            <w:r>
              <w:rPr>
                <w:rFonts w:ascii="Arial" w:cs="Arial" w:eastAsia="Arial" w:hAnsi="Arial"/>
                <w:sz w:val="14"/>
                <w:szCs w:val="14"/>
                <w:b w:val="1"/>
                <w:bCs w:val="1"/>
                <w:color w:val="auto"/>
                <w:w w:val="98"/>
              </w:rPr>
              <w:t>December 31</w:t>
            </w:r>
          </w:p>
        </w:tc>
      </w:tr>
      <w:tr>
        <w:trPr>
          <w:trHeight w:val="161"/>
        </w:trPr>
        <w:tc>
          <w:tcPr>
            <w:tcW w:w="2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Notes due 2013</w:t>
            </w:r>
          </w:p>
        </w:tc>
        <w:tc>
          <w:tcPr>
            <w:tcW w:w="1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amount</w:t>
            </w:r>
          </w:p>
        </w:tc>
        <w:tc>
          <w:tcPr>
            <w:tcW w:w="212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30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expense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(1,699)</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19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113,718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113,301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due 2015</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amount</w:t>
            </w:r>
          </w:p>
        </w:tc>
        <w:tc>
          <w:tcPr>
            <w:tcW w:w="212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30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expense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(3,966)</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19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96,590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96,034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210,308</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209,335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August 2010, the Company completed a Rule 144A offering of $100.0 million aggregate principal amount of 5.75% Senior Convertible Notes due 2015. The Notes due 2015 are governed by the terms of an indenture dated as of August 24, 2010 (the “2015 Note Indenture”). The Notes due 2015 bear interest at the rate of 5.75% per year on the principal amount, payable in cash semi-annually in arrears on February 15 and August 15 of each year, beginning February 15, 2011. As of September 30, 2011 and December 31, 2010, the Company had accrued interest of $0.7 million and $2.0 million, respectively, related to the Notes due 2015. The Notes due 2015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due 2015 is August 15, 2015 and payment is due in full on that date for unconverted securities. Holders of the Notes due 2015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Notes due 2015 converted in connection with a fundamental change by increasing the conversion rate on such Notes due 2015, which amount, if any, will be based on the Company’s common stock price and the effective date of the fundamental change, and (2) each holder of Notes due 2015 will have the option to require the Company to repurchase all or any portion of such holder’s Notes due 2015 at a repurchase price of 100% of the principal amount of the Notes due 2015 to be repurchased plus accrued and unpaid interest, if any. The Company may elect to redeem some or all of the Notes due 2015 if the closing stock price has equaled 150% of the conversion price for at least 20 of the 30 consecutive trading days ending on the trading day before the Company’s redemption notice. The redemption price will equal 100% of the principal amount of the Notes due 2015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Notes due 2015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The Company performed an analysis at the time of the offering of the Notes due 2015 and each reporting date since and has concluded that the number of available authorized shares at the time of the offering and each subsequent reporting date was in excess of the maximum number of shares that could be required to be delivered during the contract period under existing commitments, including the outstanding convertible notes, stock options, restricted stock units, warrants, and other potential common stock issuances.</w:t>
      </w:r>
    </w:p>
    <w:p>
      <w:pPr>
        <w:spacing w:after="0" w:line="140"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color w:val="auto"/>
        </w:rPr>
        <w:t>The Company incurred approximately $4.2 million in issuance costs which are recorded as an offset to the Notes due 2015 in the accompanying condensed consolidated balance sheets. These costs are being amortized to interest expense using the effective interest method over the term of the Notes due 2015.</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December 2006, the Company completed a registered offering of $115.0 million aggregate principal amount of 3.75% Senior Convertible Notes due 2013. The Notes due 2013 are governed by the terms of an indenture dated as of November 1, 2006 and a First Supplemental Indenture, dated as of December 12, 2006 (the “2013 Note Indenture”). The Notes due 2013 bear interest at the rate of 3.75% per year on the principal amount, payable in cash semi-annually in arrears on June 15 and December 15 of each year, beginning June 15, 2007. As of September 30, 2011 and December 31, 2010, the Company had accrued interest of $1.3 million and $0.2 million, respectively, related to the Notes due 2013. The Notes due 2013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due 2013 is December 15, 2013 and payment is due in full on that date for unconverted securities. Holders of the Notes due 2013 may convert, at any time prior to the close of business on the business day immediately preceding the stated maturity date, any outstanding principal into shares of the Company’s common stock at an initial conversion rate of 44.5002 shares per $1,000 principal amount, which is equal to a conversion price of approximately $22.47 per share, subject to adjustment. Except in certain circumstances, if the Company undergoes a fundamental change: (1) the Company will pay a make-whole premium on the Notes due 2013 converted in connection with a fundamental change by increasing the conversion rate on such Notes, which amount, if any, will be based on the Company’s common stock price and the effective date of the fundamental change, and (2) each holder of Notes due 2013 will have the option to require the Company to repurchase all or any portion of such holder’s Notes at a repurchase price of 100% of the principal amount of the Notes to be repurchased plus accrued and unpaid interest, if any. Under the terms of the 2013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The Company performed an analysis at the time of the offering of the Notes due 2013 and each reporting date since and has concluded that the number of available authorized shares at the time of the offering and each subsequent reporting date was in excess of the maximum number of shares that could be required to be delivered during the contract period under existing commitments, including the outstanding convertible notes, stock options, restricted stock units, warrants, and other potential common stock issuances.</w:t>
      </w:r>
    </w:p>
    <w:p>
      <w:pPr>
        <w:spacing w:after="0" w:line="129"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color w:val="auto"/>
        </w:rPr>
        <w:t>The Company incurred approximately $3.7 million in issuance costs which are recorded as an offset to the Notes due 2013 in the accompanying condensed consolidated balance sheets. These costs are being amortized to interest expense using the effective interest method over the term of the Notes due 2013.</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debt issuance expense in connection with the offerings of the Notes due 2015 and the Notes due 2013 during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2010 was as follows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380" w:type="dxa"/>
            <w:vAlign w:val="bottom"/>
          </w:tcPr>
          <w:p>
            <w:pPr>
              <w:spacing w:after="0"/>
              <w:rPr>
                <w:sz w:val="14"/>
                <w:szCs w:val="14"/>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Nine months</w:t>
            </w:r>
          </w:p>
        </w:tc>
      </w:tr>
      <w:tr>
        <w:trPr>
          <w:trHeight w:val="149"/>
        </w:trPr>
        <w:tc>
          <w:tcPr>
            <w:tcW w:w="7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82"/>
              </w:rPr>
              <w:t>ended</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61"/>
        </w:trPr>
        <w:tc>
          <w:tcPr>
            <w:tcW w:w="778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4"/>
                <w:szCs w:val="14"/>
                <w:color w:val="auto"/>
              </w:rPr>
            </w:pPr>
          </w:p>
        </w:tc>
        <w:tc>
          <w:tcPr>
            <w:tcW w:w="12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7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329</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207</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973</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96" w:lineRule="exact"/>
        <w:rPr>
          <w:sz w:val="20"/>
          <w:szCs w:val="20"/>
          <w:color w:val="auto"/>
        </w:rPr>
      </w:pPr>
    </w:p>
    <w:p>
      <w:pPr>
        <w:jc w:val="both"/>
        <w:ind w:right="640"/>
        <w:spacing w:after="0" w:line="298" w:lineRule="auto"/>
        <w:rPr>
          <w:sz w:val="20"/>
          <w:szCs w:val="20"/>
          <w:color w:val="auto"/>
        </w:rPr>
      </w:pPr>
      <w:r>
        <w:rPr>
          <w:rFonts w:ascii="Arial" w:cs="Arial" w:eastAsia="Arial" w:hAnsi="Arial"/>
          <w:sz w:val="16"/>
          <w:szCs w:val="16"/>
          <w:color w:val="auto"/>
        </w:rPr>
        <w:t xml:space="preserve">As required by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formerly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due to its history of operating losses. Accordingly, the net deferred tax assets have been fully reserved.</w:t>
      </w:r>
    </w:p>
    <w:p>
      <w:pPr>
        <w:spacing w:after="0" w:line="11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 xml:space="preserve">ASC 740-10-25 </w:t>
      </w:r>
      <w:r>
        <w:rPr>
          <w:rFonts w:ascii="Arial" w:cs="Arial" w:eastAsia="Arial" w:hAnsi="Arial"/>
          <w:sz w:val="16"/>
          <w:szCs w:val="16"/>
          <w:i w:val="1"/>
          <w:iCs w:val="1"/>
          <w:color w:val="auto"/>
        </w:rPr>
        <w:t>Income Taxes Recognition</w:t>
      </w:r>
      <w:r>
        <w:rPr>
          <w:rFonts w:ascii="Arial" w:cs="Arial" w:eastAsia="Arial" w:hAnsi="Arial"/>
          <w:sz w:val="16"/>
          <w:szCs w:val="16"/>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These interim condensed consolidated financial statements and this Management’s Discussion and Analysis of Financial Condition and Results of Operations should be read in conjunction with the financial statements and notes for the year ended December 31, 2010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We are a biopharmaceutical company focused on the discovery, development and commercialization of therapeutic products for diseases such as diabetes and cancer. Our lead product candidate, AFREZZA (insulin human [rDNA origin]) Inhalation Powder, is an ultra rapid-acting insulin that is in late-stage clinical investigation for the treatment of adults with type 1 or type 2 diabetes for the control of hyperglycemia.</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On January 18, 2011 we received a second Complete Response letter from the U.S. Food and Drug Administration, or FDA, regarding our new drug application, or NDA, for AFREZZA in which the principal issue was the usage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performance data and bioequivalence data to bridge our next-generation inhaler to the Phase 3 trials conducted using our MedTone (model C) inhaler. The FDA requested that we conduct two clinical studies with the next-generation inhaler (one in patients with type 1 diabetes and one in patients with type 2 diabetes), with at least one trial including a treatment group using the MedTone (model C) inhaler in order to obtain a head-to-head comparison of the pulmonary safety data for the two devices. In the January 2011 Complete Response letter, the FDA also stated that after an adequate titration of study medication there should be at least 12 weeks of relatively stable insulin dosing during the treatment period. In addition to this request, the FDA requested additional information concerning the performance characteristics, usage, handling, shipment and storage of the next-generation inhaler, an update of safety information related to AFREZZA as well as information on proposed user training and changes to the proposed labeling of the device, blister pack, foil wrap and cartons.</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May 4, 2011, we held an End-of-Review meeting with the FDA to discuss the design of the requested Phase 3 clinical trials. In this meeting, we were able to clarify many details about the FDA’s requirements for approval of AFREZZA, and we received further guidance on the design of the studies on May 27, 2011, when we received the agency’s minutes of the End-of-Review meeting. Subsequently, we submitted the proposed protocols and requested a meeting with the FDA to reach agreement on the final protocol designs. The proposed study in patients with type 1 diabetes, known as study 171, is an open-label, forced-titration design that will evaluate the efficacy and safety of AFREZZA in combination with a basal insulin versus insulin aspart, or Novolog, in combination with a basal insulin over a 24-week treatment period. This study will also include a treatment group using the MedTone (model C) inhaler in order to obtain a head-to-head comparison of the pulmonary safety data for the two devices. The design of the study in patients with type 2 diabetes, known as study 174, is subject to further discussion with the FDA, but in general terms we have proposed to evaluate the efficacy and safety of meal-time AFREZZA in insulin naïve patients that are inadequately controlled on metformin or metformin plus another oral antidiabetic drug. Following a meeting with the FDA on August 10, 2011, we have confirmed the design of two clinical studies that will evaluate the efficacy and safety of AFREZZA administered using our next-generation inhaler. There can be no assurance that we will be able to satisfy all of the FDA’s requirements with these two studies or that the FDA will find our proposed approach to these clinical studies acceptable. The FDA could also request that we conduct additional clinical studies beyond the currently planned studies in order to provide sufficient data for approval of the NDA.</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One of these studies is an open-label study in patients with type 1 diabetes. After a run-in period, during which all patients will be optimized on their basal insulin regimen, subjects will be randomized to one of three arms: a control arm, in which patients utilize an injected insulin analog at mealtimes, or one of two AFREZZA arms, one each for our first-generation MedTone device and our next-generation Dreamboat device. After the mealtime insulin is titrated, there will be a 12-week observation period on relatively stable doses of the mealtime insulin to assess A1c levels, which is the primary outcome parameter. The inclusion of two AFREZZA arms will permit us to perform a head-to-head comparison of the pulmonary safety data for the two devices, which will, in turn, provide a bridge to the extensive safety data that we collected in our earlier clinical studies of the first-generation MedTone device. The basic design of this study (comparing different mealtime insulins in combination with a basal insulin regimen) is similar in design to a previous Phase 3 study that we conducted in patients with type 1 diabetes using our first-generation MedTone inhaler.</w:t>
      </w:r>
    </w:p>
    <w:p>
      <w:pPr>
        <w:spacing w:after="0" w:line="118"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The other study will assess AFREZZA using the next-generation Dreamboat inhaler in patients with type 2 diabetes who are inadequately controlled on metformin with or without a second or third oral medication. Patients will be randomized to treatment with AFREZZA or placebo in a randomized fashion. The study will have a titration period, followed by a 12-week observation period to assess A1c levels. The goal of this study is to evaluate the efficacy of AFREZZA compared to placebo powder. We have previously compared AFREZZA to placebo powder in successful Phase 2 studies involving patients with type 2 diabetes.</w:t>
      </w:r>
    </w:p>
    <w:p>
      <w:pPr>
        <w:spacing w:after="0" w:line="9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Subject to the timely enrollment of patients in these studies, we currently expect to complete both of these studies during 2012 and to submit the results as an amendment to our new drug application to the FDA by the first half of 2013.</w:t>
      </w:r>
    </w:p>
    <w:p>
      <w:pPr>
        <w:spacing w:after="0" w:line="13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There can be no assurance that we will be able to satisfy all of the FDA’s requirements with these two clinical studies or that the FDA will ultimately find our proposed approach to these clinical studies acceptable. The FDA could also request that we conduct additional clinical studies beyond the currently planned studies in order to provide sufficient data for approval of AFREZZA.</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September 30, 2011, we have incurred a cumulative net loss of $1.9 billion and an accumulated stockholders’ deficit of $280.8 million. To date, we have not generated any product revenues and have funded our operations primarily through the sale of equity securities, convertible debt securities and borrowings under our related party loan. As discussed below in “Liquidity and Capital Resources,” if we are unable to obtain additional funding in the future, there will be substantial doubt about our ability to continue as a going concern.</w:t>
      </w:r>
    </w:p>
    <w:p>
      <w:pPr>
        <w:spacing w:after="0" w:line="14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To date we have not reached an agreement on a collaboration with any of these companies. There can be no assurance that any such collaboration will be available to us on a timely basis or on acceptable terms, if at all.</w:t>
      </w:r>
    </w:p>
    <w:p>
      <w:pPr>
        <w:sectPr>
          <w:pgSz w:w="11900" w:h="16838" w:orient="portrait"/>
          <w:cols w:equalWidth="0" w:num="1">
            <w:col w:w="11400"/>
          </w:cols>
          <w:pgMar w:left="240" w:top="459" w:right="259" w:bottom="508"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508"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do not expect to record sales of any product prior to regulatory approval and commercialization of AFREZZA.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26"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the clinical development of AFREZZA and new inhalation systems for the treatment of diabetes;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regulatory approval to sell AFREZZA in the United States and other markets;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development and commercialization collaborations for AFREZZA;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additional applications of our proprietary Technosphere platform technology for the pulmonary delivery of other drugs.</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Our business is subject to significant risks, including but not limited to the risks inherent in our ongoing clinical trials and the regulatory approval process, our potential inability to enter into sales and marketing collaborations or to commercialize our lead product candidate in a timely manner, the results of our research and development efforts, competition from other products and technologies and uncertainties associated with obtaining and enforcing patent rights.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 Included in research and development expenses for the nine months ended September 30, 2011 were insulin purchases totaling $8.4 million.</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14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Clinical development timelines, likelihood of success and total costs vary widely. We are focused primarily on advancing AFREZZA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clinical trial operations and discussions with the FDA regarding its requirements.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the first quarter of 2011, we implemented a restructuring to streamline operations, reduce operating expenses, extend our cash runway and focus our resources on securing FDA approval of the NDA for AFREZZA. In connection with the restructuring, we recorded charges to research and development expenses of approximately $4.8 million for employee severance and other related termination benefits. The remaining liability of approximately $0.3 million is expected to be paid out in the fourth quarter of 2011. The restructuring is anticipated to result in research and development operating cost savings of approximately $9.9 million in 2011. These savings will be partially offset by increased costs associated with the additional trials required by the FDA.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the restructuring, we recorded charges to general and administrative expenses of approximately $1.6 million for employee severance and other related termination benefits. The remaining liability of approximately $0.1 million is expected to be-paid out in the fourth quarter of 2011. The restructuring is anticipated to result in general and administrative operating cost savings of approximately $2.9 million in 2011. These savings may be offset by increased professional fees.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2011 and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did not recognize any revenue for the three months ended September 30, 2011 and 2010, respectively. We recognized revenue of $50,000 and $93,000 under a license agreement for the nine months ended September 30, 2011 and 2010, respectively. We do not anticipate sales of any product prior to regulatory approval and commercialization of AFREZZA.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three and nine months ended September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 (dollars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Change</w:t>
            </w:r>
          </w:p>
        </w:tc>
        <w:tc>
          <w:tcPr>
            <w:tcW w:w="46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4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Manufacturing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13,917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20,723</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(6,806)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(461)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4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222"/>
        </w:trPr>
        <w:tc>
          <w:tcPr>
            <w:tcW w:w="64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23,132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31,411</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(8,279)</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84"/>
              </w:rPr>
              <w:t>Nine months ended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1"/>
              </w:rPr>
              <w:t>Change</w:t>
            </w:r>
          </w:p>
        </w:tc>
        <w:tc>
          <w:tcPr>
            <w:tcW w:w="46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$17,870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$18,976</w:t>
            </w:r>
          </w:p>
        </w:tc>
        <w:tc>
          <w:tcPr>
            <w:tcW w:w="4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(1,106)</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Manufacturing</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49,377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51,558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(2,181)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11,019</w:t>
            </w:r>
          </w:p>
        </w:tc>
        <w:tc>
          <w:tcPr>
            <w:tcW w:w="4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(1,753)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(284)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4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(3,021)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6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222"/>
        </w:trPr>
        <w:tc>
          <w:tcPr>
            <w:tcW w:w="6480" w:type="dxa"/>
            <w:vAlign w:val="bottom"/>
            <w:vMerge w:val="continue"/>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79,717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88,062</w:t>
            </w: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(8,345)</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decrease in research and development expenses for the three months ended September 30, 2011, as compared to the three months ended September 30, 2010, was primarily due to a $4.1 million decrease in raw material purchases. Additionally, salary related costs decreased $3.3 million and stock based compensation expense decreased $0.3 million as a result of the February 2011 reduction in force as well as the positive impact of our cost cutting measures on operating expenses. Clinical expenses increased slightly over the prior year quarter as AFREZZA study 171 was initiated in the current quarter.</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Research and development expenses for the nine months ended September 30, 2011 decreased as compared to the nine months ended September 30, 2010, primarily due to decreases of $3.4 million in salary related costs and $3.0 million in stock based compensation expense due to the February 2011 restructuring as well as the positive effect of our cost cutting measures. In June 2011, we entered into a letter agreement with N.V. Organon, or Organon, now a subsidiary of Merck, to settle a dispute that arose between us and Organon in connection with the termination by us of the Supply Agreement. In connection with the letter agreement, we received two shipments of recombinant human insulin from Organon in exchange for payments totaling $16.0 million. During the nine months ended September 30, 2011, we expensed $8.4 million for insulin received and recorded $7.6 million for a contract cancellation fee. This transaction resulted in an increase of $3.2 million in raw material purchases compared to the same period in the prior year.</w:t>
      </w:r>
    </w:p>
    <w:p>
      <w:pPr>
        <w:spacing w:after="0" w:line="118"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We anticipate that our research and development expenses for 2011 will be slightly lower than the prior year due to lower purchases of raw materials and a smaller workforce going forward, partially offset by increased costs associated with the additional trials required by the FDA.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three and nine months ended September 30,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 (dollars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 Change</w:t>
            </w:r>
          </w:p>
        </w:tc>
        <w:tc>
          <w:tcPr>
            <w:tcW w:w="46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$8,027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$(1,723)</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4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11,129</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(1,488)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 Change</w:t>
            </w:r>
          </w:p>
        </w:tc>
        <w:tc>
          <w:tcPr>
            <w:tcW w:w="46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$25,996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27,841</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$(1,845)</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4,297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4,595</w:t>
            </w:r>
          </w:p>
        </w:tc>
        <w:tc>
          <w:tcPr>
            <w:tcW w:w="4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(298)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30,293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32,436</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(2,143)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General and administrative expenses for the three months ended September 30, 2011 decreased as compared to the same period in the prior year primarily due to decreased salary related costs of $1.0 million as a result of the February 2011 reduction in force as well as the positive impact of our cost cutting measures on other general operating expenses.</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for the nine months ended September 30, 2011 decreased as compared to the same period in the prior year primarily due to decreased salary related costs of $0.7 million and stock based compensation of $0.3 million as a result of the February 2011 reduction in force as well as the positive impact of our cost cutting measures on other general operating expenses.</w:t>
      </w:r>
    </w:p>
    <w:p>
      <w:pPr>
        <w:spacing w:after="0" w:line="14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Overall, we expect general and administrative expenses for 2011 to be consistent with the prior year as we may incur increased professional fees, offset by reduced expenses as a result of our cost cutting measures.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income for the three months ended September 30, 2011 was $79,000 compared to $1.9 million in the same period in the prior year. In the prior year quarter we received a reimbursement of $1.6 million in connection with a soil cleanup plan, recorded a net gain of $0.6 million related to our foreign exchange hedging contracts and recognized a $0.3 million other than temporary impairment on marketable securities.</w:t>
      </w:r>
    </w:p>
    <w:p>
      <w:pPr>
        <w:spacing w:after="0" w:line="14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Other income for the nine months ended September 30, 2011 was $1.5 million compared to other expense of $98,000 in the same period in the prior year. We recorded a realized gain of $1.3 million on foreign exchange hedging contracts for the nine months ended September 30, 2011. The foreign exchange hedging contracts were terminated during the quarter ended March 31, 2011. During the nine months ended September 30, 2010, we received a reimbursement of $1.6 million in connection with a soil cleanup plan, recorded a $1.2 million loss on foreign exchange hedging contracts and recognized a $0.6 million other than temporary impairment on marketable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Interest expense for the three and nine months ended September 30, 2011 increased by $1.0 million and $4.2 million, respectively, as compared to the same periods in the prior year primarily due to the additional interest expense associated with our issuance of 5.75% Senior Convertible Notes in August 2010 (See Note 13 — Senior convertible notes, of the Notes to the accompanying financial statements) as well as additional drawdowns on our note payable to our principal stockholder.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have funded our operations primarily through the sale of equity securities, convertible debt securities and borrowings under our related party note.</w:t>
      </w:r>
    </w:p>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October 2007, we entered into a loan arrangement with our principal stockholder allowing us to borrow up to a total of $350.0 million. In February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Interest accrues on each outstanding advance at a fixed rate equal to the one-year LIBOR rate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date of such advance plus 3% per annum and is payable quarterly in arrears.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August 2010, we amended and restated the existing promissory note evidencing the loan arrangement with The Mann Group to extend the maturity date from December 31, 2011 to December 31, 2012. Under the amended and restated promissory note, The Mann Group can require us to prepay up to $200.0 million in advances that have been outstanding for at least 12 months. If The Mann Group exercises this right, we will have 90 days after The Mann Group provides written notice (or the number of days to maturity of the note if less than 90 days) to prepay such advances. In August 2010, we entered into a letter agreement confirming a previous commitment by The Mann Group to not require us to prepay amounts outstanding under the amended and restated promissory note if the prepayment would require us to use our working capital resources, including the proceeds from the sale of our 5.75% Senior Convertible Notes due 2015.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As of September 30, 2011, the amount borrowed and outstanding under the arrangement was $277.2 million and we had $45.0 million of available borrowings under the arrangement.</w:t>
      </w:r>
    </w:p>
    <w:p>
      <w:pPr>
        <w:spacing w:after="0" w:line="12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In August 2010, Seaside and we entered into a common stock purchase agreement, or the Seaside purchase agreement. The Seaside purchase agreement required us to issue and sell, and Seaside to buy, up to 18,200,000 shares of our common stock in installments of 700,000 shares once every 14 days, subject to the satisfaction of certain closing conditions at each closing, beginning on September 22, 2010 and ending approximately 50 weeks after the initial closing. The price of the shares that we sold to Seaside was at an 8% discount to the volume weighted average trading price for our common stock for the ten consecutive trading days immediately preceding each closing date. For a particular closing to take place, the ten-day volume weighted average trading price for our common stock immediately prior to such closing must have met or exceeded a minimum price set by us at $6.50 per share. If the ten-day volume weighted average trading price for a particular closing was below $6.50 per share, then that closing would not occur and the aggregate number of shares to be purchased would be reduced by 700,000 shares. Seaside also had the right not to complete a purchase of shares at a closing if it would cause Seaside’s beneficial ownership of our common stock, calculated in accordance with Rule 13d-3 under the Securities Exchange Act of 1934, as amended, or the Exchange Act, to exceed 10% of our outstanding common stock immediately after such subsequent closing. Seaside had agreed not to engage in short sales of our common stock during the term of the Seaside purchase agreement and had agreed that it would not sell more than 10% of the total number of shares of common stock traded on any trading day. In August 2010, we entered into an agreement with Omni Capital Corporation to pay that firm a finder’s fee in an amount equal to 1% of the aggregate value of all cash invested by Seaside under the Seaside purchase agreement. As of September 30, 2011, a total of 3,500,000 shares had been sold to Seaside under the Seaside purchase agreement for net proceeds of $23.8 million. The Seaside purchase agreement terminated during the quarter ended September 30, 2011.</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conjunction with the Seaside agreement, in August 2010, The Mann Group and we entered into a common stock purchase agreement, or the Mann purchase agreement. Under the Mann purchase agreement, we were required to issue and sell, and The Mann Group was obligated to purchase, the same number of shares of our common stock that Seaside purchased on each closing date under the Seaside purchase agreement. The price of the shares that we issued and sold to The Mann Group was equal to the greater of $7.15 per share (the closing bid price of our common stock on August 10, 2010) and the closing bid price of our common stock on the trading day immediately preceding the applicable closing date. The aggregate purchase price for the shares of common stock we issued and sold to The Mann Group was paid by cancelling an equal amount of the outstanding principal under the $350.0 million revolving loan arrangement provided by The Mann Group. As of September 30, 2011, a total of 3,500,000 shares had been issued to The Mann Group under the Mann purchase agreement, which were paid for by the cancellation of $27.8 million of outstanding principal under the loan arrangement. The Mann purchase agreement terminated during the quarter ended September 30, 2011.</w:t>
      </w:r>
    </w:p>
    <w:p>
      <w:pPr>
        <w:spacing w:after="0" w:line="12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the nine months ended September 30, 2011, we used $103.5 million of cash for our operations and had a net loss of $124.4 million for the nine months ended September 30, 2011, of which $20.1 million consisted of non-cash charges such as depreciation and amortization, and stock-based compensation. By comparison, during the nine months ended September 30, 2010, we used $109.7 million of cash for our operations and had a net loss of $132.3 million, of which $24.3 million consisted of non-cash charges such as depreciation and amortization, and stock-based compensation. Cash used for our operations for the nine months ended September 30, 2011 decreased by $6.2 million compared to cash used for our operations for the nine months ended September 30, 2010 due primarily to reduced salary-related costs and the positive impact of cost cutting measures on operating costs as a result of our February 2011 restructuring. We expect our negative operating cash flow to continue at least until we obtain regulatory approval and achieve commercialization of AFREZZA.</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used $2.8 million of cash for investing activities during the nine months ended September 30, 2011, compared to $3.6 million of cash used for the nine months ended September 30, 2010. For the nine months ended September 30, 2011 and 2010, $6.7 million and $5.6 million, respectively, were used to purchase machinery and equipment to expand our manufacturing operations and our quality systems that support clinical trials for AFREZZA. Cash used in investing activities for the nine months ended September 30, 2011</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decreased $0.8 million compared to the same period in prior year due to an increase of $1.8 million in proceeds received from sales and maturities of marketable securities. We received cash of $3.8 million for the nine months ended September 30, 2011 related to the early termination of certificates of deposit that were previously held as collateral for foreign exchange hedging instruments compared to $2.0 million received in the same period in prior year as a certificate of deposit matured. Cash generated from marketable securities was offset by an increase of $1.1 million of cash used to purchase machinery and equipment compared to the same period in the prior year.</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financing activities generated $63.0 million of cash for the nine months ended September 30, 2011, compared to $181.2 million for the same period in 2010. For the nine months ended September 30, 2011, cash from financing activities was primarily from $53.0 million of related party borrowings and $10.5 million related to the sale of common stock to Seaside during the first quarter of 2011 as well as the exercise of stock options. For the nine months ended September 30, 2010, cash from financing activities was primarily from the issuance of $95.8 million of 5.75% Senior Convertible Notes due 2015 in August 2010, $87.0 million of related party borrowings and $1.8 million related to the sale of common stock as well as the exercise of stock options. Cash from financing activities for the nine months ended September 30, 2011 decreased by $118.2 million compared to cash from financing for the same period in the prior year due to proceeds from the issuance of the 5.75% Senior Convertible Notes due 2015 in August 2010 as well as decreased related party borrowings, offset by increased sales of common stock primarily to Seaside.</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of September 30, 2011, we had $23.3 million in cash, cash equivalents and marketable securities. Although we believe our existing cash resources, including the $45.0 million remaining available under our loan arrangement with The Mann Group, will be sufficient to fund our anticipated cash requirements into the first quarter of 2012, we will require significant additional financing in the future to fund our operations and if we are unable to do so, there will be substantial doubt about our ability to continue as a going concern. Accordingly, we expect that we will need to raise additional capital, either through the sale of equity or debt securities, the entry into a strategic business collaboration with a pharmaceutical or biotechnology company,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w:t>
      </w:r>
    </w:p>
    <w:p>
      <w:pPr>
        <w:spacing w:after="0" w:line="11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intend to use our capital resources to continue the development and commercialization of AFREZZA, if approved. We are expending a portion of our capital to scale up our manufacturing capabilities in our Danbury facility. We also intend to use our capital resources for general corporate purposes.</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September 23, 2011, we announced that we proposed to offer, subject to market conditions, senior secured discount notes due 2017 expected to yield gross proceeds of approximately $370.0 million. There can be no assurances, however, that we will be able to raise additional capital through this offering on acceptable terms, or at all. If the offering is consummated, the net proceeds from the offering of the notes would be used for development and operating capital, including completion of the Phase 3 clinical trials of our lead product candidate, AFREZZA, preparing for commercialization of AFREZZA, continuing the build-out of our Danbury, Connecticut manufacturing facility, ongoing research and development efforts, and general corporate purposes.</w:t>
      </w:r>
    </w:p>
    <w:p>
      <w:pPr>
        <w:spacing w:after="0" w:line="1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have also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14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will be required to enter into agreements with third parties to develop or commercialize products or technologies that we otherwise would have sought to develop independently, and any such agreements may not be on terms that are commercially favorable to us.</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be substantial doubt about our ability to continue as a going concern.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we did not have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June 2011, we entered into a letter agreement, or the Letter Agreement, with Organon, to settle a dispute that arose between us and Organon in connection with the termination by us of the supply agreement between us and Organon dated November 16, 2007, or the Supply Agreement. Under the terms of the Letter Agreement, we will pay Organon an aggregate of $16.0 million in two installments, each of which will be paid after we receive certain quantities of recombinant human insulin manufactured and supplied by Organon. The Letter Agreement is in full and final settlement of, and we and Organon agreed to release each other from, any and all actions and claims that we and Organon had or may have against each other in connection with the dispute regarding the Supply Agreement and related matters. In the quarter ended June 30, 2011, we received the first of two shipments of recombinant human insulin and paid the first installment of $8.0 million. During the quarter ended September 30, 2011, we received the second shipment of insulin and paid the second installment of $8.0 million. (See Note 11 — Commitments and contingencies of the Notes to the accompanying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We are exposed to market risk related to changes in interest rates impacting our short-term investment portfolio as well as the interest rate on our credit facility with The Mann Group. The interest rate on our credit facility with The Mann Group is a fixed rate equal to the one-year LIBOR rate as reported by the </w:t>
      </w:r>
      <w:r>
        <w:rPr>
          <w:rFonts w:ascii="Arial" w:cs="Arial" w:eastAsia="Arial" w:hAnsi="Arial"/>
          <w:sz w:val="16"/>
          <w:szCs w:val="16"/>
          <w:i w:val="1"/>
          <w:iCs w:val="1"/>
          <w:color w:val="auto"/>
        </w:rPr>
        <w:t>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on the date of such advance plus 3% per annum. Our current policy requires us to maintain a highly liquid short-term investment portfolio consisting</w:t>
      </w:r>
      <w:r>
        <w:rPr>
          <w:rFonts w:ascii="Arial" w:cs="Arial" w:eastAsia="Arial" w:hAnsi="Arial"/>
          <w:sz w:val="16"/>
          <w:szCs w:val="16"/>
          <w:i w:val="1"/>
          <w:iCs w:val="1"/>
          <w:color w:val="auto"/>
        </w:rPr>
        <w:t xml:space="preserve"> </w:t>
      </w:r>
      <w:r>
        <w:rPr>
          <w:rFonts w:ascii="Arial" w:cs="Arial" w:eastAsia="Arial" w:hAnsi="Arial"/>
          <w:sz w:val="16"/>
          <w:szCs w:val="16"/>
          <w:color w:val="auto"/>
        </w:rPr>
        <w:t>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at September 30, 2011 are comprised mainly of a certificate of deposit and a common stock investment. We continue to utilize our $350.0 million credit facility to fund operations. As of September 30, 2011, the amount borrowed and outstanding under the credit facility was $277.2 million, with $45.0 million of available borrowings. The interest rate is fixed at the time of the draw. If interest rates were to increase from levels at September 30, 2011 we could experience a higher level of interest expense than assumed in our current operating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Rules 13a-15(e) and 15d-15(e) of the Exchange Act) as of September 30, 2011. Based on that evaluation, our chief executive officer and chief financial officer concluded that our disclosure controls and procedures were effective at the reasonable assurance level.</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September 30, 2011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November 23, 2010, John Arditi, our former Senior Director — GCP — Regulatory Affairs, filed a Demand for Arbitration against us and three employees — our Chief Scientific Officer, our Vice President — World Wide Regulatory Affairs, and our Chief Financial Officer — claiming that we terminated his employment in retaliation for his purported reporting of alleged unlawful practices in connection with our clinical trials. Mr. Arditi has asserted claims for violation of the New Jersey Conscientious Employee Protection Act, wrongful discharge, breach of contract, breach of the implied covenant of good faith and fair dealing, defamation and intentional infliction of emotional distress. Mr. Arditi is seeking, among other relief, compensatory and punitive damages and counsel fees, costs and interest. Before Mr. Arditi filed his arbitration demand, we had completed an internal investigation and retained an independent outside firm to conduct an independent investigation of Mr. Arditi’s claims. Neither investigation found any basis for his claims. We believe the allegations made by Mr. Arditi are without merit and we intend to defend against them vigorously.</w:t>
      </w:r>
    </w:p>
    <w:p>
      <w:pPr>
        <w:spacing w:after="0" w:line="11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Following the receipt by us of the Complete Response letter from the FDA regarding the NDA for AFREZZA in January 2011 and the subsequent decline of the price of our common stock, several complaints were filed in the U.S. District Court for the Central District of California against us and certain of our officers and directors on behalf of certain purchasers of our common stock. The complaints include claims asserted under Sections 10(b) and 20(a) of the Exchange Act and have been brought as purported shareholder class actions. In general, the complaints allege that we and certain of our officers and directors violated federal securities laws by making materially false and misleading statements regarding our business and prospects for AFREZZA, thereby artificially inflating the price of our common stock. The plaintiffs are seeking unspecified monetary damages and other relief. The complaints have been transferred to a single court and consolidated for all purposes. The court has appointed a lead plaintiff and lead counsel and a consolidated complaint was filed on June 27, 2011. On August 12, 2011, we filed a motion to dismiss the consolidated complaint. The hearing on this motion is set for November 14, 2011. We will vigorously defend against the claims advanced.</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Starting in February 2011, shareholder derivative complaints were filed in the Superior Court of California for the County of Los Angeles and in the U.S. District Court for the Central District of California against our directors and certain of our officers. The complaints in the shareholder derivative actions allege breaches of fiduciary duties by the defendants and other violations of law. In general, the complaints allege that our directors and certain of our officers caused or allowed for the dissemination of materially false and misleading statements regarding our business and prospects for AFREZZA, thereby artificially inflating the price of our common stock. The plaintiffs are seeking unspecified monetary damages and other relief, including reforms to our corporate governance and internal procedures. The Superior Court of California for the County of Los Angeles has consolidated the actions pending before it. Likewise, the U.S. District Court for the Central District of California has consolidated the actions pending before it. The U.S. District Court for the Central District of California has also appointed lead plaintiffs and lead counsel and a consolidated complaint was filed on August 12, 2011. We moved to dismiss the complaint on September 26, 2011. The hearing on this motion is set for January 30, 2012. We will vigorously defend against the claims advanced.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heavily on the successful development and commercialization of our lead product candidate, AFREZZA, which is not yet approved. *</w:t>
      </w:r>
    </w:p>
    <w:p>
      <w:pPr>
        <w:spacing w:after="0" w:line="11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solely on the successful development and commercialization of AFREZZA.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January 2011, the FDA requested that we conduct additional clinical studies of AFREZZA using our next-generation inhaler. In early May 2011, we held an End-of-Review meeting with the agency to discuss the protocols for the additional studies. In August 2011, we confirmed with the FDA the design of two clinical studies that will evaluate the efficacy and safety of AFREZZA administered using our next-generation inhaler. We plan to continue working closely with the FDA in our effort to ensure that our clinical studies address the agency’s requests for additional information about AFREZZA. There can be no assurance that we will be able to satisfy all of the FDA’s requirements or that the FDA will find our proposed approach to these clinical studies acceptable. The FDA could also again request that we conduct additional clinical trials to provide sufficient data for approval of the NDA. There can be no assurance that we will obtain approval of the NDA in a timely manner or at all.</w:t>
      </w:r>
    </w:p>
    <w:p>
      <w:pPr>
        <w:spacing w:after="0" w:line="14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must receive the necessary approvals from the FDA and similar foreign regulatory agencies before AFREZZA can be marketed and sold in the United States or elsewhere. Even if we were to receive regulatory approval, we ultimately may be unable to gain market acceptance of AFREZZA for a variety of reasons, including the treatment and dosage regimen, potential adverse effects, the availability of alternative treatments and cost effectiveness. If we fail to commercialize AFREZZA, our business, financial condition and results of operations will be materially and adversely affected.</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 significant portion of the research that we have conducted involves new and unproven compounds and technologies, including AFREZZA, Technosphere platform technology and immunotherapy product candidates.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we expect to continue to incur losses and we may never generate positive cash flow from operations.*</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107"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We have never been profitable or generated positive cash flow from operations and, as of September 30, 2011, we had incurred a cumulative net loss of $1.9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cumulative net loss may increase significantly as we continue development and clinical trial efforts.</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September 30, 2011, we had a stockholders’ deficit of $280.8 million. Our ability to achieve and sustain positive cash flow from operations and profitability depends upon obtaining regulatory approvals for and successfully commercializing AFREZZA, either alone or with third parties. We do not currently have the required approvals to market any of our product candidates, and we may not receive them.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will be required to raise additional capital to fund our operations, and our inability to do so could raise doubt about our ability to make payment on the notes or even continue as a going concern.*</w:t>
      </w:r>
    </w:p>
    <w:p>
      <w:pPr>
        <w:spacing w:after="0" w:line="5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Based upon our current expectations, we believe that our existing capital resources, including the loan arrangement with The Mann Group, will enable us to continue planned operations into the first quarter of 2012. However, we cannot assure you that our plans will not change or that changed circumstances will not result in the depletion of our capital resources more rapidly than we currently anticipate. In any event, we plan to raise additional funds, whether through the sale of equity or debt securities, the entry into strategic business collaborations, the establishment of other funding facilities, licensing arrangements, asset sales or other means, or an increase in the borrowings available under the loan arrangement with our related party, in order to continue the development and commercialization of AFREZZA and other product candidates and to support our other ongoing activities. However, it may be difficult for us to raise additional funds through these planned measures. As of September 30, 2011, we had a stockholders’ deficit of $280.8 million which may raise concerns about our solvency and affect our ability to raise additional capital. The amount of additional funds we need will depend on a number of factors, including:</w:t>
      </w:r>
    </w:p>
    <w:p>
      <w:pPr>
        <w:spacing w:after="0" w:line="37" w:lineRule="exact"/>
        <w:rPr>
          <w:sz w:val="20"/>
          <w:szCs w:val="20"/>
          <w:color w:val="auto"/>
        </w:rPr>
      </w:pPr>
    </w:p>
    <w:p>
      <w:pPr>
        <w:ind w:left="900" w:right="5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operating our manufacturing facilities;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degree of success in commercializing AFREZZA;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amount of payments we might receive from potential licensees;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5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level of our legal expenses, including those expenses associated with the securities class actions and derivative lawsuits filed against us and certain of our executive officers and directors and any settlement or damages payments associated with litigation;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decommissioning existing facilities, if we undertake such activities.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raised capital in the past primarily through the sale of equity and debt securities. We may in the future pursue the sale of additional equity and/or debt securities, or the establishment of other funding facilities. On September 23, 2011, we announced that we proposed to offer, subject to market conditions, senior secured discount notes due 2017 expected to yield gross proceeds of approximately $370.0 million. There can be no assurances, however, that we will be able to raise additional capital through this offering on acceptable terms, or at all. Issuances of additional debt or equity securities or the conversion of any of our currently outstanding convertible debt securities into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2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the event that sufficient additional funds are not obtained through our proposed senior note offering, strategic collaboration opportunities, sales of securities, credit facilities, licensing arrangements and/or asset sales on a timely basis, we will be required to reduce expenses through the delay, reduction or curtailment of our projects, including AFREZZA commercialization, or further reduction of costs for facilities and administration. Moreover, if we do not obtain such additional funds, there will be substantial doubt about our ability to continue as a going concern and increased risk of insolvency and loss of investment to the holders of our</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Because we will not be able to generate operating cash flow unless and until AFREZZA is commercialized, which we expect will require us to reach an agreement with a commercialization partner, we cannot provide assurances that changed or unexpected circumstances, including, among other things, delays in obtaining regulatory approval and in identifying and reaching agreements with a commercialization partner, will not result in the depletion of our capital resources more rapidly than we currently anticipate, in which case we may be required to raise additional capital. There can be no assurances that we will be able to raise additional capital on acceptable terms, or at all. If planned operating results are not achieved or we are not successful in raising additional capital through equity or debt financings or entering into a strategic business collaboration with a pharmaceutical or biotechnology company, we will be required to reduce expenses through the delay, reduction or curtailment of our projects, including AFREZZA development activities, or further reduction of costs for facilities and administration, and there will be substantial doubt about our ability to make payment on the notes or even continue as a going concern.</w:t>
      </w:r>
    </w:p>
    <w:p>
      <w:pPr>
        <w:spacing w:after="0" w:line="1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Deteriorating global economic conditions may have an adverse impact on our loan facility with The Mann Group or our ability to complete our proposed senior note offering.*</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widely reported, financial markets in the United States, Europe and Asia have experienced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our loan facility with The Mann Group or our ability to complete our proposed senior note offering. If we are unable to draw on The Mann Group loan facility or complete the proposed offering, our business and financial condition may be adversely affected.</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5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2" w:lineRule="exact"/>
        <w:rPr>
          <w:sz w:val="20"/>
          <w:szCs w:val="20"/>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of scheduling conflicts with participating clinicians and clinical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receipt of approvals by our competitors and by us from the FDA and other regulatory agencies;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into sales and marketing collaborations for AFREZZA;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actions by regulators.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otherwise fail to adhere to our projected development goals in the timeframes we announce and expect (or within the timeframes expected by analysts or investors), our business and results of operations will be harmed and the market price of our common stock will decline.</w:t>
      </w:r>
    </w:p>
    <w:p>
      <w:pPr>
        <w:spacing w:after="0" w:line="16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132"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9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4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9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and/or marketing activities at our own expense, which would delay or otherwise impede the commercialization of AFREZZA. 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59" w:lineRule="exact"/>
        <w:rPr>
          <w:sz w:val="20"/>
          <w:szCs w:val="20"/>
          <w:color w:val="auto"/>
        </w:rPr>
      </w:pPr>
    </w:p>
    <w:p>
      <w:pPr>
        <w:jc w:val="both"/>
        <w:ind w:left="900" w:right="180" w:hanging="325"/>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safety and efficacy results for AFREZZA obtained in our nonclinical and previous clinical testing may be inconclusive or may not be predictive of results that we may obtain in our future clinical trials or following long-term use, and we may as a result be forced to stop developing AFREZZA;</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data collected from clinical trials of AFREZZA or our other product candidates may not reach statistical significance or otherwise be sufficient to support FDA or other regulatory approval;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after reviewing test results, we or any potential collaborators may abandon projects that we previously believed were promising; and</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11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221" w:lineRule="exact"/>
        <w:rPr>
          <w:sz w:val="20"/>
          <w:szCs w:val="20"/>
          <w:color w:val="auto"/>
        </w:rPr>
      </w:pPr>
    </w:p>
    <w:p>
      <w:pPr>
        <w:ind w:right="240"/>
        <w:spacing w:after="0" w:line="357" w:lineRule="auto"/>
        <w:rPr>
          <w:sz w:val="20"/>
          <w:szCs w:val="20"/>
          <w:color w:val="auto"/>
        </w:rPr>
      </w:pPr>
      <w:r>
        <w:rPr>
          <w:rFonts w:ascii="Arial" w:cs="Arial" w:eastAsia="Arial" w:hAnsi="Arial"/>
          <w:sz w:val="15"/>
          <w:szCs w:val="15"/>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 .*</w:t>
      </w:r>
    </w:p>
    <w:p>
      <w:pPr>
        <w:ind w:right="40"/>
        <w:spacing w:after="0" w:line="289" w:lineRule="auto"/>
        <w:rPr>
          <w:sz w:val="20"/>
          <w:szCs w:val="20"/>
          <w:color w:val="auto"/>
        </w:rPr>
      </w:pPr>
      <w:r>
        <w:rPr>
          <w:rFonts w:ascii="Arial" w:cs="Arial" w:eastAsia="Arial" w:hAnsi="Arial"/>
          <w:sz w:val="16"/>
          <w:szCs w:val="16"/>
          <w:color w:val="auto"/>
        </w:rPr>
        <w:t>For AFREZZA to be commercially viable, we need access to sufficient, reliable and affordable supplies of insulin, our AFREZZA inhaler, the related cartridges and other materials. 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 The supply of any of these materials may be limited or any of the manufacturers may not meet relevant regulatory requirements, and if we are unable to obtain any of these materials in sufficient amounts, in a timely manner and at reasonable prices, or if we should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199" w:lineRule="exact"/>
        <w:rPr>
          <w:sz w:val="20"/>
          <w:szCs w:val="20"/>
          <w:color w:val="auto"/>
        </w:rPr>
      </w:pPr>
    </w:p>
    <w:p>
      <w:pPr>
        <w:ind w:right="400"/>
        <w:spacing w:after="0" w:line="357"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286" w:lineRule="auto"/>
        <w:rPr>
          <w:sz w:val="20"/>
          <w:szCs w:val="20"/>
          <w:color w:val="auto"/>
        </w:rPr>
      </w:pPr>
      <w:r>
        <w:rPr>
          <w:rFonts w:ascii="Arial" w:cs="Arial" w:eastAsia="Arial" w:hAnsi="Arial"/>
          <w:sz w:val="16"/>
          <w:szCs w:val="16"/>
          <w:color w:val="auto"/>
        </w:rPr>
        <w:t>We use our Danbury, Connecticut facility to formulate AFREZZA Inhalation Powder, fill plastic cartridges with the powder, package the cartridges in blister packs, place the two blister packs into foil pouches and package three pouches plus two inhalers and the package insert as units in 90-unit boxes (and single blister pouch packs for trials). Although this facility has been qualified and undergone an inspection by the FDA in connection with our original NDA submission that sought approval of AFREZZA using our MedTone inhaler, we anticipate that our facility will need to undergo further inspection related to our ability to fill and package cartridges for the next-generation Dreamboat inhaler before we can be approved to distribute the manufactured products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Any of these factors could cause us to delay or suspend clinical trials,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recently initiated securities class actions and derivative lawsuits that could result in substantial costs and divert management’s attention.*</w:t>
      </w:r>
    </w:p>
    <w:p>
      <w:pPr>
        <w:spacing w:after="0" w:line="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aware of lawsuits in which we, and certain of our executive officers, have been sued for alleged violations of federal securities laws related to alleged false and misleading statements regarding AFREZZA. We are also aware of state and federal derivative lawsuits that have been filed against certain of our directors and executive officers. We intend to engage in a vigorous defense of such litigation. If we are not successful in our defense of such litigation,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or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9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2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w:t>
      </w:r>
    </w:p>
    <w:p>
      <w:pPr>
        <w:spacing w:after="0" w:line="1" w:lineRule="exact"/>
        <w:rPr>
          <w:sz w:val="20"/>
          <w:szCs w:val="20"/>
          <w:color w:val="auto"/>
        </w:rPr>
      </w:pPr>
    </w:p>
    <w:p>
      <w:pPr>
        <w:ind w:right="80" w:firstLine="8"/>
        <w:spacing w:after="0" w:line="287" w:lineRule="auto"/>
        <w:tabs>
          <w:tab w:leader="none" w:pos="258" w:val="left"/>
        </w:tabs>
        <w:numPr>
          <w:ilvl w:val="0"/>
          <w:numId w:val="7"/>
        </w:numPr>
        <w:rPr>
          <w:rFonts w:ascii="Arial" w:cs="Arial" w:eastAsia="Arial" w:hAnsi="Arial"/>
          <w:sz w:val="16"/>
          <w:szCs w:val="16"/>
          <w:color w:val="auto"/>
        </w:rPr>
      </w:pPr>
      <w:r>
        <w:rPr>
          <w:rFonts w:ascii="Arial" w:cs="Arial" w:eastAsia="Arial" w:hAnsi="Arial"/>
          <w:sz w:val="16"/>
          <w:szCs w:val="16"/>
          <w:color w:val="auto"/>
        </w:rPr>
        <w:t>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When we purchased the facilities located in Danbury, Connecticut in 2001, there was a soil and groundwater investigation and remediation being conducted by a former site operator (the responsible party) under the oversight of the Connecticut Department of Environmental Protection, or CT DEP, which is continuing. As part of the purchase, we obtained an indemnification from the seller for all known environmental conditions that existed at the time the seller acquired the property. The seller was, in turn, indemnified for these known environmental conditions by the previous owner and its operator (responsible party). We also received 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32" w:lineRule="auto"/>
        <w:rPr>
          <w:sz w:val="20"/>
          <w:szCs w:val="20"/>
          <w:color w:val="auto"/>
        </w:rPr>
      </w:pPr>
      <w:r>
        <w:rPr>
          <w:rFonts w:ascii="Arial" w:cs="Arial" w:eastAsia="Arial" w:hAnsi="Arial"/>
          <w:sz w:val="16"/>
          <w:szCs w:val="16"/>
          <w:color w:val="auto"/>
        </w:rPr>
        <w:t>indemnification from the seller for environmental conditions created during its ownership of the property and for environmental problems unknown at the time that the seller acquired the property. These additional indemnities have since expired and were limited to the purchase price we paid for the Danbury facilities.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construction of our expanded manufacturing facility, we excavated contaminated soil under the footprint of our building expansion location in the third quarter of 2008, at a cost of approximately $2.25 million. The responsible party reimbursed us for our increased excavation and disposal costs of contaminated soil in the amount of $1.625 million in July 2010. The responsible party has further agreed to conduct at its expense all work and make all filings necessary to achieve closure for the environmental investigation and remediation being conducted at the site and agreed to pay for or indemnify us for any future costs and expenses we may incur that are directly related to the final closure of the environmental remediation. If we are unable to collect these future costs and expenses, if any, from the responsible party, our business and results of operations may be harmed.</w:t>
      </w: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products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AFREZZA and to provide adequate support for them. Therefore, our primary strategy is to enter into collaborations with one or more pharmaceutical companies to market, distribute and sell AFREZZA, if it is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20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5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payers and the healthcare community. Failure to achieve market acceptance would limit our ability to generate revenue and would adversely affect our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claims for which FDA approval can be obtained, including superiority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perceived advantages and disadvantages of competitive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and reimbursement relative to other treatment therapeutics and methods;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third-party payers do not reimburse consumers for our products, our products might not be used or purchased, which would adversely affect our revenues.*</w:t>
      </w:r>
    </w:p>
    <w:p>
      <w:pPr>
        <w:spacing w:after="0" w:line="1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future revenues and ability to generate cash flow from operation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120"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$10.0 million.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13"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In order to commercialize our product candidates successfully, we will be required to expand our work force, particularly in the areas of manufacturing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9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loss of the services of any principal member of our management and scientific staff could significantly delay or prevent the achievement of our scientific and business objectives. With the exception of our Chief Scientific Officer, Dr. Peter C. Richardson,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internal controls over financial reporting are not considered effective, our business and stock price could be adversely affected.</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5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2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1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FDA is regulating AFREZZA as a “combination product” because of the complex nature of the system that includes the combination of a new drug (AFREZZA) and a new medical device (the inhaler used to administer the insulin). The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Our product candidates that are currently in development for the treatment of cancer also face similar obstacles and costs.</w:t>
      </w:r>
    </w:p>
    <w:p>
      <w:pPr>
        <w:spacing w:after="0" w:line="20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will not be able to commercialize AFREZZA or any other product candidates unless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8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5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8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5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There are no assurances that any advantages of AFREZZA will be agreed to by the FDA or otherwise included in product labeling or advertising and, as a result, AFREZZA may not have our expected competitive advantages when compared to other insulin products.</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4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Arial" w:cs="Arial" w:eastAsia="Arial" w:hAnsi="Arial"/>
          <w:sz w:val="16"/>
          <w:szCs w:val="16"/>
          <w:i w:val="1"/>
          <w:iCs w:val="1"/>
          <w:color w:val="auto"/>
        </w:rPr>
        <w:t>e.g.</w:t>
      </w:r>
      <w:r>
        <w:rPr>
          <w:rFonts w:ascii="Arial" w:cs="Arial" w:eastAsia="Arial" w:hAnsi="Arial"/>
          <w:sz w:val="16"/>
          <w:szCs w:val="16"/>
          <w:color w:val="auto"/>
        </w:rPr>
        <w:t>,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will be subject to FDA inspection before the agency approves an NDA for AFREZZA.</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9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insulin therapies, we could encounter delays in the timing of our clinical trials, difficulties in obtaining approval of AFREZZA or be subject to class warnings in the label for AFREZZA, if approved. As well,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9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1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and may also affect patent litigation. The USPTO is currently developing regulations and procedures to govern administration of the Leahy-Smith Act, and many of the substantive changes to patent law associated with the Leahy-Smith Act will not become effective until one year or 18 months after its enactment.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Interference proceedings brought by the United States Patent and Trademark Office, or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22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Moreover, certain components of AFREZZA and/or our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1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and cancer vaccine products under development, we have identified certain third-party patents having claims relating to pulmonary insulin delivery that may trigger an allegation of infringement upon the commercial manufacture and sale of AFREZZA, as well as third-party patents disclosing methods of use and compositions of matter related to cancer vaccines that also may trigger an allegation of infringement upon the commercial manufacture and sale of our cancer immunotherapy.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2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and results of our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status of litigation against us and certain of our executive officers and directors;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5.75% convertible notes due 2015; and</w:t>
      </w:r>
    </w:p>
    <w:p>
      <w:pPr>
        <w:spacing w:after="0" w:line="5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25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September 30, 2011, Mr. Mann beneficially owned approximately 39.2%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sale of our common stock or the conversion of our senior convertible notes into common stock could negatively affect our stock price.*</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September 30, 2011, we had 131,337,279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6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40"/>
        <w:spacing w:after="0" w:line="369"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w w:val="98"/>
              </w:rPr>
              <w:t>Exhibit</w:t>
            </w:r>
          </w:p>
        </w:tc>
        <w:tc>
          <w:tcPr>
            <w:tcW w:w="10460" w:type="dxa"/>
            <w:vAlign w:val="bottom"/>
          </w:tcPr>
          <w:p>
            <w:pPr>
              <w:spacing w:after="0"/>
              <w:rPr>
                <w:sz w:val="14"/>
                <w:szCs w:val="14"/>
                <w:color w:val="auto"/>
              </w:rPr>
            </w:pPr>
          </w:p>
        </w:tc>
      </w:tr>
      <w:tr>
        <w:trPr>
          <w:trHeight w:val="174"/>
        </w:trPr>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w w:val="90"/>
              </w:rPr>
              <w:t>Number</w:t>
            </w:r>
          </w:p>
        </w:tc>
        <w:tc>
          <w:tcPr>
            <w:tcW w:w="10460" w:type="dxa"/>
            <w:vAlign w:val="bottom"/>
          </w:tcPr>
          <w:p>
            <w:pPr>
              <w:ind w:left="380"/>
              <w:spacing w:after="0"/>
              <w:rPr>
                <w:sz w:val="20"/>
                <w:szCs w:val="20"/>
                <w:color w:val="auto"/>
              </w:rPr>
            </w:pPr>
            <w:r>
              <w:rPr>
                <w:rFonts w:ascii="Arial" w:cs="Arial" w:eastAsia="Arial" w:hAnsi="Arial"/>
                <w:sz w:val="14"/>
                <w:szCs w:val="14"/>
                <w:b w:val="1"/>
                <w:bCs w:val="1"/>
                <w:color w:val="auto"/>
              </w:rPr>
              <w:t>Description of Document</w:t>
            </w:r>
          </w:p>
        </w:tc>
      </w:tr>
      <w:tr>
        <w:trPr>
          <w:trHeight w:val="309"/>
        </w:trPr>
        <w:tc>
          <w:tcPr>
            <w:tcW w:w="900" w:type="dxa"/>
            <w:vAlign w:val="bottom"/>
          </w:tcPr>
          <w:p>
            <w:pPr>
              <w:jc w:val="right"/>
              <w:ind w:right="295"/>
              <w:spacing w:after="0"/>
              <w:rPr>
                <w:sz w:val="20"/>
                <w:szCs w:val="20"/>
                <w:color w:val="auto"/>
              </w:rPr>
            </w:pPr>
            <w:r>
              <w:rPr>
                <w:rFonts w:ascii="Arial" w:cs="Arial" w:eastAsia="Arial" w:hAnsi="Arial"/>
                <w:sz w:val="18"/>
                <w:szCs w:val="18"/>
                <w:color w:val="auto"/>
              </w:rPr>
              <w:t>3.1(1)</w:t>
            </w:r>
          </w:p>
        </w:tc>
        <w:tc>
          <w:tcPr>
            <w:tcW w:w="10460" w:type="dxa"/>
            <w:vAlign w:val="bottom"/>
          </w:tcPr>
          <w:p>
            <w:pPr>
              <w:ind w:left="38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900" w:type="dxa"/>
            <w:vAlign w:val="bottom"/>
          </w:tcPr>
          <w:p>
            <w:pPr>
              <w:jc w:val="right"/>
              <w:ind w:right="295"/>
              <w:spacing w:after="0"/>
              <w:rPr>
                <w:sz w:val="20"/>
                <w:szCs w:val="20"/>
                <w:color w:val="auto"/>
              </w:rPr>
            </w:pPr>
            <w:r>
              <w:rPr>
                <w:rFonts w:ascii="Arial" w:cs="Arial" w:eastAsia="Arial" w:hAnsi="Arial"/>
                <w:sz w:val="18"/>
                <w:szCs w:val="18"/>
                <w:color w:val="auto"/>
              </w:rPr>
              <w:t>3.2(2)</w:t>
            </w:r>
          </w:p>
        </w:tc>
        <w:tc>
          <w:tcPr>
            <w:tcW w:w="10460" w:type="dxa"/>
            <w:vAlign w:val="bottom"/>
          </w:tcPr>
          <w:p>
            <w:pPr>
              <w:ind w:left="38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900" w:type="dxa"/>
            <w:vAlign w:val="bottom"/>
          </w:tcPr>
          <w:p>
            <w:pPr>
              <w:jc w:val="right"/>
              <w:ind w:right="295"/>
              <w:spacing w:after="0"/>
              <w:rPr>
                <w:sz w:val="20"/>
                <w:szCs w:val="20"/>
                <w:color w:val="auto"/>
              </w:rPr>
            </w:pPr>
            <w:r>
              <w:rPr>
                <w:rFonts w:ascii="Arial" w:cs="Arial" w:eastAsia="Arial" w:hAnsi="Arial"/>
                <w:sz w:val="18"/>
                <w:szCs w:val="18"/>
                <w:color w:val="auto"/>
              </w:rPr>
              <w:t>3.3(3)</w:t>
            </w:r>
          </w:p>
        </w:tc>
        <w:tc>
          <w:tcPr>
            <w:tcW w:w="10460" w:type="dxa"/>
            <w:vAlign w:val="bottom"/>
          </w:tcPr>
          <w:p>
            <w:pPr>
              <w:ind w:left="38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900" w:type="dxa"/>
            <w:vAlign w:val="bottom"/>
          </w:tcPr>
          <w:p>
            <w:pPr>
              <w:jc w:val="right"/>
              <w:ind w:right="295"/>
              <w:spacing w:after="0"/>
              <w:rPr>
                <w:sz w:val="20"/>
                <w:szCs w:val="20"/>
                <w:color w:val="auto"/>
              </w:rPr>
            </w:pPr>
            <w:r>
              <w:rPr>
                <w:rFonts w:ascii="Arial" w:cs="Arial" w:eastAsia="Arial" w:hAnsi="Arial"/>
                <w:sz w:val="18"/>
                <w:szCs w:val="18"/>
                <w:color w:val="auto"/>
              </w:rPr>
              <w:t>3.4(4)</w:t>
            </w:r>
          </w:p>
        </w:tc>
        <w:tc>
          <w:tcPr>
            <w:tcW w:w="10460" w:type="dxa"/>
            <w:vAlign w:val="bottom"/>
          </w:tcPr>
          <w:p>
            <w:pPr>
              <w:ind w:left="38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900" w:type="dxa"/>
            <w:vAlign w:val="bottom"/>
          </w:tcPr>
          <w:p>
            <w:pPr>
              <w:jc w:val="right"/>
              <w:ind w:right="295"/>
              <w:spacing w:after="0"/>
              <w:rPr>
                <w:sz w:val="20"/>
                <w:szCs w:val="20"/>
                <w:color w:val="auto"/>
              </w:rPr>
            </w:pPr>
            <w:r>
              <w:rPr>
                <w:rFonts w:ascii="Arial" w:cs="Arial" w:eastAsia="Arial" w:hAnsi="Arial"/>
                <w:sz w:val="18"/>
                <w:szCs w:val="18"/>
                <w:color w:val="auto"/>
              </w:rPr>
              <w:t>3.5(5)</w:t>
            </w:r>
          </w:p>
        </w:tc>
        <w:tc>
          <w:tcPr>
            <w:tcW w:w="10460" w:type="dxa"/>
            <w:vAlign w:val="bottom"/>
          </w:tcPr>
          <w:p>
            <w:pPr>
              <w:ind w:left="38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900" w:type="dxa"/>
            <w:vAlign w:val="bottom"/>
          </w:tcPr>
          <w:p>
            <w:pPr>
              <w:jc w:val="right"/>
              <w:ind w:right="295"/>
              <w:spacing w:after="0"/>
              <w:rPr>
                <w:sz w:val="20"/>
                <w:szCs w:val="20"/>
                <w:color w:val="auto"/>
              </w:rPr>
            </w:pPr>
            <w:r>
              <w:rPr>
                <w:rFonts w:ascii="Arial" w:cs="Arial" w:eastAsia="Arial" w:hAnsi="Arial"/>
                <w:sz w:val="18"/>
                <w:szCs w:val="18"/>
                <w:color w:val="auto"/>
              </w:rPr>
              <w:t>4.1(6)</w:t>
            </w:r>
          </w:p>
        </w:tc>
        <w:tc>
          <w:tcPr>
            <w:tcW w:w="10460" w:type="dxa"/>
            <w:vAlign w:val="bottom"/>
          </w:tcPr>
          <w:p>
            <w:pPr>
              <w:ind w:left="380"/>
              <w:spacing w:after="0"/>
              <w:rPr>
                <w:sz w:val="20"/>
                <w:szCs w:val="20"/>
                <w:color w:val="auto"/>
              </w:rPr>
            </w:pPr>
            <w:r>
              <w:rPr>
                <w:rFonts w:ascii="Arial" w:cs="Arial" w:eastAsia="Arial" w:hAnsi="Arial"/>
                <w:sz w:val="18"/>
                <w:szCs w:val="18"/>
                <w:color w:val="auto"/>
              </w:rPr>
              <w:t>Indenture, by and between MannKind and Wells Fargo Bank, N.A., dated November 1, 2006.</w:t>
            </w:r>
          </w:p>
        </w:tc>
      </w:tr>
      <w:tr>
        <w:trPr>
          <w:trHeight w:val="324"/>
        </w:trPr>
        <w:tc>
          <w:tcPr>
            <w:tcW w:w="900" w:type="dxa"/>
            <w:vAlign w:val="bottom"/>
          </w:tcPr>
          <w:p>
            <w:pPr>
              <w:jc w:val="right"/>
              <w:ind w:right="295"/>
              <w:spacing w:after="0"/>
              <w:rPr>
                <w:sz w:val="20"/>
                <w:szCs w:val="20"/>
                <w:color w:val="auto"/>
              </w:rPr>
            </w:pPr>
            <w:r>
              <w:rPr>
                <w:rFonts w:ascii="Arial" w:cs="Arial" w:eastAsia="Arial" w:hAnsi="Arial"/>
                <w:sz w:val="18"/>
                <w:szCs w:val="18"/>
                <w:color w:val="auto"/>
              </w:rPr>
              <w:t>4.2(7)</w:t>
            </w:r>
          </w:p>
        </w:tc>
        <w:tc>
          <w:tcPr>
            <w:tcW w:w="10460" w:type="dxa"/>
            <w:vAlign w:val="bottom"/>
          </w:tcPr>
          <w:p>
            <w:pPr>
              <w:ind w:left="38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r>
      <w:tr>
        <w:trPr>
          <w:trHeight w:val="324"/>
        </w:trPr>
        <w:tc>
          <w:tcPr>
            <w:tcW w:w="900" w:type="dxa"/>
            <w:vAlign w:val="bottom"/>
          </w:tcPr>
          <w:p>
            <w:pPr>
              <w:jc w:val="right"/>
              <w:ind w:right="295"/>
              <w:spacing w:after="0"/>
              <w:rPr>
                <w:sz w:val="20"/>
                <w:szCs w:val="20"/>
                <w:color w:val="auto"/>
              </w:rPr>
            </w:pPr>
            <w:r>
              <w:rPr>
                <w:rFonts w:ascii="Arial" w:cs="Arial" w:eastAsia="Arial" w:hAnsi="Arial"/>
                <w:sz w:val="18"/>
                <w:szCs w:val="18"/>
                <w:color w:val="auto"/>
              </w:rPr>
              <w:t>4.3(7)</w:t>
            </w:r>
          </w:p>
        </w:tc>
        <w:tc>
          <w:tcPr>
            <w:tcW w:w="10460" w:type="dxa"/>
            <w:vAlign w:val="bottom"/>
          </w:tcPr>
          <w:p>
            <w:pPr>
              <w:ind w:left="380"/>
              <w:spacing w:after="0"/>
              <w:rPr>
                <w:sz w:val="20"/>
                <w:szCs w:val="20"/>
                <w:color w:val="auto"/>
              </w:rPr>
            </w:pPr>
            <w:r>
              <w:rPr>
                <w:rFonts w:ascii="Arial" w:cs="Arial" w:eastAsia="Arial" w:hAnsi="Arial"/>
                <w:sz w:val="18"/>
                <w:szCs w:val="18"/>
                <w:color w:val="auto"/>
              </w:rPr>
              <w:t>Form of 3.75% Senior Convertible Note due 2013.</w:t>
            </w:r>
          </w:p>
        </w:tc>
      </w:tr>
      <w:tr>
        <w:trPr>
          <w:trHeight w:val="324"/>
        </w:trPr>
        <w:tc>
          <w:tcPr>
            <w:tcW w:w="900" w:type="dxa"/>
            <w:vAlign w:val="bottom"/>
          </w:tcPr>
          <w:p>
            <w:pPr>
              <w:jc w:val="right"/>
              <w:ind w:right="295"/>
              <w:spacing w:after="0"/>
              <w:rPr>
                <w:sz w:val="20"/>
                <w:szCs w:val="20"/>
                <w:color w:val="auto"/>
              </w:rPr>
            </w:pPr>
            <w:r>
              <w:rPr>
                <w:rFonts w:ascii="Arial" w:cs="Arial" w:eastAsia="Arial" w:hAnsi="Arial"/>
                <w:sz w:val="18"/>
                <w:szCs w:val="18"/>
                <w:color w:val="auto"/>
              </w:rPr>
              <w:t>4.4(1)</w:t>
            </w:r>
          </w:p>
        </w:tc>
        <w:tc>
          <w:tcPr>
            <w:tcW w:w="10460" w:type="dxa"/>
            <w:vAlign w:val="bottom"/>
          </w:tcPr>
          <w:p>
            <w:pPr>
              <w:ind w:left="380"/>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900" w:type="dxa"/>
            <w:vAlign w:val="bottom"/>
          </w:tcPr>
          <w:p>
            <w:pPr>
              <w:jc w:val="right"/>
              <w:ind w:right="295"/>
              <w:spacing w:after="0"/>
              <w:rPr>
                <w:sz w:val="20"/>
                <w:szCs w:val="20"/>
                <w:color w:val="auto"/>
              </w:rPr>
            </w:pPr>
            <w:r>
              <w:rPr>
                <w:rFonts w:ascii="Arial" w:cs="Arial" w:eastAsia="Arial" w:hAnsi="Arial"/>
                <w:sz w:val="18"/>
                <w:szCs w:val="18"/>
                <w:color w:val="auto"/>
              </w:rPr>
              <w:t>4.5(1)</w:t>
            </w:r>
          </w:p>
        </w:tc>
        <w:tc>
          <w:tcPr>
            <w:tcW w:w="10460" w:type="dxa"/>
            <w:vAlign w:val="bottom"/>
          </w:tcPr>
          <w:p>
            <w:pPr>
              <w:ind w:left="380"/>
              <w:spacing w:after="0"/>
              <w:rPr>
                <w:sz w:val="20"/>
                <w:szCs w:val="20"/>
                <w:color w:val="auto"/>
              </w:rPr>
            </w:pPr>
            <w:r>
              <w:rPr>
                <w:rFonts w:ascii="Arial" w:cs="Arial" w:eastAsia="Arial" w:hAnsi="Arial"/>
                <w:sz w:val="18"/>
                <w:szCs w:val="18"/>
                <w:color w:val="auto"/>
                <w:w w:val="88"/>
              </w:rPr>
              <w:t>Registration Rights Agreement, dated October 15, 1998, by and among CTL ImmunoTherapies Corp., Medical Research Group, LLC, McLean</w:t>
            </w:r>
          </w:p>
        </w:tc>
      </w:tr>
      <w:tr>
        <w:trPr>
          <w:trHeight w:val="222"/>
        </w:trPr>
        <w:tc>
          <w:tcPr>
            <w:tcW w:w="900" w:type="dxa"/>
            <w:vAlign w:val="bottom"/>
          </w:tcPr>
          <w:p>
            <w:pPr>
              <w:spacing w:after="0"/>
              <w:rPr>
                <w:sz w:val="19"/>
                <w:szCs w:val="19"/>
                <w:color w:val="auto"/>
              </w:rPr>
            </w:pPr>
          </w:p>
        </w:tc>
        <w:tc>
          <w:tcPr>
            <w:tcW w:w="10460" w:type="dxa"/>
            <w:vAlign w:val="bottom"/>
          </w:tcPr>
          <w:p>
            <w:pPr>
              <w:ind w:left="380"/>
              <w:spacing w:after="0"/>
              <w:rPr>
                <w:sz w:val="20"/>
                <w:szCs w:val="20"/>
                <w:color w:val="auto"/>
              </w:rPr>
            </w:pPr>
            <w:r>
              <w:rPr>
                <w:rFonts w:ascii="Arial" w:cs="Arial" w:eastAsia="Arial" w:hAnsi="Arial"/>
                <w:sz w:val="18"/>
                <w:szCs w:val="18"/>
                <w:color w:val="auto"/>
              </w:rPr>
              <w:t>Watson Advisory Inc. and Alfred E. Mann, as amended.</w:t>
            </w:r>
          </w:p>
        </w:tc>
      </w:tr>
      <w:tr>
        <w:trPr>
          <w:trHeight w:val="324"/>
        </w:trPr>
        <w:tc>
          <w:tcPr>
            <w:tcW w:w="900" w:type="dxa"/>
            <w:vAlign w:val="bottom"/>
          </w:tcPr>
          <w:p>
            <w:pPr>
              <w:jc w:val="right"/>
              <w:ind w:right="295"/>
              <w:spacing w:after="0"/>
              <w:rPr>
                <w:sz w:val="20"/>
                <w:szCs w:val="20"/>
                <w:color w:val="auto"/>
              </w:rPr>
            </w:pPr>
            <w:r>
              <w:rPr>
                <w:rFonts w:ascii="Arial" w:cs="Arial" w:eastAsia="Arial" w:hAnsi="Arial"/>
                <w:sz w:val="18"/>
                <w:szCs w:val="18"/>
                <w:color w:val="auto"/>
              </w:rPr>
              <w:t>4.6(8)</w:t>
            </w:r>
          </w:p>
        </w:tc>
        <w:tc>
          <w:tcPr>
            <w:tcW w:w="10460" w:type="dxa"/>
            <w:vAlign w:val="bottom"/>
          </w:tcPr>
          <w:p>
            <w:pPr>
              <w:ind w:left="380"/>
              <w:spacing w:after="0"/>
              <w:rPr>
                <w:sz w:val="20"/>
                <w:szCs w:val="20"/>
                <w:color w:val="auto"/>
              </w:rPr>
            </w:pPr>
            <w:r>
              <w:rPr>
                <w:rFonts w:ascii="Arial" w:cs="Arial" w:eastAsia="Arial" w:hAnsi="Arial"/>
                <w:sz w:val="18"/>
                <w:szCs w:val="18"/>
                <w:color w:val="auto"/>
              </w:rPr>
              <w:t>Indenture, by and between MannKind and Wells Fargo Bank, N.A., dated August 24, 2010.</w:t>
            </w:r>
          </w:p>
        </w:tc>
      </w:tr>
      <w:tr>
        <w:trPr>
          <w:trHeight w:val="324"/>
        </w:trPr>
        <w:tc>
          <w:tcPr>
            <w:tcW w:w="900" w:type="dxa"/>
            <w:vAlign w:val="bottom"/>
          </w:tcPr>
          <w:p>
            <w:pPr>
              <w:jc w:val="right"/>
              <w:ind w:right="295"/>
              <w:spacing w:after="0"/>
              <w:rPr>
                <w:sz w:val="20"/>
                <w:szCs w:val="20"/>
                <w:color w:val="auto"/>
              </w:rPr>
            </w:pPr>
            <w:r>
              <w:rPr>
                <w:rFonts w:ascii="Arial" w:cs="Arial" w:eastAsia="Arial" w:hAnsi="Arial"/>
                <w:sz w:val="18"/>
                <w:szCs w:val="18"/>
                <w:color w:val="auto"/>
              </w:rPr>
              <w:t>4.7(8)</w:t>
            </w:r>
          </w:p>
        </w:tc>
        <w:tc>
          <w:tcPr>
            <w:tcW w:w="10460" w:type="dxa"/>
            <w:vAlign w:val="bottom"/>
          </w:tcPr>
          <w:p>
            <w:pPr>
              <w:ind w:left="380"/>
              <w:spacing w:after="0"/>
              <w:rPr>
                <w:sz w:val="20"/>
                <w:szCs w:val="20"/>
                <w:color w:val="auto"/>
              </w:rPr>
            </w:pPr>
            <w:r>
              <w:rPr>
                <w:rFonts w:ascii="Arial" w:cs="Arial" w:eastAsia="Arial" w:hAnsi="Arial"/>
                <w:sz w:val="18"/>
                <w:szCs w:val="18"/>
                <w:color w:val="auto"/>
              </w:rPr>
              <w:t>Form of 5.75% Senior Convertible Note due 2015.</w:t>
            </w:r>
          </w:p>
        </w:tc>
      </w:tr>
      <w:tr>
        <w:trPr>
          <w:trHeight w:val="324"/>
        </w:trPr>
        <w:tc>
          <w:tcPr>
            <w:tcW w:w="900" w:type="dxa"/>
            <w:vAlign w:val="bottom"/>
          </w:tcPr>
          <w:p>
            <w:pPr>
              <w:jc w:val="right"/>
              <w:ind w:right="495"/>
              <w:spacing w:after="0"/>
              <w:rPr>
                <w:sz w:val="20"/>
                <w:szCs w:val="20"/>
                <w:color w:val="auto"/>
              </w:rPr>
            </w:pPr>
            <w:r>
              <w:rPr>
                <w:rFonts w:ascii="Arial" w:cs="Arial" w:eastAsia="Arial" w:hAnsi="Arial"/>
                <w:sz w:val="18"/>
                <w:szCs w:val="18"/>
                <w:color w:val="auto"/>
                <w:w w:val="85"/>
              </w:rPr>
              <w:t>31.1</w:t>
            </w:r>
          </w:p>
        </w:tc>
        <w:tc>
          <w:tcPr>
            <w:tcW w:w="10460" w:type="dxa"/>
            <w:vAlign w:val="bottom"/>
          </w:tcPr>
          <w:p>
            <w:pPr>
              <w:ind w:left="380"/>
              <w:spacing w:after="0"/>
              <w:rPr>
                <w:sz w:val="20"/>
                <w:szCs w:val="20"/>
                <w:color w:val="auto"/>
              </w:rPr>
            </w:pPr>
            <w:r>
              <w:rPr>
                <w:rFonts w:ascii="Arial" w:cs="Arial" w:eastAsia="Arial" w:hAnsi="Arial"/>
                <w:sz w:val="18"/>
                <w:szCs w:val="18"/>
                <w:color w:val="auto"/>
                <w:w w:val="92"/>
              </w:rPr>
              <w:t>Certification of the Chief Executive Officer Pursuant to Rule 13a-14(a) or 15d-14(a) of the Securities Exchange Act of 1934, as amended.</w:t>
            </w:r>
          </w:p>
        </w:tc>
      </w:tr>
      <w:tr>
        <w:trPr>
          <w:trHeight w:val="324"/>
        </w:trPr>
        <w:tc>
          <w:tcPr>
            <w:tcW w:w="900" w:type="dxa"/>
            <w:vAlign w:val="bottom"/>
          </w:tcPr>
          <w:p>
            <w:pPr>
              <w:jc w:val="right"/>
              <w:ind w:right="495"/>
              <w:spacing w:after="0"/>
              <w:rPr>
                <w:sz w:val="20"/>
                <w:szCs w:val="20"/>
                <w:color w:val="auto"/>
              </w:rPr>
            </w:pPr>
            <w:r>
              <w:rPr>
                <w:rFonts w:ascii="Arial" w:cs="Arial" w:eastAsia="Arial" w:hAnsi="Arial"/>
                <w:sz w:val="18"/>
                <w:szCs w:val="18"/>
                <w:color w:val="auto"/>
                <w:w w:val="85"/>
              </w:rPr>
              <w:t>31.2</w:t>
            </w:r>
          </w:p>
        </w:tc>
        <w:tc>
          <w:tcPr>
            <w:tcW w:w="10460" w:type="dxa"/>
            <w:vAlign w:val="bottom"/>
          </w:tcPr>
          <w:p>
            <w:pPr>
              <w:ind w:left="380"/>
              <w:spacing w:after="0"/>
              <w:rPr>
                <w:sz w:val="20"/>
                <w:szCs w:val="20"/>
                <w:color w:val="auto"/>
              </w:rPr>
            </w:pPr>
            <w:r>
              <w:rPr>
                <w:rFonts w:ascii="Arial" w:cs="Arial" w:eastAsia="Arial" w:hAnsi="Arial"/>
                <w:sz w:val="18"/>
                <w:szCs w:val="18"/>
                <w:color w:val="auto"/>
                <w:w w:val="92"/>
              </w:rPr>
              <w:t>Certification of the Chief Financial Officer Pursuant to Rule 13a-14(a) or 15d-14(a) of the Securities Exchange Act of 1934, as amended.</w:t>
            </w:r>
          </w:p>
        </w:tc>
      </w:tr>
    </w:tbl>
    <w:p>
      <w:pPr>
        <w:spacing w:after="0" w:line="102" w:lineRule="exact"/>
        <w:rPr>
          <w:sz w:val="20"/>
          <w:szCs w:val="20"/>
          <w:color w:val="auto"/>
        </w:rPr>
      </w:pPr>
    </w:p>
    <w:p>
      <w:pPr>
        <w:ind w:left="1280" w:right="160" w:hanging="1272"/>
        <w:spacing w:after="0" w:line="332" w:lineRule="auto"/>
        <w:tabs>
          <w:tab w:leader="none" w:pos="1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Certifications of the Chief Executive Officer and Chief Financial Officer Pursuant to Rule 13a-14(b) or 15d-14(b) of the Securities Exchange Act of 1934, as amended and Section 1350 of Chapter 63 of Title 18 of the United States Code (18 U.S.C. § 1350).</w:t>
      </w:r>
    </w:p>
    <w:p>
      <w:pPr>
        <w:spacing w:after="0" w:line="3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2,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4,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November 19, 2007.</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S-3 (File No. 333-138373), filed with the SEC on November 2, 2006.</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December 12,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filed with the SEC on August 24, 2010.</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00"/>
          </w:cols>
          <w:pgMar w:left="240" w:top="459" w:right="11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November 4, 2011</w:t>
      </w:r>
      <w:r>
        <w:rPr>
          <w:sz w:val="20"/>
          <w:szCs w:val="20"/>
          <w:color w:val="auto"/>
        </w:rPr>
        <w:tab/>
      </w:r>
      <w:r>
        <w:rPr>
          <w:rFonts w:ascii="Arial" w:cs="Arial" w:eastAsia="Arial" w:hAnsi="Arial"/>
          <w:sz w:val="16"/>
          <w:szCs w:val="16"/>
          <w:color w:val="auto"/>
        </w:rPr>
        <w:t>MANNKIND CORPORATION</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J. Pfeffer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240" w:top="459" w:right="7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2011 of MannKind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November 4, 2011</w:t>
      </w:r>
      <w:r>
        <w:rPr>
          <w:sz w:val="20"/>
          <w:szCs w:val="20"/>
          <w:color w:val="auto"/>
        </w:rPr>
        <w:tab/>
      </w:r>
      <w:r>
        <w:rPr>
          <w:rFonts w:ascii="Arial" w:cs="Arial" w:eastAsia="Arial" w:hAnsi="Arial"/>
          <w:sz w:val="16"/>
          <w:szCs w:val="16"/>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Alfred E. Mann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2011 of MannKind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20" w:firstLine="443"/>
        <w:spacing w:after="0" w:line="332" w:lineRule="auto"/>
        <w:tabs>
          <w:tab w:leader="none" w:pos="113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1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November 4, 2011</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J. Pfeffer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September 30, 2011,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224"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71" w:lineRule="exact"/>
        <w:rPr>
          <w:rFonts w:ascii="Arial" w:cs="Arial" w:eastAsia="Arial" w:hAnsi="Arial"/>
          <w:sz w:val="18"/>
          <w:szCs w:val="18"/>
          <w:color w:val="auto"/>
        </w:rPr>
      </w:pPr>
    </w:p>
    <w:p>
      <w:pPr>
        <w:ind w:right="600" w:firstLine="464"/>
        <w:spacing w:after="0" w:line="438"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4, 2011</w:t>
      </w: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4th day of November, 2011.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12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Alfred E. Mann</w:t>
            </w:r>
          </w:p>
        </w:tc>
        <w:tc>
          <w:tcPr>
            <w:tcW w:w="12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2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Roman"/>
      <w:start w:val="2"/>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32"/>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6"/>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2019-12-10T11:26:16Z</dcterms:created>
  <dcterms:modified xsi:type="dcterms:W3CDTF">2019-12-10T11:26:16Z</dcterms:modified>
</cp:coreProperties>
</file>