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60"/>
        <w:spacing w:after="0"/>
        <w:tabs>
          <w:tab w:leader="none" w:pos="6740" w:val="left"/>
          <w:tab w:leader="none" w:pos="7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3703320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MannKind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88"/>
              </w:rPr>
              <w:t>Delaware</w:t>
            </w:r>
          </w:p>
        </w:tc>
        <w:tc>
          <w:tcPr>
            <w:tcW w:w="5080" w:type="dxa"/>
            <w:vAlign w:val="bottom"/>
          </w:tcPr>
          <w:p>
            <w:pPr>
              <w:jc w:val="right"/>
              <w:ind w:right="24"/>
              <w:spacing w:after="0"/>
              <w:rPr>
                <w:sz w:val="20"/>
                <w:szCs w:val="20"/>
                <w:color w:val="auto"/>
              </w:rPr>
            </w:pPr>
            <w:r>
              <w:rPr>
                <w:rFonts w:ascii="Arial" w:cs="Arial" w:eastAsia="Arial" w:hAnsi="Arial"/>
                <w:sz w:val="18"/>
                <w:szCs w:val="18"/>
                <w:b w:val="1"/>
                <w:bCs w:val="1"/>
                <w:color w:val="auto"/>
              </w:rPr>
              <w:t>13-3607736</w:t>
            </w:r>
          </w:p>
        </w:tc>
      </w:tr>
      <w:tr>
        <w:trPr>
          <w:trHeight w:val="149"/>
        </w:trPr>
        <w:tc>
          <w:tcPr>
            <w:tcW w:w="23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80" w:type="dxa"/>
            <w:vAlign w:val="bottom"/>
          </w:tcPr>
          <w:p>
            <w:pPr>
              <w:jc w:val="center"/>
              <w:ind w:left="39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20" w:type="dxa"/>
            <w:vAlign w:val="bottom"/>
          </w:tcPr>
          <w:p>
            <w:pPr>
              <w:jc w:val="center"/>
              <w:ind w:right="2"/>
              <w:spacing w:after="0"/>
              <w:rPr>
                <w:sz w:val="20"/>
                <w:szCs w:val="20"/>
                <w:color w:val="auto"/>
              </w:rPr>
            </w:pPr>
            <w:r>
              <w:rPr>
                <w:rFonts w:ascii="Arial" w:cs="Arial" w:eastAsia="Arial" w:hAnsi="Arial"/>
                <w:sz w:val="14"/>
                <w:szCs w:val="14"/>
                <w:b w:val="1"/>
                <w:bCs w:val="1"/>
                <w:color w:val="auto"/>
                <w:w w:val="88"/>
              </w:rPr>
              <w:t>incorporation or organization)</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87"/>
              </w:rPr>
              <w:t>28903 North Avenue Paine</w:t>
            </w:r>
          </w:p>
        </w:tc>
        <w:tc>
          <w:tcPr>
            <w:tcW w:w="5080" w:type="dxa"/>
            <w:vAlign w:val="bottom"/>
          </w:tcPr>
          <w:p>
            <w:pPr>
              <w:spacing w:after="0"/>
              <w:rPr>
                <w:sz w:val="24"/>
                <w:szCs w:val="24"/>
                <w:color w:val="auto"/>
              </w:rPr>
            </w:pPr>
          </w:p>
        </w:tc>
      </w:tr>
      <w:tr>
        <w:trPr>
          <w:trHeight w:val="231"/>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90"/>
              </w:rPr>
              <w:t>Valencia, California</w:t>
            </w:r>
          </w:p>
        </w:tc>
        <w:tc>
          <w:tcPr>
            <w:tcW w:w="5080" w:type="dxa"/>
            <w:vAlign w:val="bottom"/>
          </w:tcPr>
          <w:p>
            <w:pPr>
              <w:jc w:val="right"/>
              <w:ind w:right="224"/>
              <w:spacing w:after="0"/>
              <w:rPr>
                <w:sz w:val="20"/>
                <w:szCs w:val="20"/>
                <w:color w:val="auto"/>
              </w:rPr>
            </w:pPr>
            <w:r>
              <w:rPr>
                <w:rFonts w:ascii="Arial" w:cs="Arial" w:eastAsia="Arial" w:hAnsi="Arial"/>
                <w:sz w:val="18"/>
                <w:szCs w:val="18"/>
                <w:b w:val="1"/>
                <w:bCs w:val="1"/>
                <w:color w:val="auto"/>
              </w:rPr>
              <w:t>91355</w:t>
            </w:r>
          </w:p>
        </w:tc>
      </w:tr>
      <w:tr>
        <w:trPr>
          <w:trHeight w:val="174"/>
        </w:trPr>
        <w:tc>
          <w:tcPr>
            <w:tcW w:w="2320" w:type="dxa"/>
            <w:vAlign w:val="bottom"/>
          </w:tcPr>
          <w:p>
            <w:pPr>
              <w:jc w:val="center"/>
              <w:ind w:right="2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20" w:type="dxa"/>
            <w:vAlign w:val="bottom"/>
          </w:tcPr>
          <w:p>
            <w:pPr>
              <w:spacing w:after="0"/>
              <w:rPr>
                <w:sz w:val="24"/>
                <w:szCs w:val="24"/>
                <w:color w:val="auto"/>
              </w:rPr>
            </w:pPr>
          </w:p>
        </w:tc>
        <w:tc>
          <w:tcPr>
            <w:tcW w:w="5080" w:type="dxa"/>
            <w:vAlign w:val="bottom"/>
          </w:tcPr>
          <w:p>
            <w:pPr>
              <w:jc w:val="right"/>
              <w:ind w:right="2844"/>
              <w:spacing w:after="0"/>
              <w:rPr>
                <w:sz w:val="20"/>
                <w:szCs w:val="20"/>
                <w:color w:val="auto"/>
              </w:rPr>
            </w:pPr>
            <w:r>
              <w:rPr>
                <w:rFonts w:ascii="Arial" w:cs="Arial" w:eastAsia="Arial" w:hAnsi="Arial"/>
                <w:sz w:val="18"/>
                <w:szCs w:val="18"/>
                <w:b w:val="1"/>
                <w:bCs w:val="1"/>
                <w:color w:val="auto"/>
              </w:rPr>
              <w:t>(661) 775-5300</w:t>
            </w:r>
          </w:p>
        </w:tc>
      </w:tr>
      <w:tr>
        <w:trPr>
          <w:trHeight w:val="174"/>
        </w:trPr>
        <w:tc>
          <w:tcPr>
            <w:tcW w:w="2320" w:type="dxa"/>
            <w:vAlign w:val="bottom"/>
          </w:tcPr>
          <w:p>
            <w:pPr>
              <w:spacing w:after="0"/>
              <w:rPr>
                <w:sz w:val="15"/>
                <w:szCs w:val="15"/>
                <w:color w:val="auto"/>
              </w:rPr>
            </w:pPr>
          </w:p>
        </w:tc>
        <w:tc>
          <w:tcPr>
            <w:tcW w:w="5080" w:type="dxa"/>
            <w:vAlign w:val="bottom"/>
          </w:tcPr>
          <w:p>
            <w:pPr>
              <w:jc w:val="center"/>
              <w:ind w:right="17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70" w:lineRule="exact"/>
        <w:rPr>
          <w:sz w:val="24"/>
          <w:szCs w:val="24"/>
          <w:color w:val="auto"/>
        </w:rPr>
      </w:pPr>
    </w:p>
    <w:p>
      <w:pPr>
        <w:sectPr>
          <w:pgSz w:w="11900" w:h="16838" w:orient="portrait"/>
          <w:cols w:equalWidth="0" w:num="5">
            <w:col w:w="7240" w:space="160"/>
            <w:col w:w="260" w:space="100"/>
            <w:col w:w="140" w:space="180"/>
            <w:col w:w="220" w:space="100"/>
            <w:col w:w="3020"/>
          </w:cols>
          <w:pgMar w:left="240" w:top="230" w:right="239" w:bottom="1440" w:gutter="0" w:footer="0" w:header="0"/>
          <w:type w:val="continuous"/>
        </w:sectPr>
      </w:pPr>
    </w:p>
    <w:p>
      <w:pPr>
        <w:spacing w:after="0"/>
        <w:rPr>
          <w:sz w:val="20"/>
          <w:szCs w:val="20"/>
          <w:color w:val="auto"/>
        </w:rPr>
      </w:pPr>
      <w:r>
        <w:rPr>
          <w:rFonts w:ascii="Arial" w:cs="Arial" w:eastAsia="Arial" w:hAnsi="Arial"/>
          <w:sz w:val="15"/>
          <w:szCs w:val="15"/>
          <w:color w:val="auto"/>
        </w:rPr>
        <w:t>As of August 2, 2013, there were 301,774,215 shares of the registrant’s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MANNKIND CORPORATION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gridSpan w:val="13"/>
            <w:vMerge w:val="restart"/>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PART I: FINANCIAL INFORMATION</w:t>
              </w:r>
            </w:hyperlink>
          </w:p>
        </w:tc>
        <w:tc>
          <w:tcPr>
            <w:tcW w:w="8200" w:type="dxa"/>
            <w:vAlign w:val="bottom"/>
            <w:gridSpan w:val="11"/>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2840" w:type="dxa"/>
            <w:vAlign w:val="bottom"/>
            <w:tcBorders>
              <w:bottom w:val="single" w:sz="8" w:color="0000EE"/>
            </w:tcBorders>
            <w:gridSpan w:val="13"/>
            <w:vMerge w:val="continue"/>
          </w:tcPr>
          <w:p>
            <w:pPr>
              <w:spacing w:after="0"/>
              <w:rPr>
                <w:sz w:val="13"/>
                <w:szCs w:val="13"/>
                <w:color w:val="auto"/>
              </w:rPr>
            </w:pPr>
          </w:p>
        </w:tc>
        <w:tc>
          <w:tcPr>
            <w:tcW w:w="8200" w:type="dxa"/>
            <w:vAlign w:val="bottom"/>
            <w:gridSpan w:val="11"/>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June 30, 2013 and December 31, 2012</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tcBorders>
              <w:bottom w:val="single" w:sz="8" w:color="0000EE"/>
            </w:tcBorders>
            <w:gridSpan w:val="23"/>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Three and six months ended June 30, 2013 and 2012 and the period from February 14, 1991 (date</w:t>
              </w:r>
            </w:hyperlink>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1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of inception) to June 30, 2013</w:t>
              </w:r>
            </w:hyperlink>
          </w:p>
        </w:tc>
        <w:tc>
          <w:tcPr>
            <w:tcW w:w="870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50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Comprehensive Loss: Three and six months ended June 30, 2013 and 2012 and the period from February 14,</w:t>
              </w:r>
            </w:hyperlink>
          </w:p>
        </w:tc>
        <w:tc>
          <w:tcPr>
            <w:tcW w:w="54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2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1991 (date of inception) to June 30, 2013</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0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Cash Flows: Six months ended June 30, 2013 and 2012 and the period from February 14, 1991 (date of</w:t>
              </w:r>
            </w:hyperlink>
          </w:p>
        </w:tc>
        <w:tc>
          <w:tcPr>
            <w:tcW w:w="94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2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inception) to June 30, 2013</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8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3. Quantitative and Qualitative Disclosures About Market Risk</w:t>
              </w:r>
            </w:hyperlink>
          </w:p>
        </w:tc>
        <w:tc>
          <w:tcPr>
            <w:tcW w:w="2020" w:type="dxa"/>
            <w:vAlign w:val="bottom"/>
            <w:tcBorders>
              <w:top w:val="single" w:sz="8" w:color="0000EE"/>
            </w:tcBorders>
            <w:gridSpan w:val="2"/>
          </w:tcPr>
          <w:p>
            <w:pPr>
              <w:spacing w:after="0"/>
              <w:rPr>
                <w:sz w:val="17"/>
                <w:szCs w:val="17"/>
                <w:color w:val="auto"/>
              </w:rPr>
            </w:pPr>
          </w:p>
        </w:tc>
        <w:tc>
          <w:tcPr>
            <w:tcW w:w="42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Item 4. Controls and Procedures</w:t>
              </w:r>
            </w:hyperlink>
          </w:p>
        </w:tc>
        <w:tc>
          <w:tcPr>
            <w:tcW w:w="874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PART II: OTHER INFORMATION</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Item 1. Legal Proceedings</w:t>
              </w:r>
            </w:hyperlink>
          </w:p>
        </w:tc>
        <w:tc>
          <w:tcPr>
            <w:tcW w:w="660" w:type="dxa"/>
            <w:vAlign w:val="bottom"/>
            <w:tcBorders>
              <w:top w:val="single" w:sz="8" w:color="0000EE"/>
            </w:tcBorders>
            <w:gridSpan w:val="5"/>
          </w:tcPr>
          <w:p>
            <w:pPr>
              <w:spacing w:after="0"/>
              <w:rPr>
                <w:sz w:val="17"/>
                <w:szCs w:val="17"/>
                <w:color w:val="auto"/>
              </w:rPr>
            </w:pPr>
          </w:p>
        </w:tc>
        <w:tc>
          <w:tcPr>
            <w:tcW w:w="852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Item 1A. Risk Factors</w:t>
              </w:r>
            </w:hyperlink>
          </w:p>
        </w:tc>
        <w:tc>
          <w:tcPr>
            <w:tcW w:w="948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Item 2. Unregistered Sales of Equity Securities and Use of Proceeds</w:t>
              </w:r>
            </w:hyperlink>
          </w:p>
        </w:tc>
        <w:tc>
          <w:tcPr>
            <w:tcW w:w="62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Item 3. Defaults Upon Senior Securities</w:t>
              </w:r>
            </w:hyperlink>
          </w:p>
        </w:tc>
        <w:tc>
          <w:tcPr>
            <w:tcW w:w="822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Item 4. Mine Safety Disclosures</w:t>
              </w:r>
            </w:hyperlink>
          </w:p>
        </w:tc>
        <w:tc>
          <w:tcPr>
            <w:tcW w:w="876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5. Other Information</w:t>
              </w:r>
            </w:hyperlink>
          </w:p>
        </w:tc>
        <w:tc>
          <w:tcPr>
            <w:tcW w:w="920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6. Exhibits</w:t>
              </w:r>
            </w:hyperlink>
          </w:p>
        </w:tc>
        <w:tc>
          <w:tcPr>
            <w:tcW w:w="990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AFREZZA</w:t>
      </w:r>
      <w:r>
        <w:rPr>
          <w:rFonts w:ascii="Arial" w:cs="Arial" w:eastAsia="Arial" w:hAnsi="Arial"/>
          <w:sz w:val="11"/>
          <w:szCs w:val="11"/>
          <w:color w:val="auto"/>
        </w:rPr>
        <w:t>®</w:t>
      </w:r>
      <w:r>
        <w:rPr>
          <w:rFonts w:ascii="Arial" w:cs="Arial" w:eastAsia="Arial" w:hAnsi="Arial"/>
          <w:sz w:val="18"/>
          <w:szCs w:val="18"/>
          <w:color w:val="auto"/>
        </w:rPr>
        <w:t>, MedTone</w:t>
      </w:r>
      <w:r>
        <w:rPr>
          <w:rFonts w:ascii="Arial" w:cs="Arial" w:eastAsia="Arial" w:hAnsi="Arial"/>
          <w:sz w:val="11"/>
          <w:szCs w:val="11"/>
          <w:color w:val="auto"/>
        </w:rPr>
        <w:t>®</w:t>
      </w:r>
      <w:r>
        <w:rPr>
          <w:rFonts w:ascii="Arial" w:cs="Arial" w:eastAsia="Arial" w:hAnsi="Arial"/>
          <w:sz w:val="18"/>
          <w:szCs w:val="18"/>
          <w:color w:val="auto"/>
        </w:rPr>
        <w:t xml:space="preserve"> and Technosphere</w:t>
      </w:r>
      <w:r>
        <w:rPr>
          <w:rFonts w:ascii="Arial" w:cs="Arial" w:eastAsia="Arial" w:hAnsi="Arial"/>
          <w:sz w:val="11"/>
          <w:szCs w:val="11"/>
          <w:color w:val="auto"/>
        </w:rPr>
        <w:t>®</w:t>
      </w:r>
      <w:r>
        <w:rPr>
          <w:rFonts w:ascii="Arial" w:cs="Arial" w:eastAsia="Arial" w:hAnsi="Arial"/>
          <w:sz w:val="18"/>
          <w:szCs w:val="18"/>
          <w:color w:val="auto"/>
        </w:rPr>
        <w:t xml:space="preserve"> are our registered trademarks in the United States. We have also applied for and have registered company trademarks in other jurisdictions, including Europe and Japan.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5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7"/>
              </w:rPr>
              <w:t>June 30, 2013</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00" w:type="dxa"/>
            <w:vAlign w:val="bottom"/>
            <w:tcBorders>
              <w:top w:val="single" w:sz="8" w:color="CCEEFF"/>
            </w:tcBorders>
            <w:shd w:val="clear" w:color="auto" w:fill="CCEEFF"/>
          </w:tcPr>
          <w:p>
            <w:pPr>
              <w:ind w:left="376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State research and development credit exchange receivable — current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450</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32,162</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66,810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179,567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470</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212,429</w:t>
            </w:r>
          </w:p>
        </w:tc>
        <w:tc>
          <w:tcPr>
            <w:tcW w:w="6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251,314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00" w:type="dxa"/>
            <w:vAlign w:val="bottom"/>
            <w:shd w:val="clear" w:color="auto" w:fill="CCEEFF"/>
          </w:tcPr>
          <w:p>
            <w:pPr>
              <w:ind w:left="2160"/>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26,984</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convertible notes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114,744</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Note payable to related party</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119,635</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266,782</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98,004</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related party</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364,786</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361,993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w w:val="94"/>
              </w:rPr>
              <w:t>Undesignated preferred stock, $0.01 par value — 10,000,000 shares authorized; no shares issued or outstanding at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30, 2013 and December 31, 2012</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w w:val="99"/>
              </w:rPr>
              <w:t>Common stock, $0.01 par value — 550,000,000 shares authorized at June 30, 2013 and December 31, 2012;</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300,869,683 and 286,035,082 shares issued and outstanding at June 30, 2013 and December 31, 2012,</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3,012</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2,036,640</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(2,192,001)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(2,104,912)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420"/>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(152,357)</w:t>
            </w:r>
          </w:p>
        </w:tc>
        <w:tc>
          <w:tcPr>
            <w:tcW w:w="2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(110,679)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212,429</w:t>
            </w: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7"/>
          </w:tcPr>
          <w:p>
            <w:pPr>
              <w:jc w:val="right"/>
              <w:ind w:right="680"/>
              <w:spacing w:after="0" w:line="149" w:lineRule="exact"/>
              <w:rPr>
                <w:sz w:val="20"/>
                <w:szCs w:val="20"/>
                <w:color w:val="auto"/>
              </w:rPr>
            </w:pPr>
            <w:r>
              <w:rPr>
                <w:rFonts w:ascii="Arial" w:cs="Arial" w:eastAsia="Arial" w:hAnsi="Arial"/>
                <w:sz w:val="14"/>
                <w:szCs w:val="14"/>
                <w:b w:val="1"/>
                <w:bCs w:val="1"/>
                <w:color w:val="auto"/>
                <w:w w:val="97"/>
              </w:rPr>
              <w:t>Three months ended</w:t>
            </w:r>
          </w:p>
        </w:tc>
        <w:tc>
          <w:tcPr>
            <w:tcW w:w="100" w:type="dxa"/>
            <w:vAlign w:val="bottom"/>
          </w:tcPr>
          <w:p>
            <w:pPr>
              <w:spacing w:after="0"/>
              <w:rPr>
                <w:sz w:val="12"/>
                <w:szCs w:val="12"/>
                <w:color w:val="auto"/>
              </w:rPr>
            </w:pPr>
          </w:p>
        </w:tc>
        <w:tc>
          <w:tcPr>
            <w:tcW w:w="2060" w:type="dxa"/>
            <w:vAlign w:val="bottom"/>
            <w:gridSpan w:val="5"/>
          </w:tcPr>
          <w:p>
            <w:pPr>
              <w:jc w:val="right"/>
              <w:ind w:right="780"/>
              <w:spacing w:after="0" w:line="149" w:lineRule="exact"/>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1991 (date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5"/>
              </w:rPr>
              <w:t>June 30,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26,638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14,533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17,416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24,572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27,193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450,276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In-process research and development costs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Goodwill impairment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44,054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2,142,453</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(41,585)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(44,054)</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(78,022)</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(77,987)</w:t>
            </w: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(2,139,287)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13,347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Interest expense on note payable to related party</w:t>
            </w:r>
          </w:p>
        </w:tc>
        <w:tc>
          <w:tcPr>
            <w:tcW w:w="10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(1,689)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(3,028)</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(3,378)</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(6,076)</w:t>
            </w: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(2,866)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(2,844)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(5,729)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(5,419)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36,998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for income taxes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(46,124)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(36,578)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(87,089)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(74,751)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(2,192,383)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(46,124)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(36,578)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(87,089)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(74,751)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(2,192,001)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Deemed dividend related to beneficial conversion feature of convertible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9"/>
                <w:szCs w:val="19"/>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(46,124)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(36,578)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(87,089)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(74,751)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(2,215,213)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w w:val="98"/>
              </w:rPr>
              <w:t>Net loss per share applicable to common stockholders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 share applicable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common stockholders</w:t>
            </w: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284,044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159,859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282,062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151,506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120" w:type="dxa"/>
            <w:vAlign w:val="bottom"/>
            <w:gridSpan w:val="4"/>
          </w:tcPr>
          <w:p>
            <w:pPr>
              <w:ind w:left="260"/>
              <w:spacing w:after="0" w:line="149" w:lineRule="exact"/>
              <w:rPr>
                <w:sz w:val="20"/>
                <w:szCs w:val="20"/>
                <w:color w:val="auto"/>
              </w:rPr>
            </w:pPr>
            <w:r>
              <w:rPr>
                <w:rFonts w:ascii="Arial" w:cs="Arial" w:eastAsia="Arial" w:hAnsi="Arial"/>
                <w:sz w:val="14"/>
                <w:szCs w:val="14"/>
                <w:b w:val="1"/>
                <w:bCs w:val="1"/>
                <w:color w:val="auto"/>
              </w:rPr>
              <w:t>Three months ended</w:t>
            </w:r>
          </w:p>
        </w:tc>
        <w:tc>
          <w:tcPr>
            <w:tcW w:w="2100" w:type="dxa"/>
            <w:vAlign w:val="bottom"/>
            <w:gridSpan w:val="4"/>
          </w:tcPr>
          <w:p>
            <w:pPr>
              <w:jc w:val="right"/>
              <w:ind w:right="740"/>
              <w:spacing w:after="0" w:line="149" w:lineRule="exact"/>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1991 (date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120" w:type="dxa"/>
            <w:vAlign w:val="bottom"/>
            <w:gridSpan w:val="4"/>
          </w:tcPr>
          <w:p>
            <w:pPr>
              <w:ind w:left="620"/>
              <w:spacing w:after="0"/>
              <w:rPr>
                <w:sz w:val="20"/>
                <w:szCs w:val="20"/>
                <w:color w:val="auto"/>
              </w:rPr>
            </w:pPr>
            <w:r>
              <w:rPr>
                <w:rFonts w:ascii="Arial" w:cs="Arial" w:eastAsia="Arial" w:hAnsi="Arial"/>
                <w:sz w:val="14"/>
                <w:szCs w:val="14"/>
                <w:b w:val="1"/>
                <w:bCs w:val="1"/>
                <w:color w:val="auto"/>
              </w:rPr>
              <w:t>June 30,</w:t>
            </w:r>
          </w:p>
        </w:tc>
        <w:tc>
          <w:tcPr>
            <w:tcW w:w="210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6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64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5"/>
              </w:rPr>
              <w:t>June 30,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 (46,124)</w:t>
            </w: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(36,578)</w:t>
            </w: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(87,089)</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(74,751)</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(2,192,001)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translation (loss) gain</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Unrealized gain (loss) on investments:</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holding gain during the period</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w w:val="97"/>
              </w:rPr>
              <w:t>Less: reclassification adjustment for gains (losses) included in net</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980" w:type="dxa"/>
            <w:vAlign w:val="bottom"/>
          </w:tcPr>
          <w:p>
            <w:pPr>
              <w:ind w:left="1060"/>
              <w:spacing w:after="0"/>
              <w:rPr>
                <w:sz w:val="20"/>
                <w:szCs w:val="20"/>
                <w:color w:val="auto"/>
              </w:rPr>
            </w:pPr>
            <w:r>
              <w:rPr>
                <w:rFonts w:ascii="Arial" w:cs="Arial" w:eastAsia="Arial" w:hAnsi="Arial"/>
                <w:sz w:val="18"/>
                <w:szCs w:val="18"/>
                <w:color w:val="auto"/>
              </w:rPr>
              <w:t>loss</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unrealized gain on investments</w:t>
            </w:r>
          </w:p>
        </w:tc>
        <w:tc>
          <w:tcPr>
            <w:tcW w:w="6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Other comprehensive loss</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(46,124)</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(36,572)</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(87,091)</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(74,698)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(2,192,009)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2140" w:type="dxa"/>
            <w:vAlign w:val="bottom"/>
            <w:gridSpan w:val="5"/>
          </w:tcPr>
          <w:p>
            <w:pPr>
              <w:ind w:left="360"/>
              <w:spacing w:after="0" w:line="149" w:lineRule="exact"/>
              <w:rPr>
                <w:sz w:val="20"/>
                <w:szCs w:val="20"/>
                <w:color w:val="auto"/>
              </w:rPr>
            </w:pPr>
            <w:r>
              <w:rPr>
                <w:rFonts w:ascii="Arial" w:cs="Arial" w:eastAsia="Arial" w:hAnsi="Arial"/>
                <w:sz w:val="14"/>
                <w:szCs w:val="14"/>
                <w:b w:val="1"/>
                <w:bCs w:val="1"/>
                <w:color w:val="auto"/>
              </w:rPr>
              <w:t>Six months ended</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1991 (Date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2140" w:type="dxa"/>
            <w:vAlign w:val="bottom"/>
            <w:gridSpan w:val="5"/>
          </w:tcPr>
          <w:p>
            <w:pPr>
              <w:ind w:left="620"/>
              <w:spacing w:after="0"/>
              <w:rPr>
                <w:sz w:val="20"/>
                <w:szCs w:val="20"/>
                <w:color w:val="auto"/>
              </w:rPr>
            </w:pPr>
            <w:r>
              <w:rPr>
                <w:rFonts w:ascii="Arial" w:cs="Arial" w:eastAsia="Arial" w:hAnsi="Arial"/>
                <w:sz w:val="14"/>
                <w:szCs w:val="14"/>
                <w:b w:val="1"/>
                <w:bCs w:val="1"/>
                <w:color w:val="auto"/>
              </w:rPr>
              <w:t>June 30,</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6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12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5"/>
              </w:rPr>
              <w:t>June 30,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 (87,089)</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 (74,751)</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   (2,192,001)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Depreciation and accretion</w:t>
            </w:r>
          </w:p>
        </w:tc>
        <w:tc>
          <w:tcPr>
            <w:tcW w:w="660" w:type="dxa"/>
            <w:vAlign w:val="bottom"/>
          </w:tcPr>
          <w:p>
            <w:pPr>
              <w:jc w:val="right"/>
              <w:spacing w:after="0"/>
              <w:rPr>
                <w:sz w:val="20"/>
                <w:szCs w:val="20"/>
                <w:color w:val="auto"/>
              </w:rPr>
            </w:pPr>
            <w:r>
              <w:rPr>
                <w:rFonts w:ascii="Arial" w:cs="Arial" w:eastAsia="Arial" w:hAnsi="Arial"/>
                <w:sz w:val="18"/>
                <w:szCs w:val="18"/>
                <w:color w:val="auto"/>
              </w:rPr>
              <w:t>6,668</w:t>
            </w:r>
          </w:p>
        </w:tc>
        <w:tc>
          <w:tcPr>
            <w:tcW w:w="240" w:type="dxa"/>
            <w:vAlign w:val="bottom"/>
          </w:tcPr>
          <w:p>
            <w:pPr>
              <w:spacing w:after="0"/>
              <w:rPr>
                <w:sz w:val="18"/>
                <w:szCs w:val="18"/>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7,343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133,445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15,362</w:t>
            </w: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5,951</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Stock expense for shares issued pursuant to research agreement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loss on sale, abandonment/disposal or impairment of property and equipment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6"/>
              </w:rPr>
              <w:t>686</w:t>
            </w: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Accrued interest on investments, net of amortization of discounts</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In-process research and development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Goodwill impairment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available-for-sale securities</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117</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Litigation settlement in stock</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Fair value of forward purchase contract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(12,011)</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(2,716)</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assets and liabilities: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280"/>
              <w:spacing w:after="0"/>
              <w:rPr>
                <w:sz w:val="20"/>
                <w:szCs w:val="20"/>
                <w:color w:val="auto"/>
              </w:rPr>
            </w:pPr>
            <w:r>
              <w:rPr>
                <w:rFonts w:ascii="Arial" w:cs="Arial" w:eastAsia="Arial" w:hAnsi="Arial"/>
                <w:sz w:val="18"/>
                <w:szCs w:val="18"/>
                <w:color w:val="auto"/>
              </w:rPr>
              <w:t>State research and development credit exchange receivable</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(157)</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(185)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(15,731)</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280"/>
              <w:spacing w:after="0"/>
              <w:rPr>
                <w:sz w:val="20"/>
                <w:szCs w:val="20"/>
                <w:color w:val="auto"/>
              </w:rPr>
            </w:pPr>
            <w:r>
              <w:rPr>
                <w:rFonts w:ascii="Arial" w:cs="Arial" w:eastAsia="Arial" w:hAnsi="Arial"/>
                <w:sz w:val="18"/>
                <w:szCs w:val="18"/>
                <w:color w:val="auto"/>
              </w:rPr>
              <w:t>Other assets</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(974)</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1,244</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280"/>
              <w:spacing w:after="0"/>
              <w:rPr>
                <w:sz w:val="20"/>
                <w:szCs w:val="20"/>
                <w:color w:val="auto"/>
              </w:rPr>
            </w:pPr>
            <w:r>
              <w:rPr>
                <w:rFonts w:ascii="Arial" w:cs="Arial" w:eastAsia="Arial" w:hAnsi="Arial"/>
                <w:sz w:val="18"/>
                <w:szCs w:val="18"/>
                <w:color w:val="auto"/>
              </w:rPr>
              <w:t>Accrued expenses and other current liabilities</w:t>
            </w:r>
          </w:p>
        </w:tc>
        <w:tc>
          <w:tcPr>
            <w:tcW w:w="660" w:type="dxa"/>
            <w:vAlign w:val="bottom"/>
          </w:tcPr>
          <w:p>
            <w:pPr>
              <w:jc w:val="right"/>
              <w:spacing w:after="0"/>
              <w:rPr>
                <w:sz w:val="20"/>
                <w:szCs w:val="20"/>
                <w:color w:val="auto"/>
              </w:rPr>
            </w:pPr>
            <w:r>
              <w:rPr>
                <w:rFonts w:ascii="Arial" w:cs="Arial" w:eastAsia="Arial" w:hAnsi="Arial"/>
                <w:sz w:val="18"/>
                <w:szCs w:val="18"/>
                <w:color w:val="auto"/>
              </w:rPr>
              <w:t>2,398</w:t>
            </w:r>
          </w:p>
        </w:tc>
        <w:tc>
          <w:tcPr>
            <w:tcW w:w="240" w:type="dxa"/>
            <w:vAlign w:val="bottom"/>
          </w:tcPr>
          <w:p>
            <w:pPr>
              <w:spacing w:after="0"/>
              <w:rPr>
                <w:sz w:val="18"/>
                <w:szCs w:val="18"/>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33,308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liabilities</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vMerge w:val="restart"/>
          </w:tcPr>
          <w:p>
            <w:pPr>
              <w:ind w:left="1720"/>
              <w:spacing w:after="0"/>
              <w:rPr>
                <w:sz w:val="20"/>
                <w:szCs w:val="20"/>
                <w:color w:val="auto"/>
              </w:rPr>
            </w:pPr>
            <w:r>
              <w:rPr>
                <w:rFonts w:ascii="Arial" w:cs="Arial" w:eastAsia="Arial" w:hAnsi="Arial"/>
                <w:sz w:val="18"/>
                <w:szCs w:val="18"/>
                <w:color w:val="auto"/>
              </w:rPr>
              <w:t>Net cash used in operating activities</w:t>
            </w: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vMerge w:val="continue"/>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(61,771)</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(57,504)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(1,658,032)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(796,779)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Sales and maturities of marketable securities</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(1,591)</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(448)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(329,337)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(1,591)</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(375)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(329,269)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Issuance of common stock and warrants, net of issuance costs</w:t>
            </w:r>
          </w:p>
        </w:tc>
        <w:tc>
          <w:tcPr>
            <w:tcW w:w="660" w:type="dxa"/>
            <w:vAlign w:val="bottom"/>
          </w:tcPr>
          <w:p>
            <w:pPr>
              <w:jc w:val="right"/>
              <w:spacing w:after="0"/>
              <w:rPr>
                <w:sz w:val="20"/>
                <w:szCs w:val="20"/>
                <w:color w:val="auto"/>
              </w:rPr>
            </w:pPr>
            <w:r>
              <w:rPr>
                <w:rFonts w:ascii="Arial" w:cs="Arial" w:eastAsia="Arial" w:hAnsi="Arial"/>
                <w:sz w:val="18"/>
                <w:szCs w:val="18"/>
                <w:color w:val="auto"/>
              </w:rPr>
              <w:t>2,191</w:t>
            </w:r>
          </w:p>
        </w:tc>
        <w:tc>
          <w:tcPr>
            <w:tcW w:w="240" w:type="dxa"/>
            <w:vAlign w:val="bottom"/>
          </w:tcPr>
          <w:p>
            <w:pPr>
              <w:spacing w:after="0"/>
              <w:rPr>
                <w:sz w:val="18"/>
                <w:szCs w:val="18"/>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80,992</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1,399,947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common stock to be issued</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Put shares sold to majority stockholder</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Exercise of warrants for common stock</w:t>
            </w:r>
          </w:p>
        </w:tc>
        <w:tc>
          <w:tcPr>
            <w:tcW w:w="660" w:type="dxa"/>
            <w:vAlign w:val="bottom"/>
          </w:tcPr>
          <w:p>
            <w:pPr>
              <w:jc w:val="right"/>
              <w:spacing w:after="0"/>
              <w:rPr>
                <w:sz w:val="20"/>
                <w:szCs w:val="20"/>
                <w:color w:val="auto"/>
              </w:rPr>
            </w:pPr>
            <w:r>
              <w:rPr>
                <w:rFonts w:ascii="Arial" w:cs="Arial" w:eastAsia="Arial" w:hAnsi="Arial"/>
                <w:sz w:val="18"/>
                <w:szCs w:val="18"/>
                <w:color w:val="auto"/>
              </w:rPr>
              <w:t>28,308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lines of credit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Proceeds from notes receivables</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Borrowings on notes payable to related party</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6,250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Principal payments on notes payable to related party</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Borrowings on notes payable</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Principal payments on notes payable</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senior convertible notes</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(448)</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(405)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86,837</w:t>
            </w:r>
          </w:p>
        </w:tc>
        <w:tc>
          <w:tcPr>
            <w:tcW w:w="420" w:type="dxa"/>
            <w:vAlign w:val="bottom"/>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8080" w:type="dxa"/>
            <w:vAlign w:val="bottom"/>
            <w:gridSpan w:val="2"/>
          </w:tcPr>
          <w:p>
            <w:pPr>
              <w:jc w:val="right"/>
              <w:ind w:right="2232"/>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5"/>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5"/>
          </w:tcPr>
          <w:p>
            <w:pPr>
              <w:ind w:left="260"/>
              <w:spacing w:after="0" w:line="149" w:lineRule="exact"/>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2"/>
                <w:szCs w:val="12"/>
                <w:color w:val="auto"/>
              </w:rPr>
            </w:pPr>
          </w:p>
        </w:tc>
        <w:tc>
          <w:tcPr>
            <w:tcW w:w="10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1991 (Date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Inception) to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2012</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June 30,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(33,311)</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28,958</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61,840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2,681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28,529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31,639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28,529</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income taxes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Interest paid in cash, net of amounts capitalized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5,006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4,751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on redeemable convertible preferred stock</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Issuance of common stock upon conversion of notes payable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additional paid-in capital resulting from merger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Issuance of common stock for notes receivable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put option by stockholder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Put option redemption by stockholder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Series C convertible preferred stock subscriptions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Issuance of Series A redeemable convertible preferred stock</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Conversion of Series A redeemable convertible preferred stock</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Non-cash construction in progress and property and equipment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4,605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2,343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Capitalization of interest on note payable to related party</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3"/>
              </w:rPr>
              <w:t>11,876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Cancellation of principal on note payable to related party</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77,187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212,334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Forward purchase contract contribution to APIC</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Reclassification of forward purchase contract to APIC</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13,091</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28,080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accompanying unaudited condensed consolidated financial statements of MannKind Corporation and its subsidiaries (the “Company”),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These statements should be read in conjunction with the financial statements and notes thereto included in the Company’s latest audited annual financial statements. The audited statements for the year ended December 31, 2012 are included in the Company’s annual report on Form 10-K for the fiscal year ended December 31, 2012 filed with the SEC on March 18, 2013 (the “Annual Report”).</w:t>
      </w:r>
    </w:p>
    <w:p>
      <w:pPr>
        <w:spacing w:after="0" w:line="12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six months ended June 30, 2013 may not be indicative of the results that may be expected for the full year.</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financial statements and accompanying notes. Actual results could differ from those estimates or assumptions. The more significant estimates reflected in these accompanying financial statements involve assessing long-lived assets for impairment, accrued expenses, including clinical trial expenses, valuation of forward purchase contracts, valuation of stock-based compensation and the determination of the provision for income taxes and corresponding deferred tax assets and liabilities and any valuation allowance recorded against net deferred tax assets.</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Business — </w:t>
      </w:r>
      <w:r>
        <w:rPr>
          <w:rFonts w:ascii="Arial" w:cs="Arial" w:eastAsia="Arial" w:hAnsi="Arial"/>
          <w:sz w:val="18"/>
          <w:szCs w:val="18"/>
          <w:color w:val="auto"/>
        </w:rPr>
        <w:t>The Company is a biopharmaceutical company focused on the discovery and development of therapeutic products for diseases such as diabetes.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lead product candidate, AFREZZA (insulin human [rDNA origin]) inhalation powder, is an ultra rapid-acting insulin therapy in late-stage clinical investigation for the treatment of adults with type 1 or type 2 diabetes for the control of hyperglycemia.</w:t>
      </w:r>
    </w:p>
    <w:p>
      <w:pPr>
        <w:spacing w:after="0" w:line="14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i w:val="1"/>
          <w:iCs w:val="1"/>
          <w:color w:val="auto"/>
        </w:rPr>
        <w:t xml:space="preserve">Basis of Presentation — </w:t>
      </w:r>
      <w:r>
        <w:rPr>
          <w:rFonts w:ascii="Arial" w:cs="Arial" w:eastAsia="Arial" w:hAnsi="Arial"/>
          <w:sz w:val="16"/>
          <w:szCs w:val="16"/>
          <w:color w:val="auto"/>
        </w:rPr>
        <w:t>The Company is considered to be in the development stage as its primary activities since incorporation have been establishing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 recruiting personnel, conducting research and development, business development, business and financial planning, and raising capital. It is costly to develop therapeutic products and conduct clinical trials for these products. Since its inception through June 30, 2013 the Company has reported accumulated net losses of $2.2 billion, which include a goodwill impairment charge of $151.4 million, and cumulative negative cash flow from operations of $1.7 billion. On December 15, 2013, $115.0 million of aggregate principal under the 3.75% Senior Convertible Notes (the “2013 notes”) will mature (see Note 10 — Senior convertible notes), and on January 1, 2014, the Company’s borrowings under the amended and restated promissory note with The Mann Group will mature though The Mann Group’s right to repayment under the promissory note is subject to a subordination agreement between The Mann Group and affiliates of Deerfield Management Company L.P. (“Deerfield”), pursuant to which The Mann Group has agreed not to accept repayment under the note until the Company’s borrowings under its debt facility with Deerfield are repaid. These factors raise substantial doubt about the Company’s ability to continue as a going concern. The financial statements do not include any adjustments that might result from the outcome of these uncertainties. At June 30, 2013, the Company’s capital resources consisted of cash and cash equivalents of $28.5 million and $125.4 million of available borrowings through September 30, 2013 under the loan agreement with an entity controlled by the Company’s principal stockholder, The Mann Group, LLC (“The Mann Group”) (see Note 9 — Related-party arrangements). Based upon the Company’s current expectations, management believes the Company’s existing capital resources, including the available borrowings under the loan arrangement with The Mann Group and proceeds received on July 1, 2013 from the first tranche of the debt facility as described below, will enable it to continue planned operations into the fourth quarter of 2013. As described below, the Company previously issued certain public offering warrants that expire in October 2013. If these warrants are exercised prior to their expiration, the Company would receive cash proceeds of $64.6 million, which it believes, when combined with the cash resources and available borrowings discussed above, would provide sufficient capital resources to continue planned operations at least through the end of 2013. However, the Company cannot provide assurances that the warrants will be exercised, that its plans will not change or that changed circumstances will not result in the depletion of its capital resources more rapidly than it currently anticipates.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Capital resources potentially available to the Company include proceeds from the exercise of warrants, at-the-market agreements and issuance of additional 2019 notes as follows:</w:t>
      </w:r>
    </w:p>
    <w:p>
      <w:pPr>
        <w:spacing w:after="0" w:line="13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October 2012, we sold in an underwritten public offering common stock and warrants resulting in net proceeds of $86.3 million and concurrently issued common stock and warrants to The Mann Group in exchange for cancellation of indebtedness under the amended and restated promissory note with The Mann Group (see Note 7 — Common and preferred stock and Note 9 — Related-party arrangements). To the extent that the trading price of our common stock exceeds the exercise price of the warrants on or about the expiration date of the public offering warrants and The Mann Group Warrants issued in October 2012, the warrant holders may potentially exercise all warrants prior to their expiration in the fourth quarter of 2013 making available $89.7 million in gross proceeds from the exercise of public offering warrants and The Mann Group warrant exercise could be settled in exchange for cancellation of indebtedness of $78.0 million. As of June 30, 2013, we have received $25.1 million in proceeds from the exercise of the public offering warrants with $64.6 million remaining unexercised. The Mann Group warrants remained unexercised as of June 30, 2013. There can be no assurances that the trading price of our common stock will be greater than the exercise price of the warrants on or about the expiration date of the warrants due to a variety of factors. There can be no assurances that the remaining warrants will be exercised or that we will receive any additional proceeds from the exercise of the warrants.</w:t>
      </w:r>
    </w:p>
    <w:p>
      <w:pPr>
        <w:spacing w:after="0" w:line="1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March 18, 2013, we entered into at-the-market issuance sales agreements (the “ATM Agreements”) with two sales agents, under which we may issue and sell shares of our common stock having an aggregate offering price of up to $50.0 million under each ATM Agreement (provided that in no event may we issue and sell more than $50.0 million of shares of our common stock under both ATM Agreements in the aggregate) from time to time through either of the sales agents. Neither we nor either of the sales agents has any obligation to sell shares of our common stock under the ATM Agreements. Any sales of common stock made under the ATM Agreements will be made in “at the market” offerings as defined in Rule 415 of the Securities Act of 1933, as amended (the “Securities Act”). We have not yet issued any shares of our common stock under the ATM Agreements. There can be no assurance that we will be able to access capital through the ATM Agreements on a timely basis, or at all.</w:t>
      </w:r>
    </w:p>
    <w:p>
      <w:pPr>
        <w:spacing w:after="0" w:line="118"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On July 1, 2013, we entered into a facility agreement (the “Facility Agreement”) with Deerfield, pursuant to which Deerfield has purchased $40.0 million aggregate principal amount of 9.75% senior secured convertible notes due 2019 (the “2019 notes”) and has committed to purchasing up to an additional $120.0 million aggregate principal amount of 2019 notes upon the satisfaction of certain conditions (see Note 12 — Subsequent Event). There can be no assurance that the conditions required for the additional $120 million of borrowings will be met or met in a timeframe necessary to support our liquidity needs.</w:t>
      </w:r>
    </w:p>
    <w:p>
      <w:pPr>
        <w:spacing w:after="0" w:line="11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Company will need to raise additional capital through the resources identified above or, through the sale of equity or debt securities, a strategic business collaboration with a pharmaceutical company, the establishment of other funding facilities, licensing arrangements, assets sales or other means, in order to continue the development and commercialization of AFREZZA and other product candidates and to support its other ongoing activities. However, the Company cannot provide assurances that such additional capital will be available through any such sources or other sources.</w:t>
      </w:r>
    </w:p>
    <w:p>
      <w:pPr>
        <w:spacing w:after="0" w:line="11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 xml:space="preserve">Fair Value of Financial Instruments — </w:t>
      </w:r>
      <w:r>
        <w:rPr>
          <w:rFonts w:ascii="Arial" w:cs="Arial" w:eastAsia="Arial" w:hAnsi="Arial"/>
          <w:sz w:val="18"/>
          <w:szCs w:val="18"/>
          <w:color w:val="auto"/>
        </w:rPr>
        <w:t>The carrying amounts of financial instruments, which include cash equivalents and accounts payable, approximate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fair values due to their relatively short maturities. The fair value of the note payable to related party cannot be reasonably estimated as the Company would not be able to obtain a similar credit arrangement in the current economic environment.</w:t>
      </w:r>
    </w:p>
    <w:p>
      <w:pPr>
        <w:spacing w:after="0" w:line="140"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Cash equivalents consist of highly liquid investments with original or remaining maturities of 90 days or less at the time of purchase, that are readily convertible into cash. As of June 30, 2013 and December 31, 2012, the Company held $28.5 million and $61.8 million, respectively of cash and cash equivalents, consisting primarily of money market funds of $25.9 million and $60.8 million, respectively, and the remaining in non-interest bearing checking accounts. The fair value of these money market funds was determined by using quoted prices for identical investments in an active market (Level 1 in the fair value hierarchy).</w:t>
      </w:r>
    </w:p>
    <w:p>
      <w:pPr>
        <w:spacing w:after="0" w:line="11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is a summary of the carrying values and estimated fair values of the 2013 notes and the Company’s senior convertible notes due in 2015 (the “2015 notes”) (in millions).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ind w:left="340"/>
              <w:spacing w:after="0"/>
              <w:rPr>
                <w:sz w:val="20"/>
                <w:szCs w:val="20"/>
                <w:color w:val="auto"/>
              </w:rPr>
            </w:pPr>
            <w:r>
              <w:rPr>
                <w:rFonts w:ascii="Arial" w:cs="Arial" w:eastAsia="Arial" w:hAnsi="Arial"/>
                <w:sz w:val="14"/>
                <w:szCs w:val="14"/>
                <w:b w:val="1"/>
                <w:bCs w:val="1"/>
                <w:color w:val="auto"/>
                <w:w w:val="87"/>
              </w:rPr>
              <w:t>June 30, 2013</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 2012</w:t>
            </w:r>
          </w:p>
        </w:tc>
      </w:tr>
      <w:tr>
        <w:trPr>
          <w:trHeight w:val="129"/>
        </w:trPr>
        <w:tc>
          <w:tcPr>
            <w:tcW w:w="38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80" w:type="dxa"/>
            <w:vAlign w:val="bottom"/>
            <w:tcBorders>
              <w:top w:val="single" w:sz="8" w:color="auto"/>
            </w:tcBorders>
            <w:gridSpan w:val="3"/>
          </w:tcPr>
          <w:p>
            <w:pPr>
              <w:jc w:val="center"/>
              <w:ind w:right="560"/>
              <w:spacing w:after="0" w:line="129" w:lineRule="exact"/>
              <w:rPr>
                <w:sz w:val="20"/>
                <w:szCs w:val="20"/>
                <w:color w:val="auto"/>
              </w:rPr>
            </w:pPr>
            <w:r>
              <w:rPr>
                <w:rFonts w:ascii="Arial" w:cs="Arial" w:eastAsia="Arial" w:hAnsi="Arial"/>
                <w:sz w:val="14"/>
                <w:szCs w:val="14"/>
                <w:b w:val="1"/>
                <w:bCs w:val="1"/>
                <w:color w:val="auto"/>
                <w:w w:val="90"/>
              </w:rPr>
              <w:t>Carrying</w:t>
            </w: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Estimated</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0"/>
              </w:rPr>
              <w:t>Carrying</w:t>
            </w: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Estimated</w:t>
            </w:r>
          </w:p>
        </w:tc>
        <w:tc>
          <w:tcPr>
            <w:tcW w:w="300" w:type="dxa"/>
            <w:vAlign w:val="bottom"/>
          </w:tcPr>
          <w:p>
            <w:pPr>
              <w:spacing w:after="0"/>
              <w:rPr>
                <w:sz w:val="11"/>
                <w:szCs w:val="11"/>
                <w:color w:val="auto"/>
              </w:rPr>
            </w:pPr>
          </w:p>
        </w:tc>
      </w:tr>
      <w:tr>
        <w:trPr>
          <w:trHeight w:val="161"/>
        </w:trPr>
        <w:tc>
          <w:tcPr>
            <w:tcW w:w="38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value</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42"/>
              <w:spacing w:after="0"/>
              <w:rPr>
                <w:sz w:val="20"/>
                <w:szCs w:val="20"/>
                <w:color w:val="auto"/>
              </w:rPr>
            </w:pPr>
            <w:r>
              <w:rPr>
                <w:rFonts w:ascii="Arial" w:cs="Arial" w:eastAsia="Arial" w:hAnsi="Arial"/>
                <w:sz w:val="14"/>
                <w:szCs w:val="14"/>
                <w:b w:val="1"/>
                <w:bCs w:val="1"/>
                <w:color w:val="auto"/>
                <w:w w:val="83"/>
              </w:rPr>
              <w:t>value</w:t>
            </w:r>
          </w:p>
        </w:tc>
        <w:tc>
          <w:tcPr>
            <w:tcW w:w="28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Notes due 2013</w:t>
            </w:r>
          </w:p>
        </w:tc>
        <w:tc>
          <w:tcPr>
            <w:tcW w:w="2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114.7</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113.3</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114.4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300" w:type="dxa"/>
            <w:vAlign w:val="bottom"/>
            <w:tcBorders>
              <w:top w:val="single" w:sz="8" w:color="CCEEFF"/>
            </w:tcBorders>
            <w:shd w:val="clear" w:color="auto" w:fill="CCEEFF"/>
          </w:tcPr>
          <w:p>
            <w:pPr>
              <w:spacing w:after="0"/>
              <w:rPr>
                <w:sz w:val="18"/>
                <w:szCs w:val="18"/>
                <w:color w:val="auto"/>
              </w:rPr>
            </w:pP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Notes due 2015</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98.0</w:t>
            </w:r>
          </w:p>
        </w:tc>
        <w:tc>
          <w:tcPr>
            <w:tcW w:w="5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109.9</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97.6</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63.2</w:t>
            </w:r>
          </w:p>
        </w:tc>
        <w:tc>
          <w:tcPr>
            <w:tcW w:w="300" w:type="dxa"/>
            <w:vAlign w:val="bottom"/>
          </w:tcPr>
          <w:p>
            <w:pPr>
              <w:spacing w:after="0"/>
              <w:rPr>
                <w:sz w:val="19"/>
                <w:szCs w:val="19"/>
                <w:color w:val="auto"/>
              </w:rPr>
            </w:pPr>
          </w:p>
        </w:tc>
      </w:tr>
    </w:tbl>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estimated fair value of the 2013 notes was calculated based on quoted prices in an active market (Level 1 in the fair value hierarchy). The estimated fair value of the 2015 notes was calculated based on model-derived valuations whose inputs were observable, such as the Company’s stock price, and non-observable, such as the Company’s longer-term historical volatility (Level 3 in the fair value hierarchy). As there is no current observable market for the 2015 notes, the Company determined the estimated fair value using a convertible bond valuation model within a lattice framework. The convertible bond valuation model combined expected cash outflows with market-based assumptions regarding risk-adjusted yields, stock price volatility and recent price quotes and trading information regarding Company issued debt instruments and shares of common stock into which the notes are convertible.</w:t>
      </w:r>
    </w:p>
    <w:p>
      <w:pPr>
        <w:spacing w:after="0" w:line="12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The Company concluded its Common Stock Purchase Agreement with The Mann Group entered into in February 2012 (“The Mann Group Common Stock Purchase Agreement”) (see Note 7 — Common and preferred stock) represented a contingent forward purchase contract that met the definition of a derivative instrument in accordance with ASC 815 </w:t>
      </w:r>
      <w:r>
        <w:rPr>
          <w:rFonts w:ascii="Arial" w:cs="Arial" w:eastAsia="Arial" w:hAnsi="Arial"/>
          <w:sz w:val="16"/>
          <w:szCs w:val="16"/>
          <w:i w:val="1"/>
          <w:iCs w:val="1"/>
          <w:color w:val="auto"/>
        </w:rPr>
        <w:t>Derivatives and Hedging (“ASC 815”).</w:t>
      </w:r>
      <w:r>
        <w:rPr>
          <w:rFonts w:ascii="Arial" w:cs="Arial" w:eastAsia="Arial" w:hAnsi="Arial"/>
          <w:sz w:val="16"/>
          <w:szCs w:val="16"/>
          <w:color w:val="auto"/>
        </w:rPr>
        <w:t xml:space="preserve"> Of the 31,250,000 shares issuable pursuant to The Mann Group Common Stock Purchase Agreement, the portion of the derivative instrument representing 14.7 million shares were recorded as equity (“Equity Portion”) as they met the criteria for equity classification under ASC 815-40 </w:t>
      </w:r>
      <w:r>
        <w:rPr>
          <w:rFonts w:ascii="Arial" w:cs="Arial" w:eastAsia="Arial" w:hAnsi="Arial"/>
          <w:sz w:val="16"/>
          <w:szCs w:val="16"/>
          <w:i w:val="1"/>
          <w:iCs w:val="1"/>
          <w:color w:val="auto"/>
        </w:rPr>
        <w:t>Derivatives and Hedging, Contracts in an Entity’s Own Stock.</w:t>
      </w:r>
      <w:r>
        <w:rPr>
          <w:rFonts w:ascii="Arial" w:cs="Arial" w:eastAsia="Arial" w:hAnsi="Arial"/>
          <w:sz w:val="16"/>
          <w:szCs w:val="16"/>
          <w:color w:val="auto"/>
        </w:rPr>
        <w:t xml:space="preserve"> The remaining 16.5 million shares (“Non-Equity Portion”) required classification outside of equity as the Company did not have sufficient available shares at the time of issuance. The Company revalued the Non-Equity Portion of the forward purchase contract at each reporting date and recorded a fair value adjustment within “Other income (expense)”. The estimated fair value of The Mann Group Common Stock Purchase Agreement was based on a forward</w:t>
      </w:r>
    </w:p>
    <w:p>
      <w:pPr>
        <w:sectPr>
          <w:pgSz w:w="11900" w:h="16838" w:orient="portrait"/>
          <w:cols w:equalWidth="0" w:num="1">
            <w:col w:w="11420"/>
          </w:cols>
          <w:pgMar w:left="240" w:top="459" w:right="239" w:bottom="1440" w:gutter="0" w:footer="0" w:header="0"/>
        </w:sectPr>
      </w:pP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purchase contract valuation (Level 3 in the fair value hierarchy). The fair value of the forward purchase contract is highly sensitive to the discount applied for lack of marketability and the stock price, and changes in this discount and/or the stock price caused the value of the forward purchase contract to change significantly. The Company recognized the change in fair value of $(336,000) in “Other income (expense)” for the three months ended March 31, 2012. The Company revalued the Non-Equity Portion using a forward contract valuation formula, in which the forward contract was estimated to be equal to the valuation date stock price minus the strike price discounted to the valuation date using a risk-free rate of 0.08% at issuance and 0.06% at March 31, 2012. As the shares which would be received upon settlement were unregistered, the Company applied a discount for lack of marketability of 2.57% at issuance and 1.64% at March 31, 2012 based on quantitative put models, adjusted to take into account qualitative factors, including the fact that the Company’s stock was publicly traded and the fact that there was no contractual restriction on the unregistered shares being registered. As of and for the six months ended June 30, 2012, the Company recognized the change in fair value of $12.0 million in “Other income.” The Company revalued the Non-Equity Portion using a forward contract valuation formula, in which the forward contract is estimated to be equal to the valuation date stock price of $2.40 at issuance and $1.69 at May 17, 2012 minus the strike price discounted to the valuation date using a risk-free rate of 0.08% at issuance and 0.18% at May 17, 2012. As the shares which would be received upon settlement are currently unregistered, the Company applied a discount for lack of marketability of 10.27% at issuance and 1.67% at May 17, 2012 based on quantitative put models, adjusted to take into account qualitative factors, including the fact that the Company’s stock is publicly traded and the fact that there is no contractual restriction on the unregistered shares being registered.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roll-forward provides a summary of changes in fair value of the Company’s Level 3 forward purchase contract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520" w:type="dxa"/>
            <w:vAlign w:val="bottom"/>
            <w:gridSpan w:val="4"/>
          </w:tcPr>
          <w:p>
            <w:pPr>
              <w:jc w:val="center"/>
              <w:ind w:left="642"/>
              <w:spacing w:after="0"/>
              <w:rPr>
                <w:sz w:val="20"/>
                <w:szCs w:val="20"/>
                <w:color w:val="auto"/>
              </w:rPr>
            </w:pPr>
            <w:r>
              <w:rPr>
                <w:rFonts w:ascii="Arial" w:cs="Arial" w:eastAsia="Arial" w:hAnsi="Arial"/>
                <w:sz w:val="14"/>
                <w:szCs w:val="14"/>
                <w:b w:val="1"/>
                <w:bCs w:val="1"/>
                <w:color w:val="auto"/>
                <w:w w:val="86"/>
              </w:rPr>
              <w:t>Three months</w:t>
            </w:r>
          </w:p>
        </w:tc>
        <w:tc>
          <w:tcPr>
            <w:tcW w:w="460" w:type="dxa"/>
            <w:vAlign w:val="bottom"/>
          </w:tcPr>
          <w:p>
            <w:pPr>
              <w:spacing w:after="0"/>
              <w:rPr>
                <w:sz w:val="14"/>
                <w:szCs w:val="14"/>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4"/>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2"/>
              </w:rPr>
              <w:t>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5"/>
              </w:rPr>
              <w:t>June 30, 2012</w:t>
            </w:r>
          </w:p>
        </w:tc>
        <w:tc>
          <w:tcPr>
            <w:tcW w:w="1360" w:type="dxa"/>
            <w:vAlign w:val="bottom"/>
            <w:gridSpan w:val="4"/>
          </w:tcPr>
          <w:p>
            <w:pPr>
              <w:jc w:val="center"/>
              <w:ind w:left="262"/>
              <w:spacing w:after="0"/>
              <w:rPr>
                <w:sz w:val="20"/>
                <w:szCs w:val="20"/>
                <w:color w:val="auto"/>
              </w:rPr>
            </w:pPr>
            <w:r>
              <w:rPr>
                <w:rFonts w:ascii="Arial" w:cs="Arial" w:eastAsia="Arial" w:hAnsi="Arial"/>
                <w:sz w:val="14"/>
                <w:szCs w:val="14"/>
                <w:b w:val="1"/>
                <w:bCs w:val="1"/>
                <w:color w:val="auto"/>
                <w:w w:val="85"/>
              </w:rPr>
              <w:t>June 30,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41"/>
              <w:spacing w:after="0" w:line="129" w:lineRule="exact"/>
              <w:rPr>
                <w:sz w:val="20"/>
                <w:szCs w:val="20"/>
                <w:color w:val="auto"/>
              </w:rPr>
            </w:pPr>
            <w:r>
              <w:rPr>
                <w:rFonts w:ascii="Arial" w:cs="Arial" w:eastAsia="Arial" w:hAnsi="Arial"/>
                <w:sz w:val="14"/>
                <w:szCs w:val="14"/>
                <w:b w:val="1"/>
                <w:bCs w:val="1"/>
                <w:color w:val="auto"/>
                <w:w w:val="90"/>
              </w:rPr>
              <w:t>Forward</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41"/>
              <w:spacing w:after="0" w:line="129" w:lineRule="exact"/>
              <w:rPr>
                <w:sz w:val="20"/>
                <w:szCs w:val="20"/>
                <w:color w:val="auto"/>
              </w:rPr>
            </w:pPr>
            <w:r>
              <w:rPr>
                <w:rFonts w:ascii="Arial" w:cs="Arial" w:eastAsia="Arial" w:hAnsi="Arial"/>
                <w:sz w:val="14"/>
                <w:szCs w:val="14"/>
                <w:b w:val="1"/>
                <w:bCs w:val="1"/>
                <w:color w:val="auto"/>
                <w:w w:val="94"/>
              </w:rPr>
              <w:t>Forward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Purchase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Contract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Contract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Issuance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fair value included in other income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12,347</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Transfers to additional paid-in-capital</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(13,091)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(13,091)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Recently Issued Accounting Standards — </w:t>
      </w:r>
      <w:r>
        <w:rPr>
          <w:rFonts w:ascii="Arial" w:cs="Arial" w:eastAsia="Arial" w:hAnsi="Arial"/>
          <w:sz w:val="16"/>
          <w:szCs w:val="16"/>
          <w:color w:val="auto"/>
        </w:rPr>
        <w:t>In February 2013, the FASB issued ASU 2013-02,</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Comprehensive Income (Topic 220) – Reporting of Amounts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Reclassified Out of Accumulated Other Comprehensive Income. </w:t>
      </w:r>
      <w:r>
        <w:rPr>
          <w:rFonts w:ascii="Arial" w:cs="Arial" w:eastAsia="Arial" w:hAnsi="Arial"/>
          <w:sz w:val="16"/>
          <w:szCs w:val="16"/>
          <w:color w:val="auto"/>
        </w:rPr>
        <w:t>These amendments do not change the current requirements for reporting net income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income in the financial statements. These amendments provide for additional disclosure requirements for amounts reclassified out of accumulated other comprehensive income. These amendments are effective prospectively for interim and annual periods beginning after December 15, 2012. Early adoption is permitted. Effective January 1, 2013, the Company adopted the new requirements as set forth in ASU 2013-02 in the disclosure of comprehensive income on the Company’s consolidated financial statements. The adoption of the new requirements did not have a significant impact on the Company’s consolidated financial statements.</w:t>
      </w:r>
    </w:p>
    <w:p>
      <w:pPr>
        <w:spacing w:after="0" w:line="11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In July, 2013, the FASB ASU 2013-11, </w:t>
      </w:r>
      <w:r>
        <w:rPr>
          <w:rFonts w:ascii="Arial" w:cs="Arial" w:eastAsia="Arial" w:hAnsi="Arial"/>
          <w:sz w:val="16"/>
          <w:szCs w:val="16"/>
          <w:i w:val="1"/>
          <w:iCs w:val="1"/>
          <w:color w:val="auto"/>
        </w:rPr>
        <w:t>Income Taxes (Topic 740): Presentation of an Unrecognized Tax Benefit when a Net Operating Loss Carryforward, a</w:t>
      </w:r>
      <w:r>
        <w:rPr>
          <w:rFonts w:ascii="Arial" w:cs="Arial" w:eastAsia="Arial" w:hAnsi="Arial"/>
          <w:sz w:val="16"/>
          <w:szCs w:val="16"/>
          <w:color w:val="auto"/>
        </w:rPr>
        <w:t xml:space="preserve"> </w:t>
      </w:r>
      <w:r>
        <w:rPr>
          <w:rFonts w:ascii="Arial" w:cs="Arial" w:eastAsia="Arial" w:hAnsi="Arial"/>
          <w:sz w:val="16"/>
          <w:szCs w:val="16"/>
          <w:i w:val="1"/>
          <w:iCs w:val="1"/>
          <w:color w:val="auto"/>
        </w:rPr>
        <w:t>Similar Tax Loss, or a Tax Credit Carryforward Exists (a consensus of the FASB Emerging Issues Task Force)</w:t>
      </w:r>
      <w:r>
        <w:rPr>
          <w:rFonts w:ascii="Arial" w:cs="Arial" w:eastAsia="Arial" w:hAnsi="Arial"/>
          <w:sz w:val="16"/>
          <w:szCs w:val="16"/>
          <w:color w:val="auto"/>
        </w:rPr>
        <w:t>. The amendments in this ASU provide guidance on</w:t>
      </w:r>
      <w:r>
        <w:rPr>
          <w:rFonts w:ascii="Arial" w:cs="Arial" w:eastAsia="Arial" w:hAnsi="Arial"/>
          <w:sz w:val="16"/>
          <w:szCs w:val="16"/>
          <w:i w:val="1"/>
          <w:iCs w:val="1"/>
          <w:color w:val="auto"/>
        </w:rPr>
        <w:t xml:space="preserve"> </w:t>
      </w:r>
      <w:r>
        <w:rPr>
          <w:rFonts w:ascii="Arial" w:cs="Arial" w:eastAsia="Arial" w:hAnsi="Arial"/>
          <w:sz w:val="16"/>
          <w:szCs w:val="16"/>
          <w:color w:val="auto"/>
        </w:rPr>
        <w:t>the financial statements presentation of an unrecognized tax benefit when a net operating loss 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The amendments in this ASU are effective for fiscal years, and interim periods within those years, beginning after December 15, 2013. The Company is evaluating the impact, if any, of the adoption of ASU 2013-11 will have on the Company’s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Accrued expenses and other current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Salary and related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6,558</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5,995</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2,661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3,878</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26,984</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25,777</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for 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recognized in the accompanying condensed consolidated statements of operations for the three and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2013 and 2012 was as follows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Three months ended</w:t>
            </w:r>
          </w:p>
        </w:tc>
        <w:tc>
          <w:tcPr>
            <w:tcW w:w="380" w:type="dxa"/>
            <w:vAlign w:val="bottom"/>
          </w:tcPr>
          <w:p>
            <w:pPr>
              <w:spacing w:after="0"/>
              <w:rPr>
                <w:sz w:val="14"/>
                <w:szCs w:val="14"/>
                <w:color w:val="auto"/>
              </w:rPr>
            </w:pPr>
          </w:p>
        </w:tc>
        <w:tc>
          <w:tcPr>
            <w:tcW w:w="14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716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4"/>
                <w:szCs w:val="14"/>
                <w:color w:val="auto"/>
              </w:rPr>
            </w:pPr>
          </w:p>
        </w:tc>
        <w:tc>
          <w:tcPr>
            <w:tcW w:w="14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7160" w:type="dxa"/>
            <w:vAlign w:val="bottom"/>
          </w:tcPr>
          <w:p>
            <w:pPr>
              <w:spacing w:after="0"/>
              <w:rPr>
                <w:sz w:val="12"/>
                <w:szCs w:val="12"/>
                <w:color w:val="auto"/>
              </w:rPr>
            </w:pPr>
          </w:p>
        </w:tc>
        <w:tc>
          <w:tcPr>
            <w:tcW w:w="58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2"/>
                <w:szCs w:val="12"/>
                <w:color w:val="auto"/>
              </w:rPr>
            </w:pPr>
          </w:p>
        </w:tc>
        <w:tc>
          <w:tcPr>
            <w:tcW w:w="58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r>
      <w:tr>
        <w:trPr>
          <w:trHeight w:val="210"/>
        </w:trPr>
        <w:tc>
          <w:tcPr>
            <w:tcW w:w="7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w:t>
            </w: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10,172</w:t>
            </w: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3,072</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15,362</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5,951</w:t>
            </w:r>
          </w:p>
        </w:tc>
        <w:tc>
          <w:tcPr>
            <w:tcW w:w="200" w:type="dxa"/>
            <w:vAlign w:val="bottom"/>
            <w:tcBorders>
              <w:top w:val="single" w:sz="8" w:color="CCEEFF"/>
            </w:tcBorders>
            <w:shd w:val="clear" w:color="auto" w:fill="CCEEFF"/>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On March 7, 2013, the Board approved a management proposal designed to encourage employee retention, as recommended for approval by the Compensation Committee. The Company granted 5,846,000 performance-based restricted stock units to employees, including executive officers of the Company other than our Chief Executive Officer, with vesting terms subject to the achievement of specified regulatory and business development milestones related to AFREZZA. The performance-based restricted stock units had a grant date fair value of $2.81 per unit.</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May 23, 2013, the Company’s stockholders approved the 2013 Equity Incentive Plan (the “Plan”). The Plan is the successor to and continuation of the previous active stock-based compensation plans - 2004 Equity Incentive Plan and the 2004 Non-Employee Directors’ Stock Option Plan. The Plan provides for the grant of incentive stock options, nonstatutory stock options, restricted stock awards, restricted stock unit awards, stock appreciation rights, other stock awards, and performance awards that may be settled in cash, stock, or other property. All of the Company’s employees, non-employee directors and consultants are eligible to participate in the Plan and may receive all types of awards; provided that incentive stock options may be granted under the Plan only to employees (including officers) and employees of the Company’s affiliates.</w:t>
      </w:r>
    </w:p>
    <w:p>
      <w:pPr>
        <w:spacing w:after="0" w:line="12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 May 23, 2013, the Compensation Committee approved a management proposal designed to encourage employee retention. The proposal involved the grant of 5,598,100 performance-based stock options and 1,687,900 performance-based restricted stock units to employees, including executive officers of the Company. These grants have vesting terms subject to the achievement of certain performance milestones. The performance-based options and performance-based restricted stock units had a grant date per share fair value of $3.05 and $6.85, respectively.</w:t>
      </w:r>
    </w:p>
    <w:p>
      <w:pPr>
        <w:spacing w:after="0" w:line="113" w:lineRule="exact"/>
        <w:rPr>
          <w:sz w:val="20"/>
          <w:szCs w:val="20"/>
          <w:color w:val="auto"/>
        </w:rPr>
      </w:pPr>
    </w:p>
    <w:p>
      <w:pPr>
        <w:ind w:right="240"/>
        <w:spacing w:after="0" w:line="318" w:lineRule="auto"/>
        <w:rPr>
          <w:sz w:val="20"/>
          <w:szCs w:val="20"/>
          <w:color w:val="auto"/>
        </w:rPr>
      </w:pPr>
      <w:r>
        <w:rPr>
          <w:rFonts w:ascii="Arial" w:cs="Arial" w:eastAsia="Arial" w:hAnsi="Arial"/>
          <w:sz w:val="15"/>
          <w:szCs w:val="15"/>
          <w:color w:val="auto"/>
        </w:rPr>
        <w:t>As of June 30, 2013, there was $24.3 million and $31.5 million of unrecognized compensation cost related to options and restricted stock units, respectively, which are expected to be recognized over the remaining weighted average vesting period of 0.8 years.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 As of June 30, 2013, there was $107,000 and $3.7 million of unrecognized expenses related to performance options and restricted stock units, respectively, for milestones not considered probable of achievement.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common share</w:t>
      </w:r>
    </w:p>
    <w:p>
      <w:pPr>
        <w:spacing w:after="0" w:line="9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Basic net loss per share excludes dilution for potentially dilutive securities and is computed by dividing net loss applicable to common stockholders by the weighted average number of common shares outstanding during the period excluding the shares loaned to Bank of America, N.A. under a share lending arrangement (see Note 7 — Common and preferred stock). As of June 30, 2013, 9,000,000 shares of the Company’s common stock, which were loaned to Bank of America, N.A. pursuant to the terms of a share lending agreement as described in Note 7, were issued and are outstanding, and holders of the borrowed shares have all the rights of a holder of the Company’s common stock. However, because the share borrower must return all borrowed shares to the Company (or, in certain circumstances, the cash value thereof), the borrowed shares are not considered outstanding for the purpose of computing and reporting basic or diluted earnings (loss) per share.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condensed consolidated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129,432,728 shares and 61,741,900 shares as of June 30, 2013 and 2012, respectively, and exclude the 9,000,000 shares loaned under the share lending arrangement.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State research and development credit exchange receivable</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w:t>
      </w:r>
    </w:p>
    <w:p>
      <w:pPr>
        <w:sectPr>
          <w:pgSz w:w="11900" w:h="16838" w:orient="portrait"/>
          <w:cols w:equalWidth="0" w:num="1">
            <w:col w:w="11400"/>
          </w:cols>
          <w:pgMar w:left="240" w:top="459" w:right="25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459" w:right="2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tax credit available for exchange. Current estimated amounts receivable under the program were $450,000 at June 30, 2013 and December 31, 2012. Long-term estimated amounts receivable under the program were $470,000 and $313,000 at June 30, 2013 and December 31, 2012,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 net consist of the following (dollar amounts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Estimated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2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Useful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2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Life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9"/>
              </w:rPr>
              <w:t>June 30,</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61"/>
        </w:trPr>
        <w:tc>
          <w:tcPr>
            <w:tcW w:w="62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(Years)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6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Buildings</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39-40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54,948</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54,948</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114,245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114,245</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81,368</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81,382</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5,164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5,239</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11,834</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11,840</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13,757</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12,266</w:t>
            </w:r>
          </w:p>
        </w:tc>
        <w:tc>
          <w:tcPr>
            <w:tcW w:w="100" w:type="dxa"/>
            <w:vAlign w:val="bottom"/>
          </w:tcPr>
          <w:p>
            <w:pPr>
              <w:spacing w:after="0"/>
              <w:rPr>
                <w:sz w:val="19"/>
                <w:szCs w:val="19"/>
                <w:color w:val="auto"/>
              </w:rPr>
            </w:pPr>
          </w:p>
        </w:tc>
      </w:tr>
      <w:tr>
        <w:trPr>
          <w:trHeight w:val="216"/>
        </w:trPr>
        <w:tc>
          <w:tcPr>
            <w:tcW w:w="6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286,606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285,210</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(107,039)</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(101,249)</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179,567</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183,961</w:t>
            </w:r>
          </w:p>
        </w:tc>
        <w:tc>
          <w:tcPr>
            <w:tcW w:w="100" w:type="dxa"/>
            <w:vAlign w:val="bottom"/>
            <w:shd w:val="clear" w:color="auto" w:fill="CCEEFF"/>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four years which is the shorter of the term of the lease or the service lives of the improvements.</w:t>
      </w:r>
    </w:p>
    <w:p>
      <w:pPr>
        <w:spacing w:after="0" w:line="17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Depreciation and amortization expense related to property and equipment for the three and six months ended June 30, 2013 and 2012 was as follows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380" w:type="dxa"/>
            <w:vAlign w:val="bottom"/>
          </w:tcPr>
          <w:p>
            <w:pPr>
              <w:spacing w:after="0"/>
              <w:rPr>
                <w:sz w:val="14"/>
                <w:szCs w:val="14"/>
                <w:color w:val="auto"/>
              </w:rPr>
            </w:pPr>
          </w:p>
        </w:tc>
        <w:tc>
          <w:tcPr>
            <w:tcW w:w="14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50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4"/>
                <w:szCs w:val="14"/>
                <w:color w:val="auto"/>
              </w:rPr>
            </w:pPr>
          </w:p>
        </w:tc>
        <w:tc>
          <w:tcPr>
            <w:tcW w:w="14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50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2"/>
                <w:szCs w:val="12"/>
                <w:color w:val="auto"/>
              </w:rPr>
            </w:pPr>
          </w:p>
        </w:tc>
        <w:tc>
          <w:tcPr>
            <w:tcW w:w="500" w:type="dxa"/>
            <w:vAlign w:val="bottom"/>
            <w:tcBorders>
              <w:top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r>
      <w:tr>
        <w:trPr>
          <w:trHeight w:val="210"/>
        </w:trPr>
        <w:tc>
          <w:tcPr>
            <w:tcW w:w="5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 expense</w:t>
            </w:r>
          </w:p>
        </w:tc>
        <w:tc>
          <w:tcPr>
            <w:tcW w:w="2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2,956</w:t>
            </w:r>
          </w:p>
        </w:tc>
        <w:tc>
          <w:tcPr>
            <w:tcW w:w="4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$ 3,304</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5,946</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6,661</w:t>
            </w:r>
          </w:p>
        </w:tc>
        <w:tc>
          <w:tcPr>
            <w:tcW w:w="200" w:type="dxa"/>
            <w:vAlign w:val="bottom"/>
            <w:tcBorders>
              <w:top w:val="single" w:sz="8" w:color="CCEEFF"/>
            </w:tcBorders>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and preferred stock</w:t>
      </w:r>
    </w:p>
    <w:p>
      <w:pPr>
        <w:spacing w:after="0" w:line="96"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The Company is authorized to issue 550,000,000 shares of common stock, par value $0.01 per share, and 10,000,000 shares of undesignated preferred stock, par value $0.01 per share, issuable in one or more series designated by the Company’s board of directors. No other class of capital stock is authorized. As of June 30, 2013 and December 31, 2012, 300,869,683 and 286,035,082 shares of common stock, respectively, were issued and outstanding and no shares of preferred stock were outstanding. Included in the common stock outstanding as of June 30, 2013 and December 31, 2012 are 9,000,000 shares of common stock loaned to Bank of America under a share lending agreement in connection with the offering of the $100.0 million aggregate principal amount of 2015 notes (see Note 10 — Senior convertible notes). Bank of America is obligated to return the borrowed shares (or, in certain circumstances, the cash value thereof) to the Company on or about the 45th business day following the date as of which the entire principal amount of the notes ceases to be outstanding, subject to extension or acceleration in certain circumstances or early termination at Bank of America’s option. The Company did not receive any proceeds from the sale of the borrowed shares by Bank of America, but the Company did receive a nominal lending fee of $0.01 per share from Bank of America for the use of borrowed shares.</w:t>
      </w:r>
    </w:p>
    <w:p>
      <w:pPr>
        <w:spacing w:after="0" w:line="10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In February 2012, the Company sold in an underwritten public offering 35,937,500 units at an aggregate price to the public of $86.3 million, with each unit consisting of one share of common stock and a warrant to purchase 0.6 of a share of common stock. Net proceeds from this offering were approximately $80.6 million, excluding any future proceeds from the exercise of warrants. The warrants are exercisable at $2.40 per share and expire in February 2016. Concurrent with this public offering, pursuant to The Mann Group Common Stock Purchase Agreement entered into in February 2012, The Mann Group agreed to purchase $77.2 million worth of restricted shares or 31,250,000 restricted shares of common stock at an aggregate purchase price of $77.2 million, which were issued in June 2012 in exchange for cancellation of principal indebtedness of $77.2 million under the revolving amended and restated loan arrangement (see Note 9 — Related-party arrangements).</w:t>
      </w:r>
    </w:p>
    <w:p>
      <w:pPr>
        <w:spacing w:after="0" w:line="1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October 2012, the Company sold in an underwritten public offering 46,000,000 units at an aggregate price to the public of $92.0 million, with each unit consisting of one share of common stock and a warrant to purchase 0.75 of a share of common stock. Net proceeds from this offering were approximately $86.3 million, excluding any future proceeds from the exercise of warrants.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warrants are exercisable at $2.60 per share and expire in the fourth quarter of 2013. As of June 30, 2013, we have received $25.1 million in proceeds from the exercise of a portion of such warrants with $64.6 million remaining unexercised. Concurrent with this public offering, pursuant to a Common Stock and Warrant Purchase Agreement with The Mann Group entered into in October 2012 (the “Mann Group Common Stock and Warrant Purchase Agreement”), The Mann Group agreed to purchase for an aggregate purchase price of $107.4 million, 40,000,000 restricted shares of common stock and warrants to purchase 30,000,000 restricted shares of common stock, which were issued in October 2012 in exchange for cancellation of principal indebtedness of $107.4 million under the revolving amended and restated loan arrangement (see Note 9 — Related-party arrangements). The Mann Group warrants are exercisable at $2.60 per share and expire in the fourth quarter of 2013. As of June 30, 2013, The Mann Group warrants remained unexercised.</w:t>
      </w:r>
    </w:p>
    <w:p>
      <w:pPr>
        <w:spacing w:after="0" w:line="11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In connection with both the February and October 2012 public offerings, the Company performed an analysis of the warrants to determine their appropriate classification and concluded that in both instances the warrants should be classified within equity. In connection with The Mann Group Common Stock Purchase Agreement the Company concluded that this agreement represented a contingent forward contract that met the definition of a derivative instrument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and that a portion of the restricted common stock issued should be classified as equity and the remaining portion should be classified as assets or liabilities accounted for at fair value. In connection with The Mann Group Common Stock and Warrant Purchase Agreement, the Company concluded that this agreement represented a contingent forward contract and that the restricted common stock and warrants issued to The Mann Group should be classified as assets or liabilities accounted for at fair value. Both the February and October forward contracts settled during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Guarantees and Indemnifications — </w:t>
      </w:r>
      <w:r>
        <w:rPr>
          <w:rFonts w:ascii="Arial" w:cs="Arial" w:eastAsia="Arial" w:hAnsi="Arial"/>
          <w:sz w:val="16"/>
          <w:szCs w:val="16"/>
          <w:color w:val="auto"/>
        </w:rPr>
        <w:t>In the ordinary course of its business, the Company makes certain indemnities, commitments and guarantees under which 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w:t>
      </w:r>
    </w:p>
    <w:p>
      <w:pPr>
        <w:spacing w:after="0" w:line="11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i w:val="1"/>
          <w:iCs w:val="1"/>
          <w:color w:val="auto"/>
        </w:rPr>
        <w:t xml:space="preserve">Litigation — </w:t>
      </w:r>
      <w:r>
        <w:rPr>
          <w:rFonts w:ascii="Arial" w:cs="Arial" w:eastAsia="Arial" w:hAnsi="Arial"/>
          <w:sz w:val="16"/>
          <w:szCs w:val="16"/>
          <w:color w:val="auto"/>
        </w:rPr>
        <w:t>The Company is subject to legal proceedings and claims which arise in the ordinary course of its business. As of the date hereof,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believes that the final disposition of such matters will not have a material adverse effect on the financial position, results of operations or cash flows of the Company. The Company maintains liability insurance coverage to protect the Company’s assets from losses arising out of or involving activities associated with ongoing and normal business operations. In accordance with ASC 450 </w:t>
      </w:r>
      <w:r>
        <w:rPr>
          <w:rFonts w:ascii="Arial" w:cs="Arial" w:eastAsia="Arial" w:hAnsi="Arial"/>
          <w:sz w:val="16"/>
          <w:szCs w:val="16"/>
          <w:i w:val="1"/>
          <w:iCs w:val="1"/>
          <w:color w:val="auto"/>
        </w:rPr>
        <w:t>Contingencies</w:t>
      </w:r>
      <w:r>
        <w:rPr>
          <w:rFonts w:ascii="Arial" w:cs="Arial" w:eastAsia="Arial" w:hAnsi="Arial"/>
          <w:sz w:val="16"/>
          <w:szCs w:val="16"/>
          <w:color w:val="auto"/>
        </w:rPr>
        <w:t>, the Company would record a provision for a liability when it is both probable that a liability has been incurred and the amount of the loss can be reasonably estimated.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Related-party arrangements</w:t>
      </w:r>
    </w:p>
    <w:p>
      <w:pPr>
        <w:spacing w:after="0" w:line="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In October 2007, the Company entered into a $350.0 million loan arrangement with its principal stockholder. In February 2009, the promissory note underlying the loan arrangement was revised as a result of the Company’s principal stockholder being subject to the licensing requirement under the California Finance Lenders Law. Accordingly, the lender was changed to The Mann Group. Until January 1, 2013, interest on outstanding principal amounts accrued at a fixed rate equal to the one-year LIBOR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The promissory note underlying the loan arrangement was amended at various dates during 2012. The most recent amendment occurred in October 2012 to extend the maturity date to January 1, 2014, extend the date through which the Company can borrow under the promissory note to September 30, 2013, and adjust the annual interest rate on all outstanding principal to the one-year LIBOR on December 31, 2012 plus 5%. Effective January 1, 2013, the borrowing rate for all borrowings under the promissory note with The Mann Group was set at 5.84%.</w:t>
      </w:r>
    </w:p>
    <w:p>
      <w:pPr>
        <w:spacing w:after="0" w:line="118"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As of June 30, 2013, the total principal amount outstanding under the credit facility was $119.6 million, and the amount available for future borrowings was $125.4 million. Interest is due and payable quarterly in arrears on the first day of each calendar quarter for the preceding quarter, or at such other time as the Company and The Mann Group mutually agree. All or any portion of accrued and unpaid interest that becomes due and payable may be paid-in-kind and capitalized at any time upon mutual agreement of both parties. The Mann Group can require the Company to prepay up to $200.0 million in advances that have been outstanding for at least 12 months. If The Mann Group exercises this right, the Company will have 90 days after The Mann Group provides written notice (or the number of days to maturity of the note if less than 90 days) to prepay such advances (see discussion regarding letter agreement below).</w:t>
      </w:r>
    </w:p>
    <w:p>
      <w:pPr>
        <w:spacing w:after="0" w:line="12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August 2010, the Company entered into a letter agreement confirming a previous commitment by The Mann Group to not require the Company to prepay amounts outstanding under the amended and restated promissory note if the prepayment would require the Company to use its working capital resources. In the event of a default, all unpaid principal and interest either becomes immediately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due and payable or may be accelerated at The Mann Group’s option, and the interest rate will increase to the one-year LIBOR calculated on the date of the initial advance or in effect on the date of default, whichever is greater, plus 5% per annum. All borrowings under the loan arrangement are unsecured. The loan arrangement contains no financial covenants. There are no warrants associated with the loan arrangement.</w:t>
      </w:r>
    </w:p>
    <w:p>
      <w:pPr>
        <w:spacing w:after="0" w:line="10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February 2012, concurrent with an the underwritten public offering (see Note 7 — Common and preferred stock), pursuant to The Mann Group Common Stock Purchase Agreement, The Mann Group agreed to purchase $77.2 million worth of restricted shares or 31,250,000 restricted shares of common stock, which were issued in June 2012 in exchange for cancellation of principal indebtedness of $77.2 million under the revolving amended and restated loan arrangement.</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October 2012, concurrent with an underwritten public offering (see Note 7 — Common and preferred stock), pursuant to The Mann Group Common Stock and Warrant Purchase Agreement, The Mann Group agreed to purchase for an aggregate purchase price of $107.4 million, 40,000,000 restricted shares of common stock and warrants to purchase 30,000,000 restricted shares of common stock, which were issued in October 2012 in exchange for cancellation of principal indebtedness of $107.4 million under the revolving amended and restated loan arrangement. The Mann Group warrants are exercisable at $2.60 per share and expire in October 2013.</w:t>
      </w:r>
    </w:p>
    <w:p>
      <w:pPr>
        <w:spacing w:after="0" w:line="14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restricted shares sold to The Mann Group in both the June and October 2012 transactions may not be sold, pledged, assigned or transferred unless (i) the shares have been registered with the Securities and Exchange Commission (“SEC”) or (ii) the restricted shares are exempt from SEC registration requirements and the company has obtained an opinion from the company’s counsel that the shares may be sold lawfully without registration.</w:t>
      </w:r>
    </w:p>
    <w:p>
      <w:pPr>
        <w:spacing w:after="0" w:line="10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cancelled principal amount became available for reborrowing. Additionally, in accordance with the terms of the note, the Company elected to capitalize the accrued and unpaid interest on the cancelled principal amount that became due upon the closing (see Note 7 – Common and preferred stock). During the first and second quarters of 2013, there were no borrowings under or amendments to The Mann Group loan arrangement.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Senior convertible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Senior convertible notes consist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1100" w:type="dxa"/>
            <w:vAlign w:val="bottom"/>
            <w:gridSpan w:val="4"/>
          </w:tcPr>
          <w:p>
            <w:pPr>
              <w:ind w:left="220"/>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78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2013 notes</w:t>
            </w:r>
          </w:p>
        </w:tc>
        <w:tc>
          <w:tcPr>
            <w:tcW w:w="2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amount</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$ 115,000</w:t>
            </w:r>
          </w:p>
        </w:tc>
        <w:tc>
          <w:tcPr>
            <w:tcW w:w="30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115,000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Unaccreted debt issuance expense</w:t>
            </w:r>
          </w:p>
        </w:tc>
        <w:tc>
          <w:tcPr>
            <w:tcW w:w="2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21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114,744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114,443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 notes</w:t>
            </w: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amount</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Unaccreted debt issuance expense</w:t>
            </w:r>
          </w:p>
        </w:tc>
        <w:tc>
          <w:tcPr>
            <w:tcW w:w="2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(2,417)</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21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98,004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97,583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212,748</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212,026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August 18, 2010, the Company completed a Rule 144A offering of $100.0 million aggregate principal amount of the 2015 notes. The 2015 notes are governed by the terms of an indenture dated as of August 24, 2010 (the “2015 Note Indenture”). The 2015 notes bear interest at the rate of 5.75% per year on the principal amount, payable in cash semi-annually in arrears on February 15 and August 15 of each year, beginning February 15, 2011. In connection with the 2015 notes, the Company had accrued interest of $2.2 million as of June 30, 2013 and December 31, 2012, respectively. The 2015 notes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2015 notes is August 15, 2015 and payment is due in full on that date for unconverted securities. Holders of the 2015 notes may convert, at any time prior to the close of business on the business day immediately preceding the stated maturity date, any outstanding principal into shares of the Company’s common stock at an initial conversion rate of 147.0859 shares per $1,000 principal amount, which is equal to a conversion price of approximately $6.80 per share, subject to adjustment. Except in certain circumstances, if the Company undergoes a fundamental change: (1) the Company will pay a make-whole premium on the 2015 notes converted in connection with a fundamental change by increasing the conversion rate on such 2015 notes, which amount, if any, will be based on the Company’s common stock price and the effective date of the fundamental change, and (2) each holder of 2015 notes will have the option to require the Company to repurchase all or any portion of such holder’s 2015 notes at a repurchase price of 100% of the principal amount of the 2015 notes to be repurchased plus accrued and unpaid interest, if any. The Company may elect to redeem some or all of the 2015 notes if the closing stock price has equaled 150% of the conversion price for at least 20 of the 30 consecutive trading days ending on the trading day before the Company’s redemption notice. The redemption price will equal 100% of the principal amount of the 2015 notes to be redeemed, plus accrued and unpaid interest, if any, to, but excluding, the redemption date, plus a make-whole payment equal to the sum of the present values of the remaining scheduled interest payments through and including August 15, 2015</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(other than interest accrued up to, but excluding, the redemption date). The Company will be obligated to make the make-whole payment on all the 2015 notes called for redemption and converted during the period from the date the Company mailed the notice of redemption to and including the redemption date. The Company may elect to make the make-whole payment in cash or shares of its common stock, subject to certain limitations. Under the terms of the 2015 Note Indenture, the conversion option can be net-share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existing commitments. Applying the Company’s sequencing policy, the Company performed an analysis at the time of the offering of the 2015 notes and each reporting date since and has concluded that the number of available authorized shares at the time of the offering and each subsequent reporting date was sufficient to deliver the number of shares that could be required to be delivered during the contract period under existing commitments.</w:t>
      </w:r>
    </w:p>
    <w:p>
      <w:pPr>
        <w:spacing w:after="0" w:line="120" w:lineRule="exact"/>
        <w:rPr>
          <w:sz w:val="20"/>
          <w:szCs w:val="20"/>
          <w:color w:val="auto"/>
        </w:rPr>
      </w:pPr>
    </w:p>
    <w:p>
      <w:pPr>
        <w:ind w:right="820"/>
        <w:spacing w:after="0" w:line="370" w:lineRule="auto"/>
        <w:rPr>
          <w:sz w:val="20"/>
          <w:szCs w:val="20"/>
          <w:color w:val="auto"/>
        </w:rPr>
      </w:pPr>
      <w:r>
        <w:rPr>
          <w:rFonts w:ascii="Arial" w:cs="Arial" w:eastAsia="Arial" w:hAnsi="Arial"/>
          <w:sz w:val="15"/>
          <w:szCs w:val="15"/>
          <w:color w:val="auto"/>
        </w:rPr>
        <w:t>The Company incurred approximately $4.2 million in issuance costs which are recorded as an offset to the 2015 notes in the accompanying condensed consolidated balance sheets. These costs are being amortized to interest expense using the effective interest method over the term of the 2015 notes.</w:t>
      </w:r>
    </w:p>
    <w:p>
      <w:pPr>
        <w:spacing w:after="0" w:line="6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December 12, 2006, the Company completed an offering of $115.0 million aggregate principal amount of 3.75% Senior Convertible Notes due 2013 (the “2013 notes”), including $15.0 million aggregate principal amount of the 2013 notes sold pursuant to the underwriters’ over-allotment option that was exercised in full. The 2013 notes are governed by the terms of an indenture dated as of November 1, 2006 and a First Supplemental Indenture, dated as of December 12, 2006 (the “2013 Note Indenture”). The 2013 notes bear interest at the rate of 3.75% per year on the principal amount, payable in cash semi-annually in arrears on June 15 and December 15 of each year, beginning June 15, 2007. In connection with the 2013 notes, the Company had accrued interest of $192,000 as of June 30, 2013 and December 31, 2012, respectively. The 2013 notes are general, unsecured, senior obligations of the Company and effectively rank junior in right of payment to all of the Company’s secured debt, to the extent of the value of the assets securing such debt, and to the debt and all other liabilities of the Company. The maturity date of the 2013 notes is December 15, 2013, and payment is due in full on that date for unconverted securities. Holders of the 2013 notes may convert, at any time prior to the close of business on the business day immediately preceding the stated maturity date, any outstanding principal into shares of the Company’s common stock at an initial conversion rate of 44.5002 shares per $1,000 principal amount, which is equal to a conversion price of approximately $22.47 per share, subject to adjustment. Except in certain circumstances, if the Company undergoes a fundamental change: (1) the Company will pay a make-whole premium on the 2013 notes converted in connection with a fundamental change by increasing the conversion rate on such Notes, which amount, if any, will be based on the Company’s common stock price and the effective date of the fundamental change, and (2) each holder of 2013 notes will have the option to require the Company to repurchase all or any portion of such holder’s Notes at a repurchase price of 100% of the principal amount of the Notes to be repurchased plus accrued and unpaid interest, if any. Under the terms of the 2013 Note Indenture, the conversion option can be net-share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existing commitments. Applying the Company’s sequencing policy, the Company performed an analysis at the time of the offering of the 2013 notes and each reporting date since and has concluded that the number of available authorized shares at the time of the offering and each subsequent reporting date was sufficient to deliver the number of shares that could be required to be delivered during the contract period under existing commitments.</w:t>
      </w:r>
    </w:p>
    <w:p>
      <w:pPr>
        <w:spacing w:after="0" w:line="129" w:lineRule="exact"/>
        <w:rPr>
          <w:sz w:val="20"/>
          <w:szCs w:val="20"/>
          <w:color w:val="auto"/>
        </w:rPr>
      </w:pPr>
    </w:p>
    <w:p>
      <w:pPr>
        <w:ind w:right="820"/>
        <w:spacing w:after="0" w:line="370" w:lineRule="auto"/>
        <w:rPr>
          <w:sz w:val="20"/>
          <w:szCs w:val="20"/>
          <w:color w:val="auto"/>
        </w:rPr>
      </w:pPr>
      <w:r>
        <w:rPr>
          <w:rFonts w:ascii="Arial" w:cs="Arial" w:eastAsia="Arial" w:hAnsi="Arial"/>
          <w:sz w:val="15"/>
          <w:szCs w:val="15"/>
          <w:color w:val="auto"/>
        </w:rPr>
        <w:t>The Company incurred approximately $3.7 million in issuance costs which are recorded as an offset to the 2013 notes in the accompanying condensed consolidated balance sheets. These costs are being amortized to interest expense using the effective interest method over the term of the 2013 notes.</w:t>
      </w:r>
    </w:p>
    <w:p>
      <w:pPr>
        <w:spacing w:after="0" w:line="6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Accretion of debt issuance expense in connection with the offerings of the 2015 notes and the 2013 notes during the three and six months ended June 30, 2013 and 2012 were as follows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380" w:type="dxa"/>
            <w:vAlign w:val="bottom"/>
          </w:tcPr>
          <w:p>
            <w:pPr>
              <w:spacing w:after="0"/>
              <w:rPr>
                <w:sz w:val="14"/>
                <w:szCs w:val="14"/>
                <w:color w:val="auto"/>
              </w:rPr>
            </w:pPr>
          </w:p>
        </w:tc>
        <w:tc>
          <w:tcPr>
            <w:tcW w:w="12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7460" w:type="dxa"/>
            <w:vAlign w:val="bottom"/>
          </w:tcPr>
          <w:p>
            <w:pPr>
              <w:spacing w:after="0"/>
              <w:rPr>
                <w:sz w:val="14"/>
                <w:szCs w:val="14"/>
                <w:color w:val="auto"/>
              </w:rPr>
            </w:pPr>
          </w:p>
        </w:tc>
        <w:tc>
          <w:tcPr>
            <w:tcW w:w="1000" w:type="dxa"/>
            <w:vAlign w:val="bottom"/>
            <w:gridSpan w:val="3"/>
          </w:tcPr>
          <w:p>
            <w:pPr>
              <w:jc w:val="center"/>
              <w:ind w:left="327"/>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7460" w:type="dxa"/>
            <w:vAlign w:val="bottom"/>
          </w:tcPr>
          <w:p>
            <w:pPr>
              <w:spacing w:after="0"/>
              <w:rPr>
                <w:sz w:val="12"/>
                <w:szCs w:val="12"/>
                <w:color w:val="auto"/>
              </w:rPr>
            </w:pPr>
          </w:p>
        </w:tc>
        <w:tc>
          <w:tcPr>
            <w:tcW w:w="480" w:type="dxa"/>
            <w:vAlign w:val="bottom"/>
            <w:tcBorders>
              <w:top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3"/>
              </w:rPr>
              <w:t>2012</w:t>
            </w:r>
          </w:p>
        </w:tc>
        <w:tc>
          <w:tcPr>
            <w:tcW w:w="380" w:type="dxa"/>
            <w:vAlign w:val="bottom"/>
          </w:tcPr>
          <w:p>
            <w:pPr>
              <w:spacing w:after="0"/>
              <w:rPr>
                <w:sz w:val="12"/>
                <w:szCs w:val="12"/>
                <w:color w:val="auto"/>
              </w:rPr>
            </w:pPr>
          </w:p>
        </w:tc>
        <w:tc>
          <w:tcPr>
            <w:tcW w:w="420" w:type="dxa"/>
            <w:vAlign w:val="bottom"/>
            <w:tcBorders>
              <w:top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r>
      <w:tr>
        <w:trPr>
          <w:trHeight w:val="210"/>
        </w:trPr>
        <w:tc>
          <w:tcPr>
            <w:tcW w:w="7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Accretion expense</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364</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$ 722</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$ 682</w:t>
            </w:r>
          </w:p>
        </w:tc>
        <w:tc>
          <w:tcPr>
            <w:tcW w:w="200" w:type="dxa"/>
            <w:vAlign w:val="bottom"/>
            <w:tcBorders>
              <w:top w:val="single" w:sz="8" w:color="CCEEFF"/>
            </w:tcBorders>
            <w:shd w:val="clear" w:color="auto" w:fill="CCEEFF"/>
          </w:tcPr>
          <w:p>
            <w:pPr>
              <w:spacing w:after="0"/>
              <w:rPr>
                <w:sz w:val="18"/>
                <w:szCs w:val="18"/>
                <w:color w:val="auto"/>
              </w:rPr>
            </w:pPr>
          </w:p>
        </w:tc>
      </w:tr>
      <w:tr>
        <w:trPr>
          <w:trHeight w:val="20"/>
        </w:trPr>
        <w:tc>
          <w:tcPr>
            <w:tcW w:w="7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As required by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w:t>
      </w:r>
      <w:r>
        <w:rPr>
          <w:rFonts w:ascii="Arial" w:cs="Arial" w:eastAsia="Arial" w:hAnsi="Arial"/>
          <w:sz w:val="18"/>
          <w:szCs w:val="18"/>
          <w:i w:val="1"/>
          <w:iCs w:val="1"/>
          <w:color w:val="auto"/>
        </w:rPr>
        <w:t>,</w:t>
      </w:r>
      <w:r>
        <w:rPr>
          <w:rFonts w:ascii="Arial" w:cs="Arial" w:eastAsia="Arial" w:hAnsi="Arial"/>
          <w:sz w:val="18"/>
          <w:szCs w:val="18"/>
          <w:color w:val="auto"/>
        </w:rPr>
        <w:t xml:space="preserve"> management of the Company has evaluated the positive and negative evidence bearing upon the realizability of its deferred tax assets. Management has concluded, in accordance with the applicable accounting standards, that it is more likely than not that the Company may not realize the benefit of its deferred tax assets due to its history of operating losses. Accordingly, the net deferred tax assets have been fully reserved.</w:t>
      </w:r>
    </w:p>
    <w:p>
      <w:pPr>
        <w:spacing w:after="0" w:line="14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 xml:space="preserve">ASC 740-10-25 </w:t>
      </w:r>
      <w:r>
        <w:rPr>
          <w:rFonts w:ascii="Arial" w:cs="Arial" w:eastAsia="Arial" w:hAnsi="Arial"/>
          <w:sz w:val="16"/>
          <w:szCs w:val="16"/>
          <w:i w:val="1"/>
          <w:iCs w:val="1"/>
          <w:color w:val="auto"/>
        </w:rPr>
        <w:t>Income Taxes Recognition</w:t>
      </w:r>
      <w:r>
        <w:rPr>
          <w:rFonts w:ascii="Arial" w:cs="Arial" w:eastAsia="Arial" w:hAnsi="Arial"/>
          <w:sz w:val="16"/>
          <w:szCs w:val="16"/>
          <w:color w:val="auto"/>
        </w:rPr>
        <w:t xml:space="preserve"> clarifies the accounting and disclosure for uncertainty in tax positions, as defined. This guidance seeks to reduce the diversity in practice associated with certain aspects of the recognition and measurement related to accounting for income taxes.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1993 remain subject to examination by the major tax jurisdictions in which the Company is subject to tax.</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9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July 1, 2013, the Company entered into the Facility Agreement with Deerfield. Under the Facility Agreement, Deerfield committed to purchase up to $160.0 million aggregate principal amount of 2019 notes in four $40.0 million tranches. The closing of the first tranche of $40.0 million aggregate principal amount of 2019 notes (the purchase price for which was $21.1 million as a result of the original issue discount) occurred on the date of the Facility Agreement. Deerfield’s obligation to purchase the second tranche of 2019 notes is subject to the Company’s achievement and reporting of certain Phase 3 results relating to the Company’s clinical studies of AFREZZA. Deerfield’s obligation to purchase the third tranche of 2019 notes is subject to the Company’s repayment of its 2013 notes and the prior satisfaction of the conditions for the second tranche closing. Deerfield’s obligation to purchase the fourth tranche of 2019 notes is subject to the Company’s receipt of approval of AFREZZA by the U.S. Food and Drug Administration, or the FDA, and the prior satisfaction of the conditions for the second and third tranche closings. In addition to the foregoing conditions, Deerfield’s obligation to purchase 2019 notes at any of the three remaining closings is subject to, at each closing, the shares issuable upon conversion of all previously sold 2019 notes being freely tradable pursuant to an effective registration statement filed with the Securities and Exchange Commission or pursuant to Rule 144 under the Securities Act. The Company is required to repay 25% of the outstanding principal amount of the 2019 notes sold in each tranche on the third, fourth, fifth and sixth anniversaries of the applicable issue dates of such 2019 notes, and the entire outstanding principal amount of all 2019 notes will become due and payable no later than December 31, 2019. The outstanding amount of 2019 notes will accrue interest at a rate of 9.75% per year commencing on September 30, 2013, payable in cash quarterly in arrears on the last business day of December, March, June and September of each year. A portion of the principal amount of the 2019 notes may be converted into shares of the Company’s common stock at Deerfield’s option after a specified period following the release of data from the aforementioned clinical trials. The conversion price will be determined by the volume weighted average price of the common stock during the 20 trading days immediately preceding the conversion date. If the conversion price exceeds $6.67, no more than six million shares may be issued upon conversion; if the conversion price is less than $3.33, no more than 12 million shares may be issued upon conversion; and if the conversion price is between these dollar amounts, no more than $40 million worth of common stock may be issued upon conversion. In connection with the Facility Agreement, the Company also entered into a Milestone Rights Purchase Agreement (the “Milestone Agreement”) with Deerfield Private Design Fund and Horizon Santé FLML SÁRL (the “Milestone Purchasers”), pursuant to which, in exchange for a payment of $18.9 million, the Company sold the Milestone Purchasers rights to receive payments of up to $90.0 million upon the occurrence of specified strategic and sales milestones, including the first commercial sale of an AFREZZA product and the achievement of specified net sales figures.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These interim condensed consolidated financial statements and this Management’s Discussion and Analysis of Financial Condition and Results of Operations should be read in conjunction with the financial statements and notes for the year ended December 31, 2012 and the related Management’s Discussion and Analysis of Financial Condition and Results of Operations, both of which are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a biopharmaceutical company focused on the discovery, development and commercialization of therapeutic products for diseases such as diabetes. Our lead product candidate, AFREZZA (insulin human [rDNA origin]) inhalation powder, is an ultra rapid-acting insulin that is in late-stage clinical investigation for the treatment of adults with type 1 or type 2 diabetes for the control of hyperglycemia.</w:t>
      </w:r>
    </w:p>
    <w:p>
      <w:pPr>
        <w:spacing w:after="0" w:line="1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second quarter of 2013, we completed two Phase 3 clinical studies conducted at sites in the United States, Eastern Europe and South America. We expect to submit the results of these studies to the FDA as an amendment to our new drug application, or NDA, during the fourth quarter of 2013. However, the data collected from these clinical trials may not reach statistical significance or may not otherwise be sufficient to support an amendment to our NDA, or FDA approval. Moreover, there can be no assurance that we will satisfy all of the FDA’s requirements with these two clinical studies or that the FDA will ultimately find our proposed approach to these clinical studies acceptable. The FDA could also request that we conduct additional clinical studies in order to provide sufficient data for approval of AFREZZA.</w:t>
      </w:r>
    </w:p>
    <w:p>
      <w:pPr>
        <w:spacing w:after="0" w:line="14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We are a development stage enterprise and have incurred significant losses since our inception in 1991. As of June 30, 2013, we have incurred a cumulative net loss of $2.2 billion and an accumulated stockholders’ deficit of $152.4 million. To date, we have not generated any product revenues and have funded our operations primarily through the sale of equity securities and convertible debt securities and borrowings under a loan arrangement provided by our principal stockholder. As discussed below in “Liquidity and Capital Resources,” if we are unable to obtain additional funding in the future, there will continue to be substantial doubt about our ability to continue as a going concern.</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intend to pursue collaboration opportunities with large pharmaceutical companies in the United States, Europe and elsewhere to provide the operational and financial resources to develop, commercialize, market and sell AFREZZA. Although we have held extensive discussions with a number of pharmaceutical companies concerning a potential strategic business collaboration for AFREZZA, to date, we have not reached an agreement on a collaboration with any of these companies. We cannot predict when, if ever, we may conclude an agreement with a partner. There can be no assurance that any such collaboration will be available to us on a timely basis or on acceptable terms, if at all.</w:t>
      </w:r>
    </w:p>
    <w:p>
      <w:pPr>
        <w:spacing w:after="0" w:line="14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do not expect to record sales of any product prior to regulatory approval and commercialization of AFREZZA. We currently do not have the required approvals to market any of our product candidates, and we may not receive such approvals. We may not be able to achieve positive cash flow from operations even if we succeed in commercializing any of our product candidates. We expect to make substantial expenditures and to incur additional operating losses for at least the next several years as we:</w:t>
      </w:r>
    </w:p>
    <w:p>
      <w:pPr>
        <w:spacing w:after="0" w:line="6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the clinical development of AFREZZA and new inhalation systems for the treatment of diabetes;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 regulatory approval to sell AFREZZA in the United States and other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 development and commercialization collaborations for AFREZZA;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additional applications of our proprietary Technosphere platform technology for the pulmonary delivery of other drugs.</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business is subject to significant risks, including but not limited to the risks inherent in our ongoing clinical trials and the regulatory approval process, our potential inability to enter into sales and marketing collaborations or to commercialize AFREZZA in a timely manner, the results of our research and development efforts, competition from other products and technologies and uncertainties associated with obtaining and enforcing patent rights.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research and development expenses consist mainly of costs associated with the clinical trials of our product candidates that have not yet received regulatory approval for marketing and for which no alternative future use has been identified. This includes the salaries, benefits and stock-based compensation of research and development personnel, raw materials, such as insulin purchases,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research and development costs as we incur them.</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Clinical development timelines, likelihood of success and total costs vary widely. We are focused primarily on advancing AFREZZA through regulatory filings. At this time, due to the risks inherent in the clinical trial process and given the early stage of development of our product candidates other than AFREZZA, we are unable to estimate with any certainty the costs that we will incur in the continued development of our product candidates for commercialization. The costs required to complete the development of AFREZZA will be largely dependent on the cost and efficiency of our clinical trial operations and discussions with the FDA regarding its requirements.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as described in Item 7 of our Annual Report.</w:t>
      </w:r>
    </w:p>
    <w:p>
      <w:pPr>
        <w:spacing w:after="0" w:line="90"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b w:val="1"/>
          <w:bCs w:val="1"/>
          <w:i w:val="1"/>
          <w:iCs w:val="1"/>
          <w:color w:val="auto"/>
        </w:rPr>
        <w:t xml:space="preserve">Recently Issued Accounting Standards — </w:t>
      </w:r>
      <w:r>
        <w:rPr>
          <w:rFonts w:ascii="Arial" w:cs="Arial" w:eastAsia="Arial" w:hAnsi="Arial"/>
          <w:sz w:val="15"/>
          <w:szCs w:val="15"/>
          <w:color w:val="auto"/>
        </w:rPr>
        <w:t>In February 2013, the FASB issued ASU 2013-02,</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Comprehensive Income (Topic 220) – Reporting of Amounts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 xml:space="preserve">Reclassified Out of Accumulated Other Comprehensive Income. </w:t>
      </w:r>
      <w:r>
        <w:rPr>
          <w:rFonts w:ascii="Arial" w:cs="Arial" w:eastAsia="Arial" w:hAnsi="Arial"/>
          <w:sz w:val="15"/>
          <w:szCs w:val="15"/>
          <w:color w:val="auto"/>
        </w:rPr>
        <w:t>These amendments do not change the current requirements for reporting net income or other</w:t>
      </w:r>
      <w:r>
        <w:rPr>
          <w:rFonts w:ascii="Arial" w:cs="Arial" w:eastAsia="Arial" w:hAnsi="Arial"/>
          <w:sz w:val="15"/>
          <w:szCs w:val="15"/>
          <w:i w:val="1"/>
          <w:iCs w:val="1"/>
          <w:color w:val="auto"/>
        </w:rPr>
        <w:t xml:space="preserve"> </w:t>
      </w:r>
      <w:r>
        <w:rPr>
          <w:rFonts w:ascii="Arial" w:cs="Arial" w:eastAsia="Arial" w:hAnsi="Arial"/>
          <w:sz w:val="15"/>
          <w:szCs w:val="15"/>
          <w:color w:val="auto"/>
        </w:rPr>
        <w:t>comprehensive income in the financial statements. These amendments provide for additional disclosure requirements for amounts reclassified out of accumulated other comprehensive income. These amendments are effective prospectively for interim and annual periods beginning after December 15, 2012. Early adoption is permitted. Effective January 1, 2013, we adopted the new requirements as set forth in ASU No. 2013-02 in the disclosure of comprehensive income in our consolidated financial statements. The adoption of the new requirements did not have a significant impact on our consolidated financial statements.</w:t>
      </w:r>
    </w:p>
    <w:p>
      <w:pPr>
        <w:spacing w:after="0" w:line="10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In July, 2013, the FASB ASU 2013-11, </w:t>
      </w:r>
      <w:r>
        <w:rPr>
          <w:rFonts w:ascii="Arial" w:cs="Arial" w:eastAsia="Arial" w:hAnsi="Arial"/>
          <w:sz w:val="16"/>
          <w:szCs w:val="16"/>
          <w:i w:val="1"/>
          <w:iCs w:val="1"/>
          <w:color w:val="auto"/>
        </w:rPr>
        <w:t>Income Taxes (Topic 740): Presentation of an Unrecognized Tax Benefit when a Net Operating Loss Carryforward, a</w:t>
      </w:r>
      <w:r>
        <w:rPr>
          <w:rFonts w:ascii="Arial" w:cs="Arial" w:eastAsia="Arial" w:hAnsi="Arial"/>
          <w:sz w:val="16"/>
          <w:szCs w:val="16"/>
          <w:color w:val="auto"/>
        </w:rPr>
        <w:t xml:space="preserve"> </w:t>
      </w:r>
      <w:r>
        <w:rPr>
          <w:rFonts w:ascii="Arial" w:cs="Arial" w:eastAsia="Arial" w:hAnsi="Arial"/>
          <w:sz w:val="16"/>
          <w:szCs w:val="16"/>
          <w:i w:val="1"/>
          <w:iCs w:val="1"/>
          <w:color w:val="auto"/>
        </w:rPr>
        <w:t>Similar Tax Loss, or a Tax Credit Carryforward Exists (a consensus of the FASB Emerging Issues Task Force)</w:t>
      </w:r>
      <w:r>
        <w:rPr>
          <w:rFonts w:ascii="Arial" w:cs="Arial" w:eastAsia="Arial" w:hAnsi="Arial"/>
          <w:sz w:val="16"/>
          <w:szCs w:val="16"/>
          <w:color w:val="auto"/>
        </w:rPr>
        <w:t>. The amendments in this ASU provide guidance on</w:t>
      </w:r>
      <w:r>
        <w:rPr>
          <w:rFonts w:ascii="Arial" w:cs="Arial" w:eastAsia="Arial" w:hAnsi="Arial"/>
          <w:sz w:val="16"/>
          <w:szCs w:val="16"/>
          <w:i w:val="1"/>
          <w:iCs w:val="1"/>
          <w:color w:val="auto"/>
        </w:rPr>
        <w:t xml:space="preserve"> </w:t>
      </w:r>
      <w:r>
        <w:rPr>
          <w:rFonts w:ascii="Arial" w:cs="Arial" w:eastAsia="Arial" w:hAnsi="Arial"/>
          <w:sz w:val="16"/>
          <w:szCs w:val="16"/>
          <w:color w:val="auto"/>
        </w:rPr>
        <w:t>the financial statements presentation of an unrecognized tax benefit when a net operating loss 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The amendments in this ASU are effective for fiscal years, and interim periods within those years, beginning after December 15, 2013. We are evaluating the impact, if any, of the adoption of ASU 2013-11 will have on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2013 and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did not recognize any revenue for the six months ended June 30, 2013 and 2012. We do not anticipate sales of any product prior to regulatory approval and commercialization of AFREZZA.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three and six months ended June 30, 2013 and 2012 (dollars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1"/>
              </w:rPr>
              <w:t>Change</w:t>
            </w:r>
          </w:p>
        </w:tc>
        <w:tc>
          <w:tcPr>
            <w:tcW w:w="280" w:type="dxa"/>
            <w:vAlign w:val="bottom"/>
            <w:vMerge w:val="restart"/>
          </w:tcPr>
          <w:p>
            <w:pPr>
              <w:spacing w:after="0"/>
              <w:rPr>
                <w:sz w:val="14"/>
                <w:szCs w:val="14"/>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8"/>
              </w:rPr>
              <w:t>% Change</w:t>
            </w: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Clinical</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$10,978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$13,327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(2,349)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Manufacturing</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9,724</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9,899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1,773</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1160" w:type="dxa"/>
            <w:vAlign w:val="bottom"/>
            <w:gridSpan w:val="4"/>
          </w:tcPr>
          <w:p>
            <w:pPr>
              <w:jc w:val="right"/>
              <w:ind w:right="452"/>
              <w:spacing w:after="0"/>
              <w:rPr>
                <w:sz w:val="20"/>
                <w:szCs w:val="20"/>
                <w:color w:val="auto"/>
              </w:rPr>
            </w:pPr>
            <w:r>
              <w:rPr>
                <w:rFonts w:ascii="Arial" w:cs="Arial" w:eastAsia="Arial" w:hAnsi="Arial"/>
                <w:sz w:val="18"/>
                <w:szCs w:val="18"/>
                <w:color w:val="auto"/>
              </w:rPr>
              <w:t>(78)</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3,332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27,052</w:t>
            </w: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26,638</w:t>
            </w:r>
          </w:p>
        </w:tc>
        <w:tc>
          <w:tcPr>
            <w:tcW w:w="30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414</w:t>
            </w:r>
          </w:p>
        </w:tc>
        <w:tc>
          <w:tcPr>
            <w:tcW w:w="2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6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4"/>
              </w:rPr>
              <w:t>Six months ended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1"/>
              </w:rPr>
              <w:t>Change</w:t>
            </w:r>
          </w:p>
        </w:tc>
        <w:tc>
          <w:tcPr>
            <w:tcW w:w="280" w:type="dxa"/>
            <w:vAlign w:val="bottom"/>
            <w:vMerge w:val="restart"/>
          </w:tcPr>
          <w:p>
            <w:pPr>
              <w:spacing w:after="0"/>
              <w:rPr>
                <w:sz w:val="14"/>
                <w:szCs w:val="14"/>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8"/>
              </w:rPr>
              <w:t>% Change</w:t>
            </w: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Clinical</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$24,260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$24,206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Manufacturing</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19,114</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19,992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(878)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3,089</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(1,033)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1160" w:type="dxa"/>
            <w:vAlign w:val="bottom"/>
            <w:gridSpan w:val="4"/>
          </w:tcPr>
          <w:p>
            <w:pPr>
              <w:jc w:val="right"/>
              <w:ind w:right="452"/>
              <w:spacing w:after="0"/>
              <w:rPr>
                <w:sz w:val="20"/>
                <w:szCs w:val="20"/>
                <w:color w:val="auto"/>
              </w:rPr>
            </w:pPr>
            <w:r>
              <w:rPr>
                <w:rFonts w:ascii="Arial" w:cs="Arial" w:eastAsia="Arial" w:hAnsi="Arial"/>
                <w:sz w:val="18"/>
                <w:szCs w:val="18"/>
                <w:color w:val="auto"/>
              </w:rPr>
              <w:t>(156)</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4,484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53,450</w:t>
            </w: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50,794</w:t>
            </w:r>
          </w:p>
        </w:tc>
        <w:tc>
          <w:tcPr>
            <w:tcW w:w="30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2,656</w:t>
            </w:r>
          </w:p>
        </w:tc>
        <w:tc>
          <w:tcPr>
            <w:tcW w:w="2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decrease in research and development expenses for the three months ended June 30, 2013, compared to the three months ended June 30, 2012, was primarily due to $2.3 million in decreased clinical trial related expenses upon the completion of studies 171 and 175 in May 2013 and June 2013, respectively, and reduced research expenses resulting from the positive effect of our cost cutting measures offset by an increase in stock-based compensation expense for stock awards granted during the second quarter of 2013 (see Note 3 — Accounting for stock-based compensation).</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increase in overall research and development expenses for the six months ended June 30, 2013, compared to the six months ended June 30, 2012, was primarily due to a $4.5 million increase in stock-based compensation expense in connection with the May 2013 performance-based grants to employees, including executive officers of the Company, offset by $1.0 million in decreased research expenses resulting from the positive effect of our cost cutting measures and lower manufacturing expenses associated with the completion of studies 171 and 175 in the second quarter of 2013.</w:t>
      </w:r>
    </w:p>
    <w:p>
      <w:pPr>
        <w:spacing w:after="0" w:line="1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anticipate that our overall research and development expense will decrease in 2013 as compared to 2012 with the completion of our clinical trials and as we prepare our resubmission for regulatory approval of AFREZZA.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three and six months ended June 30, 2013 and 2012 (dollars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5"/>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320"/>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1"/>
              </w:rPr>
              <w:t>Change</w:t>
            </w:r>
          </w:p>
        </w:tc>
        <w:tc>
          <w:tcPr>
            <w:tcW w:w="46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Borders>
              <w:bottom w:val="single" w:sz="8" w:color="CCEEFF"/>
            </w:tcBorders>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and employee related expenses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Professional fees and other general expenses</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4,718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3,968</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750</w:t>
            </w: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Charge for litigation settlement</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7,747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(7,747)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5,517</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3,768</w:t>
            </w:r>
          </w:p>
        </w:tc>
        <w:tc>
          <w:tcPr>
            <w:tcW w:w="4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14,533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17,416</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(2,883)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4"/>
              </w:rPr>
              <w:t>Six months ended</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320"/>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1"/>
              </w:rPr>
              <w:t>Change</w:t>
            </w:r>
          </w:p>
        </w:tc>
        <w:tc>
          <w:tcPr>
            <w:tcW w:w="46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Borders>
              <w:bottom w:val="single" w:sz="8" w:color="CCEEFF"/>
            </w:tcBorders>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and employee related expenses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Professional fees and other general expenses</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8,620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8,290</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330</w:t>
            </w: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Charge for litigation settlement</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7,747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(7,747)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8,218</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4,927</w:t>
            </w:r>
          </w:p>
        </w:tc>
        <w:tc>
          <w:tcPr>
            <w:tcW w:w="4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24,572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27,193</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(2,621)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360" w:type="dxa"/>
            <w:vAlign w:val="bottom"/>
            <w:vMerge w:val="restart"/>
          </w:tcPr>
          <w:p>
            <w:pPr>
              <w:jc w:val="right"/>
              <w:ind w:right="1092"/>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General and administrative expenses for the three months ended June 30, 2013 decreased compared to the three months ended June 30, 2012 primarily due to a $7.7 million litigation settlement accrual recorded during 2012 offset by a $3.8 million increase in stock-based compensation expense related to stock awards granted during the second quarter of 2013 (see Note 3 — Accounting for stock-based compensation) and a $0.5 million one-time sales and use tax payment resulting from a multi-year audit in the second quarter of 2013.</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General and administrative expenses for the six months ended June 30, 2013 decreased compared to the six months ended June 30, 2012 primarily due to the $7.7 million litigation settlement accrual in 2012 offset by $4.9 million in stock-based compensation expense.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expect general and administrative expenses overall to be lower in 2013 as compared to 2012 due to reduced legal expenses.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Other income decreased from $13.3 million for the three months ended June 30, 2012 to $15,000 for the three months ended June 30, 2013. The decrease was primarily due to a $12.3 million adjustment to the fair value of the forward purchase contract with The Mann Group in the second quarter of 2012. This also resulted in other income decreasing from $14.7 million for the six months ended June 30, 2012 to $38,000 for the six months ended June 30, 2013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Interest expense for the three and six months ended June 30, 2013 decreased compared to the same period in the prior year primarily due to a reduced principal amount outstanding under our loan arrangement with our principal stockholder resulting from the issuance of common stock and warrants in exchange for the cancellation of principal indebtedness and the conversion of accrued and unpaid interest to principal during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have funded our operations primarily through the sale of equity securities and convertible debt securities and borrowings under our loan arrangement with our principal stockholder.</w:t>
      </w:r>
    </w:p>
    <w:p>
      <w:pPr>
        <w:spacing w:after="0" w:line="13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In October 2007, we entered into a $350.0 million loan arrangement with our principal stockholder. In February 2009, as a result of our principal stockholder being subject to the licensing requirement under the California Finance Lenders Law, the promissory note underlying the loan arrangement was revised to reflect the lender as The Mann Group, an entity controlled by our principal stockholder. Until January 1, 2013, interest on outstanding principal amounts accrued at a fixed rate equal to the one-year LIBOR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We amended the promissory note underlying the loan arrangement at various dates during 2012. The most recent amendment occurred in October 2012 to extend the maturity date to January 1, 2014, extend the date through which we can borrow under the promissory note to September 30, 2013, and adjust the annual interest rate on all outstanding principal to the one-year LIBOR on December 31, 2012 plus 5%. Effective January 1, 2013, the borrowing rate for all borrowings under the promissory note with The Mann Group was set at 5.84%.</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2013, the total principal amount outstanding under the credit facility was $119.6 million, and the amount available for future borrowings was</w:t>
      </w:r>
    </w:p>
    <w:p>
      <w:pPr>
        <w:spacing w:after="0" w:line="3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$125.4 million. Interest is due and payable quarterly in arrears on the first day of each calendar quarter for the preceding quarter, or at such other time as we and The Mann Group mutually agree. All or any portion of accrued and unpaid interest that becomes due and payable may be paid-in-kind and capitalized at any time upon mutual agreement of both parties. The Mann Group can require us to prepay up to $200.0 million in advances that have been outstanding for at least 12 months. If The Mann Group exercises this right, we will have 90 days after The Mann Group provides written notice (or the number of days to maturity of the note if less than 90 days) to prepay such advances (see discussion regarding letter agreement below).</w:t>
      </w:r>
    </w:p>
    <w:p>
      <w:pPr>
        <w:spacing w:after="0" w:line="11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August 2010, we entered into a letter agreement confirming a previous commitment by The Mann Group to not require us to prepay amounts outstanding under the amended and restated promissory note if the prepayment would require us to use its working capital resources. In the event of a default, all unpaid principal and interest either becomes immediately due and payable or may be accelerated at The Mann Group’s option, and the interest rate will increase to the one-year LIBOR calculated on the date of the initial advance or in effect on the date of default, whichever is greater, plus 5% per annum. All borrowings under the loan arrangement are unsecured. The loan arrangement contains no financial covenants. There are no warrants associated with the loan arrangement.</w:t>
      </w:r>
    </w:p>
    <w:p>
      <w:pPr>
        <w:spacing w:after="0" w:line="1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October 2012, we sold in an underwritten public offering common stock and warrants resulting in net proceeds of $86.3 million and concurrently issued common stock and warrants to The Mann Group in exchange for cancellation of indebtedness under the amended and restated promissory note with The Mann Group (see Note 7 — Common and preferred stock and Note 9 — Related-party arrangements). To the extent that the trading price of our common stock exceeds the exercise price of the warrants on or about the expiration date of the public offering warrants and The Mann Group warrants issued in October 2012, the warrant holders may potentially exercise all warrants prior to their expiration in the fourth quarter of 2013 making available $89.7 million in gross proceeds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from the exercise of public offering warrants and The Mann Group warrant exercise could be settled in exchange for cancellation of indebtedness of $78.0 million. As of June 30, 2013, we received $25.1 million in proceeds from the exercise of a portion of the public offering warrants with $64.6 million remaining unexercised. The Mann Group warrants remained unexercised as of June 30, 2013. There can be no assurances that the trading price of our common stock will be greater than the exercise price of the warrants on or about the expiration date of the warrants due to a variety of factors, including the factors described under “Risks Related to Our Common Stock” in Item IA of Part II of this quarterly report on Form 10-Q, and there can be no assurances that the warrants will ever be exercised or that we will receive any additional proceeds from the exercise of the warrants.</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March 18, 2013, we entered into ATM Agreements with two sales agents, under which we may issue and sell shares of our common stock having an aggregate offering price of up to $50.0 million under each ATM Agreement (provided that in no event may we issue and sell more than $50.0 million of shares of our common stock under both ATM Agreements in the aggregate) from time to time through either of the sales agents. Neither we nor either of the sales agents has any obligation to sell shares of our common stock under the ATM Agreements. Any sales of common stock made under the ATM Agreements will be made in “at the market” offerings as defined in Rule 415 of the Securities Act. We have not yet issued any shares of our common stock under the ATM Agreements. There can be no assurance that we will be able to access capital through the ATM Agreements on a timely basis, or at all.</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On July 1, 2013, we entered into the Facility Agreement with Deerfield, which purchased $40.0 million in 9.75% senior secured convertible notes due 2019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“2019 notes”), the purchase price for which was $21.1 million as a result of the original issue discount, and have committed to purchase up to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$120.0 million of 2019 notes subject to satisfaction of certain conditions. There can be no assurance that the conditions required for the additional $120 million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borrowings will be met or met in a timeframe necessary to support our liquidity needs.</w:t>
      </w:r>
    </w:p>
    <w:p>
      <w:pPr>
        <w:spacing w:after="0" w:line="16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six months ended June 30, 2013, we used $61.8 million of cash for our operations and had a net loss of $87.1 million, which included $22.0 million of non-cash charges primarily consisting of depreciation and accretion and stock-based compensation. By comparison, during the six months ended June 30, 2012, we used $57.5 million of cash for our operations and had a net loss of $74.8 million, which included $13.3 million of non-cash charges primarily consisting of depreciation and accretion and stock-based compensation. Cash used for our operations increased by $4.3 million primarily due to the payment of accrued clinical trial expenses and other accrued expenses in 2013. We expect our negative operating cash flow to continue at least until we obtain regulatory approval and achieve commercialization of AFREZZA.</w:t>
      </w:r>
    </w:p>
    <w:p>
      <w:pPr>
        <w:spacing w:after="0" w:line="120"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We used $1.6 million of cash for investing activities during the six months ended June 30, 2013, compared to $0.4 million of cash used for the six months ended June 30, 2012. Cash used for investing activities for the six months ended June 30, 2013 compared to the same period in the prior year increased $1.2 million, primarily due to $1.6 million in purchases of machinery and equipment to expand the manufacturing lines in preparation for a future approval of AFREZZA.</w:t>
      </w:r>
    </w:p>
    <w:p>
      <w:pPr>
        <w:spacing w:after="0" w:line="8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financing activities resulted in positive cash flow of $30.1 million during the six months ended June 30, 2013, compared to positive cash flow of $86.8 million for the same period in 2012. For the six months ended June 30, 2012, cash provided by financing activities was primarily from $81.0 million related to the February 2012 issuance of common stock and warrants through the sale of 35,937,500 units, with each unit consisting of one share of common stock and a warrant to purchase 0.6 of a share of common stock as well as the exercise of stock options. Additionally, we generated cash of $6.3 million from related party borrowings. For the six months ended June 30, 2013, cash provided by financing activities was primarily from $28.3 million in warrant exercises.</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June 30, 2013, our capital resources consisted of cash and cash equivalents of $28.5 million and $125.4 million of available borrowings under the loan agreement with The Mann Group. Based on our current expectations, we believe our existing capital resources, including the available borrowings under the loan arrangement with The Mann Group and proceeds received on July 1, 2013 from the first tranche of the debt facility as described below, will enable us to continue planned operations into the fourth quarter of 2013. We previously issued certain warrants that expire in October 2013. If these warrants are exercised prior to their expiration, we would receive cash proceeds of $64.6 million which we believe, when combined with the cash resources and available borrowings discussed above, would provide sufficient capital resources to continue planned operations at least through the end of 2013.</w:t>
      </w:r>
    </w:p>
    <w:p>
      <w:pPr>
        <w:spacing w:after="0" w:line="12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On July 1, 2013, we entered into the Facility Agreement with Deerfield. Under the Facility Agreement, Deerfield committed to purchase up to $160.0 million aggregate principal amount of 2019 notes in four $40.0 million tranches. The closing of the first tranche of 2019 notes occurred on the date of the Facility Agreement. Deerfield’s obligation to purchase the second tranche of 2019 notes is subject to our achievement and reporting of certain Phase 3 results relating to the clinical studies of AFREZZA. Deerfield’s obligation to purchase the third tranche of 2019 notes is subject to our repayment of the 2013 notes and the prior satisfaction of the conditions for the second tranche closing. Deerfield’s obligation to purchase the fourth tranche of 2019 notes is subject to our receipt of approval of AFREZZA by the FDA and the prior satisfaction of the conditions for the second and third tranche closings. In addition to the foregoing conditions, Deerfield’s obligation to purchase 2019 notes at any of the three remaining closings is subject to, at each closing, the shares issuable upon conversion of all previously sold 2019 notes being freely tradable pursuant to an effective registration statement filed with the Securities and Exchange Commission or pursuant to Rule 144 under the Securities Act. We are required to repay 25% of the outstanding principal amount of the 2019 notes sold in each tranche on the third, fourth, fifth and sixth anniversaries of the applicable issue dates of such 2019 notes, and the entire outstanding principal amount of all 2019 notes will become due and payable no later than December 31, 2019. Commencing on September 30, 2013, the 2019 notes will accrue interest at a rate of 9.75% per annum until maturity. A portion of the principal amount of the 2019 notes may be converted into shares of our common stock at Deerfield’s option after a specified period following the release of data from the aforementioned clinical trials. The conversion price will be determined by the volume weighted average price of our common stock during the 20 trading days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immediately preceding the conversion date. If the conversion price exceeds $6.67, no more than six million shares may be issued upon conversion; if the conversion price is less than $3.33, no more than 12 million shares may be issued upon conversion; and if the conversion price is between these dollar amounts, no more than $40 million worth of common stock may be issued upon conversion. In connection with the Facility Agreement, we also entered into the Milestone Agreement with the Milestone Purchasers, pursuant to which, in exchange for a payment of $18.9 million, we sold the Milestone Purchasers rights to receive payments of up to $90.0 million upon the occurrence of specified strategic and sales milestones, including the first commercial sale of an AFREZZA product and the achievement of specified net sales figures.</w:t>
      </w:r>
    </w:p>
    <w:p>
      <w:pPr>
        <w:spacing w:after="0" w:line="14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$115.0 million aggregate principal amount of 2013 notes mature in December 2013, and our cash and cash equivalents as of June 30, 2013 is insufficient to repay these notes. Accordingly, we will need to raise additional capital, either through the sale of equity or debt securities, the entry into a strategic business collaboration with a pharmaceutical or biotechnology company, the establishment of other funding facilities, licensing arrangements, asset sales or other means, and/or refinance our indebtedness under the 2013 notes, in order to repay the 2013 notes and continue the development and commercialization of AFREZZA and other product candidates and to support our other ongoing activities. There can be no assurance that we will be able to do so on favorable terms by the applicable repayment date, or at all. In addition, if we undergo a fundamental change, as that term is defined in the indentures governing the terms of the 2013 notes, each holder of 2013 notes will have the option to require us to repurchase all or any portion of such holder’s notes at a repurchase price of 100% of the principal amount of such notes to be repurchased plus accrued and unpaid interest, if any. Any of these events could have a material adverse effect on our business, results of operations and financial condition, up to and including the noteholders initiating bankruptcy proceedings or causing us to cease operations altogether. This raises substantial doubt about our ability to continue as a going concern.</w:t>
      </w:r>
    </w:p>
    <w:p>
      <w:pPr>
        <w:spacing w:after="0" w:line="123"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We intend to use our capital resources to continue the development and, if approved, the commercialization of AFREZZA. We are expending a portion of our capital to scale up our manufacturing capabilities in our Danbury facilities. We also intend to use our capital resources for general corporate purposes.</w:t>
      </w:r>
    </w:p>
    <w:p>
      <w:pPr>
        <w:spacing w:after="0" w:line="8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We intend to pursue potential collaboration opportunities with large pharmaceutical companies in the United States, Europe and elsewhere to provide the operational and financial resources to develop, commercialize, market and sell AFREZZA. Although we have held extensive discussions with a number of pharmaceutical companies concerning potential strategic business collaborations for AFREZZA, to date, we have not reached an agreement on such collaborations with any of these companies. We cannot predict when, if ever, we may conclude an agreement with a partner. There can be no assurance that any such collaboration will be available to us on a timely basis or on acceptable terms, if at all.</w:t>
      </w:r>
    </w:p>
    <w:p>
      <w:pPr>
        <w:spacing w:after="0" w:line="1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If we enter into a strategic business collaboration with a pharmaceutical or biotechnology company,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2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If planned operating results are not achieved or we are not successful in raising additional capital through equity or debt financing or entering a business collaboration, we may be required to reduce expenses through the delay, reduction or curtailment of our projects, including AFREZZA development activities, or further reduction of costs for facilities and administration, and there will continue to be substantial doubt about our ability to continue as a going concern.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2013, we did not have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current policy requires us to maintain a highly liquid short-term investment portfolio consisting mainly of U.S. money market funds and investment-grade corporate, government and municipal debt. None of these investments is entered into for trading purposes. As of June 30, 2013, our cash is deposited in and invested through highly rated financial institutions in North America and consists of highly liquid investments with original or remaining maturities of 90 days or less at the time of purchase, that are readily convertible into cash. We continue to utilize our $350.0 million revolving credit facility with The Mann Group to fund operations. Pursuant to an amendment to the promissory note in October 2012, as of January 1, 2013 the interest rate on all outstanding principal amounts under our credit facility with The Mann Group was adjusted to the one-year LIBOR on December 31, 2012 plus 5%. Effective January 1, 2013, the borrowing rate for all borrowings under the promissory note with The Mann Group was set at 5.84%. As of June 30, 2013, the amount available for borrowing under our revolving credit facility with The Mann Group was $125.4 million. .</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under the Securities Exchange Act of 1934, as amended, or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0"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We performed an evaluation under the supervision and with the participation of our management, including our Chief Executive Officer and Chief Financial Officer, of our disclosure controls and procedures (as defined in Rules 13a-15(e) and 15d-15(e) of the Exchange Act) as of June 30, 2013. Based on that evaluation, our Chief Executive Officer and Chief Financial Officer concluded that our disclosure controls and procedures were effective at the reasonable assurance level.</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An evaluation was also performed under the supervision and with the participation of our management, including our Chief Executive Officer and Chief Financial Officer, of any change in our internal control over financial reporting that occurred during our last fiscal quarter that has materially affected, or is reasonably likely to materially affect, our internal control over financial reporting. That evaluation did not identify any change in our internal control over financial reporting during the fiscal quarter ended June 30, 2013 that has materially affected, or is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our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heavily on the successful development and commercialization of our lead product candidate, AFREZZA, which is not yet approved.</w:t>
      </w:r>
    </w:p>
    <w:p>
      <w:pPr>
        <w:spacing w:after="0" w:line="11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To date, we have not commercialized any product candidates. We have expended significant time, money and effort in the development of our lead product candidate, AFREZZA, which has not yet received regulatory approval and which may not be approved by the FDA in a timely manner, or at all. Our other product candidates are generally in early clinical or preclinical development. We anticipate that in the near term, our ability to generate revenues will depend on the successful development and commercialization of AFREZZA.</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January 2011, the FDA issued a Complete Response letter and requested that we conduct two additional clinical studies of AFREZZA using our next-generation inhaler, Dreamboat, which we completed in the second quarter of 2013. However, there can be no assurance that these studies will satisfy all of the FDA’s requirements. The FDA could also again request that we conduct additional clinical trials to provide sufficient data for approval of the NDA. There can be no assurance that we will obtain approval of the NDA in a timely manner or at all.</w:t>
      </w:r>
    </w:p>
    <w:p>
      <w:pPr>
        <w:spacing w:after="0" w:line="14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We must receive the necessary approvals from the FDA before AFREZZA can be marketed and sold in the United States and must receive the necessary approvals from similar foreign regulatory agencies before AFREZZA can be marketed outside of the United States. Even if we were to receive regulatory approval, we ultimately may be unable to gain market acceptance of AFREZZA for a variety of reasons, including the treatment and dosage regimen, potential adverse effects, the availability of alternative treatments and lack of coverage or adequate reimbursement. If we fail to commercialize AFREZZA, our business, financial condition and results of operations will be materially and adversely affected.</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 significant portion of the research that we have conducted involves new and unproven compounds and technologies, including AFREZZA and our Technosphere platform technology.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AFREZZA or develop or expand our other product candidates, or are significantly delayed in doing so, our business and results of operations will be harmed and the value of our stock could decline.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operating losses, we expect to continue to incur losses and we may never generate positive cash flow from operations.*</w:t>
      </w:r>
    </w:p>
    <w:p>
      <w:pPr>
        <w:spacing w:after="0" w:line="11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are a development stage company with no commercial products. All of our product candidates are still being developed, and all but AFREZZA are still in the early stages of development. Our product candidates will require significant additional development, clinical trials, regulatory clearances and additional investment before they can be commercialized. We cannot be certain when AFREZZA may be approved or if it will be approved.</w:t>
      </w:r>
    </w:p>
    <w:p>
      <w:pPr>
        <w:spacing w:after="0" w:line="107"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We have never been profitable or generated positive cash flow from operations and, as of June 30, 2013, we had incurred a cumulative net loss of $2.2 billion. The cumulative net loss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including AFREZZA. This cumulative net loss may increase significantly as we continue development and clinical trial efforts. Our losses have had, and are expected to continue to have, an adverse impact on our working capital, total assets and stockholders’ equity. As of June 30, 2013, we had a stockholders’ deficit of $152.4 million. Our ability to achieve and sustain positive cash flow from operations and profitability primarily depends upon obtaining regulatory approvals for and successfully commercializing AFREZZA, either alone or with third parties. We do not currently have the required approvals to market any of our product candidates, and we may not receive them. We may not generate positive cash flow from operations or be profitable even if we succeed in commercializing any of our product candidates. As a result, we cannot be sure when we will generate positive cash flow from operations or become profitable, if at all.</w:t>
      </w:r>
    </w:p>
    <w:p>
      <w:pPr>
        <w:spacing w:after="0" w:line="20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will be required to raise additional capital to fund our operations, and our inability to do so could raise substantial doubt about our ability to continue as a going concern.*</w:t>
      </w:r>
    </w:p>
    <w:p>
      <w:pPr>
        <w:spacing w:after="0" w:line="5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Based on our current expectations, we believe that our existing capital resources, including the available borrowings under our loan arrangement with The Mann Group and proceeds received on July 1, 2013 from the first tranche of the Deerfield Facility will enable us to continue planned operations into the fourth quarter of 2013. We previously issued certain warrants that expire in October 2013. If these warrants are exercised prior to their expiration, we would receive cash proceeds of $64.6 million which we believe, when combined with the cash resources and available borrowings discussed above, would provide sufficient capital resources to continue planned operations at least through the end of 2013. However, we cannot assure you that our plans will not change or that changed circumstances will not result in the depletion of our capital resources more rapidly than we currently anticipate or that we will be able to access capital through the ATM Agreements or the Facility Agreement on a timely basis, or at all. We will need to raise additional funds, through the sale of equity or debt securities, the entry into strategic business collaborations, the establishment of other funding facilities, licensing arrangements, asset sales or other means, or an increase in the borrowings available under the loan arrangement with The Mann Group, in order to continue the development and commercialization of AFREZZA and other product candidates and to support our other ongoing activities. However, it may be difficult for us to raise additional funds through these planned measures. As of June 30, 2013, we had a stockholders’ deficit of $152.4 million which may raise concerns about our solvency and affect our ability to raise additional capital. The amount of additional funds we need will depend on a number of factors, including:</w:t>
      </w:r>
    </w:p>
    <w:p>
      <w:pPr>
        <w:spacing w:after="0" w:line="43" w:lineRule="exact"/>
        <w:rPr>
          <w:sz w:val="20"/>
          <w:szCs w:val="20"/>
          <w:color w:val="auto"/>
        </w:rPr>
      </w:pPr>
    </w:p>
    <w:p>
      <w:pPr>
        <w:ind w:left="900" w:right="2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any or all of the holders of the 2013 notes, or of any or all of the holders of the 2015 notes, to require us to repay or repurchase such notes when required;</w:t>
      </w:r>
    </w:p>
    <w:p>
      <w:pPr>
        <w:spacing w:after="0" w:line="5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refinance existing indebtedness, including indebtedness under the 2013 notes or 2015 notes which mature in December 2013 and August 2015, respectively;</w:t>
      </w:r>
    </w:p>
    <w:p>
      <w:pPr>
        <w:spacing w:after="0" w:line="50" w:lineRule="exact"/>
        <w:rPr>
          <w:rFonts w:ascii="Arial" w:cs="Arial" w:eastAsia="Arial" w:hAnsi="Arial"/>
          <w:sz w:val="18"/>
          <w:szCs w:val="18"/>
          <w:color w:val="auto"/>
        </w:rPr>
      </w:pPr>
    </w:p>
    <w:p>
      <w:pPr>
        <w:ind w:left="900" w:right="28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satisfaction of the conditions to holding additional closings of the sale and purchase of 2019 notes under the Facility Agreement, or failing the satisfaction of such conditions, whether Deerfield chooses to waive satisfaction of such conditions and purchase additional 2019 notes;</w:t>
      </w:r>
    </w:p>
    <w:p>
      <w:pPr>
        <w:spacing w:after="0" w:line="4"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to which the 2019 notes are converted into shares of our common stock, and our ability to make payments of principal and interest on any outstanding 2019 notes when required;</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rate of progress and costs of our clinical trials and research and development activities, including costs of procuring clinical materials and operating our manufacturing facilities;</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 or other sales or licensing of assets, and the timing and amount of any payments we might receive from any such transactions;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preparing applications for regulatory approvals for our product candidates, including AFREZZA;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our product candidates and competitive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degree of success in commercializing AFREZZA assuming receipt of required regulatory approvals;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level of our legal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associated with litigation;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and/or decommissioning existing facilities, if we undertake any such activities.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raised capital in the past primarily through the sale of equity and debt securities. We may in the future pursue the sale of additional equity and/or debt securities, or the establishment of other funding facilities including asset based borrowings. There can be no assurances, however, that we will be able to raise additional capital through such an offering on acceptable terms, or at all. Issuances of additional debt or equity securities, or the conversion of any of our currently outstanding convertible debt securities into shares of our common stock or the exercise of our currently outstanding warrants for shares of our common stock could impact the rights of the holders of our common stock and may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may seek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funding facilities, licensing arrangements and/or asset sales on a timely basis, we will be required to reduce expenses through the delay, reduction or curtailment of our projects, including AFREZZA development activities, or further reduction of costs for facilities and administration. Moreover, if we do not obtain such additional funds, there will be substantial doubt about our ability to continue as a going concern and increased risk of insolvency and loss of investment to the holders of our securities. As of the date hereof, we have not obtained a solvency opinion or otherwise conducted a valuation of our properties to determine whether our debts exceed the fair value of our property within the meaning of applicable solvency laws. If we are or become insolvent, investors in our stock may lose the entire value of their investment.</w:t>
      </w:r>
    </w:p>
    <w:p>
      <w:pPr>
        <w:spacing w:after="0" w:line="14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do not anticipate generating operating cash flow before AFREZZA is commercialized, which we expect will require us to reach an agreement with a commercialization partner, and therefore cannot provide assurances that changed or unexpected circumstances, including, among other things, delays in obtaining regulatory approval and in identifying and reaching agreements with a commercialization partner, will not result in the depletion of our capital resources more rapidly than we currently anticipate, in which case we may be required to raise additional capital. There can be no assurances that we will be able to raise additional capital on acceptable terms, or at all. If planned operating results are not achieved or we are not successful in raising additional capital through equity or debt financings or entering into a strategic business collaboration with a pharmaceutical or biotechnology company, we will be required to reduce expenses through the delay, reduction or curtailment of our projects, including AFREZZA development activities, or further reduction of costs for facilities and administration, and there will be continued substantial doubt about our ability to continue as a going concern.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substantial amount of convertible debt and may be unable to make required payments of interest and principal as they become due.*</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July 2013, we entered into the Facility Agreement with Deerfield pursuant to which we completed the sale of $40.0 million aggregate principal amount of 2019 notes, and pursuant to which we have committed to sell, and Deerfield has committed to purchase up to an additional $120.0 million aggregate principal amount of 2019 notes in three remaining $40.0 million tranches upon the satisfaction of certain conditions. We are required to repay 25% of the outstanding principal amount of the 2019 notes sold in each tranche on the third, fourth, fifth and sixth anniversaries of the applicable issue dates of such 2019 notes, and the entire outstanding principal amount of all 2019 notes will become due and payable no later than December 31, 2019. In December 2006, we completed the sale of $115.0 million aggregate principal amount of 2013 notes, which mature in December 2013, and in August 2010, we completed the sale of $100.0 million aggregate principal amount of 2015 notes, which mature in August 2015. As of August 2, 2013, all $115.0 million principal amount of the 2013 notes remained outstanding, $100.0 million principal amount of the 2015 notes and $40.0 million principal amount of 2019 notes remained outstanding. As of June 30, 2013, we did not have sufficient cash and cash equivalents to repay the 2013 notes, which notes by their terms will become due in December 2013. In addition, as of June 30, 2013, the effective conversion price of the 2013 notes was approximately $22.47 per share, subject to adjustment, which is substantially above the closing price of our common stock on August 2, 2013. We may therefore need to refinance our 2013 notes before such notes mature, or raise additional funds to repay such notes, and there can be no assurance that we will be able to do so on favorable terms by the applicable repayment dates, or at all. In addition, there can be no assurance that we will have sufficient resources to make any required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repayments of principal under the 2015 notes or 2019 notes when required. If we undergo a fundamental change, as that term is defined in the indentures governing the terms of the 2013 notes and the 2015 notes, each holder of 2013 notes or 2015 notes will have the option to require us to repurchase all or any portion of such holder’s notes at a repurchase price of 100% of the principal amount of such notes to be repurchased plus accrued and unpaid interest, if any. The 2013 notes bear interest at the rate of 3.75% per year on the outstanding principal amount, payable in cash semi-annually in arrears on June 15 and December 15 of each year, the 2015 notes bear interest at the rate of 5.75% per year on the outstanding principal amount, payable in cash semiannually in arrears on February 15 and August 15 of each year, and the 2019 notes bear interest at the rate of 9.75% per year on the outstanding principal amount commencing on September 30, 2013, payable in cash quarterly in arrears on the last business day of December, March, June and September of each year. While we have been able to timely make our required interest payments to date, we cannot guarantee that we will be able to do so in the future. If we fail to pay interest on the 2013 notes, 2015 notes or 2019 notes or if we fail to repay or repurchase the 2013 notes, 2015 notes or 2019 notes when required, we will be in default under the applicable indenture(s) or other applicable instrument for such note(s),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p>
    <w:p>
      <w:pPr>
        <w:spacing w:after="0" w:line="20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Our agreements with Deerfield relating to our 2019 notes and the milestone purchase rights contain covenants that we may not be able to meet and place restrictions on our operating and financial flexibility.*</w:t>
      </w:r>
    </w:p>
    <w:p>
      <w:pPr>
        <w:spacing w:after="0" w:line="5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indebtedness under the 2019 notes, including any future indebtedness we incur as the result of our sale of additional 2019 notes, is secured by substantially all of our assets, including our intellectual property, accounts receivables, equipment, general intangibles, inventory and investment property, and all of the proceeds and products of the foregoing. Our obligations under the Facility Agreement, the 2019 notes and the Milestone Agreement are also secured by certain mortgages on our facilities in Danbury, Connecticut and Valencia, California.</w:t>
      </w:r>
    </w:p>
    <w:p>
      <w:pPr>
        <w:spacing w:after="0" w:line="143"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Facility Agreement includes customary representations, warranties and covenants by us, including restrictions on our ability to incur additional indebtedness, grant certain liens, engage in certain mergers and acquisitions, make certain distributions and make certain voluntary prepayments. Events of default under the Facility Agreement include: our failure to timely make payments due under the 2019 notes;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including amounts available to us under our revolving loan arrangement with The Mann Group, falling below $25.0 million as of the last day of any fiscal quarter; our failure to timely deliver any shares issuable upon conversion of the 2019 notes; and our failure to cause the shares issuable upon conversion of the 2019 notes to be freely tradable within certain agreed upon timeframes. If one or more events of default under the Facility Agreement occurs and continues beyond any applicable cure period, the holders of the 2019 notes may declare all or any portion of the 2019 notes to be immediately due and payable. The Milestone Agreement includes customary representations and warranties and covenants by us, including restrictions on transfers of intellectual property related to AFREZZA. The milestones are subject to acceleration in the event we transfer our intellectual property related to AFREZZA in violation of the terms of the Milestone Agreement.</w:t>
      </w:r>
    </w:p>
    <w:p>
      <w:pPr>
        <w:spacing w:after="0" w:line="12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There can be no assurance that we will be able to satisfy the covenants under any of the foregoing agreements, and we cannot predict whether the holders of the 2019 notes would demand repayment of the outstanding balance of the 2019 notes or exercise any other remedies available to such holders if we were unable to comply with these covenants. The covenants and restrictions contained in the foregoing agreements could significantly limit our ability to respond to changes in our business or competitive activities or take advantage of business opportunities that may create value for our stockholders. In addition, our inability to meet or otherwise comply with the covenants under these agreements could have an adverse impact on our financial position and results of operations and could result in an event of default under the terms of our indebtedness, including our indebtedness under the 2013 notes and the 2015 notes. In the event of certain future defaults under the foregoing agreements for which we are not able to obtain waivers, the holders of our 2013 notes, 2015 notes and 2019 notes may accelerate all of our repayment obligations, and, with respect to the 2019 notes, take control of our pledged assets, potentially requiring us to renegotiate the terms of our indebtedness on terms less favorable to us, or to immediately cease operations.</w:t>
      </w:r>
    </w:p>
    <w:p>
      <w:pPr>
        <w:spacing w:after="0" w:line="12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we enter into additional debt arrangements, the terms of such additional arrangements could further restrict our operating and financial flexibility. In the event we must cease operations and liquidate our assets, the rights of any holders of our outstanding debt would be senior to the rights of the holders of our common stock to receive any proceeds from the liquidation.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Deterioration of the general global economic conditions may have an adverse impact on our loan facility with The Mann Group.*</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the recent past, financial markets in the United States, Europe and Asia have experienced a period of unprecedented turmoil and upheaval characterized by extreme volatility and declines in security prices, severely diminished liquidity and credit availability,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inability to access capital markets, the bankruptcy, failure, collapse or sale of various financial institutions and an unprecedented level of intervention from the United States federal government and other governments. We cannot predict the impact of the deterioration, if any, of the general stock market and global economy on the financial condition of The Mann Group. If The Mann Group has insufficient assets or if we are otherwise unable to draw on The Mann Group loan facility, our business and financial condition may be adversely affected.</w:t>
      </w:r>
    </w:p>
    <w:p>
      <w:pPr>
        <w:spacing w:after="0" w:line="22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our business will be harmed and the market price of our common stock could decline.</w:t>
      </w:r>
    </w:p>
    <w:p>
      <w:pPr>
        <w:spacing w:after="0" w:line="5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62" w:lineRule="exact"/>
        <w:rPr>
          <w:sz w:val="20"/>
          <w:szCs w:val="20"/>
          <w:color w:val="auto"/>
        </w:rPr>
      </w:pPr>
    </w:p>
    <w:p>
      <w:pPr>
        <w:ind w:left="900" w:right="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AFREZZA;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of scheduling conflicts with participating clinicians and clinical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receipt of approvals by our competitors and by us from the FDA and other regulatory agencies;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enter into sales and marketing collaborations for AFREZZA;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actions by regulators.</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license or sale of certain of our assets on a timely basis, we will be required to reduce expenses by delaying, reducing or curtailing our development of AFREZZA. If we fail to commence or complete, or experience delays in or are forced to curtail, our proposed clinical programs or otherwise fail to adhere to our projected development goals in the timeframes we announce and expect (or within the timeframes expected by analysts or investors), our business and results of operations will be harmed and the market price of our common stock may decline.</w:t>
      </w:r>
    </w:p>
    <w:p>
      <w:pPr>
        <w:spacing w:after="0" w:line="22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132"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AFREZZA. Many of our competitors have existing infrastructure and relationships with managed care organizations and reimbursement authorities which can be used to their advantage.</w:t>
      </w:r>
    </w:p>
    <w:p>
      <w:pPr>
        <w:spacing w:after="0" w:line="9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14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enter into a strategic collaboration with respect to AFREZZA, we may not be able to execute on our business model.</w:t>
      </w:r>
    </w:p>
    <w:p>
      <w:pPr>
        <w:spacing w:after="0" w:line="9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AFREZZA. To date we have not reached an agreement on a collaboration with any of these companies. We cannot predict when, if ever, we will conclude an agreement with a partner. There can be no assurance that any such collaboration will be available to us on a timely basis or on acceptable terms. If we are not able to enter into a collaboration on terms that are favorable to us, we may be unable to undertake and fund product development, clinical trials, manufacturing and/or marketing activities at our own</w:t>
      </w:r>
    </w:p>
    <w:p>
      <w:pPr>
        <w:sectPr>
          <w:pgSz w:w="11900" w:h="16838" w:orient="portrait"/>
          <w:cols w:equalWidth="0" w:num="1">
            <w:col w:w="11400"/>
          </w:cols>
          <w:pgMar w:left="240" w:top="459" w:right="259"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459" w:right="2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expense, which would delay or otherwise impede the commercialization of AFREZZA. Our product candidates are intended to be used by a large number of healthcare professionals who will require substantial education and support. For example, a broad base of physicians, including primary care physicians and endocrinologists, treat patients with diabetes. A large sales force would be required in order to educate these physicians about the benefits and advantages of AFREZZA and to provide adequate support for them. With respect to the commercialization of AFREZZA, if approved, if we fail to enter into collaborations, we would be required to establish our own direct sales, marketing and distribution capabilities. Establishing these capabilities can be time-consuming and expensive and would delay our ability to commercialize AFREZZA. Because we lack experience in selling pharmaceutical products to the diabetes market, we would be at a disadvantage compared to our potential competitors, many of whom have substantially more resources and experience than we do. For example, several other companies selling products to treat diabetes have existing sales forces in excess of 1,500 sales representatives. We, acting alone, would not initially be able to field a sales force as large as our competitors or provide the same degree of marketing support. Also, we would not be able to match our competitors’ spending levels for pre-launch marketing preparation, including medical education. We cannot assure you that we will succeed in entering into acceptable collaborations, that any such collaboration will be successful or, if not, that we will successfully develop our own sales, marketing and distribution capabilities.</w:t>
      </w:r>
    </w:p>
    <w:p>
      <w:pPr>
        <w:spacing w:after="0" w:line="1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efforts.</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enter into collaborative agreements with respect to AFREZZA and if our third-party collaborators do not perform satisfactorily or if our collaborations fail, development or commercialization of AFREZZA may be delayed and our business could be harmed.</w:t>
      </w:r>
    </w:p>
    <w:p>
      <w:pPr>
        <w:spacing w:after="0" w:line="5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may enter into license agreements, partnerships or other collaborative arrangements to support the financing, development and marketing of AFREZZA.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we enter into collaborative arrangements, we will have less control over the timing, planning and other aspects of our clinical trials, and the sale and marketing of AFREZZA and our other product candidates. We cannot offer assurances that we will be able to enter into satisfactory arrangements with third parties as contemplated or that any of our existing or future collaborations will be successful.</w:t>
      </w:r>
    </w:p>
    <w:p>
      <w:pPr>
        <w:spacing w:after="0" w:line="22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Continued testing of AFREZZA or our other product candidates may not yield successful results, and even if it does, we may still be unable to commercialize our product candidates.</w:t>
      </w:r>
    </w:p>
    <w:p>
      <w:pPr>
        <w:spacing w:after="0" w:line="5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Our research and development programs are designed to test the safety and efficacy of AFREZZA and our other product candidates through extensive nonclinical and clinical testing. We may experience numerous unforeseen events during, or as a result of, the testing process that could delay or prevent commercialization of AFREZZA or any of our other product candidates, including the following:</w:t>
      </w:r>
    </w:p>
    <w:p>
      <w:pPr>
        <w:spacing w:after="0" w:line="59" w:lineRule="exact"/>
        <w:rPr>
          <w:sz w:val="20"/>
          <w:szCs w:val="20"/>
          <w:color w:val="auto"/>
        </w:rPr>
      </w:pPr>
    </w:p>
    <w:p>
      <w:pPr>
        <w:jc w:val="both"/>
        <w:ind w:left="900" w:right="22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safety and efficacy results for AFREZZA obtained in our nonclinical and previous clinical testing may be inconclusive or may not be predictive of results that we may obtain in our future clinical trials or following long-term use, and we may as a result be forced to stop developing AFREZZA;</w:t>
      </w:r>
    </w:p>
    <w:p>
      <w:pPr>
        <w:spacing w:after="0" w:line="4"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data collected from clinical trials of AFREZZA or our other product candidates may not reach statistical significance or otherwise be sufficient to support FDA or other regulatory approval;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Forecasts about the effects of the use of drugs, including AFREZZA, over terms longer than the clinical trials or in much larger populations may not be consistent with the clinical results. If use of AFREZZA results in adverse health effects or reduced efficacy or both, the FDA or other regulatory agencies may terminate our ability to market and sell AFREZZA, may narrow the approved indications for use or otherwise require restrictive product labeling or marketing, or may require further clinical trials, which may be time-consuming and expensive and may not produce favorable results.</w:t>
      </w:r>
    </w:p>
    <w:p>
      <w:pPr>
        <w:spacing w:after="0" w:line="11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trials or marketing of AFREZZA at any time. Any suspension or termination of our clinical trials or marketing activities may harm our business and results of operations and the market price of our common stock may decline.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57" w:lineRule="auto"/>
        <w:rPr>
          <w:sz w:val="20"/>
          <w:szCs w:val="20"/>
          <w:color w:val="auto"/>
        </w:rPr>
      </w:pPr>
      <w:r>
        <w:rPr>
          <w:rFonts w:ascii="Arial" w:cs="Arial" w:eastAsia="Arial" w:hAnsi="Arial"/>
          <w:sz w:val="15"/>
          <w:szCs w:val="15"/>
          <w:b w:val="1"/>
          <w:bCs w:val="1"/>
          <w:i w:val="1"/>
          <w:iCs w:val="1"/>
          <w:color w:val="auto"/>
        </w:rPr>
        <w:t>If our suppliers fail to deliver materials and services needed for the production of AFREZZA in a timely and sufficient manner, or they fail to comply with applicable regulations, our business and results of operations would be harmed and the market price of our common stock could decline.</w:t>
      </w:r>
    </w:p>
    <w:p>
      <w:pPr>
        <w:spacing w:after="0" w:line="289" w:lineRule="auto"/>
        <w:rPr>
          <w:sz w:val="20"/>
          <w:szCs w:val="20"/>
          <w:color w:val="auto"/>
        </w:rPr>
      </w:pPr>
      <w:r>
        <w:rPr>
          <w:rFonts w:ascii="Arial" w:cs="Arial" w:eastAsia="Arial" w:hAnsi="Arial"/>
          <w:sz w:val="16"/>
          <w:szCs w:val="16"/>
          <w:color w:val="auto"/>
        </w:rPr>
        <w:t>For AFREZZA to be commercially viable, we need access to sufficient, reliable and affordable supplies of insulin, our AFREZZA inhaler, the related cartridges and other materials. We must rely on our suppliers to comply with relevant regulatory and other legal requirements, including the production of insulin in accordance with the FDA’s current Good Manufacturing Practices, or cGMP for drug products, and the production of the AFREZZA inhaler and related cartridges in accordance with Quality System Regulations, or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development or manufacturing of AFREZZA may be delayed. Any such events could delay market introduction and subsequent sales of AFREZZA and, if so, our business and results of operations will be harmed and the market price of our common stock may decline.</w:t>
      </w:r>
    </w:p>
    <w:p>
      <w:pPr>
        <w:spacing w:after="0" w:line="199" w:lineRule="exact"/>
        <w:rPr>
          <w:sz w:val="20"/>
          <w:szCs w:val="20"/>
          <w:color w:val="auto"/>
        </w:rPr>
      </w:pPr>
    </w:p>
    <w:p>
      <w:pPr>
        <w:ind w:right="440"/>
        <w:spacing w:after="0" w:line="357" w:lineRule="auto"/>
        <w:rPr>
          <w:sz w:val="20"/>
          <w:szCs w:val="20"/>
          <w:color w:val="auto"/>
        </w:rPr>
      </w:pPr>
      <w:r>
        <w:rPr>
          <w:rFonts w:ascii="Arial" w:cs="Arial" w:eastAsia="Arial" w:hAnsi="Arial"/>
          <w:sz w:val="15"/>
          <w:szCs w:val="15"/>
          <w:b w:val="1"/>
          <w:bCs w:val="1"/>
          <w:i w:val="1"/>
          <w:iCs w:val="1"/>
          <w:color w:val="auto"/>
        </w:rPr>
        <w:t>We have never manufactured AFREZZA or any other product candidates in commercial quantities, and if we fail to develop an effective manufacturing capability for our product candidates or to engage third-party manufacturers with this capability, we may be unable to commercialize these products.</w:t>
      </w:r>
    </w:p>
    <w:p>
      <w:pPr>
        <w:spacing w:after="0" w:line="286" w:lineRule="auto"/>
        <w:rPr>
          <w:sz w:val="20"/>
          <w:szCs w:val="20"/>
          <w:color w:val="auto"/>
        </w:rPr>
      </w:pPr>
      <w:r>
        <w:rPr>
          <w:rFonts w:ascii="Arial" w:cs="Arial" w:eastAsia="Arial" w:hAnsi="Arial"/>
          <w:sz w:val="16"/>
          <w:szCs w:val="16"/>
          <w:color w:val="auto"/>
        </w:rPr>
        <w:t>We use our Danbury, Connecticut facility to formulate AFREZZA inhalation powder, fill plastic cartridges with the powder, package the cartridges in blister packs, and place the blister packs into foil pouches. We will utilize a contract packager to do the final kitting and cartoning of foil pouched blisters containing cartridges, as well as inhalers and the package insert. Although the Danbury facility has been qualified and undergone an inspection by the FDA in connection with our original NDA submission that sought approval of AFREZZA using our MedTone inhaler, we anticipate that our facility will need to undergo further inspection related to our ability to fill and package cartridges for our next-generation Dreamboat inhaler before we can be approved to distribute AFREZZA commercially.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2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Any of these factors could cause us to delay or suspend clinical trials, regulatory submissions or required approvals of our product candidates, could entail higher costs and may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If any product that we develop does not become widely accepted by physicians, patients, third-party payors and the healthcare community, we may be unable to generate significant revenue, if any.</w:t>
      </w:r>
    </w:p>
    <w:p>
      <w:pPr>
        <w:spacing w:after="0" w:line="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AFREZZA and our other product candidates are new and unproven. Even if any of our product candidates obtain regulatory approval, they may not gain market acceptance among physicians, patients, third-party payors and the healthcare community. Failure to achieve market acceptance would limit our ability to generate revenue and would adversely affect our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AFREZZA and our other product candidates will depend on many factors, including the:</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claims for which FDA approval can be obtained, including superiority claims;</w:t>
      </w:r>
    </w:p>
    <w:p>
      <w:pPr>
        <w:spacing w:after="0" w:line="90"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effectiveness of our or our third party collaborator(s) efforts to educate physicians about the benefits and advantages of AFREZZA or our other products and to provide adequate support for them, and the perceived advantages and disadvantages of competitive products;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coverage and pricing and reimbursement relative to other treatment therapeutics and methods;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7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Because of these and other factors, any product that we may develop may not gain market acceptance, which would materially harm our business, financial condition and results of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If third-party payors do not cover any products for which we receive regulatory approval or adequately reimburse consumers for any such products, our products might not be used or purchased, which would adversely affect our revenues.</w:t>
      </w:r>
    </w:p>
    <w:p>
      <w:pPr>
        <w:spacing w:after="0" w:line="5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governments and third-party payors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drug pricing reform proposals or legislation. Such reforms may make it difficult to complete the development and testing of AFREZZA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United States and elsewhere, sales of prescription pharmaceuticals still depend in large part on the availability of reimbursement to the consumer from third-party payors, such as governmental and private insurance plans. Third-party payors are increasingly challenging the prices charged for medical products and services.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would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1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If we are unable to obtain coverage of, and adequate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 even if we have products that are approved.*</w:t>
      </w:r>
    </w:p>
    <w:p>
      <w:pPr>
        <w:spacing w:after="0" w:line="90"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color w:val="auto"/>
        </w:rPr>
        <w:t>In both the United States and certain foreign jurisdictions, there have been a number of legislative and regulatory proposals in recent years to change the healthcare system in ways that could impact our ability to sell our products profitably. In March 2010, the Patient Protection and Affordable Care Act, as amended by the Health Care and Education Affordability Reconciliation Act, or collectively, PPACA, became law in the United States. PPACA substantially changes the way healthcare is financed by both governmental and private insurers and significantly affects the healthcare industry. Among the provisions of PPACA of importance to our potential product candidates are the following:</w:t>
      </w:r>
    </w:p>
    <w:p>
      <w:pPr>
        <w:spacing w:after="0" w:line="35" w:lineRule="exact"/>
        <w:rPr>
          <w:sz w:val="20"/>
          <w:szCs w:val="20"/>
          <w:color w:val="auto"/>
        </w:rPr>
      </w:pPr>
    </w:p>
    <w:p>
      <w:pPr>
        <w:ind w:left="900" w:right="1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 beginning in 2011;</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2.3% medical device excise tax on certain transactions, including many U.S. sales of medical devices, which currently includes and we expect will continue to include U.S. sales of drug-device combination products;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retroactive to January 1, 2010, to 23% and 13% of the average manufacturer price for most branded and generic drugs, respectively;</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59"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50" w:lineRule="exact"/>
        <w:rPr>
          <w:rFonts w:ascii="Arial" w:cs="Arial" w:eastAsia="Arial" w:hAnsi="Arial"/>
          <w:sz w:val="18"/>
          <w:szCs w:val="18"/>
          <w:color w:val="auto"/>
        </w:rPr>
      </w:pPr>
    </w:p>
    <w:p>
      <w:pPr>
        <w:jc w:val="both"/>
        <w:ind w:left="900" w:right="18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certain individuals with income at or below 133% of the Federal Poverty Level, thereby potentially increasing manufacturers’ Medicaid rebate liability;</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90" w:lineRule="exact"/>
        <w:rPr>
          <w:rFonts w:ascii="Arial" w:cs="Arial" w:eastAsia="Arial" w:hAnsi="Arial"/>
          <w:sz w:val="18"/>
          <w:szCs w:val="18"/>
          <w:color w:val="auto"/>
        </w:rPr>
      </w:pPr>
    </w:p>
    <w:p>
      <w:pPr>
        <w:ind w:left="900" w:right="440" w:hanging="325"/>
        <w:spacing w:after="0" w:line="318"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new requirements to report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 with data collection required as of August 1, 2013 and reporting to the Centers for Medicare &amp; Medicaid Services, or CMS, to be required by March 31, 2014 and by the 90th day of each subsequent calendar year;</w:t>
      </w:r>
    </w:p>
    <w:p>
      <w:pPr>
        <w:spacing w:after="0" w:line="18" w:lineRule="exact"/>
        <w:rPr>
          <w:rFonts w:ascii="Arial" w:cs="Arial" w:eastAsia="Arial" w:hAnsi="Arial"/>
          <w:sz w:val="15"/>
          <w:szCs w:val="15"/>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3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PPACA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On January 2, 2013, President Obama signed into law the American Taxpayer Relief Act of 2012, or the ATRA, which, among other things,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healthcare funding, which could have a material adverse effect on our customers and accordingly, our financial operations.</w:t>
      </w:r>
    </w:p>
    <w:p>
      <w:pPr>
        <w:spacing w:after="0" w:line="118"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94"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b w:val="1"/>
          <w:bCs w:val="1"/>
          <w:i w:val="1"/>
          <w:iCs w:val="1"/>
          <w:color w:val="auto"/>
        </w:rPr>
        <w:t>If we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As a biopharmaceutical company,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laws that may affect our ability to operate include:</w:t>
      </w:r>
    </w:p>
    <w:p>
      <w:pPr>
        <w:spacing w:after="0" w:line="62" w:lineRule="exact"/>
        <w:rPr>
          <w:sz w:val="20"/>
          <w:szCs w:val="20"/>
          <w:color w:val="auto"/>
        </w:rPr>
      </w:pPr>
    </w:p>
    <w:p>
      <w:pPr>
        <w:ind w:left="900" w:hanging="325"/>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Anti-Kickback Statute, which constrains our marketing practices, educational programs, pricing policies, and relationships with healthcare providers or other entities, by prohibiting, among other things,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62" w:lineRule="exact"/>
        <w:rPr>
          <w:rFonts w:ascii="Arial" w:cs="Arial" w:eastAsia="Arial" w:hAnsi="Arial"/>
          <w:sz w:val="18"/>
          <w:szCs w:val="18"/>
          <w:color w:val="auto"/>
        </w:rPr>
      </w:pPr>
    </w:p>
    <w:p>
      <w:pPr>
        <w:jc w:val="both"/>
        <w:ind w:left="900" w:right="66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59" w:lineRule="exact"/>
        <w:rPr>
          <w:rFonts w:ascii="Arial" w:cs="Arial" w:eastAsia="Arial" w:hAnsi="Arial"/>
          <w:sz w:val="18"/>
          <w:szCs w:val="18"/>
          <w:color w:val="auto"/>
        </w:rPr>
      </w:pPr>
    </w:p>
    <w:p>
      <w:pPr>
        <w:ind w:left="900" w:right="64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executing a scheme to defraud any healthcare benefit program or making false statements relating to healthcare matters;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its implementing regulations, which imposes certain requirements relating to the privacy, security and transmission of individually identifiable health information; and</w:t>
      </w:r>
    </w:p>
    <w:p>
      <w:pPr>
        <w:spacing w:after="0" w:line="4" w:lineRule="exact"/>
        <w:rPr>
          <w:rFonts w:ascii="Arial" w:cs="Arial" w:eastAsia="Arial" w:hAnsi="Arial"/>
          <w:sz w:val="16"/>
          <w:szCs w:val="16"/>
          <w:color w:val="auto"/>
        </w:rPr>
      </w:pPr>
    </w:p>
    <w:p>
      <w:pPr>
        <w:ind w:left="900" w:right="40" w:hanging="325"/>
        <w:spacing w:after="0" w:line="25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43"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Because of the breadth of these laws and the narrowness of available statutory and regulatory exceptions, it is possible that some of our business activities could be subject to challenge under one or more of such laws. To the extent that any of our product candidates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civil and criminal penalties, damages, fines, imprisonment, exclusion of products from reimbursement under U.S. federal or state healthcare programs,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$10.0 million. In addition, we carry local policies per trial in each country in which we conduct clinical trials that require us to carry coverage based on local statutory requirements. We intend to obtain product liability coverage for commercial sales in the future if AFREZZA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1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our product candidates successfully, we may be required to expand our work force, particularly in the areas of manufacturing, and, if we are unable to enter into collaborations with third parties to commercialize AFREZZA or any other approved products,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14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our Chairman and Chief Executive Officer is unable to devote sufficient time and attention to our business, our operations and our ability to execute our business strategy could be materially harmed.</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Alfred Mann, our Chairman and Chief Executive Officer,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internal controls over financial reporting are not considered effective, our business and stock price could be adversely affected.</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4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In addition, we are headquartered in Valencia, California. This facility contains our principal executive offices and is used to provide support for the development of our AFREZZA programs. We depend on our facilities and on collaborators, contractors and vendors for the continued operation of our business, some of whom are located in Europe.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and adversely affect, which may include stopping, our readiness for commercial production.</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25"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w:t>
      </w:r>
    </w:p>
    <w:p>
      <w:pPr>
        <w:spacing w:after="0" w:line="1" w:lineRule="exact"/>
        <w:rPr>
          <w:sz w:val="20"/>
          <w:szCs w:val="20"/>
          <w:color w:val="auto"/>
        </w:rPr>
      </w:pPr>
    </w:p>
    <w:p>
      <w:pPr>
        <w:ind w:right="80" w:firstLine="8"/>
        <w:spacing w:after="0" w:line="287" w:lineRule="auto"/>
        <w:tabs>
          <w:tab w:leader="none" w:pos="258"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$4.0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2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During the construction of our expanded manufacturing facility, we excavated contaminated soil under the footprint of our building expansion location. The responsible party reimbursed us for our increased excavation and disposal costs of contaminated soil in the amount of $1.625 million. It has conducted at its expense all work and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and results of operations may be harmed.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Our product candidates must undergo rigorous nonclinical and clinical testing and we must obtain regulatory approvals, which could be costly and time-consuming and subject us to unanticipated delays or prevent us from marketing any products.</w:t>
      </w:r>
    </w:p>
    <w:p>
      <w:pPr>
        <w:spacing w:after="0" w:line="5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Our research and development activities, as well as the manufacturing and marketing of our product candidates, including AFREZZA,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2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Clinical testing can be costly and take many years, and the outcome is uncertain and susceptible to varying interpretations. We cannot be certain if or when the FDA might request additional studies, under what conditions such studies might be requested, or what the size or length of any such studies might be.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AFREZZA.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1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AFREZZA, outside the United States vary widely from country to country. Foreign approvals may take longer to obtain than FDA approvals and can require, among other things, additional testing and different clinical trial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In January 2006, the FDA approved the first pulmonary insulin product, Exubera. This approval has had an impact on, and notwithstanding the voluntary withdrawal of the product from the market by its manufacturer could still impact, the development and registration of AFREZZA in different ways. For example, Exubera may be used as a reference for safety and efficacy evaluations of AFREZZA, and the approval standards set for Exubera may be applied to other products that follow, including AFREZZA.</w:t>
      </w:r>
    </w:p>
    <w:p>
      <w:pPr>
        <w:spacing w:after="0" w:line="12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FDA is regulating AFREZZA as a “combination product” because of the complex nature of the system that includes the combination of a new drug (AFREZZA) and a new medical device (the inhaler used to administer the insulin). The review of our NDA for AFREZZA involves several separate review groups of the FDA including: (1) the Metabolic and Endocrine Drug Products Division; (2) the Pulmonary Drug Products Division; and (3) the Center for Devices and Radiological Health, which reviews medical devices. The Metabolic and Endocrine Drug Products Division is the lead group and obtains consulting reviews from the other two FDA groups. We can make no assurances at this time about what impact FDA review by multiple groups will have on the approvability of our product or that we will obtain approval of the NDA in a timely manner or at all.</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AFREZZA as a combination product may lengthen the product development and regulatory approval process, increase our development costs and delay or prevent the commercialization of AFREZZA. Other product candidates that we may develop could face similar obstacles and costs.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5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will not be able to commercialize AFREZZA or any other product candidates unless we have obtained regulatory approval. Until we prepared and submitted our NDA for AFREZZA, we had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18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5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19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5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AFREZZA or limit the target population for our other product candidates. There are no assurances that any advantages of AFREZZA will be agreed to by the FDA or otherwise included in product labeling or advertising and, as a result, AFREZZA may not have our expected competitive advantages when compared to other insulin products.</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manufacture, marketing and sale of any of our product candidates will be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14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w:t>
      </w:r>
      <w:r>
        <w:rPr>
          <w:rFonts w:ascii="Arial" w:cs="Arial" w:eastAsia="Arial" w:hAnsi="Arial"/>
          <w:sz w:val="16"/>
          <w:szCs w:val="16"/>
          <w:i w:val="1"/>
          <w:iCs w:val="1"/>
          <w:color w:val="auto"/>
        </w:rPr>
        <w:t>e.g</w:t>
      </w:r>
      <w:r>
        <w:rPr>
          <w:rFonts w:ascii="Arial" w:cs="Arial" w:eastAsia="Arial" w:hAnsi="Arial"/>
          <w:sz w:val="16"/>
          <w:szCs w:val="16"/>
          <w:color w:val="auto"/>
        </w:rPr>
        <w:t xml:space="preserve"> ,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suppliers will be subject to FDA inspection before the agency approves an NDA for AFREZZA.</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When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future commercialization of AFREZZA. We also depend on suppliers for other materials that comprise AFREZZA, including our AFREZZA inhaler and cartridges. Each supplier must comply with relevant regulatory requirements including QSR, and is subject to inspection by the FDA. There can be no assurance, in the conduct of an inspection of any of our suppliers, that the agency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At present, there are a number of clinical trials being conducted by us and other pharmaceutical companies involving insulin delivery systems. If we discover that AFREZZA is associated with a significantly increased frequency of adverse events, or if other pharmaceutical companies announce that they observed frequent adverse events in their trials involving insulin therapies, we could encounter delays in the timing of our clinical trials, difficulties in obtaining approval of AFREZZA or be subject to class warnings in the label for AFREZZA, if approved. In addition, the public perception of AFREZZA might be adversely affected, which could harm our business and results of operations and cause the market price of our common stock to decline, even if the concern relates to another company’s products or product candidates.</w:t>
      </w:r>
    </w:p>
    <w:p>
      <w:pPr>
        <w:spacing w:after="0" w:line="144"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9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some patents providing protection for our AFREZZA inhalation powder expired in 2012. Other patents providing similar protection have terms extending into 2020 and 2031. In addition, patents providing protection for our inhaler and cartridges have terms extending into 2023 and 2031, and we have method of treatment claims that extend into 2026 and 2029. As and when these different patents expire, AFREZZA could become subject to increased competition. As a consequence, we may not be able to recover our development costs.</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September 16, 2011, the Leahy-Smith America Invents Act, or the Leahy-Smith Act, was signed into law. The Leahy-Smith Act includes a number of significant changes to United States patent law. These include provisions that affect the way patent applications will be prosecuted, subjected to post-grant challenge, and may also affect patent litigation. The United States Patent and Trademark Office, or USPTO is continuing to develop regulations and procedures to govern administration of the Leahy-Smith Act, and while all of the substantive changes to patent law associated with the Leahy-Smith Act have become effective, many changes have only recently become effective. Moreover there will be a transitional period of many years during which some applications may be eligible for prosecution under the previous rules.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1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w:t>
      </w:r>
    </w:p>
    <w:p>
      <w:pPr>
        <w:sectPr>
          <w:pgSz w:w="11900" w:h="16838" w:orient="portrait"/>
          <w:cols w:equalWidth="0" w:num="1">
            <w:col w:w="11400"/>
          </w:cols>
          <w:pgMar w:left="240" w:top="459" w:right="25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459" w:right="2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4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Interference proceedings brought by the USPTO, may be necessary to determine the priority of inventions with respect to our patent applications or those of our collaborators or licensors. Additionally, the Leahy-Smith Act has greatly expanded the options for post-grant review of patents that can be brought by third parties. Litigation, post-grant review,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post-grant review, or interference proceeding in which we are involved. Even if we do prevail, these proceedings can be very expensive and distract our management.</w:t>
      </w:r>
    </w:p>
    <w:p>
      <w:pPr>
        <w:spacing w:after="0" w:line="12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224"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1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Moreover, certain components of AFREZZA may be manufactured outside the United States and imported into the United States. As such, third parties could file complaints under 19 U.S.C. Section 337(a)(1)(B), or a 337 action, with the International Trade Commission, or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18"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Although we own a number of domestic and foreign patents and patent applications relating to AFREZZA, we have identified certain third-party patents having claims relating to pulmonary insulin delivery that may trigger an allegation of infringement upon the commercial manufacture and sale of AFREZZA. If a court were to determine that AFREZZA was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12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not selected trade names for some of our product candidates; therefore, we have not filed trademark registrations for all of our potential trade names for our product candidates in all jurisdictions, nor can we assure that we will be granted registration of those potential trade names for which we have filed.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2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and results of our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concerning clinical trial results, acquisitions, strategic alliances, technological innovations, newly approved commercial products, product discontinuations, or other developments;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market conditions and fluctuations for emerging growth and pharmaceutical market sectors;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status of any legal proceedings against us or any of our executive officers and directors;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existence of, and the issuance of shares of our common stock pursuant to, the share lending agreement and the short sales of our common stock effected in connection with the sale of our 2015 notes;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conversion of any of our 2013 notes, 2015 notes or 2019 notes into shares of our common stock; and</w:t>
      </w:r>
    </w:p>
    <w:p>
      <w:pPr>
        <w:spacing w:after="0" w:line="90" w:lineRule="exact"/>
        <w:rPr>
          <w:rFonts w:ascii="Arial" w:cs="Arial" w:eastAsia="Arial" w:hAnsi="Arial"/>
          <w:sz w:val="18"/>
          <w:szCs w:val="18"/>
          <w:color w:val="auto"/>
        </w:rPr>
      </w:pPr>
    </w:p>
    <w:p>
      <w:pPr>
        <w:ind w:left="900" w:right="80" w:hanging="325"/>
        <w:spacing w:after="0" w:line="25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5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Our Chairman and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59"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At June 30, 2013, our Chairman and Chief Executive Officer, Alfred E. Mann beneficially owned 40.8% of our outstanding shares of capital stock. By virtue of his holdings, Mr. Mann may be able to continue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11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Institutes at the University of Southern California, the Technion-Israel Institute of Technology, and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20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The future sale of our common stock, the conversion of our senior convertible notes into common stock or the exercise of our warrants for common stock could negatively affect our stock price.*</w:t>
      </w:r>
    </w:p>
    <w:p>
      <w:pPr>
        <w:spacing w:after="0" w:line="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of June 30, 2013, we had 300,869,683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or upon the exercise of some or all of the warrants we issued in February 2012 and October 2012, could adversely affect the trading price of our common stock. In addition, the existence of these notes and warrants may encourage short selling of our common stock by market participants. Furthermore, if we were to include in a company-initiated registration statement shares held by our stockholders pursuant to the exercise of their registration rights, the sale of those shares could impair our ability to raise needed capital by depressing the price at which we could sell our common stock.</w:t>
      </w:r>
    </w:p>
    <w:p>
      <w:pPr>
        <w:spacing w:after="0" w:line="118"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16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do not expect to pay dividends in the foreseeable future, you must rely on stock appreciation for any return on your investment.</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or maintain its current price. You could lose the entire value of your investment in our common stock.</w:t>
      </w:r>
    </w:p>
    <w:p>
      <w:pPr>
        <w:spacing w:after="0" w:line="195" w:lineRule="exact"/>
        <w:rPr>
          <w:sz w:val="20"/>
          <w:szCs w:val="20"/>
          <w:color w:val="auto"/>
        </w:rPr>
      </w:pPr>
    </w:p>
    <w:p>
      <w:pPr>
        <w:ind w:right="4420"/>
        <w:spacing w:after="0" w:line="369"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 August 9, 2013, we issued a press release announcing our financial results for the quarter ended June 30, 2013. A copy of the press release is attached as Exhibit 99.1 to this quarterly report on Form 10-Q and is incorporated into this Item 5 by reference.</w:t>
      </w:r>
    </w:p>
    <w:p>
      <w:pPr>
        <w:spacing w:after="0" w:line="5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information in this Item 5 is being furnished and shall not be deemed “filed” for the purposes of Section 18 of the Exchange Act, or otherwise subject to the liabilities of that Section. The information in this Item 5 shall not be incorporated by reference into any registration statement or other document pursuant to the Securities Act.</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80" w:type="dxa"/>
            <w:vAlign w:val="bottom"/>
          </w:tcPr>
          <w:p>
            <w:pPr>
              <w:spacing w:after="0"/>
              <w:rPr>
                <w:sz w:val="14"/>
                <w:szCs w:val="14"/>
                <w:color w:val="auto"/>
              </w:rPr>
            </w:pPr>
          </w:p>
        </w:tc>
      </w:tr>
      <w:tr>
        <w:trPr>
          <w:trHeight w:val="16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80" w:type="dxa"/>
            <w:vAlign w:val="bottom"/>
          </w:tcPr>
          <w:p>
            <w:pPr>
              <w:ind w:left="432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80" w:type="dxa"/>
            <w:vAlign w:val="bottom"/>
            <w:tcBorders>
              <w:bottom w:val="single" w:sz="8" w:color="auto"/>
            </w:tcBorders>
          </w:tcPr>
          <w:p>
            <w:pPr>
              <w:spacing w:after="0" w:line="20" w:lineRule="exact"/>
              <w:rPr>
                <w:sz w:val="1"/>
                <w:szCs w:val="1"/>
                <w:color w:val="auto"/>
              </w:rPr>
            </w:pPr>
          </w:p>
        </w:tc>
      </w:tr>
      <w:tr>
        <w:trPr>
          <w:trHeight w:val="289"/>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8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8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Certificate of Amendment of Amended and Restated Certificate of Incorporation.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3.3(3)</w:t>
            </w:r>
          </w:p>
        </w:tc>
        <w:tc>
          <w:tcPr>
            <w:tcW w:w="8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Certificate of Amendment of Amended and Restated Certificate of Incorporation.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3.4(4)</w:t>
            </w:r>
          </w:p>
        </w:tc>
        <w:tc>
          <w:tcPr>
            <w:tcW w:w="8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Certificate of Amendment of Amended and Restated Certificate of Incorporation.</w:t>
            </w:r>
          </w:p>
        </w:tc>
      </w:tr>
      <w:tr>
        <w:trPr>
          <w:trHeight w:val="324"/>
        </w:trPr>
        <w:tc>
          <w:tcPr>
            <w:tcW w:w="1340" w:type="dxa"/>
            <w:vAlign w:val="bottom"/>
            <w:gridSpan w:val="2"/>
          </w:tcPr>
          <w:p>
            <w:pPr>
              <w:spacing w:after="0"/>
              <w:rPr>
                <w:sz w:val="20"/>
                <w:szCs w:val="20"/>
                <w:color w:val="auto"/>
              </w:rPr>
            </w:pPr>
            <w:r>
              <w:rPr>
                <w:rFonts w:ascii="Arial" w:cs="Arial" w:eastAsia="Arial" w:hAnsi="Arial"/>
                <w:sz w:val="18"/>
                <w:szCs w:val="18"/>
                <w:color w:val="auto"/>
              </w:rPr>
              <w:t>3.5(10)</w:t>
            </w:r>
          </w:p>
        </w:tc>
        <w:tc>
          <w:tcPr>
            <w:tcW w:w="10080" w:type="dxa"/>
            <w:vAlign w:val="bottom"/>
          </w:tcPr>
          <w:p>
            <w:pPr>
              <w:spacing w:after="0"/>
              <w:rPr>
                <w:sz w:val="20"/>
                <w:szCs w:val="20"/>
                <w:color w:val="auto"/>
              </w:rPr>
            </w:pPr>
            <w:r>
              <w:rPr>
                <w:rFonts w:ascii="Arial" w:cs="Arial" w:eastAsia="Arial" w:hAnsi="Arial"/>
                <w:sz w:val="18"/>
                <w:szCs w:val="18"/>
                <w:color w:val="auto"/>
              </w:rPr>
              <w:t>Certificate of Amendment of Amended and Restated Certificate of Incorporation.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3.6(5)</w:t>
            </w:r>
          </w:p>
        </w:tc>
        <w:tc>
          <w:tcPr>
            <w:tcW w:w="8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Amended and Restated Bylaws.</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4.1(6)</w:t>
            </w:r>
          </w:p>
        </w:tc>
        <w:tc>
          <w:tcPr>
            <w:tcW w:w="8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Indenture, by and between MannKind and Wells Fargo Bank, N.A., dated November 1, 2006.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4.2(7)</w:t>
            </w:r>
          </w:p>
        </w:tc>
        <w:tc>
          <w:tcPr>
            <w:tcW w:w="8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First Supplemental Indenture, by and between MannKind and Wells Fargo Bank, N.A., dated December 12, 2006.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4.3(7)</w:t>
            </w:r>
          </w:p>
        </w:tc>
        <w:tc>
          <w:tcPr>
            <w:tcW w:w="8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Form of 3.75% Senior Convertible Note due 2013.</w:t>
            </w:r>
          </w:p>
        </w:tc>
      </w:tr>
      <w:tr>
        <w:trPr>
          <w:trHeight w:val="324"/>
        </w:trPr>
        <w:tc>
          <w:tcPr>
            <w:tcW w:w="1340" w:type="dxa"/>
            <w:vAlign w:val="bottom"/>
            <w:gridSpan w:val="2"/>
          </w:tcPr>
          <w:p>
            <w:pPr>
              <w:spacing w:after="0"/>
              <w:rPr>
                <w:sz w:val="20"/>
                <w:szCs w:val="20"/>
                <w:color w:val="auto"/>
              </w:rPr>
            </w:pPr>
            <w:r>
              <w:rPr>
                <w:rFonts w:ascii="Arial" w:cs="Arial" w:eastAsia="Arial" w:hAnsi="Arial"/>
                <w:sz w:val="18"/>
                <w:szCs w:val="18"/>
                <w:color w:val="auto"/>
              </w:rPr>
              <w:t>4.4(11)</w:t>
            </w:r>
          </w:p>
        </w:tc>
        <w:tc>
          <w:tcPr>
            <w:tcW w:w="10080" w:type="dxa"/>
            <w:vAlign w:val="bottom"/>
          </w:tcPr>
          <w:p>
            <w:pPr>
              <w:spacing w:after="0"/>
              <w:rPr>
                <w:sz w:val="20"/>
                <w:szCs w:val="20"/>
                <w:color w:val="auto"/>
              </w:rPr>
            </w:pPr>
            <w:r>
              <w:rPr>
                <w:rFonts w:ascii="Arial" w:cs="Arial" w:eastAsia="Arial" w:hAnsi="Arial"/>
                <w:sz w:val="18"/>
                <w:szCs w:val="18"/>
                <w:color w:val="auto"/>
              </w:rPr>
              <w:t>Form of common stock certificate.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4.5(1)</w:t>
            </w:r>
          </w:p>
        </w:tc>
        <w:tc>
          <w:tcPr>
            <w:tcW w:w="8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88"/>
              </w:rPr>
              <w:t>Registration Rights Agreement, dated October 15, 1998, by and among CTL ImmunoTherapies Corp., Medical Research Group, LLC, McLean</w:t>
            </w:r>
          </w:p>
        </w:tc>
      </w:tr>
      <w:tr>
        <w:trPr>
          <w:trHeight w:val="222"/>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Watson Advisory Inc. and Alfred E. Mann, as amended.</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4.6(8)</w:t>
            </w:r>
          </w:p>
        </w:tc>
        <w:tc>
          <w:tcPr>
            <w:tcW w:w="8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Indenture, by and between MannKind and Wells Fargo Bank, N.A., dated August 24, 2010.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4.7(8)</w:t>
            </w:r>
          </w:p>
        </w:tc>
        <w:tc>
          <w:tcPr>
            <w:tcW w:w="8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Form of 5.75% Senior Convertible Note due 2015.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4.8(9)</w:t>
            </w:r>
          </w:p>
        </w:tc>
        <w:tc>
          <w:tcPr>
            <w:tcW w:w="8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Form of Warrant to Purchase Common Stock issued February 8, 2012.</w:t>
            </w:r>
          </w:p>
        </w:tc>
      </w:tr>
      <w:tr>
        <w:trPr>
          <w:trHeight w:val="324"/>
        </w:trPr>
        <w:tc>
          <w:tcPr>
            <w:tcW w:w="1340" w:type="dxa"/>
            <w:vAlign w:val="bottom"/>
            <w:gridSpan w:val="2"/>
          </w:tcPr>
          <w:p>
            <w:pPr>
              <w:spacing w:after="0"/>
              <w:rPr>
                <w:sz w:val="20"/>
                <w:szCs w:val="20"/>
                <w:color w:val="auto"/>
              </w:rPr>
            </w:pPr>
            <w:r>
              <w:rPr>
                <w:rFonts w:ascii="Arial" w:cs="Arial" w:eastAsia="Arial" w:hAnsi="Arial"/>
                <w:sz w:val="18"/>
                <w:szCs w:val="18"/>
                <w:color w:val="auto"/>
              </w:rPr>
              <w:t>4.9(12)</w:t>
            </w:r>
          </w:p>
        </w:tc>
        <w:tc>
          <w:tcPr>
            <w:tcW w:w="10080" w:type="dxa"/>
            <w:vAlign w:val="bottom"/>
          </w:tcPr>
          <w:p>
            <w:pPr>
              <w:spacing w:after="0"/>
              <w:rPr>
                <w:sz w:val="20"/>
                <w:szCs w:val="20"/>
                <w:color w:val="auto"/>
              </w:rPr>
            </w:pPr>
            <w:r>
              <w:rPr>
                <w:rFonts w:ascii="Arial" w:cs="Arial" w:eastAsia="Arial" w:hAnsi="Arial"/>
                <w:sz w:val="18"/>
                <w:szCs w:val="18"/>
                <w:color w:val="auto"/>
              </w:rPr>
              <w:t>Form of Warrant to Purchase Common Stock issued October 23, 2012.</w:t>
            </w:r>
          </w:p>
        </w:tc>
      </w:tr>
      <w:tr>
        <w:trPr>
          <w:trHeight w:val="324"/>
        </w:trPr>
        <w:tc>
          <w:tcPr>
            <w:tcW w:w="1340" w:type="dxa"/>
            <w:vAlign w:val="bottom"/>
            <w:gridSpan w:val="2"/>
          </w:tcPr>
          <w:p>
            <w:pPr>
              <w:spacing w:after="0"/>
              <w:rPr>
                <w:sz w:val="20"/>
                <w:szCs w:val="20"/>
                <w:color w:val="auto"/>
              </w:rPr>
            </w:pPr>
            <w:r>
              <w:rPr>
                <w:rFonts w:ascii="Arial" w:cs="Arial" w:eastAsia="Arial" w:hAnsi="Arial"/>
                <w:sz w:val="18"/>
                <w:szCs w:val="18"/>
                <w:color w:val="auto"/>
              </w:rPr>
              <w:t>4.10(11)</w:t>
            </w:r>
          </w:p>
        </w:tc>
        <w:tc>
          <w:tcPr>
            <w:tcW w:w="10080" w:type="dxa"/>
            <w:vAlign w:val="bottom"/>
          </w:tcPr>
          <w:p>
            <w:pPr>
              <w:spacing w:after="0"/>
              <w:rPr>
                <w:sz w:val="20"/>
                <w:szCs w:val="20"/>
                <w:color w:val="auto"/>
              </w:rPr>
            </w:pPr>
            <w:r>
              <w:rPr>
                <w:rFonts w:ascii="Arial" w:cs="Arial" w:eastAsia="Arial" w:hAnsi="Arial"/>
                <w:sz w:val="18"/>
                <w:szCs w:val="18"/>
                <w:color w:val="auto"/>
              </w:rPr>
              <w:t>Form of Warrant to Purchase Common Stock issued December 21, 2012.</w:t>
            </w:r>
          </w:p>
        </w:tc>
      </w:tr>
      <w:tr>
        <w:trPr>
          <w:trHeight w:val="324"/>
        </w:trPr>
        <w:tc>
          <w:tcPr>
            <w:tcW w:w="1340" w:type="dxa"/>
            <w:vAlign w:val="bottom"/>
            <w:gridSpan w:val="2"/>
          </w:tcPr>
          <w:p>
            <w:pPr>
              <w:spacing w:after="0"/>
              <w:rPr>
                <w:sz w:val="20"/>
                <w:szCs w:val="20"/>
                <w:color w:val="auto"/>
              </w:rPr>
            </w:pPr>
            <w:r>
              <w:rPr>
                <w:rFonts w:ascii="Arial" w:cs="Arial" w:eastAsia="Arial" w:hAnsi="Arial"/>
                <w:sz w:val="18"/>
                <w:szCs w:val="18"/>
                <w:color w:val="auto"/>
              </w:rPr>
              <w:t>4.11(13)</w:t>
            </w:r>
          </w:p>
        </w:tc>
        <w:tc>
          <w:tcPr>
            <w:tcW w:w="10080" w:type="dxa"/>
            <w:vAlign w:val="bottom"/>
          </w:tcPr>
          <w:p>
            <w:pPr>
              <w:spacing w:after="0"/>
              <w:rPr>
                <w:sz w:val="20"/>
                <w:szCs w:val="20"/>
                <w:color w:val="auto"/>
              </w:rPr>
            </w:pPr>
            <w:r>
              <w:rPr>
                <w:rFonts w:ascii="Arial" w:cs="Arial" w:eastAsia="Arial" w:hAnsi="Arial"/>
                <w:sz w:val="18"/>
                <w:szCs w:val="18"/>
                <w:color w:val="auto"/>
              </w:rPr>
              <w:t>Form of 9.75% Senior Secured Convertible Promissory Note due 2019.</w:t>
            </w: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4.12(13)</w:t>
            </w:r>
          </w:p>
        </w:tc>
        <w:tc>
          <w:tcPr>
            <w:tcW w:w="10080" w:type="dxa"/>
            <w:vAlign w:val="bottom"/>
          </w:tcPr>
          <w:p>
            <w:pPr>
              <w:spacing w:after="0"/>
              <w:rPr>
                <w:sz w:val="20"/>
                <w:szCs w:val="20"/>
                <w:color w:val="auto"/>
              </w:rPr>
            </w:pPr>
            <w:r>
              <w:rPr>
                <w:rFonts w:ascii="Arial" w:cs="Arial" w:eastAsia="Arial" w:hAnsi="Arial"/>
                <w:sz w:val="18"/>
                <w:szCs w:val="18"/>
                <w:color w:val="auto"/>
                <w:w w:val="89"/>
              </w:rPr>
              <w:t>Milestone Rights Purchase Agreement, dated as of July 1, 2013, by and among MannKind, Deerfield Private Design Fund II, L.P. and Horizon</w:t>
            </w:r>
          </w:p>
        </w:tc>
      </w:tr>
      <w:tr>
        <w:trPr>
          <w:trHeight w:val="222"/>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Santé FLML SÁRL.</w:t>
            </w: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4.13(13)</w:t>
            </w:r>
          </w:p>
        </w:tc>
        <w:tc>
          <w:tcPr>
            <w:tcW w:w="10080" w:type="dxa"/>
            <w:vAlign w:val="bottom"/>
          </w:tcPr>
          <w:p>
            <w:pPr>
              <w:spacing w:after="0"/>
              <w:rPr>
                <w:sz w:val="20"/>
                <w:szCs w:val="20"/>
                <w:color w:val="auto"/>
              </w:rPr>
            </w:pPr>
            <w:r>
              <w:rPr>
                <w:rFonts w:ascii="Arial" w:cs="Arial" w:eastAsia="Arial" w:hAnsi="Arial"/>
                <w:sz w:val="18"/>
                <w:szCs w:val="18"/>
                <w:color w:val="auto"/>
                <w:w w:val="89"/>
              </w:rPr>
              <w:t>Guaranty and Security Agreement, dated as of July 1, 2013, by and among MannKind, MannKind LLC, Deerfield Private Design Fund II, L.P.,</w:t>
            </w:r>
          </w:p>
        </w:tc>
      </w:tr>
      <w:tr>
        <w:trPr>
          <w:trHeight w:val="222"/>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Deerfield Private Design International II, L.P. and Horizon Santé FLML SÁRL.</w:t>
            </w: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4.14(13)</w:t>
            </w:r>
          </w:p>
        </w:tc>
        <w:tc>
          <w:tcPr>
            <w:tcW w:w="10080" w:type="dxa"/>
            <w:vAlign w:val="bottom"/>
          </w:tcPr>
          <w:p>
            <w:pPr>
              <w:spacing w:after="0"/>
              <w:rPr>
                <w:sz w:val="20"/>
                <w:szCs w:val="20"/>
                <w:color w:val="auto"/>
              </w:rPr>
            </w:pPr>
            <w:r>
              <w:rPr>
                <w:rFonts w:ascii="Arial" w:cs="Arial" w:eastAsia="Arial" w:hAnsi="Arial"/>
                <w:sz w:val="18"/>
                <w:szCs w:val="18"/>
                <w:color w:val="auto"/>
                <w:w w:val="93"/>
              </w:rPr>
              <w:t>Registration Rights Agreement, dated as of July 1, 2013, by and among MannKind, Deerfield Private Design Fund II, L.P. and Deerfield</w:t>
            </w:r>
          </w:p>
        </w:tc>
      </w:tr>
      <w:tr>
        <w:trPr>
          <w:trHeight w:val="222"/>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Private Design International II, L.P.</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8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Non-Employee Director Compensation Program.</w:t>
            </w:r>
          </w:p>
        </w:tc>
      </w:tr>
      <w:tr>
        <w:trPr>
          <w:trHeight w:val="324"/>
        </w:trPr>
        <w:tc>
          <w:tcPr>
            <w:tcW w:w="1340" w:type="dxa"/>
            <w:vAlign w:val="bottom"/>
            <w:gridSpan w:val="2"/>
          </w:tcPr>
          <w:p>
            <w:pPr>
              <w:spacing w:after="0"/>
              <w:rPr>
                <w:sz w:val="20"/>
                <w:szCs w:val="20"/>
                <w:color w:val="auto"/>
              </w:rPr>
            </w:pPr>
            <w:r>
              <w:rPr>
                <w:rFonts w:ascii="Arial" w:cs="Arial" w:eastAsia="Arial" w:hAnsi="Arial"/>
                <w:sz w:val="18"/>
                <w:szCs w:val="18"/>
                <w:color w:val="auto"/>
              </w:rPr>
              <w:t>10.2(14)*</w:t>
            </w:r>
          </w:p>
        </w:tc>
        <w:tc>
          <w:tcPr>
            <w:tcW w:w="10080" w:type="dxa"/>
            <w:vAlign w:val="bottom"/>
          </w:tcPr>
          <w:p>
            <w:pPr>
              <w:spacing w:after="0"/>
              <w:rPr>
                <w:sz w:val="20"/>
                <w:szCs w:val="20"/>
                <w:color w:val="auto"/>
              </w:rPr>
            </w:pPr>
            <w:r>
              <w:rPr>
                <w:rFonts w:ascii="Arial" w:cs="Arial" w:eastAsia="Arial" w:hAnsi="Arial"/>
                <w:sz w:val="18"/>
                <w:szCs w:val="18"/>
                <w:color w:val="auto"/>
              </w:rPr>
              <w:t>MannKind Corporation 2013 Equity Incentive Plan.</w:t>
            </w:r>
          </w:p>
        </w:tc>
      </w:tr>
      <w:tr>
        <w:trPr>
          <w:trHeight w:val="324"/>
        </w:trPr>
        <w:tc>
          <w:tcPr>
            <w:tcW w:w="1340" w:type="dxa"/>
            <w:vAlign w:val="bottom"/>
            <w:gridSpan w:val="2"/>
          </w:tcPr>
          <w:p>
            <w:pPr>
              <w:spacing w:after="0"/>
              <w:rPr>
                <w:sz w:val="20"/>
                <w:szCs w:val="20"/>
                <w:color w:val="auto"/>
              </w:rPr>
            </w:pPr>
            <w:r>
              <w:rPr>
                <w:rFonts w:ascii="Arial" w:cs="Arial" w:eastAsia="Arial" w:hAnsi="Arial"/>
                <w:sz w:val="18"/>
                <w:szCs w:val="18"/>
                <w:color w:val="auto"/>
              </w:rPr>
              <w:t>10.3(14)*</w:t>
            </w:r>
          </w:p>
        </w:tc>
        <w:tc>
          <w:tcPr>
            <w:tcW w:w="10080" w:type="dxa"/>
            <w:vAlign w:val="bottom"/>
          </w:tcPr>
          <w:p>
            <w:pPr>
              <w:spacing w:after="0"/>
              <w:rPr>
                <w:sz w:val="20"/>
                <w:szCs w:val="20"/>
                <w:color w:val="auto"/>
              </w:rPr>
            </w:pPr>
            <w:r>
              <w:rPr>
                <w:rFonts w:ascii="Arial" w:cs="Arial" w:eastAsia="Arial" w:hAnsi="Arial"/>
                <w:sz w:val="18"/>
                <w:szCs w:val="18"/>
                <w:color w:val="auto"/>
                <w:w w:val="95"/>
              </w:rPr>
              <w:t>Form of Stock Option Grant Notice, Stock Option Agreement and Notice of Exercise under the MannKind 2013 Equity Incentive Plan.</w:t>
            </w:r>
          </w:p>
        </w:tc>
      </w:tr>
      <w:tr>
        <w:trPr>
          <w:trHeight w:val="324"/>
        </w:trPr>
        <w:tc>
          <w:tcPr>
            <w:tcW w:w="1340" w:type="dxa"/>
            <w:vAlign w:val="bottom"/>
            <w:gridSpan w:val="2"/>
          </w:tcPr>
          <w:p>
            <w:pPr>
              <w:spacing w:after="0"/>
              <w:rPr>
                <w:sz w:val="20"/>
                <w:szCs w:val="20"/>
                <w:color w:val="auto"/>
              </w:rPr>
            </w:pPr>
            <w:r>
              <w:rPr>
                <w:rFonts w:ascii="Arial" w:cs="Arial" w:eastAsia="Arial" w:hAnsi="Arial"/>
                <w:sz w:val="18"/>
                <w:szCs w:val="18"/>
                <w:color w:val="auto"/>
              </w:rPr>
              <w:t>10.4(14)*</w:t>
            </w:r>
          </w:p>
        </w:tc>
        <w:tc>
          <w:tcPr>
            <w:tcW w:w="10080" w:type="dxa"/>
            <w:vAlign w:val="bottom"/>
          </w:tcPr>
          <w:p>
            <w:pPr>
              <w:spacing w:after="0"/>
              <w:rPr>
                <w:sz w:val="20"/>
                <w:szCs w:val="20"/>
                <w:color w:val="auto"/>
              </w:rPr>
            </w:pPr>
            <w:r>
              <w:rPr>
                <w:rFonts w:ascii="Arial" w:cs="Arial" w:eastAsia="Arial" w:hAnsi="Arial"/>
                <w:sz w:val="18"/>
                <w:szCs w:val="18"/>
                <w:color w:val="auto"/>
                <w:w w:val="92"/>
              </w:rPr>
              <w:t>Form of Restricted Stock Unit Grant Notice and Restricted Stock Unit Award Agreement under the MannKind 2013 Equity Incentive Plan.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8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2"/>
              </w:rPr>
              <w:t>Certification of the Chief Executive Officer Pursuant to Rule 13a-14(a) or 15d-14(a) of the Securities Exchange Act of 1934, as amended.</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8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2"/>
              </w:rPr>
              <w:t>Certification of the Chief Financial Officer Pursuant to Rule 13a-14(a) or 15d-14(a) of the Securities Exchange Act of 1934, as amended.</w:t>
            </w:r>
          </w:p>
        </w:tc>
      </w:tr>
    </w:tbl>
    <w:p>
      <w:pPr>
        <w:spacing w:after="0" w:line="102" w:lineRule="exact"/>
        <w:rPr>
          <w:sz w:val="20"/>
          <w:szCs w:val="20"/>
          <w:color w:val="auto"/>
        </w:rPr>
      </w:pPr>
    </w:p>
    <w:p>
      <w:pPr>
        <w:ind w:left="1340" w:right="180" w:hanging="1332"/>
        <w:spacing w:after="0" w:line="332" w:lineRule="auto"/>
        <w:tabs>
          <w:tab w:leader="none" w:pos="1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Certifications of the Chief Executive Officer and Chief Financial Officer Pursuant to Rule 13a-14(b) or 15d-14(b) of the Securities Exchange Act of 1934, as amended and Section 1350 of Chapter 63 of Title 18 of the United States Code (18 U.S.C. § 1350).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jc w:val="right"/>
              <w:ind w:right="412"/>
              <w:spacing w:after="0"/>
              <w:rPr>
                <w:sz w:val="20"/>
                <w:szCs w:val="20"/>
                <w:color w:val="auto"/>
              </w:rPr>
            </w:pPr>
            <w:r>
              <w:rPr>
                <w:rFonts w:ascii="Arial" w:cs="Arial" w:eastAsia="Arial" w:hAnsi="Arial"/>
                <w:sz w:val="18"/>
                <w:szCs w:val="18"/>
                <w:color w:val="auto"/>
                <w:w w:val="85"/>
              </w:rPr>
              <w:t>99.1</w:t>
            </w:r>
          </w:p>
        </w:tc>
        <w:tc>
          <w:tcPr>
            <w:tcW w:w="10400" w:type="dxa"/>
            <w:vAlign w:val="bottom"/>
          </w:tcPr>
          <w:p>
            <w:pPr>
              <w:ind w:left="520"/>
              <w:spacing w:after="0"/>
              <w:rPr>
                <w:sz w:val="20"/>
                <w:szCs w:val="20"/>
                <w:color w:val="auto"/>
              </w:rPr>
            </w:pPr>
            <w:r>
              <w:rPr>
                <w:rFonts w:ascii="Arial" w:cs="Arial" w:eastAsia="Arial" w:hAnsi="Arial"/>
                <w:sz w:val="18"/>
                <w:szCs w:val="18"/>
                <w:color w:val="auto"/>
                <w:w w:val="88"/>
              </w:rPr>
              <w:t>Press Release of MannKind Corporation dated August 9, 2013, reporting MannKind’s financial results for the second quarter ended June 30,</w:t>
            </w:r>
          </w:p>
        </w:tc>
      </w:tr>
      <w:tr>
        <w:trPr>
          <w:trHeight w:val="222"/>
        </w:trPr>
        <w:tc>
          <w:tcPr>
            <w:tcW w:w="820" w:type="dxa"/>
            <w:vAlign w:val="bottom"/>
          </w:tcPr>
          <w:p>
            <w:pPr>
              <w:spacing w:after="0"/>
              <w:rPr>
                <w:sz w:val="19"/>
                <w:szCs w:val="19"/>
                <w:color w:val="auto"/>
              </w:rPr>
            </w:pPr>
          </w:p>
        </w:tc>
        <w:tc>
          <w:tcPr>
            <w:tcW w:w="10400" w:type="dxa"/>
            <w:vAlign w:val="bottom"/>
          </w:tcPr>
          <w:p>
            <w:pPr>
              <w:ind w:left="520"/>
              <w:spacing w:after="0"/>
              <w:rPr>
                <w:sz w:val="20"/>
                <w:szCs w:val="20"/>
                <w:color w:val="auto"/>
              </w:rPr>
            </w:pPr>
            <w:r>
              <w:rPr>
                <w:rFonts w:ascii="Arial" w:cs="Arial" w:eastAsia="Arial" w:hAnsi="Arial"/>
                <w:sz w:val="18"/>
                <w:szCs w:val="18"/>
                <w:color w:val="auto"/>
              </w:rPr>
              <w:t>2013.</w:t>
            </w:r>
          </w:p>
        </w:tc>
      </w:tr>
    </w:tbl>
    <w:p>
      <w:pPr>
        <w:spacing w:after="0" w:line="102" w:lineRule="exact"/>
        <w:rPr>
          <w:sz w:val="20"/>
          <w:szCs w:val="20"/>
          <w:color w:val="auto"/>
        </w:rPr>
      </w:pPr>
    </w:p>
    <w:p>
      <w:pPr>
        <w:ind w:left="5620" w:right="5620" w:hanging="5612"/>
        <w:spacing w:after="0" w:line="525" w:lineRule="auto"/>
        <w:tabs>
          <w:tab w:leader="none" w:pos="132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S-1 (File No. 333-115020), filed with the SEC on April 30, 2004, as amended.</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9,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2,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4,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November 19,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S-3 (File No. 333-138373), filed with the SEC on November 2, 2006.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December 12,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August 24,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February 6,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December 24,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MannKind’s annual report on Form 10-K (File No. 000-50865), filed with the SEC on March 18, 2013.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October 19,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July 1, 2013.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S-8 (File No. 000-188790), filed with the SEC on May 23, 2013.</w:t>
      </w:r>
    </w:p>
    <w:p>
      <w:pPr>
        <w:spacing w:after="0" w:line="17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240" w:top="459" w:right="5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0940"/>
          </w:cols>
          <w:pgMar w:left="240" w:top="459" w:right="71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Dated: August 9, 2013</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MANNKIND CORPORATION</w:t>
      </w:r>
    </w:p>
    <w:p>
      <w:pPr>
        <w:spacing w:after="0" w:line="200" w:lineRule="exact"/>
        <w:rPr>
          <w:sz w:val="20"/>
          <w:szCs w:val="20"/>
          <w:color w:val="auto"/>
        </w:rPr>
      </w:pPr>
    </w:p>
    <w:p>
      <w:pPr>
        <w:sectPr>
          <w:pgSz w:w="11900" w:h="16838" w:orient="portrait"/>
          <w:cols w:equalWidth="0" w:num="2">
            <w:col w:w="5120" w:space="720"/>
            <w:col w:w="5100"/>
          </w:cols>
          <w:pgMar w:left="240" w:top="459" w:right="719" w:bottom="1440" w:gutter="0" w:footer="0" w:header="0"/>
          <w:type w:val="continuous"/>
        </w:sectPr>
      </w:pPr>
    </w:p>
    <w:p>
      <w:pPr>
        <w:spacing w:after="0" w:line="48"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 M</w:t>
      </w:r>
      <w:r>
        <w:rPr>
          <w:rFonts w:ascii="Arial" w:cs="Arial" w:eastAsia="Arial" w:hAnsi="Arial"/>
          <w:sz w:val="13"/>
          <w:szCs w:val="13"/>
          <w:color w:val="auto"/>
        </w:rPr>
        <w:t>ATTHEW</w:t>
      </w:r>
      <w:r>
        <w:rPr>
          <w:rFonts w:ascii="Arial" w:cs="Arial" w:eastAsia="Arial" w:hAnsi="Arial"/>
          <w:sz w:val="16"/>
          <w:szCs w:val="16"/>
          <w:color w:val="auto"/>
        </w:rPr>
        <w:t xml:space="preserve"> J. P</w:t>
      </w:r>
      <w:r>
        <w:rPr>
          <w:rFonts w:ascii="Arial" w:cs="Arial" w:eastAsia="Arial" w:hAnsi="Arial"/>
          <w:sz w:val="13"/>
          <w:szCs w:val="13"/>
          <w:color w:val="auto"/>
        </w:rPr>
        <w:t>FEFFER</w:t>
      </w:r>
    </w:p>
    <w:p>
      <w:pPr>
        <w:spacing w:after="0" w:line="40" w:lineRule="exact"/>
        <w:rPr>
          <w:sz w:val="20"/>
          <w:szCs w:val="20"/>
          <w:color w:val="auto"/>
        </w:rPr>
      </w:pPr>
    </w:p>
    <w:p>
      <w:pPr>
        <w:sectPr>
          <w:pgSz w:w="11900" w:h="16838" w:orient="portrait"/>
          <w:cols w:equalWidth="0" w:num="2">
            <w:col w:w="7240" w:space="720"/>
            <w:col w:w="2980"/>
          </w:cols>
          <w:pgMar w:left="240" w:top="459" w:right="719" w:bottom="1440" w:gutter="0" w:footer="0" w:header="0"/>
          <w:type w:val="continuous"/>
        </w:sectPr>
      </w:pPr>
    </w:p>
    <w:p>
      <w:pPr>
        <w:jc w:val="center"/>
        <w:ind w:left="6280"/>
        <w:spacing w:after="0"/>
        <w:rPr>
          <w:sz w:val="20"/>
          <w:szCs w:val="20"/>
          <w:color w:val="auto"/>
        </w:rPr>
      </w:pPr>
      <w:r>
        <w:rPr>
          <w:rFonts w:ascii="Arial" w:cs="Arial" w:eastAsia="Arial" w:hAnsi="Arial"/>
          <w:sz w:val="18"/>
          <w:szCs w:val="18"/>
          <w:b w:val="1"/>
          <w:bCs w:val="1"/>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 w:lineRule="exact"/>
        <w:rPr>
          <w:sz w:val="20"/>
          <w:szCs w:val="20"/>
          <w:color w:val="auto"/>
        </w:rPr>
      </w:pPr>
    </w:p>
    <w:p>
      <w:pPr>
        <w:jc w:val="center"/>
        <w:ind w:left="6280"/>
        <w:spacing w:after="0"/>
        <w:rPr>
          <w:sz w:val="20"/>
          <w:szCs w:val="20"/>
          <w:color w:val="auto"/>
        </w:rPr>
      </w:pPr>
      <w:r>
        <w:rPr>
          <w:rFonts w:ascii="Arial" w:cs="Arial" w:eastAsia="Arial" w:hAnsi="Arial"/>
          <w:sz w:val="15"/>
          <w:szCs w:val="15"/>
          <w:b w:val="1"/>
          <w:bCs w:val="1"/>
          <w:i w:val="1"/>
          <w:iCs w:val="1"/>
          <w:color w:val="auto"/>
        </w:rPr>
        <w:t>Corporate Vice President and Chief Financial Officer</w:t>
      </w:r>
    </w:p>
    <w:p>
      <w:pPr>
        <w:spacing w:after="0" w:line="44" w:lineRule="exact"/>
        <w:rPr>
          <w:sz w:val="20"/>
          <w:szCs w:val="20"/>
          <w:color w:val="auto"/>
        </w:rPr>
      </w:pPr>
    </w:p>
    <w:p>
      <w:pPr>
        <w:jc w:val="center"/>
        <w:ind w:left="6300"/>
        <w:spacing w:after="0"/>
        <w:rPr>
          <w:sz w:val="20"/>
          <w:szCs w:val="20"/>
          <w:color w:val="auto"/>
        </w:rPr>
      </w:pPr>
      <w:r>
        <w:rPr>
          <w:rFonts w:ascii="Arial" w:cs="Arial" w:eastAsia="Arial" w:hAnsi="Arial"/>
          <w:sz w:val="18"/>
          <w:szCs w:val="18"/>
          <w:b w:val="1"/>
          <w:bCs w:val="1"/>
          <w:i w:val="1"/>
          <w:iCs w:val="1"/>
          <w:color w:val="auto"/>
        </w:rPr>
        <w:t>(Principal Financial and Accounting Officer)</w:t>
      </w:r>
    </w:p>
    <w:p>
      <w:pPr>
        <w:spacing w:after="0" w:line="165"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0940"/>
          </w:cols>
          <w:pgMar w:left="240" w:top="459" w:right="71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ANN</w:t>
      </w:r>
      <w:r>
        <w:rPr>
          <w:rFonts w:ascii="Arial" w:cs="Arial" w:eastAsia="Arial" w:hAnsi="Arial"/>
          <w:sz w:val="18"/>
          <w:szCs w:val="18"/>
          <w:b w:val="1"/>
          <w:bCs w:val="1"/>
          <w:color w:val="auto"/>
        </w:rPr>
        <w:t>K</w:t>
      </w:r>
      <w:r>
        <w:rPr>
          <w:rFonts w:ascii="Arial" w:cs="Arial" w:eastAsia="Arial" w:hAnsi="Arial"/>
          <w:sz w:val="14"/>
          <w:szCs w:val="14"/>
          <w:b w:val="1"/>
          <w:bCs w:val="1"/>
          <w:color w:val="auto"/>
        </w:rPr>
        <w:t>IND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Compensation Program for Non-Employee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Updated March 25, 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Type of Compensation</w:t>
            </w:r>
          </w:p>
        </w:tc>
        <w:tc>
          <w:tcPr>
            <w:tcW w:w="280" w:type="dxa"/>
            <w:vAlign w:val="bottom"/>
          </w:tcPr>
          <w:p>
            <w:pPr>
              <w:spacing w:after="0"/>
              <w:rPr>
                <w:sz w:val="15"/>
                <w:szCs w:val="15"/>
                <w:color w:val="auto"/>
              </w:rPr>
            </w:pPr>
          </w:p>
        </w:tc>
        <w:tc>
          <w:tcPr>
            <w:tcW w:w="2560" w:type="dxa"/>
            <w:vAlign w:val="bottom"/>
          </w:tcPr>
          <w:p>
            <w:pPr>
              <w:ind w:left="1280"/>
              <w:spacing w:after="0"/>
              <w:rPr>
                <w:sz w:val="20"/>
                <w:szCs w:val="20"/>
                <w:color w:val="auto"/>
              </w:rPr>
            </w:pPr>
            <w:r>
              <w:rPr>
                <w:rFonts w:ascii="Arial" w:cs="Arial" w:eastAsia="Arial" w:hAnsi="Arial"/>
                <w:sz w:val="14"/>
                <w:szCs w:val="14"/>
                <w:b w:val="1"/>
                <w:bCs w:val="1"/>
                <w:color w:val="auto"/>
              </w:rPr>
              <w:t>Existing Program</w:t>
            </w: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60" w:type="dxa"/>
            <w:vAlign w:val="bottom"/>
          </w:tcPr>
          <w:p>
            <w:pPr>
              <w:ind w:left="1580"/>
              <w:spacing w:after="0"/>
              <w:rPr>
                <w:sz w:val="20"/>
                <w:szCs w:val="20"/>
                <w:color w:val="auto"/>
              </w:rPr>
            </w:pPr>
            <w:r>
              <w:rPr>
                <w:rFonts w:ascii="Arial" w:cs="Arial" w:eastAsia="Arial" w:hAnsi="Arial"/>
                <w:sz w:val="14"/>
                <w:szCs w:val="14"/>
                <w:b w:val="1"/>
                <w:bCs w:val="1"/>
                <w:color w:val="auto"/>
                <w:w w:val="92"/>
              </w:rPr>
              <w:t>Revised Program</w:t>
            </w:r>
          </w:p>
        </w:tc>
        <w:tc>
          <w:tcPr>
            <w:tcW w:w="1480" w:type="dxa"/>
            <w:vAlign w:val="bottom"/>
          </w:tcPr>
          <w:p>
            <w:pPr>
              <w:spacing w:after="0"/>
              <w:rPr>
                <w:sz w:val="15"/>
                <w:szCs w:val="15"/>
                <w:color w:val="auto"/>
              </w:rPr>
            </w:pPr>
          </w:p>
        </w:tc>
      </w:tr>
      <w:tr>
        <w:trPr>
          <w:trHeight w:val="209"/>
        </w:trPr>
        <w:tc>
          <w:tcPr>
            <w:tcW w:w="14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79"/>
              </w:rPr>
              <w:t>Board annual retainer</w:t>
            </w:r>
          </w:p>
        </w:tc>
        <w:tc>
          <w:tcPr>
            <w:tcW w:w="1320" w:type="dxa"/>
            <w:vAlign w:val="bottom"/>
          </w:tcPr>
          <w:p>
            <w:pPr>
              <w:jc w:val="right"/>
              <w:ind w:right="1004"/>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$25,000</w:t>
            </w:r>
          </w:p>
        </w:tc>
        <w:tc>
          <w:tcPr>
            <w:tcW w:w="380" w:type="dxa"/>
            <w:vAlign w:val="bottom"/>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$40,000</w:t>
            </w:r>
          </w:p>
        </w:tc>
      </w:tr>
      <w:tr>
        <w:trPr>
          <w:trHeight w:val="316"/>
        </w:trPr>
        <w:tc>
          <w:tcPr>
            <w:tcW w:w="2720" w:type="dxa"/>
            <w:vAlign w:val="bottom"/>
            <w:gridSpan w:val="2"/>
          </w:tcPr>
          <w:p>
            <w:pPr>
              <w:spacing w:after="0"/>
              <w:rPr>
                <w:sz w:val="20"/>
                <w:szCs w:val="20"/>
                <w:color w:val="auto"/>
              </w:rPr>
            </w:pPr>
            <w:r>
              <w:rPr>
                <w:rFonts w:ascii="Arial" w:cs="Arial" w:eastAsia="Arial" w:hAnsi="Arial"/>
                <w:sz w:val="18"/>
                <w:szCs w:val="18"/>
                <w:color w:val="auto"/>
              </w:rPr>
              <w:t>Board fee per meeting</w:t>
            </w: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$2,000</w:t>
            </w:r>
          </w:p>
        </w:tc>
        <w:tc>
          <w:tcPr>
            <w:tcW w:w="3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318"/>
        </w:trPr>
        <w:tc>
          <w:tcPr>
            <w:tcW w:w="2720" w:type="dxa"/>
            <w:vAlign w:val="bottom"/>
            <w:gridSpan w:val="2"/>
          </w:tcPr>
          <w:p>
            <w:pPr>
              <w:spacing w:after="0"/>
              <w:rPr>
                <w:sz w:val="20"/>
                <w:szCs w:val="20"/>
                <w:color w:val="auto"/>
              </w:rPr>
            </w:pPr>
            <w:r>
              <w:rPr>
                <w:rFonts w:ascii="Arial" w:cs="Arial" w:eastAsia="Arial" w:hAnsi="Arial"/>
                <w:sz w:val="18"/>
                <w:szCs w:val="18"/>
                <w:color w:val="auto"/>
              </w:rPr>
              <w:t>Committee annual retainer</w:t>
            </w:r>
            <w:r>
              <w:rPr>
                <w:rFonts w:ascii="Arial" w:cs="Arial" w:eastAsia="Arial" w:hAnsi="Arial"/>
                <w:sz w:val="11"/>
                <w:szCs w:val="11"/>
                <w:color w:val="auto"/>
              </w:rPr>
              <w:t>(1)</w:t>
            </w:r>
          </w:p>
        </w:tc>
        <w:tc>
          <w:tcPr>
            <w:tcW w:w="2840" w:type="dxa"/>
            <w:vAlign w:val="bottom"/>
            <w:gridSpan w:val="2"/>
          </w:tcPr>
          <w:p>
            <w:pPr>
              <w:ind w:left="280"/>
              <w:spacing w:after="0"/>
              <w:rPr>
                <w:sz w:val="20"/>
                <w:szCs w:val="20"/>
                <w:color w:val="auto"/>
              </w:rPr>
            </w:pPr>
            <w:r>
              <w:rPr>
                <w:rFonts w:ascii="Arial" w:cs="Arial" w:eastAsia="Arial" w:hAnsi="Arial"/>
                <w:sz w:val="18"/>
                <w:szCs w:val="18"/>
                <w:color w:val="auto"/>
              </w:rPr>
              <w:t>Audit: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$4,000</w:t>
            </w:r>
          </w:p>
        </w:tc>
        <w:tc>
          <w:tcPr>
            <w:tcW w:w="3040" w:type="dxa"/>
            <w:vAlign w:val="bottom"/>
            <w:gridSpan w:val="2"/>
          </w:tcPr>
          <w:p>
            <w:pPr>
              <w:ind w:left="380"/>
              <w:spacing w:after="0"/>
              <w:rPr>
                <w:sz w:val="20"/>
                <w:szCs w:val="20"/>
                <w:color w:val="auto"/>
              </w:rPr>
            </w:pPr>
            <w:r>
              <w:rPr>
                <w:rFonts w:ascii="Arial" w:cs="Arial" w:eastAsia="Arial" w:hAnsi="Arial"/>
                <w:sz w:val="18"/>
                <w:szCs w:val="18"/>
                <w:color w:val="auto"/>
              </w:rPr>
              <w:t>Audit:</w:t>
            </w:r>
          </w:p>
        </w:tc>
        <w:tc>
          <w:tcPr>
            <w:tcW w:w="1480" w:type="dxa"/>
            <w:vAlign w:val="bottom"/>
          </w:tcPr>
          <w:p>
            <w:pPr>
              <w:jc w:val="right"/>
              <w:ind w:right="732"/>
              <w:spacing w:after="0"/>
              <w:rPr>
                <w:sz w:val="20"/>
                <w:szCs w:val="20"/>
                <w:color w:val="auto"/>
              </w:rPr>
            </w:pPr>
            <w:r>
              <w:rPr>
                <w:rFonts w:ascii="Arial" w:cs="Arial" w:eastAsia="Arial" w:hAnsi="Arial"/>
                <w:sz w:val="18"/>
                <w:szCs w:val="18"/>
                <w:color w:val="auto"/>
                <w:w w:val="98"/>
              </w:rPr>
              <w:t>$10,000</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40" w:type="dxa"/>
            <w:vAlign w:val="bottom"/>
            <w:gridSpan w:val="2"/>
          </w:tcPr>
          <w:p>
            <w:pPr>
              <w:ind w:left="280"/>
              <w:spacing w:after="0"/>
              <w:rPr>
                <w:sz w:val="20"/>
                <w:szCs w:val="20"/>
                <w:color w:val="auto"/>
              </w:rPr>
            </w:pPr>
            <w:r>
              <w:rPr>
                <w:rFonts w:ascii="Arial" w:cs="Arial" w:eastAsia="Arial" w:hAnsi="Arial"/>
                <w:sz w:val="18"/>
                <w:szCs w:val="18"/>
                <w:color w:val="auto"/>
              </w:rPr>
              <w:t>Compensation:</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$2,000</w:t>
            </w:r>
          </w:p>
        </w:tc>
        <w:tc>
          <w:tcPr>
            <w:tcW w:w="3040" w:type="dxa"/>
            <w:vAlign w:val="bottom"/>
            <w:gridSpan w:val="2"/>
          </w:tcPr>
          <w:p>
            <w:pPr>
              <w:ind w:left="380"/>
              <w:spacing w:after="0"/>
              <w:rPr>
                <w:sz w:val="20"/>
                <w:szCs w:val="20"/>
                <w:color w:val="auto"/>
              </w:rPr>
            </w:pPr>
            <w:r>
              <w:rPr>
                <w:rFonts w:ascii="Arial" w:cs="Arial" w:eastAsia="Arial" w:hAnsi="Arial"/>
                <w:sz w:val="18"/>
                <w:szCs w:val="18"/>
                <w:color w:val="auto"/>
              </w:rPr>
              <w:t>Compensation:</w:t>
            </w:r>
          </w:p>
        </w:tc>
        <w:tc>
          <w:tcPr>
            <w:tcW w:w="1480" w:type="dxa"/>
            <w:vAlign w:val="bottom"/>
          </w:tcPr>
          <w:p>
            <w:pPr>
              <w:jc w:val="right"/>
              <w:ind w:right="732"/>
              <w:spacing w:after="0"/>
              <w:rPr>
                <w:sz w:val="20"/>
                <w:szCs w:val="20"/>
                <w:color w:val="auto"/>
              </w:rPr>
            </w:pPr>
            <w:r>
              <w:rPr>
                <w:rFonts w:ascii="Arial" w:cs="Arial" w:eastAsia="Arial" w:hAnsi="Arial"/>
                <w:sz w:val="18"/>
                <w:szCs w:val="18"/>
                <w:color w:val="auto"/>
              </w:rPr>
              <w:t>$7,500</w:t>
            </w:r>
          </w:p>
        </w:tc>
      </w:tr>
      <w:tr>
        <w:trPr>
          <w:trHeight w:val="222"/>
        </w:trPr>
        <w:tc>
          <w:tcPr>
            <w:tcW w:w="1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40" w:type="dxa"/>
            <w:vAlign w:val="bottom"/>
            <w:gridSpan w:val="2"/>
          </w:tcPr>
          <w:p>
            <w:pPr>
              <w:ind w:left="280"/>
              <w:spacing w:after="0"/>
              <w:rPr>
                <w:sz w:val="20"/>
                <w:szCs w:val="20"/>
                <w:color w:val="auto"/>
              </w:rPr>
            </w:pPr>
            <w:r>
              <w:rPr>
                <w:rFonts w:ascii="Arial" w:cs="Arial" w:eastAsia="Arial" w:hAnsi="Arial"/>
                <w:sz w:val="18"/>
                <w:szCs w:val="18"/>
                <w:color w:val="auto"/>
              </w:rPr>
              <w:t>Nominating and</w:t>
            </w:r>
          </w:p>
        </w:tc>
        <w:tc>
          <w:tcPr>
            <w:tcW w:w="1020" w:type="dxa"/>
            <w:vAlign w:val="bottom"/>
          </w:tcPr>
          <w:p>
            <w:pPr>
              <w:spacing w:after="0"/>
              <w:rPr>
                <w:sz w:val="19"/>
                <w:szCs w:val="19"/>
                <w:color w:val="auto"/>
              </w:rPr>
            </w:pPr>
          </w:p>
        </w:tc>
        <w:tc>
          <w:tcPr>
            <w:tcW w:w="3040" w:type="dxa"/>
            <w:vAlign w:val="bottom"/>
            <w:gridSpan w:val="2"/>
          </w:tcPr>
          <w:p>
            <w:pPr>
              <w:ind w:left="380"/>
              <w:spacing w:after="0"/>
              <w:rPr>
                <w:sz w:val="20"/>
                <w:szCs w:val="20"/>
                <w:color w:val="auto"/>
              </w:rPr>
            </w:pPr>
            <w:r>
              <w:rPr>
                <w:rFonts w:ascii="Arial" w:cs="Arial" w:eastAsia="Arial" w:hAnsi="Arial"/>
                <w:sz w:val="18"/>
                <w:szCs w:val="18"/>
                <w:color w:val="auto"/>
              </w:rPr>
              <w:t>Nominating and</w:t>
            </w:r>
          </w:p>
        </w:tc>
        <w:tc>
          <w:tcPr>
            <w:tcW w:w="1480" w:type="dxa"/>
            <w:vAlign w:val="bottom"/>
          </w:tcPr>
          <w:p>
            <w:pPr>
              <w:spacing w:after="0"/>
              <w:rPr>
                <w:sz w:val="19"/>
                <w:szCs w:val="19"/>
                <w:color w:val="auto"/>
              </w:rPr>
            </w:pPr>
          </w:p>
        </w:tc>
      </w:tr>
      <w:tr>
        <w:trPr>
          <w:trHeight w:val="230"/>
        </w:trPr>
        <w:tc>
          <w:tcPr>
            <w:tcW w:w="1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40" w:type="dxa"/>
            <w:vAlign w:val="bottom"/>
            <w:gridSpan w:val="2"/>
          </w:tcPr>
          <w:p>
            <w:pPr>
              <w:ind w:left="280"/>
              <w:spacing w:after="0"/>
              <w:rPr>
                <w:sz w:val="20"/>
                <w:szCs w:val="20"/>
                <w:color w:val="auto"/>
              </w:rPr>
            </w:pPr>
            <w:r>
              <w:rPr>
                <w:rFonts w:ascii="Arial" w:cs="Arial" w:eastAsia="Arial" w:hAnsi="Arial"/>
                <w:sz w:val="18"/>
                <w:szCs w:val="18"/>
                <w:color w:val="auto"/>
              </w:rPr>
              <w:t>Corporate Governance:</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$2,000</w:t>
            </w:r>
          </w:p>
        </w:tc>
        <w:tc>
          <w:tcPr>
            <w:tcW w:w="3040" w:type="dxa"/>
            <w:vAlign w:val="bottom"/>
            <w:gridSpan w:val="2"/>
          </w:tcPr>
          <w:p>
            <w:pPr>
              <w:ind w:left="380"/>
              <w:spacing w:after="0"/>
              <w:rPr>
                <w:sz w:val="20"/>
                <w:szCs w:val="20"/>
                <w:color w:val="auto"/>
              </w:rPr>
            </w:pPr>
            <w:r>
              <w:rPr>
                <w:rFonts w:ascii="Arial" w:cs="Arial" w:eastAsia="Arial" w:hAnsi="Arial"/>
                <w:sz w:val="18"/>
                <w:szCs w:val="18"/>
                <w:color w:val="auto"/>
              </w:rPr>
              <w:t>Corporate Governance:</w:t>
            </w:r>
          </w:p>
        </w:tc>
        <w:tc>
          <w:tcPr>
            <w:tcW w:w="14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318"/>
        </w:trPr>
        <w:tc>
          <w:tcPr>
            <w:tcW w:w="2720" w:type="dxa"/>
            <w:vAlign w:val="bottom"/>
            <w:gridSpan w:val="2"/>
          </w:tcPr>
          <w:p>
            <w:pPr>
              <w:spacing w:after="0"/>
              <w:rPr>
                <w:sz w:val="20"/>
                <w:szCs w:val="20"/>
                <w:color w:val="auto"/>
              </w:rPr>
            </w:pPr>
            <w:r>
              <w:rPr>
                <w:rFonts w:ascii="Arial" w:cs="Arial" w:eastAsia="Arial" w:hAnsi="Arial"/>
                <w:sz w:val="18"/>
                <w:szCs w:val="18"/>
                <w:color w:val="auto"/>
                <w:w w:val="99"/>
              </w:rPr>
              <w:t>Committee chair additional annual</w:t>
            </w:r>
          </w:p>
        </w:tc>
        <w:tc>
          <w:tcPr>
            <w:tcW w:w="2840" w:type="dxa"/>
            <w:vAlign w:val="bottom"/>
            <w:gridSpan w:val="2"/>
          </w:tcPr>
          <w:p>
            <w:pPr>
              <w:ind w:left="280"/>
              <w:spacing w:after="0"/>
              <w:rPr>
                <w:sz w:val="20"/>
                <w:szCs w:val="20"/>
                <w:color w:val="auto"/>
              </w:rPr>
            </w:pPr>
            <w:r>
              <w:rPr>
                <w:rFonts w:ascii="Arial" w:cs="Arial" w:eastAsia="Arial" w:hAnsi="Arial"/>
                <w:sz w:val="18"/>
                <w:szCs w:val="18"/>
                <w:color w:val="auto"/>
              </w:rPr>
              <w:t>Audit: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$4,000</w:t>
            </w:r>
          </w:p>
        </w:tc>
        <w:tc>
          <w:tcPr>
            <w:tcW w:w="3040" w:type="dxa"/>
            <w:vAlign w:val="bottom"/>
            <w:gridSpan w:val="2"/>
          </w:tcPr>
          <w:p>
            <w:pPr>
              <w:ind w:left="380"/>
              <w:spacing w:after="0"/>
              <w:rPr>
                <w:sz w:val="20"/>
                <w:szCs w:val="20"/>
                <w:color w:val="auto"/>
              </w:rPr>
            </w:pPr>
            <w:r>
              <w:rPr>
                <w:rFonts w:ascii="Arial" w:cs="Arial" w:eastAsia="Arial" w:hAnsi="Arial"/>
                <w:sz w:val="18"/>
                <w:szCs w:val="18"/>
                <w:color w:val="auto"/>
              </w:rPr>
              <w:t>Audit:</w:t>
            </w:r>
          </w:p>
        </w:tc>
        <w:tc>
          <w:tcPr>
            <w:tcW w:w="1480" w:type="dxa"/>
            <w:vAlign w:val="bottom"/>
          </w:tcPr>
          <w:p>
            <w:pPr>
              <w:jc w:val="right"/>
              <w:ind w:right="732"/>
              <w:spacing w:after="0"/>
              <w:rPr>
                <w:sz w:val="20"/>
                <w:szCs w:val="20"/>
                <w:color w:val="auto"/>
              </w:rPr>
            </w:pPr>
            <w:r>
              <w:rPr>
                <w:rFonts w:ascii="Arial" w:cs="Arial" w:eastAsia="Arial" w:hAnsi="Arial"/>
                <w:sz w:val="18"/>
                <w:szCs w:val="18"/>
                <w:color w:val="auto"/>
                <w:w w:val="98"/>
              </w:rPr>
              <w:t>$10,000</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retainer</w:t>
            </w:r>
            <w:r>
              <w:rPr>
                <w:rFonts w:ascii="Arial" w:cs="Arial" w:eastAsia="Arial" w:hAnsi="Arial"/>
                <w:sz w:val="11"/>
                <w:szCs w:val="11"/>
                <w:color w:val="auto"/>
              </w:rPr>
              <w:t>(1)</w:t>
            </w:r>
          </w:p>
        </w:tc>
        <w:tc>
          <w:tcPr>
            <w:tcW w:w="2840" w:type="dxa"/>
            <w:vAlign w:val="bottom"/>
            <w:gridSpan w:val="2"/>
          </w:tcPr>
          <w:p>
            <w:pPr>
              <w:ind w:left="280"/>
              <w:spacing w:after="0"/>
              <w:rPr>
                <w:sz w:val="20"/>
                <w:szCs w:val="20"/>
                <w:color w:val="auto"/>
              </w:rPr>
            </w:pPr>
            <w:r>
              <w:rPr>
                <w:rFonts w:ascii="Arial" w:cs="Arial" w:eastAsia="Arial" w:hAnsi="Arial"/>
                <w:sz w:val="18"/>
                <w:szCs w:val="18"/>
                <w:color w:val="auto"/>
              </w:rPr>
              <w:t>Compensation:</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$1,000</w:t>
            </w:r>
          </w:p>
        </w:tc>
        <w:tc>
          <w:tcPr>
            <w:tcW w:w="3040" w:type="dxa"/>
            <w:vAlign w:val="bottom"/>
            <w:gridSpan w:val="2"/>
          </w:tcPr>
          <w:p>
            <w:pPr>
              <w:ind w:left="380"/>
              <w:spacing w:after="0"/>
              <w:rPr>
                <w:sz w:val="20"/>
                <w:szCs w:val="20"/>
                <w:color w:val="auto"/>
              </w:rPr>
            </w:pPr>
            <w:r>
              <w:rPr>
                <w:rFonts w:ascii="Arial" w:cs="Arial" w:eastAsia="Arial" w:hAnsi="Arial"/>
                <w:sz w:val="18"/>
                <w:szCs w:val="18"/>
                <w:color w:val="auto"/>
              </w:rPr>
              <w:t>Compensation:</w:t>
            </w:r>
          </w:p>
        </w:tc>
        <w:tc>
          <w:tcPr>
            <w:tcW w:w="1480" w:type="dxa"/>
            <w:vAlign w:val="bottom"/>
          </w:tcPr>
          <w:p>
            <w:pPr>
              <w:jc w:val="right"/>
              <w:ind w:right="732"/>
              <w:spacing w:after="0"/>
              <w:rPr>
                <w:sz w:val="20"/>
                <w:szCs w:val="20"/>
                <w:color w:val="auto"/>
              </w:rPr>
            </w:pPr>
            <w:r>
              <w:rPr>
                <w:rFonts w:ascii="Arial" w:cs="Arial" w:eastAsia="Arial" w:hAnsi="Arial"/>
                <w:sz w:val="18"/>
                <w:szCs w:val="18"/>
                <w:color w:val="auto"/>
              </w:rPr>
              <w:t>$7,500</w:t>
            </w:r>
          </w:p>
        </w:tc>
      </w:tr>
      <w:tr>
        <w:trPr>
          <w:trHeight w:val="222"/>
        </w:trPr>
        <w:tc>
          <w:tcPr>
            <w:tcW w:w="1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40" w:type="dxa"/>
            <w:vAlign w:val="bottom"/>
            <w:gridSpan w:val="2"/>
          </w:tcPr>
          <w:p>
            <w:pPr>
              <w:ind w:left="280"/>
              <w:spacing w:after="0"/>
              <w:rPr>
                <w:sz w:val="20"/>
                <w:szCs w:val="20"/>
                <w:color w:val="auto"/>
              </w:rPr>
            </w:pPr>
            <w:r>
              <w:rPr>
                <w:rFonts w:ascii="Arial" w:cs="Arial" w:eastAsia="Arial" w:hAnsi="Arial"/>
                <w:sz w:val="18"/>
                <w:szCs w:val="18"/>
                <w:color w:val="auto"/>
              </w:rPr>
              <w:t>Nominating and</w:t>
            </w:r>
          </w:p>
        </w:tc>
        <w:tc>
          <w:tcPr>
            <w:tcW w:w="1020" w:type="dxa"/>
            <w:vAlign w:val="bottom"/>
          </w:tcPr>
          <w:p>
            <w:pPr>
              <w:spacing w:after="0"/>
              <w:rPr>
                <w:sz w:val="19"/>
                <w:szCs w:val="19"/>
                <w:color w:val="auto"/>
              </w:rPr>
            </w:pPr>
          </w:p>
        </w:tc>
        <w:tc>
          <w:tcPr>
            <w:tcW w:w="3040" w:type="dxa"/>
            <w:vAlign w:val="bottom"/>
            <w:gridSpan w:val="2"/>
          </w:tcPr>
          <w:p>
            <w:pPr>
              <w:ind w:left="380"/>
              <w:spacing w:after="0"/>
              <w:rPr>
                <w:sz w:val="20"/>
                <w:szCs w:val="20"/>
                <w:color w:val="auto"/>
              </w:rPr>
            </w:pPr>
            <w:r>
              <w:rPr>
                <w:rFonts w:ascii="Arial" w:cs="Arial" w:eastAsia="Arial" w:hAnsi="Arial"/>
                <w:sz w:val="18"/>
                <w:szCs w:val="18"/>
                <w:color w:val="auto"/>
              </w:rPr>
              <w:t>Nominating and</w:t>
            </w:r>
          </w:p>
        </w:tc>
        <w:tc>
          <w:tcPr>
            <w:tcW w:w="1480" w:type="dxa"/>
            <w:vAlign w:val="bottom"/>
          </w:tcPr>
          <w:p>
            <w:pPr>
              <w:spacing w:after="0"/>
              <w:rPr>
                <w:sz w:val="19"/>
                <w:szCs w:val="19"/>
                <w:color w:val="auto"/>
              </w:rPr>
            </w:pPr>
          </w:p>
        </w:tc>
      </w:tr>
      <w:tr>
        <w:trPr>
          <w:trHeight w:val="230"/>
        </w:trPr>
        <w:tc>
          <w:tcPr>
            <w:tcW w:w="1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40" w:type="dxa"/>
            <w:vAlign w:val="bottom"/>
            <w:gridSpan w:val="2"/>
          </w:tcPr>
          <w:p>
            <w:pPr>
              <w:ind w:left="280"/>
              <w:spacing w:after="0"/>
              <w:rPr>
                <w:sz w:val="20"/>
                <w:szCs w:val="20"/>
                <w:color w:val="auto"/>
              </w:rPr>
            </w:pPr>
            <w:r>
              <w:rPr>
                <w:rFonts w:ascii="Arial" w:cs="Arial" w:eastAsia="Arial" w:hAnsi="Arial"/>
                <w:sz w:val="18"/>
                <w:szCs w:val="18"/>
                <w:color w:val="auto"/>
              </w:rPr>
              <w:t>Corporate Governance:</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$1,000</w:t>
            </w:r>
          </w:p>
        </w:tc>
        <w:tc>
          <w:tcPr>
            <w:tcW w:w="3040" w:type="dxa"/>
            <w:vAlign w:val="bottom"/>
            <w:gridSpan w:val="2"/>
          </w:tcPr>
          <w:p>
            <w:pPr>
              <w:ind w:left="380"/>
              <w:spacing w:after="0"/>
              <w:rPr>
                <w:sz w:val="20"/>
                <w:szCs w:val="20"/>
                <w:color w:val="auto"/>
              </w:rPr>
            </w:pPr>
            <w:r>
              <w:rPr>
                <w:rFonts w:ascii="Arial" w:cs="Arial" w:eastAsia="Arial" w:hAnsi="Arial"/>
                <w:sz w:val="18"/>
                <w:szCs w:val="18"/>
                <w:color w:val="auto"/>
              </w:rPr>
              <w:t>Corporate Governance:</w:t>
            </w:r>
          </w:p>
        </w:tc>
        <w:tc>
          <w:tcPr>
            <w:tcW w:w="14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318"/>
        </w:trPr>
        <w:tc>
          <w:tcPr>
            <w:tcW w:w="2720" w:type="dxa"/>
            <w:vAlign w:val="bottom"/>
            <w:gridSpan w:val="2"/>
          </w:tcPr>
          <w:p>
            <w:pPr>
              <w:spacing w:after="0"/>
              <w:rPr>
                <w:sz w:val="20"/>
                <w:szCs w:val="20"/>
                <w:color w:val="auto"/>
              </w:rPr>
            </w:pPr>
            <w:r>
              <w:rPr>
                <w:rFonts w:ascii="Arial" w:cs="Arial" w:eastAsia="Arial" w:hAnsi="Arial"/>
                <w:sz w:val="18"/>
                <w:szCs w:val="18"/>
                <w:color w:val="auto"/>
              </w:rPr>
              <w:t>Committee fee per meeting</w:t>
            </w:r>
          </w:p>
        </w:tc>
        <w:tc>
          <w:tcPr>
            <w:tcW w:w="2840" w:type="dxa"/>
            <w:vAlign w:val="bottom"/>
            <w:gridSpan w:val="2"/>
          </w:tcPr>
          <w:p>
            <w:pPr>
              <w:ind w:left="280"/>
              <w:spacing w:after="0"/>
              <w:rPr>
                <w:sz w:val="20"/>
                <w:szCs w:val="20"/>
                <w:color w:val="auto"/>
              </w:rPr>
            </w:pPr>
            <w:r>
              <w:rPr>
                <w:rFonts w:ascii="Arial" w:cs="Arial" w:eastAsia="Arial" w:hAnsi="Arial"/>
                <w:sz w:val="18"/>
                <w:szCs w:val="18"/>
                <w:color w:val="auto"/>
              </w:rPr>
              <w:t>Audit: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$750</w:t>
            </w:r>
          </w:p>
        </w:tc>
        <w:tc>
          <w:tcPr>
            <w:tcW w:w="3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40" w:type="dxa"/>
            <w:vAlign w:val="bottom"/>
            <w:gridSpan w:val="2"/>
          </w:tcPr>
          <w:p>
            <w:pPr>
              <w:ind w:left="280"/>
              <w:spacing w:after="0"/>
              <w:rPr>
                <w:sz w:val="20"/>
                <w:szCs w:val="20"/>
                <w:color w:val="auto"/>
              </w:rPr>
            </w:pPr>
            <w:r>
              <w:rPr>
                <w:rFonts w:ascii="Arial" w:cs="Arial" w:eastAsia="Arial" w:hAnsi="Arial"/>
                <w:sz w:val="18"/>
                <w:szCs w:val="18"/>
                <w:color w:val="auto"/>
              </w:rPr>
              <w:t>Compensation:</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$750</w:t>
            </w:r>
          </w:p>
        </w:tc>
        <w:tc>
          <w:tcPr>
            <w:tcW w:w="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1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40" w:type="dxa"/>
            <w:vAlign w:val="bottom"/>
            <w:gridSpan w:val="2"/>
          </w:tcPr>
          <w:p>
            <w:pPr>
              <w:ind w:left="280"/>
              <w:spacing w:after="0"/>
              <w:rPr>
                <w:sz w:val="20"/>
                <w:szCs w:val="20"/>
                <w:color w:val="auto"/>
              </w:rPr>
            </w:pPr>
            <w:r>
              <w:rPr>
                <w:rFonts w:ascii="Arial" w:cs="Arial" w:eastAsia="Arial" w:hAnsi="Arial"/>
                <w:sz w:val="18"/>
                <w:szCs w:val="18"/>
                <w:color w:val="auto"/>
              </w:rPr>
              <w:t>Nominating and</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1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40" w:type="dxa"/>
            <w:vAlign w:val="bottom"/>
            <w:gridSpan w:val="2"/>
          </w:tcPr>
          <w:p>
            <w:pPr>
              <w:ind w:left="280"/>
              <w:spacing w:after="0"/>
              <w:rPr>
                <w:sz w:val="20"/>
                <w:szCs w:val="20"/>
                <w:color w:val="auto"/>
              </w:rPr>
            </w:pPr>
            <w:r>
              <w:rPr>
                <w:rFonts w:ascii="Arial" w:cs="Arial" w:eastAsia="Arial" w:hAnsi="Arial"/>
                <w:sz w:val="18"/>
                <w:szCs w:val="18"/>
                <w:color w:val="auto"/>
              </w:rPr>
              <w:t>Corporate Governance:</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$750</w:t>
            </w:r>
          </w:p>
        </w:tc>
        <w:tc>
          <w:tcPr>
            <w:tcW w:w="3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18"/>
        </w:trPr>
        <w:tc>
          <w:tcPr>
            <w:tcW w:w="2720" w:type="dxa"/>
            <w:vAlign w:val="bottom"/>
            <w:gridSpan w:val="2"/>
          </w:tcPr>
          <w:p>
            <w:pPr>
              <w:spacing w:after="0"/>
              <w:rPr>
                <w:sz w:val="20"/>
                <w:szCs w:val="20"/>
                <w:color w:val="auto"/>
              </w:rPr>
            </w:pPr>
            <w:r>
              <w:rPr>
                <w:rFonts w:ascii="Arial" w:cs="Arial" w:eastAsia="Arial" w:hAnsi="Arial"/>
                <w:sz w:val="18"/>
                <w:szCs w:val="18"/>
                <w:color w:val="auto"/>
              </w:rPr>
              <w:t>Lead director additional annual</w:t>
            </w: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22"/>
        </w:trPr>
        <w:tc>
          <w:tcPr>
            <w:tcW w:w="2720" w:type="dxa"/>
            <w:vAlign w:val="bottom"/>
            <w:gridSpan w:val="2"/>
          </w:tcPr>
          <w:p>
            <w:pPr>
              <w:spacing w:after="0"/>
              <w:rPr>
                <w:sz w:val="20"/>
                <w:szCs w:val="20"/>
                <w:color w:val="auto"/>
              </w:rPr>
            </w:pPr>
            <w:r>
              <w:rPr>
                <w:rFonts w:ascii="Arial" w:cs="Arial" w:eastAsia="Arial" w:hAnsi="Arial"/>
                <w:sz w:val="18"/>
                <w:szCs w:val="18"/>
                <w:color w:val="auto"/>
              </w:rPr>
              <w:t>retainer</w:t>
            </w:r>
            <w:r>
              <w:rPr>
                <w:rFonts w:ascii="Arial" w:cs="Arial" w:eastAsia="Arial" w:hAnsi="Arial"/>
                <w:sz w:val="11"/>
                <w:szCs w:val="11"/>
                <w:color w:val="auto"/>
              </w:rPr>
              <w:t>(1)</w:t>
            </w: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102"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32" w:lineRule="auto"/>
        <w:rPr>
          <w:sz w:val="20"/>
          <w:szCs w:val="20"/>
          <w:color w:val="auto"/>
        </w:rPr>
      </w:pPr>
      <w:r>
        <w:rPr>
          <w:rFonts w:ascii="Arial" w:cs="Arial" w:eastAsia="Arial" w:hAnsi="Arial"/>
          <w:sz w:val="16"/>
          <w:szCs w:val="16"/>
          <w:color w:val="auto"/>
        </w:rPr>
        <w:t>Equity award upon initial election or appointment to the Board</w:t>
      </w:r>
    </w:p>
    <w:p>
      <w:pPr>
        <w:spacing w:after="0" w:line="20" w:lineRule="exact"/>
        <w:rPr>
          <w:sz w:val="20"/>
          <w:szCs w:val="20"/>
          <w:color w:val="auto"/>
        </w:rPr>
      </w:pPr>
      <w:r>
        <w:rPr>
          <w:sz w:val="20"/>
          <w:szCs w:val="20"/>
          <w:color w:val="auto"/>
        </w:rPr>
        <w:br w:type="column"/>
      </w:r>
    </w:p>
    <w:p>
      <w:pPr>
        <w:jc w:val="both"/>
        <w:spacing w:after="0" w:line="298" w:lineRule="auto"/>
        <w:rPr>
          <w:sz w:val="20"/>
          <w:szCs w:val="20"/>
          <w:color w:val="auto"/>
        </w:rPr>
      </w:pPr>
      <w:r>
        <w:rPr>
          <w:rFonts w:ascii="Arial" w:cs="Arial" w:eastAsia="Arial" w:hAnsi="Arial"/>
          <w:sz w:val="16"/>
          <w:szCs w:val="16"/>
          <w:color w:val="auto"/>
        </w:rPr>
        <w:t>Stock option for 30,000 shares of common stock, vesting in three equal annual installments on each anniversary of the initial election or appointment of such director</w:t>
      </w:r>
    </w:p>
    <w:p>
      <w:pPr>
        <w:spacing w:after="0" w:line="20" w:lineRule="exact"/>
        <w:rPr>
          <w:sz w:val="20"/>
          <w:szCs w:val="20"/>
          <w:color w:val="auto"/>
        </w:rPr>
      </w:pPr>
      <w:r>
        <w:rPr>
          <w:sz w:val="20"/>
          <w:szCs w:val="20"/>
          <w:color w:val="auto"/>
        </w:rPr>
        <w:br w:type="column"/>
      </w:r>
    </w:p>
    <w:p>
      <w:pPr>
        <w:jc w:val="both"/>
        <w:ind w:right="440"/>
        <w:spacing w:after="0" w:line="335" w:lineRule="auto"/>
        <w:rPr>
          <w:sz w:val="20"/>
          <w:szCs w:val="20"/>
          <w:color w:val="auto"/>
        </w:rPr>
      </w:pPr>
      <w:r>
        <w:rPr>
          <w:rFonts w:ascii="Arial" w:cs="Arial" w:eastAsia="Arial" w:hAnsi="Arial"/>
          <w:sz w:val="15"/>
          <w:szCs w:val="15"/>
          <w:color w:val="auto"/>
        </w:rPr>
        <w:t>Stock option for 30,000 shares of common stock, vesting in three equal annual installments on each anniversary of the initial election or appointment of such director</w:t>
      </w:r>
    </w:p>
    <w:p>
      <w:pPr>
        <w:spacing w:after="0" w:line="250" w:lineRule="exact"/>
        <w:rPr>
          <w:sz w:val="20"/>
          <w:szCs w:val="20"/>
          <w:color w:val="auto"/>
        </w:rPr>
      </w:pPr>
    </w:p>
    <w:p>
      <w:pPr>
        <w:sectPr>
          <w:pgSz w:w="11900" w:h="16838" w:orient="portrait"/>
          <w:cols w:equalWidth="0" w:num="3">
            <w:col w:w="2580" w:space="420"/>
            <w:col w:w="3480" w:space="480"/>
            <w:col w:w="4460"/>
          </w:cols>
          <w:pgMar w:left="240" w:top="125" w:right="239" w:bottom="1440" w:gutter="0" w:footer="0" w:header="0"/>
          <w:type w:val="continuous"/>
        </w:sectPr>
      </w:pPr>
    </w:p>
    <w:p>
      <w:pPr>
        <w:spacing w:after="0"/>
        <w:tabs>
          <w:tab w:leader="none" w:pos="2980" w:val="left"/>
        </w:tabs>
        <w:rPr>
          <w:sz w:val="20"/>
          <w:szCs w:val="20"/>
          <w:color w:val="auto"/>
        </w:rPr>
      </w:pPr>
      <w:r>
        <w:rPr>
          <w:rFonts w:ascii="Arial" w:cs="Arial" w:eastAsia="Arial" w:hAnsi="Arial"/>
          <w:sz w:val="18"/>
          <w:szCs w:val="18"/>
          <w:color w:val="auto"/>
        </w:rPr>
        <w:t>Annual equity award</w:t>
      </w:r>
      <w:r>
        <w:rPr>
          <w:rFonts w:ascii="Arial" w:cs="Arial" w:eastAsia="Arial" w:hAnsi="Arial"/>
          <w:sz w:val="11"/>
          <w:szCs w:val="11"/>
          <w:color w:val="auto"/>
        </w:rPr>
        <w:t>(2)</w:t>
      </w:r>
      <w:r>
        <w:rPr>
          <w:sz w:val="20"/>
          <w:szCs w:val="20"/>
          <w:color w:val="auto"/>
        </w:rPr>
        <w:tab/>
      </w:r>
      <w:r>
        <w:rPr>
          <w:rFonts w:ascii="Arial" w:cs="Arial" w:eastAsia="Arial" w:hAnsi="Arial"/>
          <w:sz w:val="15"/>
          <w:szCs w:val="15"/>
          <w:color w:val="auto"/>
        </w:rPr>
        <w:t>Stock option for 10,000 shares of common stock,</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vesting in 36 equal monthly installments</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commencing one month from the date of grant</w:t>
      </w:r>
    </w:p>
    <w:p>
      <w:pPr>
        <w:spacing w:after="0" w:line="20" w:lineRule="exact"/>
        <w:rPr>
          <w:sz w:val="20"/>
          <w:szCs w:val="20"/>
          <w:color w:val="auto"/>
        </w:rPr>
      </w:pPr>
      <w:r>
        <w:rPr>
          <w:sz w:val="20"/>
          <w:szCs w:val="20"/>
          <w:color w:val="auto"/>
        </w:rPr>
        <w:br w:type="column"/>
      </w:r>
    </w:p>
    <w:p>
      <w:pPr>
        <w:ind w:right="400"/>
        <w:spacing w:after="0" w:line="283" w:lineRule="auto"/>
        <w:rPr>
          <w:sz w:val="20"/>
          <w:szCs w:val="20"/>
          <w:color w:val="auto"/>
        </w:rPr>
      </w:pPr>
      <w:r>
        <w:rPr>
          <w:rFonts w:ascii="Arial" w:cs="Arial" w:eastAsia="Arial" w:hAnsi="Arial"/>
          <w:sz w:val="16"/>
          <w:szCs w:val="16"/>
          <w:color w:val="auto"/>
        </w:rPr>
        <w:t>Equity awards determined by dividing $85,000 by the 20-day trailing average closing price of the Company’s common stock reported on Nasdaq as of the trading day immediately preceding the date of the applicable annual meeting of stockholders (the “Total Award”):</w:t>
      </w:r>
    </w:p>
    <w:p>
      <w:pPr>
        <w:spacing w:after="0" w:line="2" w:lineRule="exact"/>
        <w:rPr>
          <w:sz w:val="20"/>
          <w:szCs w:val="20"/>
          <w:color w:val="auto"/>
        </w:rPr>
      </w:pPr>
    </w:p>
    <w:p>
      <w:pPr>
        <w:ind w:right="320" w:firstLine="3"/>
        <w:spacing w:after="0" w:line="281" w:lineRule="auto"/>
        <w:tabs>
          <w:tab w:leader="none" w:pos="102"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amount equal to 1/3 of the Total Award rounded up to the nearest 100 shares in the form of a restricted stock unit, vesting as provided below; and</w:t>
      </w:r>
    </w:p>
    <w:p>
      <w:pPr>
        <w:spacing w:after="0" w:line="2" w:lineRule="exact"/>
        <w:rPr>
          <w:rFonts w:ascii="Arial" w:cs="Arial" w:eastAsia="Arial" w:hAnsi="Arial"/>
          <w:sz w:val="16"/>
          <w:szCs w:val="16"/>
          <w:color w:val="auto"/>
        </w:rPr>
      </w:pPr>
    </w:p>
    <w:p>
      <w:pPr>
        <w:ind w:right="380" w:firstLine="3"/>
        <w:spacing w:after="0" w:line="253" w:lineRule="auto"/>
        <w:tabs>
          <w:tab w:leader="none" w:pos="10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amount equal 2/3 of the Total Award rounded up to the nearest 100 shares in the form of a stock option at an exercise price equal to 100% of fair market value of the Company’s common stock on the date of grant, vesting as provided below.</w:t>
      </w:r>
    </w:p>
    <w:p>
      <w:pPr>
        <w:sectPr>
          <w:pgSz w:w="11900" w:h="16838" w:orient="portrait"/>
          <w:cols w:equalWidth="0" w:num="2">
            <w:col w:w="6460" w:space="500"/>
            <w:col w:w="4460"/>
          </w:cols>
          <w:pgMar w:left="240" w:top="125" w:right="239" w:bottom="1440" w:gutter="0" w:footer="0" w:header="0"/>
          <w:type w:val="continuous"/>
        </w:sectPr>
      </w:pPr>
    </w:p>
    <w:bookmarkStart w:id="44" w:name="page45"/>
    <w:bookmarkEnd w:id="44"/>
    <w:p>
      <w:pPr>
        <w:ind w:left="76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such equity award shall vest in 36 equal</w:t>
      </w:r>
    </w:p>
    <w:p>
      <w:pPr>
        <w:spacing w:after="0" w:line="15" w:lineRule="exact"/>
        <w:rPr>
          <w:sz w:val="20"/>
          <w:szCs w:val="20"/>
          <w:color w:val="auto"/>
        </w:rPr>
      </w:pPr>
    </w:p>
    <w:p>
      <w:pPr>
        <w:ind w:left="7652"/>
        <w:spacing w:after="0"/>
        <w:rPr>
          <w:sz w:val="20"/>
          <w:szCs w:val="20"/>
          <w:color w:val="auto"/>
        </w:rPr>
      </w:pPr>
      <w:r>
        <w:rPr>
          <w:rFonts w:ascii="Arial" w:cs="Arial" w:eastAsia="Arial" w:hAnsi="Arial"/>
          <w:sz w:val="16"/>
          <w:szCs w:val="16"/>
          <w:color w:val="auto"/>
        </w:rPr>
        <w:t>monthly installments commencing one month from</w:t>
      </w:r>
    </w:p>
    <w:p>
      <w:pPr>
        <w:spacing w:after="0" w:line="32" w:lineRule="exact"/>
        <w:rPr>
          <w:sz w:val="20"/>
          <w:szCs w:val="20"/>
          <w:color w:val="auto"/>
        </w:rPr>
      </w:pPr>
    </w:p>
    <w:p>
      <w:pPr>
        <w:ind w:left="7652"/>
        <w:spacing w:after="0"/>
        <w:rPr>
          <w:sz w:val="20"/>
          <w:szCs w:val="20"/>
          <w:color w:val="auto"/>
        </w:rPr>
      </w:pPr>
      <w:r>
        <w:rPr>
          <w:rFonts w:ascii="Arial" w:cs="Arial" w:eastAsia="Arial" w:hAnsi="Arial"/>
          <w:sz w:val="16"/>
          <w:szCs w:val="16"/>
          <w:color w:val="auto"/>
        </w:rPr>
        <w:t>the date of grant; provided that, with respect to any</w:t>
      </w:r>
    </w:p>
    <w:p>
      <w:pPr>
        <w:spacing w:after="0" w:line="32" w:lineRule="exact"/>
        <w:rPr>
          <w:sz w:val="20"/>
          <w:szCs w:val="20"/>
          <w:color w:val="auto"/>
        </w:rPr>
      </w:pPr>
    </w:p>
    <w:p>
      <w:pPr>
        <w:ind w:left="7652"/>
        <w:spacing w:after="0"/>
        <w:rPr>
          <w:sz w:val="20"/>
          <w:szCs w:val="20"/>
          <w:color w:val="auto"/>
        </w:rPr>
      </w:pPr>
      <w:r>
        <w:rPr>
          <w:rFonts w:ascii="Arial" w:cs="Arial" w:eastAsia="Arial" w:hAnsi="Arial"/>
          <w:sz w:val="16"/>
          <w:szCs w:val="16"/>
          <w:color w:val="auto"/>
        </w:rPr>
        <w:t>such equity award that is granted prior to the date of</w:t>
      </w:r>
    </w:p>
    <w:p>
      <w:pPr>
        <w:spacing w:after="0" w:line="32" w:lineRule="exact"/>
        <w:rPr>
          <w:sz w:val="20"/>
          <w:szCs w:val="20"/>
          <w:color w:val="auto"/>
        </w:rPr>
      </w:pPr>
    </w:p>
    <w:p>
      <w:pPr>
        <w:ind w:left="7652"/>
        <w:spacing w:after="0"/>
        <w:rPr>
          <w:sz w:val="20"/>
          <w:szCs w:val="20"/>
          <w:color w:val="auto"/>
        </w:rPr>
      </w:pPr>
      <w:r>
        <w:rPr>
          <w:rFonts w:ascii="Arial" w:cs="Arial" w:eastAsia="Arial" w:hAnsi="Arial"/>
          <w:sz w:val="16"/>
          <w:szCs w:val="16"/>
          <w:color w:val="auto"/>
        </w:rPr>
        <w:t>approval by the FDA of the NDA for AFREZZA</w:t>
      </w:r>
    </w:p>
    <w:p>
      <w:pPr>
        <w:spacing w:after="0" w:line="32" w:lineRule="exact"/>
        <w:rPr>
          <w:sz w:val="20"/>
          <w:szCs w:val="20"/>
          <w:color w:val="auto"/>
        </w:rPr>
      </w:pPr>
    </w:p>
    <w:p>
      <w:pPr>
        <w:ind w:left="7652"/>
        <w:spacing w:after="0"/>
        <w:rPr>
          <w:sz w:val="20"/>
          <w:szCs w:val="20"/>
          <w:color w:val="auto"/>
        </w:rPr>
      </w:pPr>
      <w:r>
        <w:rPr>
          <w:rFonts w:ascii="Arial" w:cs="Arial" w:eastAsia="Arial" w:hAnsi="Arial"/>
          <w:sz w:val="16"/>
          <w:szCs w:val="16"/>
          <w:color w:val="auto"/>
        </w:rPr>
        <w:t>(the “FDA Approval Date”), no vesting shall occur</w:t>
      </w:r>
    </w:p>
    <w:p>
      <w:pPr>
        <w:spacing w:after="0" w:line="32" w:lineRule="exact"/>
        <w:rPr>
          <w:sz w:val="20"/>
          <w:szCs w:val="20"/>
          <w:color w:val="auto"/>
        </w:rPr>
      </w:pPr>
    </w:p>
    <w:p>
      <w:pPr>
        <w:ind w:left="7652"/>
        <w:spacing w:after="0"/>
        <w:rPr>
          <w:sz w:val="20"/>
          <w:szCs w:val="20"/>
          <w:color w:val="auto"/>
        </w:rPr>
      </w:pPr>
      <w:r>
        <w:rPr>
          <w:rFonts w:ascii="Arial" w:cs="Arial" w:eastAsia="Arial" w:hAnsi="Arial"/>
          <w:sz w:val="16"/>
          <w:szCs w:val="16"/>
          <w:color w:val="auto"/>
        </w:rPr>
        <w:t>until the FDA Approval Date, at which time any</w:t>
      </w:r>
    </w:p>
    <w:p>
      <w:pPr>
        <w:spacing w:after="0" w:line="32" w:lineRule="exact"/>
        <w:rPr>
          <w:sz w:val="20"/>
          <w:szCs w:val="20"/>
          <w:color w:val="auto"/>
        </w:rPr>
      </w:pPr>
    </w:p>
    <w:p>
      <w:pPr>
        <w:ind w:left="7652"/>
        <w:spacing w:after="0"/>
        <w:rPr>
          <w:sz w:val="20"/>
          <w:szCs w:val="20"/>
          <w:color w:val="auto"/>
        </w:rPr>
      </w:pPr>
      <w:r>
        <w:rPr>
          <w:rFonts w:ascii="Arial" w:cs="Arial" w:eastAsia="Arial" w:hAnsi="Arial"/>
          <w:sz w:val="16"/>
          <w:szCs w:val="16"/>
          <w:color w:val="auto"/>
        </w:rPr>
        <w:t>portion of such award that would have been vested</w:t>
      </w:r>
    </w:p>
    <w:p>
      <w:pPr>
        <w:spacing w:after="0" w:line="32" w:lineRule="exact"/>
        <w:rPr>
          <w:sz w:val="20"/>
          <w:szCs w:val="20"/>
          <w:color w:val="auto"/>
        </w:rPr>
      </w:pPr>
    </w:p>
    <w:p>
      <w:pPr>
        <w:ind w:left="7652"/>
        <w:spacing w:after="0"/>
        <w:rPr>
          <w:sz w:val="20"/>
          <w:szCs w:val="20"/>
          <w:color w:val="auto"/>
        </w:rPr>
      </w:pPr>
      <w:r>
        <w:rPr>
          <w:rFonts w:ascii="Arial" w:cs="Arial" w:eastAsia="Arial" w:hAnsi="Arial"/>
          <w:sz w:val="15"/>
          <w:szCs w:val="15"/>
          <w:color w:val="auto"/>
        </w:rPr>
        <w:t>as of such date absent this proviso shall immediately</w:t>
      </w:r>
    </w:p>
    <w:p>
      <w:pPr>
        <w:spacing w:after="0" w:line="44" w:lineRule="exact"/>
        <w:rPr>
          <w:sz w:val="20"/>
          <w:szCs w:val="20"/>
          <w:color w:val="auto"/>
        </w:rPr>
      </w:pPr>
    </w:p>
    <w:p>
      <w:pPr>
        <w:ind w:left="7652"/>
        <w:spacing w:after="0"/>
        <w:rPr>
          <w:sz w:val="20"/>
          <w:szCs w:val="20"/>
          <w:color w:val="auto"/>
        </w:rPr>
      </w:pPr>
      <w:r>
        <w:rPr>
          <w:rFonts w:ascii="Arial" w:cs="Arial" w:eastAsia="Arial" w:hAnsi="Arial"/>
          <w:sz w:val="18"/>
          <w:szCs w:val="18"/>
          <w:color w:val="auto"/>
        </w:rPr>
        <w:t>vest.</w:t>
      </w:r>
    </w:p>
    <w:p>
      <w:pPr>
        <w:spacing w:after="0" w:line="205" w:lineRule="exact"/>
        <w:rPr>
          <w:sz w:val="20"/>
          <w:szCs w:val="20"/>
          <w:color w:val="auto"/>
        </w:rPr>
      </w:pPr>
    </w:p>
    <w:p>
      <w:pPr>
        <w:ind w:left="452" w:hanging="452"/>
        <w:spacing w:after="0" w:line="283" w:lineRule="auto"/>
        <w:tabs>
          <w:tab w:leader="none" w:pos="4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Non-employee directors have an option to receive their annual retainer in cash or Company stock. If a non-employee director elects to receive his annual retainer in Company stock, two awards of restricted stock units will be granted. One of these awards will consist of that number of shares that equals 100% of the annual retainer, based on the closing price on the day immediately prior to the grant date. This award will vest (i.e., the shares will be delivered) on the earlier to occur of (i) the retirement or removal of the non-employee director from the Board of Directors; (ii) his or her death; or (iii) five years from the grant date. The other award will consist of that number of shares that equals 15% of the annual retainer, based on the same closing price. This award will vest upon the earlier to occur of (i) the retirement or removal of the non-employee director from the Board of Directors, provided that such retirement or removal occurs more than one year after the grant date; (ii) his or her death; or (iii) five years from the grant date.</w:t>
      </w:r>
    </w:p>
    <w:p>
      <w:pPr>
        <w:jc w:val="both"/>
        <w:ind w:left="452" w:right="380" w:hanging="452"/>
        <w:spacing w:after="0" w:line="255"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 non-employee director has not been serving as a non-employee director for the entire period since the immediately preceding annual stockholders meeting, then the number of shares subject to such annual equity award shall be reduced proportionately for each full quarter prior to the date of grant during which such person did not serve as a non-employee director.</w:t>
      </w:r>
    </w:p>
    <w:p>
      <w:pPr>
        <w:sectPr>
          <w:pgSz w:w="11900" w:h="16838" w:orient="portrait"/>
          <w:cols w:equalWidth="0" w:num="1">
            <w:col w:w="11352"/>
          </w:cols>
          <w:pgMar w:left="248" w:top="388" w:right="2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CERTIFICATION OF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71"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2013 of MannKind Corporation;</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160" w:hanging="257"/>
        <w:spacing w:after="0"/>
        <w:tabs>
          <w:tab w:leader="none" w:pos="11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9, 2013</w:t>
      </w:r>
      <w:r>
        <w:rPr>
          <w:sz w:val="20"/>
          <w:szCs w:val="20"/>
          <w:color w:val="auto"/>
        </w:rPr>
        <w:tab/>
      </w:r>
      <w:r>
        <w:rPr>
          <w:rFonts w:ascii="Arial" w:cs="Arial" w:eastAsia="Arial" w:hAnsi="Arial"/>
          <w:sz w:val="16"/>
          <w:szCs w:val="16"/>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Alfred E. Mann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CERTIFICATION OF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171"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2013 of MannKind Corporation;</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160" w:hanging="257"/>
        <w:spacing w:after="0"/>
        <w:tabs>
          <w:tab w:leader="none" w:pos="11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9, 2013</w:t>
      </w:r>
      <w:r>
        <w:rPr>
          <w:sz w:val="20"/>
          <w:szCs w:val="20"/>
          <w:color w:val="auto"/>
        </w:rPr>
        <w:tab/>
      </w:r>
      <w:r>
        <w:rPr>
          <w:rFonts w:ascii="Arial" w:cs="Arial" w:eastAsia="Arial" w:hAnsi="Arial"/>
          <w:sz w:val="16"/>
          <w:szCs w:val="16"/>
          <w:color w:val="auto"/>
        </w:rPr>
        <w:t>/s/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Matthew J. Pfeffer</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June 30, 2013,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Chief Executive Officer of the Company, and Matthew J. Pfeffer, Chief Financial Officer of the Company, each hereby certifies that to the best of his knowledge:</w:t>
      </w:r>
    </w:p>
    <w:p>
      <w:pPr>
        <w:spacing w:after="0" w:line="143" w:lineRule="exact"/>
        <w:rPr>
          <w:sz w:val="20"/>
          <w:szCs w:val="20"/>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71" w:lineRule="exact"/>
        <w:rPr>
          <w:rFonts w:ascii="Arial" w:cs="Arial" w:eastAsia="Arial" w:hAnsi="Arial"/>
          <w:sz w:val="18"/>
          <w:szCs w:val="18"/>
          <w:color w:val="auto"/>
        </w:rPr>
      </w:pPr>
    </w:p>
    <w:p>
      <w:pPr>
        <w:ind w:right="600" w:firstLine="464"/>
        <w:spacing w:after="0" w:line="438"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9, 2013</w:t>
      </w:r>
    </w:p>
    <w:p>
      <w:pPr>
        <w:spacing w:after="0"/>
        <w:rPr>
          <w:rFonts w:ascii="Arial" w:cs="Arial" w:eastAsia="Arial" w:hAnsi="Arial"/>
          <w:sz w:val="18"/>
          <w:szCs w:val="18"/>
          <w:color w:val="auto"/>
        </w:rPr>
      </w:pPr>
      <w:r>
        <w:rPr>
          <w:rFonts w:ascii="Arial" w:cs="Arial" w:eastAsia="Arial" w:hAnsi="Arial"/>
          <w:sz w:val="18"/>
          <w:szCs w:val="18"/>
          <w:color w:val="auto"/>
        </w:rPr>
        <w:t>In witness whereof, the undersigned have set their hands hereto as of the 9</w:t>
      </w:r>
      <w:r>
        <w:rPr>
          <w:rFonts w:ascii="Arial" w:cs="Arial" w:eastAsia="Arial" w:hAnsi="Arial"/>
          <w:sz w:val="11"/>
          <w:szCs w:val="11"/>
          <w:color w:val="auto"/>
        </w:rPr>
        <w:t>th</w:t>
      </w:r>
      <w:r>
        <w:rPr>
          <w:rFonts w:ascii="Arial" w:cs="Arial" w:eastAsia="Arial" w:hAnsi="Arial"/>
          <w:sz w:val="18"/>
          <w:szCs w:val="18"/>
          <w:color w:val="auto"/>
        </w:rPr>
        <w:t xml:space="preserve"> day of August 2013.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c>
          <w:tcPr>
            <w:tcW w:w="680" w:type="dxa"/>
            <w:vAlign w:val="bottom"/>
          </w:tcPr>
          <w:p>
            <w:pPr>
              <w:spacing w:after="0"/>
              <w:rPr>
                <w:sz w:val="19"/>
                <w:szCs w:val="19"/>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Alfred E. Mann</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Matthew J. Pfeffer</w:t>
            </w: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56"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861185" cy="6172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6118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Matthew J. Pfeffer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661-775-5300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mpfeffer@mannkindcorp.com</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REPORTS 2013 SECOND QUARTER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RESULTS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VALENCIA, Calif., August 9, 2013 — MannKind Corporation (Nasdaq: MNKD) </w:t>
      </w:r>
      <w:r>
        <w:rPr>
          <w:rFonts w:ascii="Arial" w:cs="Arial" w:eastAsia="Arial" w:hAnsi="Arial"/>
          <w:sz w:val="16"/>
          <w:szCs w:val="16"/>
          <w:color w:val="auto"/>
        </w:rPr>
        <w:t>today reported financial results for the second quarter ended June 30, 2013.</w:t>
      </w:r>
    </w:p>
    <w:p>
      <w:pPr>
        <w:spacing w:after="0" w:line="20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the second quarter of 2013, total operating expenses were $41.6 million, compared to $44.1 million for the second quarter of 2012, a decrease of $2.5 million. Research and development (R&amp;D) expenses were $27.1 million for the second quarter of 2013 compared to $26.6 million for the same quarter in 2012, an increase of $0.5 million primarily due to an increase in non-cash stock compensation expense partially offset by a decrease in clinical trial related expenses. General and administrative (G&amp;A) expenses decreased by $2.9 million to $14.5 million for the second quarter of 2013 compared to $17.4 million in the second quarter of 2012. This 17% decrease in G&amp;A expense was primarily due to non-cash expenses of $7.7 million litigation settlement accrual recorded in the second quarter of 2012 partly offset by increased stock compensation expense in the second quarter of 2013.</w:t>
      </w:r>
    </w:p>
    <w:p>
      <w:pPr>
        <w:spacing w:after="0" w:line="12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Operating expenses totaled $78.0 million for the first six months of 2013 and for the same period in 2012. Total R&amp;D expenses for the six months ended June 30, 2013 increased $2.7 million, or 5%, compared to the same period in 2012, primarily due to an increase in non-cash stock compensation expense partially offset by a decrease in clinical trial related expense in the first half of 2013. G&amp;A expenses decreased by $2.6 million, or 10%, to $24.6 million for the first half of 2013 as compared to $27.2 million in the same period in 2012. The decrease was due to the non-recurrence of a $7.7 million litigation settlement accrual recorded in the second quarter of 2012 partially offset by increased stock compensation expense in the first half of 2013.</w:t>
      </w:r>
    </w:p>
    <w:p>
      <w:pPr>
        <w:spacing w:after="0" w:line="11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The net loss applicable to common stockholders for the second quarter of 2013 was $46.1 million, or $0.16 per share based on 284.0 million weighted average shares outstanding, compared with a net loss applicable to common stockholders of $36.6 million, or $0.23 per share based on 159.9 million weighted average shares outstanding for the second quarter of 2012. The number of common shares outstanding at June 30, 2013 was 300,869,683.</w:t>
      </w:r>
    </w:p>
    <w:p>
      <w:pPr>
        <w:sectPr>
          <w:pgSz w:w="11900" w:h="16838" w:orient="portrait"/>
          <w:cols w:equalWidth="0" w:num="1">
            <w:col w:w="11420"/>
          </w:cols>
          <w:pgMar w:left="240" w:top="125" w:right="239" w:bottom="1440" w:gutter="0" w:footer="0" w:header="0"/>
        </w:sectPr>
      </w:pPr>
    </w:p>
    <w:bookmarkStart w:id="49" w:name="page50"/>
    <w:bookmarkEnd w:id="49"/>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and cash equivalents were $28.5 million at June 30, 2013 and $61.8 million at December 31, 2012 with $125.4 million remaining available for future borrowings under the loan agreement with The Mann Group through September 30,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previously indicated, MannKind will hold a conference call to discuss the financial results when the results of Studies 171 and 175 are available. The analysis of these studies is expected to be completed shortly.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MannKind Corporation</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MannKind Corporation (Nasdaq: MNKD) focuses on the discovery, development and commercialization of therapeutic products for patients with diseases such as diabetes. Its lead product candidate, AFREZZA</w:t>
      </w:r>
      <w:r>
        <w:rPr>
          <w:rFonts w:ascii="Arial" w:cs="Arial" w:eastAsia="Arial" w:hAnsi="Arial"/>
          <w:sz w:val="11"/>
          <w:szCs w:val="11"/>
          <w:color w:val="auto"/>
        </w:rPr>
        <w:t>®</w:t>
      </w:r>
      <w:r>
        <w:rPr>
          <w:rFonts w:ascii="Arial" w:cs="Arial" w:eastAsia="Arial" w:hAnsi="Arial"/>
          <w:sz w:val="18"/>
          <w:szCs w:val="18"/>
          <w:color w:val="auto"/>
        </w:rPr>
        <w:t>, is in late stage clinical investigation for the treatment of adults with type 1 or type 2 diabetes for the control of hyperglycemia.</w:t>
      </w:r>
    </w:p>
    <w:p>
      <w:pPr>
        <w:spacing w:after="0" w:line="14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 xml:space="preserve">MannKind maintains a website at </w:t>
      </w:r>
      <w:r>
        <w:rPr>
          <w:rFonts w:ascii="Arial" w:cs="Arial" w:eastAsia="Arial" w:hAnsi="Arial"/>
          <w:sz w:val="16"/>
          <w:szCs w:val="16"/>
          <w:u w:val="single" w:color="auto"/>
          <w:color w:val="auto"/>
        </w:rPr>
        <w:t>http://www.mannkindcorp.com</w:t>
      </w:r>
      <w:r>
        <w:rPr>
          <w:rFonts w:ascii="Arial" w:cs="Arial" w:eastAsia="Arial" w:hAnsi="Arial"/>
          <w:sz w:val="16"/>
          <w:szCs w:val="16"/>
          <w:color w:val="auto"/>
        </w:rPr>
        <w:t xml:space="preserve"> to which MannKind regularly posts copies of its press releases as well as additional information about MannKind. Interested persons can subscribe on the MannKind website to e-mail alerts that are sent automatically when MannKind issues press releases, files its reports with the Securities and Exchange Commission or posts certain other information to the website.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This press release contains forward-looking statements, including statements related to the reporting of top-line results, that involve risks and uncertainties. Words such as “believes”, “anticipates”, “plans”, “expects”, “intend”, “will”, “goal”, “potential” and similar expressions are intended to identify forward-looking statements. These forward-looking statements are based upon the Company’s current expectations. Actual results and the timing of events could differ materially from those anticipated in such forward-looking statements as a result of these risks and uncertainties, which include, without limitation, difficulties or delays in obtaining regulatory feedback or completing and analyzing the results of clinical studies, MannKind’s ability to manage its existing cash resources or raise additional cash resources, stock price volatility and other risks detailed in MannKind’s filings with the Securities and Exchange Commission, including the Annual Report on Form 10-K for the year ended December 31, 2012 and periodic reports on Form 10-Q and Form 8-K. You are cautioned not to place undue reliance on these forward-looking statements, which speak only as of the date of this press release. All forward-looking statements are qualified in their entirety by this cautionary statement, and MannKind undertakes no obligation to revise or update any forward-looking statements to reflect events or circumstances after the date of this press release.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(Tables to follow)</w:t>
      </w:r>
    </w:p>
    <w:p>
      <w:pPr>
        <w:sectPr>
          <w:pgSz w:w="11900" w:h="16838" w:orient="portrait"/>
          <w:cols w:equalWidth="0" w:num="1">
            <w:col w:w="11420"/>
          </w:cols>
          <w:pgMar w:left="240" w:top="280"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MannKind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7"/>
            <w:vMerge w:val="restart"/>
          </w:tcPr>
          <w:p>
            <w:pPr>
              <w:jc w:val="right"/>
              <w:ind w:right="680"/>
              <w:spacing w:after="0"/>
              <w:rPr>
                <w:sz w:val="20"/>
                <w:szCs w:val="20"/>
                <w:color w:val="auto"/>
              </w:rPr>
            </w:pPr>
            <w:r>
              <w:rPr>
                <w:rFonts w:ascii="Arial" w:cs="Arial" w:eastAsia="Arial" w:hAnsi="Arial"/>
                <w:sz w:val="14"/>
                <w:szCs w:val="14"/>
                <w:b w:val="1"/>
                <w:bCs w:val="1"/>
                <w:color w:val="auto"/>
                <w:w w:val="97"/>
              </w:rPr>
              <w:t>Three months ended</w:t>
            </w:r>
          </w:p>
        </w:tc>
        <w:tc>
          <w:tcPr>
            <w:tcW w:w="100" w:type="dxa"/>
            <w:vAlign w:val="bottom"/>
          </w:tcPr>
          <w:p>
            <w:pPr>
              <w:spacing w:after="0"/>
              <w:rPr>
                <w:sz w:val="12"/>
                <w:szCs w:val="12"/>
                <w:color w:val="auto"/>
              </w:rPr>
            </w:pPr>
          </w:p>
        </w:tc>
        <w:tc>
          <w:tcPr>
            <w:tcW w:w="2060" w:type="dxa"/>
            <w:vAlign w:val="bottom"/>
            <w:gridSpan w:val="5"/>
            <w:vMerge w:val="restart"/>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from February 14,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5"/>
          </w:tcPr>
          <w:p>
            <w:pPr>
              <w:jc w:val="right"/>
              <w:spacing w:after="0" w:line="129" w:lineRule="exact"/>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26,638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14,533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17,416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24,572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27,193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450,276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In-process research and development costs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Goodwill impairment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44,054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2,142,453</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(41,585)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(44,054)</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(78,022)</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(77,987)</w:t>
            </w: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(2,139,287)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13,347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Interest expense on note payable to related party</w:t>
            </w:r>
          </w:p>
        </w:tc>
        <w:tc>
          <w:tcPr>
            <w:tcW w:w="10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(1,689)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(3,028)</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(3,378)</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(6,076)</w:t>
            </w: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(2,866)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(2,844)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(5,729)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(5,419)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36,998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for income taxes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(46,124)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(36,578)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(87,089)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(74,751)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(2,192,383)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(46,124)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(36,578)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(87,089)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(74,751)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(2,192,001)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Deemed dividend related to beneficial conversion feature of convertible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9"/>
                <w:szCs w:val="19"/>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(46,124)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(36,578)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(87,089)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(74,751)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(2,215,213)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w w:val="98"/>
              </w:rPr>
              <w:t>Net loss per share applicable to common stockholders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 share applicable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common stockholders</w:t>
            </w: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284,044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159,859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282,062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151,506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MannKind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9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28,529</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61,840</w:t>
            </w:r>
          </w:p>
        </w:tc>
      </w:tr>
      <w:tr>
        <w:trPr>
          <w:trHeight w:val="223"/>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66,810</w:t>
            </w: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179,567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183,961</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8"/>
                <w:szCs w:val="18"/>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212,429</w:t>
            </w:r>
          </w:p>
        </w:tc>
        <w:tc>
          <w:tcPr>
            <w:tcW w:w="4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251,314</w:t>
            </w: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266,782</w:t>
            </w:r>
          </w:p>
        </w:tc>
        <w:tc>
          <w:tcPr>
            <w:tcW w:w="4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144,775</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97,583</w:t>
            </w: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Note payable to related party</w:t>
            </w: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119,635</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(152,357)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(110,679)</w:t>
            </w: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212,429</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251,314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lowerRoman"/>
      <w:start w:val="2"/>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32"/>
    </w:lvl>
  </w:abstractNum>
  <w:abstractNum w:abstractNumId="16">
    <w:nsid w:val="436C6125"/>
    <w:multiLevelType w:val="hybridMultilevel"/>
    <w:lvl w:ilvl="0">
      <w:lvlJc w:val="left"/>
      <w:lvlText w:val="%1"/>
      <w:numFmt w:val="decimal"/>
      <w:start w:val="10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2019-12-06T08:45:59Z</dcterms:created>
  <dcterms:modified xsi:type="dcterms:W3CDTF">2019-12-06T08:45:59Z</dcterms:modified>
</cp:coreProperties>
</file>