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780" w:type="dxa"/>
            <w:vAlign w:val="bottom"/>
          </w:tcPr>
          <w:p>
            <w:pPr>
              <w:jc w:val="center"/>
              <w:ind w:right="1910"/>
              <w:spacing w:after="0"/>
              <w:rPr>
                <w:sz w:val="20"/>
                <w:szCs w:val="20"/>
                <w:color w:val="auto"/>
              </w:rPr>
            </w:pPr>
            <w:r>
              <w:rPr>
                <w:rFonts w:ascii="Arial" w:cs="Arial" w:eastAsia="Arial" w:hAnsi="Arial"/>
                <w:sz w:val="18"/>
                <w:szCs w:val="18"/>
                <w:i w:val="1"/>
                <w:iCs w:val="1"/>
                <w:color w:val="auto"/>
                <w:w w:val="93"/>
              </w:rPr>
              <w:t>(State or other jurisdiction of</w:t>
            </w:r>
          </w:p>
        </w:tc>
        <w:tc>
          <w:tcPr>
            <w:tcW w:w="330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4"/>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7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28903 North Avenue Paine</w:t>
            </w:r>
          </w:p>
        </w:tc>
        <w:tc>
          <w:tcPr>
            <w:tcW w:w="3300" w:type="dxa"/>
            <w:vAlign w:val="bottom"/>
          </w:tcPr>
          <w:p>
            <w:pPr>
              <w:spacing w:after="0"/>
              <w:rPr>
                <w:sz w:val="24"/>
                <w:szCs w:val="24"/>
                <w:color w:val="auto"/>
              </w:rPr>
            </w:pPr>
          </w:p>
        </w:tc>
      </w:tr>
      <w:tr>
        <w:trPr>
          <w:trHeight w:val="220"/>
        </w:trPr>
        <w:tc>
          <w:tcPr>
            <w:tcW w:w="478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Valencia, California</w:t>
            </w:r>
          </w:p>
        </w:tc>
        <w:tc>
          <w:tcPr>
            <w:tcW w:w="330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460"/>
            <w:col w:w="2240"/>
          </w:cols>
          <w:pgMar w:left="240" w:top="122" w:right="2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As of October 22, 2010, there were 124,769,494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46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036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36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September 30, 2010 and December 31, 2009</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360" w:type="dxa"/>
            <w:vAlign w:val="bottom"/>
            <w:gridSpan w:val="21"/>
          </w:tcPr>
          <w:p>
            <w:pPr>
              <w:spacing w:after="0" w:line="19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Operations: Three and nine months ended September 30, 2010 and 2009 and the period from</w:t>
              </w:r>
            </w:hyperlink>
          </w:p>
        </w:tc>
        <w:tc>
          <w:tcPr>
            <w:tcW w:w="9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3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inception (February 14, 1991) to September 30, 2010</w:t>
              </w:r>
            </w:hyperlink>
          </w:p>
        </w:tc>
        <w:tc>
          <w:tcPr>
            <w:tcW w:w="80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360" w:type="dxa"/>
            <w:vAlign w:val="bottom"/>
            <w:gridSpan w:val="21"/>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Nine months ended September 30, 2010 and 2009 and the period from inception</w:t>
              </w:r>
            </w:hyperlink>
          </w:p>
        </w:tc>
        <w:tc>
          <w:tcPr>
            <w:tcW w:w="9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1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(February 14, 1991) to September 30, 2010</w:t>
              </w:r>
            </w:hyperlink>
          </w:p>
        </w:tc>
        <w:tc>
          <w:tcPr>
            <w:tcW w:w="6260" w:type="dxa"/>
            <w:vAlign w:val="bottom"/>
            <w:tcBorders>
              <w:top w:val="single" w:sz="8" w:color="0000EE"/>
            </w:tcBorders>
            <w:gridSpan w:val="7"/>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36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360" w:type="dxa"/>
            <w:vAlign w:val="bottom"/>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34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4. Controls and Procedures</w:t>
              </w:r>
            </w:hyperlink>
          </w:p>
        </w:tc>
        <w:tc>
          <w:tcPr>
            <w:tcW w:w="8020" w:type="dxa"/>
            <w:vAlign w:val="bottom"/>
            <w:gridSpan w:val="1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036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940" w:type="dxa"/>
            <w:vAlign w:val="bottom"/>
          </w:tcPr>
          <w:p>
            <w:pPr>
              <w:spacing w:after="0"/>
              <w:rPr>
                <w:sz w:val="17"/>
                <w:szCs w:val="17"/>
                <w:color w:val="auto"/>
              </w:rPr>
            </w:pPr>
          </w:p>
        </w:tc>
      </w:tr>
      <w:tr>
        <w:trPr>
          <w:trHeight w:val="196"/>
        </w:trPr>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4"/>
          </w:tcPr>
          <w:p>
            <w:pPr>
              <w:spacing w:after="0"/>
              <w:rPr>
                <w:sz w:val="17"/>
                <w:szCs w:val="17"/>
                <w:color w:val="auto"/>
              </w:rPr>
            </w:pPr>
          </w:p>
        </w:tc>
        <w:tc>
          <w:tcPr>
            <w:tcW w:w="7780" w:type="dxa"/>
            <w:vAlign w:val="bottom"/>
            <w:gridSpan w:val="11"/>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1A. Risk Factors</w:t>
              </w:r>
            </w:hyperlink>
          </w:p>
        </w:tc>
        <w:tc>
          <w:tcPr>
            <w:tcW w:w="8760" w:type="dxa"/>
            <w:vAlign w:val="bottom"/>
            <w:gridSpan w:val="17"/>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9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2. Unregistered Sales of Equity Securities and Use of Proceeds</w:t>
              </w:r>
            </w:hyperlink>
          </w:p>
        </w:tc>
        <w:tc>
          <w:tcPr>
            <w:tcW w:w="5440" w:type="dxa"/>
            <w:vAlign w:val="bottom"/>
            <w:gridSpan w:val="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036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3. Defaults Upon Senior Securities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4. (Removed and Reserved)</w:t>
              </w:r>
            </w:hyperlink>
          </w:p>
        </w:tc>
        <w:tc>
          <w:tcPr>
            <w:tcW w:w="480" w:type="dxa"/>
            <w:vAlign w:val="bottom"/>
            <w:tcBorders>
              <w:top w:val="single" w:sz="8" w:color="0000EE"/>
            </w:tcBorders>
            <w:gridSpan w:val="2"/>
          </w:tcPr>
          <w:p>
            <w:pPr>
              <w:spacing w:after="0"/>
              <w:rPr>
                <w:sz w:val="17"/>
                <w:szCs w:val="17"/>
                <w:color w:val="auto"/>
              </w:rPr>
            </w:pPr>
          </w:p>
        </w:tc>
        <w:tc>
          <w:tcPr>
            <w:tcW w:w="7480" w:type="dxa"/>
            <w:vAlign w:val="bottom"/>
            <w:gridSpan w:val="10"/>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Item 5. Other Information</w:t>
              </w:r>
            </w:hyperlink>
          </w:p>
        </w:tc>
        <w:tc>
          <w:tcPr>
            <w:tcW w:w="8480" w:type="dxa"/>
            <w:vAlign w:val="bottom"/>
            <w:gridSpan w:val="1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036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6. Exhibits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SIGNATURES</w:t>
              </w:r>
            </w:hyperlink>
          </w:p>
        </w:tc>
        <w:tc>
          <w:tcPr>
            <w:tcW w:w="9200" w:type="dxa"/>
            <w:vAlign w:val="bottom"/>
            <w:gridSpan w:val="1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AFREZZA</w:t>
      </w:r>
      <w:r>
        <w:rPr>
          <w:rFonts w:ascii="Arial" w:cs="Arial" w:eastAsia="Arial" w:hAnsi="Arial"/>
          <w:sz w:val="15"/>
          <w:szCs w:val="15"/>
          <w:color w:val="auto"/>
        </w:rPr>
        <w:t>®</w:t>
      </w:r>
      <w:r>
        <w:rPr>
          <w:rFonts w:ascii="Arial" w:cs="Arial" w:eastAsia="Arial" w:hAnsi="Arial"/>
          <w:sz w:val="18"/>
          <w:szCs w:val="18"/>
          <w:color w:val="auto"/>
        </w:rPr>
        <w:t xml:space="preserve"> and Technosphere</w:t>
      </w:r>
      <w:r>
        <w:rPr>
          <w:rFonts w:ascii="Arial" w:cs="Arial" w:eastAsia="Arial" w:hAnsi="Arial"/>
          <w:sz w:val="15"/>
          <w:szCs w:val="15"/>
          <w:color w:val="auto"/>
        </w:rPr>
        <w:t>®</w:t>
      </w:r>
      <w:r>
        <w:rPr>
          <w:rFonts w:ascii="Arial" w:cs="Arial" w:eastAsia="Arial" w:hAnsi="Arial"/>
          <w:sz w:val="18"/>
          <w:szCs w:val="18"/>
          <w:color w:val="auto"/>
        </w:rPr>
        <w:t xml:space="preserve"> are our registered trademarks in the United States. We have also applied for and have registered company trademarks in other jurisdictions, including Europe and Japan.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8"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2010</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97,928</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30,019</w:t>
            </w: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research and development credit exchange — current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102,028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37,666</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202,235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208,229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305,149</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247,397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240"/>
              <w:spacing w:after="0"/>
              <w:rPr>
                <w:sz w:val="20"/>
                <w:szCs w:val="20"/>
                <w:color w:val="auto"/>
              </w:rPr>
            </w:pPr>
            <w:r>
              <w:rPr>
                <w:rFonts w:ascii="Arial" w:cs="Arial" w:eastAsia="Arial" w:hAnsi="Arial"/>
                <w:sz w:val="18"/>
                <w:szCs w:val="18"/>
                <w:b w:val="1"/>
                <w:bCs w:val="1"/>
                <w:color w:val="auto"/>
              </w:rPr>
              <w:t>LIABILITIES AND STOCKHOLDERS’ DEFICIT</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6,372</w:t>
            </w:r>
          </w:p>
        </w:tc>
        <w:tc>
          <w:tcPr>
            <w:tcW w:w="320" w:type="dxa"/>
            <w:vAlign w:val="bottom"/>
          </w:tcPr>
          <w:p>
            <w:pPr>
              <w:spacing w:after="0"/>
              <w:rPr>
                <w:sz w:val="18"/>
                <w:szCs w:val="18"/>
                <w:color w:val="auto"/>
              </w:rPr>
            </w:pP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19,193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22,334</w:t>
            </w:r>
          </w:p>
        </w:tc>
        <w:tc>
          <w:tcPr>
            <w:tcW w:w="0" w:type="dxa"/>
            <w:vAlign w:val="bottom"/>
          </w:tcPr>
          <w:p>
            <w:pPr>
              <w:spacing w:after="0"/>
              <w:rPr>
                <w:sz w:val="1"/>
                <w:szCs w:val="1"/>
                <w:color w:val="auto"/>
              </w:rPr>
            </w:pPr>
          </w:p>
        </w:tc>
      </w:tr>
      <w:tr>
        <w:trPr>
          <w:trHeight w:val="223"/>
        </w:trPr>
        <w:tc>
          <w:tcPr>
            <w:tcW w:w="83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209,023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112,765</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486,588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306,618</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outstanding at September 30, 2010 and December 31, 2009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$0.01 par value — 200,000,000 and 150,000,000 shares authorized at September 30, 2010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and December 31, 2009, respectively; 123,363,865 and 113,025,291 shares issued and outstanding at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2010 and December 31, 2009, respectively</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1,553,763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1,544,112</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(1,736,436)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(1,604,182)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(181,439)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(59,221)</w:t>
            </w:r>
          </w:p>
        </w:tc>
        <w:tc>
          <w:tcPr>
            <w:tcW w:w="0" w:type="dxa"/>
            <w:vAlign w:val="bottom"/>
          </w:tcPr>
          <w:p>
            <w:pPr>
              <w:spacing w:after="0"/>
              <w:rPr>
                <w:sz w:val="1"/>
                <w:szCs w:val="1"/>
                <w:color w:val="auto"/>
              </w:rPr>
            </w:pPr>
          </w:p>
        </w:tc>
      </w:tr>
      <w:tr>
        <w:trPr>
          <w:trHeight w:val="223"/>
        </w:trPr>
        <w:tc>
          <w:tcPr>
            <w:tcW w:w="8320" w:type="dxa"/>
            <w:vAlign w:val="bottom"/>
          </w:tcPr>
          <w:p>
            <w:pPr>
              <w:ind w:left="4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305,149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7"/>
            <w:vMerge w:val="restart"/>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7"/>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88,062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113,232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11,129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12,273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32,436</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40,727</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120,498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153,959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1,744,754</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(42,540)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(42,767)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(120,405)</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(153,959)</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(2,851)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(3,806)</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(4,297)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(3,376)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36,953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(45,303)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(45,555)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(132,254)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(160,571)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(45,303)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(45,555)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(132,254)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(160,571)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(1,736,436)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w w:val="96"/>
              </w:rPr>
              <w:t>Deemed dividend related to beneficial conversion feature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of convertible preferred stock</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(45,303</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(45,555</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(132,254</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(160,571</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(1,759,648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Net loss per share applicable to common stockholders —</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share applicable to common stockholders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113,528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108,779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113,248</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104,402</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line="5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6"/>
            <w:vMerge w:val="restart"/>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6"/>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(132,254)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(160,571)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(1,736,436)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12,916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14,020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Stock expense for shares issued pursuant to research agreement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sale, abandonment/disposal or impairment of property and equipment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Accrued interest on investments, net of amortization of discounts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Goodwill impairment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available-for-sale securities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600"/>
              <w:spacing w:after="0"/>
              <w:rPr>
                <w:sz w:val="20"/>
                <w:szCs w:val="20"/>
                <w:color w:val="auto"/>
              </w:rPr>
            </w:pPr>
            <w:r>
              <w:rPr>
                <w:rFonts w:ascii="Arial" w:cs="Arial" w:eastAsia="Arial" w:hAnsi="Arial"/>
                <w:sz w:val="18"/>
                <w:szCs w:val="18"/>
                <w:color w:val="auto"/>
              </w:rPr>
              <w:t>State research and development credit exchange receivable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1,262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(15,695)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(109,682)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(146,706)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(1,313,592)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of marketable securities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(5,607)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(16,679)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(316,316)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Issuance of common stock and warrants,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1,749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60,648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on notes payable to related party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87,000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95,786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207,053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181,198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173,855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67,909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97,928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53,918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97,928</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Interest paid in cash</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8,654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4,159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Put option redemption by stockholder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Non-cash construction in progress and property and equipment</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1,463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1,239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ectPr>
          <w:pgSz w:w="11900" w:h="16888" w:orient="portrait"/>
          <w:cols w:equalWidth="0" w:num="1">
            <w:col w:w="11420"/>
          </w:cols>
          <w:pgMar w:left="240" w:top="419" w:right="239" w:bottom="0" w:gutter="0" w:footer="0" w:header="0"/>
        </w:sectPr>
      </w:pPr>
    </w:p>
    <w:bookmarkStart w:id="6" w:name="page7"/>
    <w:bookmarkEnd w:id="6"/>
    <w:p>
      <w:pPr>
        <w:jc w:val="center"/>
        <w:ind w:right="-20"/>
        <w:spacing w:after="0"/>
        <w:rPr>
          <w:sz w:val="20"/>
          <w:szCs w:val="20"/>
          <w:color w:val="auto"/>
        </w:rPr>
      </w:pPr>
      <w:r>
        <w:rPr>
          <w:rFonts w:ascii="Arial" w:cs="Arial" w:eastAsia="Arial" w:hAnsi="Arial"/>
          <w:sz w:val="15"/>
          <w:szCs w:val="15"/>
          <w:color w:val="auto"/>
        </w:rPr>
        <w:t>See notes to condensed consolidated financial statements.</w:t>
      </w:r>
    </w:p>
    <w:p>
      <w:pPr>
        <w:sectPr>
          <w:pgSz w:w="11900" w:h="16838" w:orient="portrait"/>
          <w:cols w:equalWidth="0" w:num="1">
            <w:col w:w="9019"/>
          </w:cols>
          <w:pgMar w:left="1440" w:top="125" w:right="1440"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2009 are included in the Company’s annual report on Form 10-K for the fiscal year ended December 31, 2009 filed with the SEC on March 16, 2010 (the “Annual Report”).</w:t>
      </w:r>
    </w:p>
    <w:p>
      <w:pPr>
        <w:spacing w:after="0" w:line="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2010 may not be indicative of the results that may be expected for the full year.</w:t>
      </w:r>
    </w:p>
    <w:p>
      <w:pPr>
        <w:spacing w:after="0" w:line="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accompanying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5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Business — </w:t>
      </w:r>
      <w:r>
        <w:rPr>
          <w:rFonts w:ascii="Arial" w:cs="Arial" w:eastAsia="Arial" w:hAnsi="Arial"/>
          <w:sz w:val="17"/>
          <w:szCs w:val="17"/>
          <w:color w:val="auto"/>
        </w:rPr>
        <w:t>The Company is a biopharmaceutical company focused on the discovery, development and commercialization of therapeutic products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diseases such as diabetes and cancer. The Company’s lead product candidate, AFREZZA, is an ultra rapid-acting insulin. In March 2009, the Company submitted a new drug application (“NDA”) to the U.S. Food and Drug Administration (“FDA”) requesting approval of AFREZZA for the treatment of adults with type 1 or type 2 diabetes for the control of hyperglycemia. In March 2010, the Company received a Complete Response letter regarding this NDA from the FDA, requesting additional information. In July 2010, the FDA accepted the Company’s reply to the Complete Response letter and set a target action date of December 29, 2010. AFREZZA consists of the Company’s proprietary Technosphere particles onto which insulin molecules are loaded. These loaded particles are then aerosolized and inhaled deep into the lung using the Company’s AFREZZA inhaler.</w:t>
      </w:r>
    </w:p>
    <w:p>
      <w:pPr>
        <w:spacing w:after="0" w:line="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 xml:space="preserve">Basis of Presentation — </w:t>
      </w:r>
      <w:r>
        <w:rPr>
          <w:rFonts w:ascii="Arial" w:cs="Arial" w:eastAsia="Arial" w:hAnsi="Arial"/>
          <w:sz w:val="16"/>
          <w:szCs w:val="16"/>
          <w:color w:val="auto"/>
        </w:rPr>
        <w:t>The Company is considered to be in the development stage as its primary activities since incorporation have been establishing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recruiting personnel, conducting research and development, business development, business and financial planning, and raising capital. Since its inception through September 30, 2010, the Company has reported accumulated net losses of $1.7 billion and cumulative negative cash flow from operations of $1.3 billion. It is costly to develop therapeutic products and conduct clinical trials for these products. At September 30, 2010 the Company’s capital resources consisted of cash, cash equivalents, and marketable securities of $98.0 million and $98.0 million of available borrowings under the loan agreement with The Mann Group LLC (“The Mann Group”), an entity controlled by the Company’s principal stockholder (see Note 12 — Related-party arrangements, of the Notes to the accompanying financial statements). On August 18, 2010, the Company completed a Rule 144A offering of $100.0 million aggregate principal amount of 5.75% Senior Convertible Notes due 2015 resulting in net proceeds of approximately $95.8 million. Based upon the Company’s current expectations, management believes the Company’s existing capital resources, excluding any potential proceeds to the Company from its common stock purchase agreement with Seaside 88, LP (see Note 9 — Common and preferred stock, of the Notes to the accompanying financial statements), will enable it to continue planned operations into the third quarter of 2011. However, the Company cannot provide assurances that its plans will not change or that changed circumstances will not result in the depletion of its capital resources more rapidly than it currently anticipates. If the Company is not successful in raising additional capital through equity or debt financing or entering a business collaboration, the Company may be required to reduce expenses through the delay, reduction or curtailment of its projects, including AFREZZA development activities, or further reduction of costs for facilities and administration, and there will be substantial doubt about its ability to continue as a going concern.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Fair Value of Financial Instruments — </w:t>
      </w:r>
      <w:r>
        <w:rPr>
          <w:rFonts w:ascii="Arial" w:cs="Arial" w:eastAsia="Arial" w:hAnsi="Arial"/>
          <w:sz w:val="17"/>
          <w:szCs w:val="17"/>
          <w:color w:val="auto"/>
        </w:rPr>
        <w:t>The carrying amounts of financial instruments, which include cash equivalents, marketable securities and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approximate their fair values due to their relatively short maturities. The fair value of the note payable to The Mann Group cannot be reasonably estimated as the Company would not be able to obtain a similar credit arrangement in the current economic environment. The senior convertible notes due 2013 had a carrying value of $113.2 million and $112.8 million as of September 30, 2010 and December 31, 2009, respectively. The senior convertible notes due 2013 had an estimated fair value of $77.6 million as of September 30, 2010, calculated based on quoted prices in an inactive market and an estimated fair value of $80.3 million as of December 31, 2009, calculated based on quoted prices in an active market. The senior convertible notes due 2015 had a carrying value of $95.9 million as of September 30, 2010 The senior convertible notes due 2015 had an estimated fair value of $98.6 million as of September 30, 2010, calculated based on quoted prices in an inactive market. The fair value of foreign exchange hedging contracts equals the carrying value at each balance sheet date. The fair value of these contracts are determined using methodologies based on market observable inputs (Level 2 in the fair value hierarchy), including foreign currency spot rates. The Company recorded an unrealized loss on the foreign exchange hedging contracts of $0.3 million at September 30, 2010 and $0.3 million at December 31, 2009.</w:t>
      </w:r>
    </w:p>
    <w:p>
      <w:pPr>
        <w:spacing w:after="0" w:line="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Recently Issued Accounting Standards — </w:t>
      </w:r>
      <w:r>
        <w:rPr>
          <w:rFonts w:ascii="Arial" w:cs="Arial" w:eastAsia="Arial" w:hAnsi="Arial"/>
          <w:sz w:val="17"/>
          <w:szCs w:val="17"/>
          <w:color w:val="auto"/>
        </w:rPr>
        <w:t>On April 29, 2010, the Financial Accounting Standards Board (“FASB”) issued Accounting Standards Update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(“ASU”) No. 2010-17, </w:t>
      </w:r>
      <w:r>
        <w:rPr>
          <w:rFonts w:ascii="Arial" w:cs="Arial" w:eastAsia="Arial" w:hAnsi="Arial"/>
          <w:sz w:val="17"/>
          <w:szCs w:val="17"/>
          <w:i w:val="1"/>
          <w:iCs w:val="1"/>
          <w:color w:val="auto"/>
        </w:rPr>
        <w:t>Milestone Method of Revenue Recognition,</w:t>
      </w:r>
      <w:r>
        <w:rPr>
          <w:rFonts w:ascii="Arial" w:cs="Arial" w:eastAsia="Arial" w:hAnsi="Arial"/>
          <w:sz w:val="17"/>
          <w:szCs w:val="17"/>
          <w:color w:val="auto"/>
        </w:rPr>
        <w:t xml:space="preserve"> which establishes a revenue recognition model for contingent consideration that is payable upon the achievement of an uncertain future event, referred to as a milestone, which requires an entity to record the milestone payment in its entirety in the period received if the milestone meets all the necessary criteria to be considered substantive. The scope of the ASU is limited to research and development arrangements. The ASU is effective for fiscal years beginning on or after June 15, 2010, and interim periods within those years. Early application is permitted. Adoption of this guidance is expected to have a significant effect on the accounting for certain future revenue arrangements (principally research and development partnership arrangements) should the Company enter into such arrangements.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9"/>
              </w:rPr>
              <w:t>2010</w:t>
            </w: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9"/>
              </w:rPr>
              <w:t>2009</w:t>
            </w: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5"/>
              </w:rPr>
              <w:t>Gross</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Cost Basis</w:t>
            </w:r>
          </w:p>
        </w:tc>
        <w:tc>
          <w:tcPr>
            <w:tcW w:w="420" w:type="dxa"/>
            <w:vAlign w:val="bottom"/>
          </w:tcPr>
          <w:p>
            <w:pPr>
              <w:spacing w:after="0"/>
              <w:rPr>
                <w:sz w:val="12"/>
                <w:szCs w:val="12"/>
                <w:color w:val="auto"/>
              </w:rPr>
            </w:pP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8"/>
                <w:szCs w:val="18"/>
                <w:color w:val="auto"/>
              </w:rPr>
              <w:t>Available-for-sale securities</w:t>
            </w:r>
          </w:p>
        </w:tc>
        <w:tc>
          <w:tcPr>
            <w:tcW w:w="10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Loss</w:t>
            </w:r>
          </w:p>
        </w:tc>
        <w:tc>
          <w:tcPr>
            <w:tcW w:w="10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Basis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Loss</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  2,761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68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  2,475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Company’s available-for-sale securities at September 30, 2010 consist of a common stock investment, which is stated at fair value based on quoted prices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an active market (Level 1 in the fair value hierarchy). The Company’s available-for-sale securities at December 31, 2009 consist principally of US agency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which are stated at fair value based on quoted prices for similar securities in active markets (Level 2 in the fair value hierarchy). The 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investment was considered to be other than temporarily impaired as of September 30, 2010. As a result, the Company recognized realized losses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$0.6 million and reduced the cost basis to $0.1 million for its available-for-sale securities. In September 2010, the $2.0 million certificate of deposit pledged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collateral for foreign exchange hedging instruments at December 31, 2009 matured. Gross unrealized gains and losses are included in other comprehensive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4640" w:type="dxa"/>
            <w:vAlign w:val="bottom"/>
            <w:gridSpan w:val="2"/>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9,872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13,362</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1,045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4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440" w:type="dxa"/>
            <w:vAlign w:val="bottom"/>
            <w:vMerge w:val="restart"/>
          </w:tcPr>
          <w:p>
            <w:pPr>
              <w:jc w:val="right"/>
              <w:ind w:right="307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8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stock-based compensation expense recognized in the accompanying condensed consolidated statements of operations for the three and nine months ended September 30, 2010 and 2009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2010</w:t>
            </w: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3,338</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$ 11,343</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$ 17,979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500"/>
        <w:spacing w:after="0" w:line="308" w:lineRule="auto"/>
        <w:rPr>
          <w:sz w:val="20"/>
          <w:szCs w:val="20"/>
          <w:color w:val="auto"/>
        </w:rPr>
      </w:pPr>
      <w:r>
        <w:rPr>
          <w:rFonts w:ascii="Arial" w:cs="Arial" w:eastAsia="Arial" w:hAnsi="Arial"/>
          <w:sz w:val="17"/>
          <w:szCs w:val="17"/>
          <w:color w:val="auto"/>
        </w:rPr>
        <w:t>As of September 30, 2010, there were $15.6 million and $20.4 million of unrecognized compensation costs related to options and restricted stock units, respectively, which are expected to be recognized over the remaining weighted average vesting period of 2.8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Loss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Accounting Standards Codification (“ASC”) 220-10-45 </w:t>
      </w:r>
      <w:r>
        <w:rPr>
          <w:rFonts w:ascii="Arial" w:cs="Arial" w:eastAsia="Arial" w:hAnsi="Arial"/>
          <w:sz w:val="16"/>
          <w:szCs w:val="16"/>
          <w:i w:val="1"/>
          <w:iCs w:val="1"/>
          <w:color w:val="auto"/>
        </w:rPr>
        <w:t>Comprehensive Income Other Presentation</w:t>
      </w:r>
      <w:r>
        <w:rPr>
          <w:rFonts w:ascii="Arial" w:cs="Arial" w:eastAsia="Arial" w:hAnsi="Arial"/>
          <w:sz w:val="16"/>
          <w:szCs w:val="16"/>
          <w:color w:val="auto"/>
        </w:rPr>
        <w:t xml:space="preserve"> requires reporting and displaying comprehensive income (loss) and its components, which, for the Company, includes net loss and unrealized gains and losses on investments and cumulative translation gains and losses. In accordance with this guidance, the accumulated balance of other comprehensive income (loss) is disclosed as a separate component of stockholders’ equity. For the three and nine months ended September 30, 2010 and 2009, comprehensive loss consisted of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1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(45,303)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 (45,555)</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(132,254)</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(160,571)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investments</w:t>
            </w:r>
          </w:p>
        </w:tc>
        <w:tc>
          <w:tcPr>
            <w:tcW w:w="17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286</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Cumulative translation gain (loss)</w:t>
            </w:r>
          </w:p>
        </w:tc>
        <w:tc>
          <w:tcPr>
            <w:tcW w:w="1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7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 (45,302)</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 (45,543)</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(131,973)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(160,973)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Included in the unrealized gain (loss) on investments for the three and nine months ended September 30, 2010 is a realized loss of $0.3 million and $0.6 million, respectively, due to the other than temporary impairment of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common share</w:t>
      </w:r>
    </w:p>
    <w:p>
      <w:pPr>
        <w:spacing w:after="0" w:line="121"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loss applicable to common stockholders by the weighted average number of common shares outstanding during the period excluding the shares loaned under the share lending arrangement (see Note 9 — Common and preferred stock). As of September 30, 2010, 9,000,000 shares of the Company’s common stock, which were loaned to a share borrower pursuant to the terms of a share lending agreement as described in Note 9,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31,034,946 shares and 18,123,648 shares as of September 30, 2010 and 2009, respectively, and exclude the 9,000,000 shares loaned under the share lending arrangement.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State research and development credit exchange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September 30, 2010, the estimated amount receivable under the program was $1.2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Useful</w:t>
            </w:r>
          </w:p>
        </w:tc>
        <w:tc>
          <w:tcPr>
            <w:tcW w:w="320" w:type="dxa"/>
            <w:vAlign w:val="bottom"/>
          </w:tcPr>
          <w:p>
            <w:pPr>
              <w:spacing w:after="0"/>
              <w:rPr>
                <w:sz w:val="12"/>
                <w:szCs w:val="12"/>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Life</w:t>
            </w:r>
          </w:p>
        </w:tc>
        <w:tc>
          <w:tcPr>
            <w:tcW w:w="3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Buildings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39-40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54,966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113,513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74,130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16,117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10,798</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280,338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(78,103)</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202,235</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shorter of the term of the lease or the service lives of the improvements.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three and nine months ended September 30, 2010 and 2009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2010</w:t>
            </w: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4,102</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4,658</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$ 12,444</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$ 13,638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Company is authorized to issue 200,000,000 shares of common stock, par value $0.01 per share, and 10,000,000 shares of undesignated preferred stock, par value $0.01 per share, issuable in one or more series designated by the Company’s board of directors. No other class of capital stock is authorized. As of September 30, 2010 and December 31, 2009, 123,363,865 and 113,025,291 shares of common stock, respectively, were issued and outstanding. Included in the common stock outstanding as of September 30, 2010 are 9,000,000 shares of common stock loaned to Bank of America under a share lending agreement in connection with the offering of the $100 million aggregate principal amount of 5.75% Senior Convertible Notes due 2015 (see Note 13 — Senior convertible notes). Bank of America is obligated to return the borrowed shares (or, in certain circumstances, the cash value thereof) to the Company on or about the 45</w:t>
      </w:r>
      <w:r>
        <w:rPr>
          <w:rFonts w:ascii="Arial" w:cs="Arial" w:eastAsia="Arial" w:hAnsi="Arial"/>
          <w:sz w:val="13"/>
          <w:szCs w:val="13"/>
          <w:color w:val="auto"/>
        </w:rPr>
        <w:t>th</w:t>
      </w:r>
      <w:r>
        <w:rPr>
          <w:rFonts w:ascii="Arial" w:cs="Arial" w:eastAsia="Arial" w:hAnsi="Arial"/>
          <w:sz w:val="16"/>
          <w:szCs w:val="16"/>
          <w:color w:val="auto"/>
        </w:rPr>
        <w:t xml:space="preserve">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 No shares of preferred stock were issued and outstanding at September 30, 2010 or December 31, 2009.</w:t>
      </w:r>
    </w:p>
    <w:p>
      <w:pPr>
        <w:spacing w:after="0" w:line="6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August 10, 2010, the Company entered into an agreement with Seaside 88, LP (“Seaside”) for the sale of up to 18,200,000 shares of common stock in increments of 700,000 shares on a bi-weekly basis with the first closing date scheduled for September 22, 2010 provided that certain conditions are met, including for a particular closing to take place, the ten-day volume weighted average trading price for the Company’s common stock immediately prior to such closing must be at least $6.50 per share. If the ten-day volume weighted average trading price for a particular closing is below $6.50 per share, then that closing will not occur and the aggregate number of shares to be purchased will be reduced by 700,000 shares. The purchase price per share at each closing will be equal to 92% of that 10-day volume weighted average price. The agreement with Seaside will terminate on the day following the final closing under the agreement, or the Company may terminate the Seaside agreement at any time upon written notice. As of September 30, 2010, no shares of common stock had been sold to Seaside under the agreement.</w:t>
      </w:r>
    </w:p>
    <w:p>
      <w:pPr>
        <w:spacing w:after="0" w:line="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conjunction with the Seaside agreement, on August 10, 2010, the Company entered into a common stock purchase agreement with The Mann Group. Under this common stock purchase agreement, the Company is required to issue and sell, and The Mann Group is obligated to purchase at a price equal to the greater of $7.15 per share (the closing bid price of the Company’s common stock on August 10, 2010) and the closing bid price of common stock on the trading day immediately preceding the applicable closing date, the same number of shares of the Company’s common stock that Seaside purchases on each closing date under its agreement with the Company (see Note 12 — Related-party arrangements, of the Notes to the accompanying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connection with the sale of common stock in the private placement which closed in August 2005, the Company concurrently issued warrants to purchase up to 3,426,000 shares of common stock at an exercise price of $12.228 per share. These warrants became exercisable in February 2006 and expired on August 5, 2010. During the nine months ended September 30, 2010, no warrants were exercised.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Supply Commitments — </w:t>
      </w:r>
      <w:r>
        <w:rPr>
          <w:rFonts w:ascii="Arial" w:cs="Arial" w:eastAsia="Arial" w:hAnsi="Arial"/>
          <w:sz w:val="18"/>
          <w:szCs w:val="18"/>
          <w:color w:val="auto"/>
        </w:rPr>
        <w:t>As of September 30, 2010, the Company had a binding annual commitment for insulin purchases with N.V. Organon (now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Merck &amp; Co., Inc.) (“Organon”) aggregating approximately $83.0 million over the period from 2010 through 2012. If the Company terminates the supply agreement following failure to obtain or maintain regulatory approval of AFREZZA or either party terminates the agreement following the parties’ inability to agree to changes to product specifications mandated after regulatory approval, the Company will be required to pay Organon a specified termination fee if Organon is unable to sell certain quantities of insulin to other parties.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Guarantees and Indemnifications — </w:t>
      </w:r>
      <w:r>
        <w:rPr>
          <w:rFonts w:ascii="Arial" w:cs="Arial" w:eastAsia="Arial" w:hAnsi="Arial"/>
          <w:sz w:val="17"/>
          <w:szCs w:val="17"/>
          <w:color w:val="auto"/>
        </w:rPr>
        <w:t>In the ordinary course of its business, the Company makes certain indemnities, commitments and guarantees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Litigation — </w:t>
      </w:r>
      <w:r>
        <w:rPr>
          <w:rFonts w:ascii="Arial" w:cs="Arial" w:eastAsia="Arial" w:hAnsi="Arial"/>
          <w:sz w:val="18"/>
          <w:szCs w:val="18"/>
          <w:color w:val="auto"/>
        </w:rPr>
        <w:t>On September 16, 2010, John Arditi, the Company’s former Senior Director — GCP — Regulatory Affairs, filed a lawsuit in the Law Division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Superior Court of New Jersey (Bergen County), against the Company and its Chief Scientific Officer and its Vice President — World Wide Regulatory Affairs. In the lawsuit, </w:t>
      </w:r>
      <w:r>
        <w:rPr>
          <w:rFonts w:ascii="Arial" w:cs="Arial" w:eastAsia="Arial" w:hAnsi="Arial"/>
          <w:sz w:val="18"/>
          <w:szCs w:val="18"/>
          <w:i w:val="1"/>
          <w:iCs w:val="1"/>
          <w:color w:val="auto"/>
        </w:rPr>
        <w:t>Arditi v. MannKind Corporation</w:t>
      </w:r>
      <w:r>
        <w:rPr>
          <w:rFonts w:ascii="Arial" w:cs="Arial" w:eastAsia="Arial" w:hAnsi="Arial"/>
          <w:sz w:val="18"/>
          <w:szCs w:val="18"/>
          <w:color w:val="auto"/>
        </w:rPr>
        <w:t>, Docket No. BER-L-8783-10, Mr. Arditi alleges that the Company terminated his employment in retaliation for his purported reporting of alleged unlawful practices in connection with the Company’s clinical trials. Mr. Arditi has asserted claims for violation of the New Jersey Conscientious Employee Protection Act, wrongful discharge, breach of contract, breach of the implied covenant of good faith and fair dealing and intentional infliction of emotional distress. Mr. Arditi is seeking, among other relief, compensatory and punitive damages and counsel fees, costs and interest. The Company’s deadline to respond to the complaint is December 3, 2010. Before Mr. Arditi filed his complaint, the Company had completed an internal investigation of his claims and retained an independent outside firm to conduct an independent investigation of his claims. Neither investigation found any basis for his claims. The Company believes that the allegations in the complaint are without merit and intends to defend against them vigorously.</w:t>
      </w:r>
    </w:p>
    <w:p>
      <w:pPr>
        <w:spacing w:after="0" w:line="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time to time, the Company becomes involved in various legal proceedings and other matters. In accordance with general accounting guidance for recording contingencies, the Company records a provision for a liability related to a legal proceeding when it is both probable that a liability has been incurred and the amount of the loss can be reasonably estimated. The Company does not believe that any liability from any reasonably foreseeable disposition of such claims and litigation, individually or in the aggregate, would have a material adverse effect on its consolidated financial position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Related-party arrangements</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October 2007, the Company entered into a $350.0 million loan arrangement with its principal stockholder. On February 26, 2009, the promissory note underlying the loan arrangement was revised as a result of the principal stockholder being licensed as a finance lender under the California Finance Lenders Law. Accordingly, the lender was revised to The Mann Group. Interest accrues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is payable quarterly in arrears. On August 10, 2010, the Company amended and restated the promissory note to extend the maturity date from December 31, 2011 to December 31, 2012, to provide for the cancellation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indebtedness under the note as described below, to provide that The Mann Group may require the Company to prepay the note in an amount not to exceed</w:t>
      </w:r>
    </w:p>
    <w:p>
      <w:pPr>
        <w:spacing w:after="0" w:line="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$200.0 million (less the amount of cancelled indebtedness) upon 90 days’ prior written notice or on December 31, 2012, whichever is earlier, and to limit the Company’s ability to borrow and reborrow under the note through December 31, 2011 to an amount equal to $350.0 million less the amount of cancelled indebtedness. The Mann Group has agreed not to exercise its prepayment right if such prepayment would require the use of working capital resources to repay the loan. In the event of a default,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 The principal amount outstanding under the loan arrangement was $252.0 million and $165.0 million at September 30, 2010 and December 31, 2009, respectively. As of September 30, 2010, the Company had accrued interest of $2.9 million related to the amount outstanding and had $98.0 million of available borrowings under the loan arrangement.</w:t>
      </w:r>
    </w:p>
    <w:p>
      <w:pPr>
        <w:spacing w:after="0" w:line="5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August 10, 2010, the Company entered into a common stock purchase agreement with The Mann Group. Under this common stock purchase agreement, the Company is required to issue and sell, and The Mann Group is obligated to purchase, the same number of shares of the Company’s common stock that Seaside purchases on each closing date under its agreement with the Company. The price of the shares that the Company sells to The Mann Group under the agreement will be equal to the greater of $7.15 per share (the closing bid price of the Company’s common stock on August 10, 2010) and the closing bid price of the Company’s common stock on the trading day immediately preceding the applicable closing date. The aggregate purchase price for the shares of common stock the Company issues and sells to The Mann Group will be paid by cancelling an equal amount of the outstanding principal under the</w:t>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$350.0 million loan arrangement provided by The Mann Group. To the extent that the outstanding principal amount owed under the loan arrangement is insufficient to pay the full purchase price for the shares of common stock to be acquired, The Mann Group will be obligated to pay cash for the balance of the shares of common stock it is obligated to purchase under the common stock purchase agreement. The common stock purchase agreement with The Mann Group will terminate on the day following the final closing under the Company’s common stock purchase agreement with Seaside or upon termination of the Seaside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Senior convertible notes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due 2013</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Principal amount</w:t>
            </w:r>
          </w:p>
        </w:tc>
        <w:tc>
          <w:tcPr>
            <w:tcW w:w="3360" w:type="dxa"/>
            <w:vAlign w:val="bottom"/>
            <w:gridSpan w:val="2"/>
          </w:tcPr>
          <w:p>
            <w:pPr>
              <w:ind w:left="3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115,000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expense</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3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113,165</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due 2015</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Principal amount</w:t>
            </w:r>
          </w:p>
        </w:tc>
        <w:tc>
          <w:tcPr>
            <w:tcW w:w="3360" w:type="dxa"/>
            <w:vAlign w:val="bottom"/>
            <w:gridSpan w:val="2"/>
          </w:tcPr>
          <w:p>
            <w:pPr>
              <w:ind w:left="3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expense</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3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95,858</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336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209,023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On August 18, 2010, the Company completed a Rule 144A offering of $100.0 million aggregate principal amount of 5.75% Senior Convertible Notes due 2015. The Notes due 2015 are governed by the terms of an indenture dated as of August 24, 2010. The Notes due 2015 bear interest at the rate of 5.75% per year on the principal amount, payable in cash semi-annually in arrears on February 15 and August 15 of each year, beginning February 15, 2011. As of September 30, 2010, the Company had accrued interest of $0.4 million related to the Notes due 2015. The Notes due 2015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due 2015 is August 15, 2015 and payment is due in full on that date for unconverted securities. Holders of the Notes due 2015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price of approximately $6.80 per share, subject to adjustment. Except in certain circumstances, if the Company undergoes a fundamental change: (1) the Company will pay a make-whole premium on the Notes due 2015 converted in connection with a fundamental change by increasing the conversion rate on such Notes, which amount, if any, will be based on the Company’s common stock price and the effective date of the fundamental change, and (2) each holder of Notes due 2015 will have the option to require the Company to repurchase all or any portion of such holder’s Notes at a repurchase price of 100% of the principal amount of the Notes to be repurchased plus accrued and unpaid interest, if any. The Company may elect to redeem some or all of the Notes due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2015 if the closing stock price has equaled 150% of the conversion price for at least 20 of the 30 consecutive trading days ending on the trading day before the Company’s redemption notice. The redemption price will equal 100% of the principal amount of the Notes due 2013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Notes due 2015 called for redemption and converted during the period from the date the Company mailed the notice of redemption to and including the redemption date. The Company may elect to make the make-whole payment in cash or shares of its common stock, subject to certain limitations. The Company incurred approximately $4.2 million in issuance costs which are recorded as an offset to the Notes due 2015 in the accompanying condensed consolidated balance sheets. These costs are being amortized to interest expense using the effective interest method over the term of the Notes due 2015.</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On December 12, 2006, the Company completed a registered offering of $115.0 million aggregate principal amount of 3.75% Senior Convertible Notes due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2013. The Notes due 2013 are governed by the terms of an indenture dated as of November 1, 2006 and a First Supplemental Indenture, dated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12, 2006. The Notes due 2013 bear interest at the rate of 3.75% per year on the principal amount, payable in cash semi-annually in arrears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15 and December 15 of each year, beginning June 15, 2007. As of September 30, 2010 and December 31, 2009, the Company had accrued interest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and $0.2 million, respectively, related to the Notes due 2013. The Notes due 2013 are general, unsecured, senior obligations of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effectively rank junior in right of payment to all of the Company’s secured debt, to the extent of the value of the assets securing such debt, and to the debt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other liabilities of the Company’s subsidiaries. The maturity date of the Notes due 2013 is December 15, 2013 and payment is due in full on that date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unconverted securities. Holders of the Notes due 2013 may convert, at any time prior to the close of business on the business day immediately preceding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stated maturity date, any outstanding principal into shares of the Company’s common stock at an initial conversion rate of 44.5002 shares per $1,000 principal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which is equal to a conversion price of approximately $22.47 per share, subject to adjustment. Except in certain circumstances, if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undergoes a fundamental change: (1) the Company will pay a make-whole premium on the Notes due 2013 converted in connection with a fundamental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change by increasing the conversion rate on such Notes, which amount, if any, will be based on the Company’s common stock price and the effective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fundamental change, and (2) each holder of Notes due 2013 will have the option to require the Company to repurchase all or any portion of such 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at a repurchase price of 100% of the principal amount of the Notes to be repurchased plus accrued and unpaid interest, if any. The Company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$3.7 million in issuance costs which are recorded as an offset to the Notes due 2013 in the accompanying condensed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sheets. These costs are being amortized to interest expense using the effective interest method over the term of the Notes due 2013.</w:t>
      </w:r>
    </w:p>
    <w:p>
      <w:pPr>
        <w:spacing w:after="0" w:line="1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Amortization of debt issuance expense in connection with the Notes offerings during the three and nine months ended September 30, 2010 and 2009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92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2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3"/>
              </w:rPr>
              <w:t>September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Amortization expense</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472</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As discussed in Note 14 to the financial statements in the Company’s Annual Report, management of the Company has concluded, in accordance with applicable accounting standards, that it is more likely than not that the Company may not realize the benefit of its deferred tax assets. Accordingly, net deferred tax assets have been fully reserved.</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ASC 740-10-25 </w:t>
      </w:r>
      <w:r>
        <w:rPr>
          <w:rFonts w:ascii="Arial" w:cs="Arial" w:eastAsia="Arial" w:hAnsi="Arial"/>
          <w:sz w:val="17"/>
          <w:szCs w:val="17"/>
          <w:i w:val="1"/>
          <w:iCs w:val="1"/>
          <w:color w:val="auto"/>
        </w:rPr>
        <w:t>Income Taxes Recognition</w:t>
      </w:r>
      <w:r>
        <w:rPr>
          <w:rFonts w:ascii="Arial" w:cs="Arial" w:eastAsia="Arial" w:hAnsi="Arial"/>
          <w:sz w:val="17"/>
          <w:szCs w:val="17"/>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20, 2010, the Company issued and sold 700,000 shares of common stock to Seaside for net proceeds of $4.3 million in accordance with the Company’s common stock purchase agreement with Seaside. Concurrently with the Seaside closing, the Company issued and sold 700,000 shares to The Mann Group for a total purchase price of $5.0 million, which was paid by the cancellation of outstanding principal under the Company’s loan agreement with The Mann Group. As of October 20, 2010, the principal amount remaining under the loan agreement was $247.0 million, and the Company had $98.0 million of available borrowings under the loan arrangement.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These interim condensed consolidated financial statements and this Management’s Discussion and Analysis of Financial Condition and Results of Operations should be read in conjunction with the financial statements and notes for the year ended December 31, 2009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biopharmaceutical company focused on the discovery, development and commercialization of therapeutic products for diseases such as diabetes and cancer. Our lead product candidate, AFREZZA</w:t>
      </w:r>
      <w:r>
        <w:rPr>
          <w:rFonts w:ascii="Arial" w:cs="Arial" w:eastAsia="Arial" w:hAnsi="Arial"/>
          <w:sz w:val="13"/>
          <w:szCs w:val="13"/>
          <w:color w:val="auto"/>
        </w:rPr>
        <w:t>®</w:t>
      </w:r>
      <w:r>
        <w:rPr>
          <w:rFonts w:ascii="Arial" w:cs="Arial" w:eastAsia="Arial" w:hAnsi="Arial"/>
          <w:sz w:val="16"/>
          <w:szCs w:val="16"/>
          <w:color w:val="auto"/>
        </w:rPr>
        <w:t xml:space="preserve"> (insulin human [rDNA origin]) Inhalation Powder, is an ultra rapid-acting insulin that has completed Phase 3 clinical trials that evaluated its safety and efficacy in the treatment of diabetes. In March 2009, we submitted a new drug application, or NDA, to the U.S.</w:t>
      </w:r>
    </w:p>
    <w:p>
      <w:pPr>
        <w:ind w:right="20"/>
        <w:spacing w:after="0" w:line="270" w:lineRule="auto"/>
        <w:rPr>
          <w:sz w:val="20"/>
          <w:szCs w:val="20"/>
          <w:color w:val="auto"/>
        </w:rPr>
      </w:pPr>
      <w:r>
        <w:rPr>
          <w:rFonts w:ascii="Arial" w:cs="Arial" w:eastAsia="Arial" w:hAnsi="Arial"/>
          <w:sz w:val="17"/>
          <w:szCs w:val="17"/>
          <w:color w:val="auto"/>
        </w:rPr>
        <w:t>Food and Drug Administration, or FDA, requesting approval of AFREZZA for the treatment of adults with type 1 or type 2 diabetes for the control of hyperglycemia. In March 2010, we received a Complete Response letter regarding this NDA from the FDA, seeking additional information about AFREZZA. In July 2010, the FDA accepted our reply to the Complete Response letter and set a target action date of December 29, 2010. Our focus until then will be to work closely with the FDA as it evaluates our next-generation delivery system and the other information that we provided in our resubmission. We will also initiate the validation of equipment recently installed in our Danbury, Connecticut manufacturing facility for filling the cartridges used in our next-generation inhaler. We expect that these activities will continue into the third quarter of 2011.</w:t>
      </w:r>
    </w:p>
    <w:p>
      <w:pPr>
        <w:spacing w:after="0" w:line="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September 30, 2010, we have incurred a cumulative net loss of $1.7 billion and a stockholders’ deficit of $181.4 million. To date, we have not generated any product revenues and have funded our operations primarily through the sale of equity and convertible debt securities and borrowings under a related party loan. As discussed below in “Liquidity and Capital Resources,” if we are unable to obtain additional funding in the future, there would be substantial doubt about our ability to continue as a going concern.</w:t>
      </w:r>
    </w:p>
    <w:p>
      <w:pPr>
        <w:spacing w:after="0" w:line="8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have held discussions with a number of pharmaceutical companies concerning potential strategic business collaborations for AFREZZA as well as our cancer immunotherapy and cancer drug programs. There can be no assurance that any such collaboration will be available to us on a timely basis or on acceptable terms, if at all.</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do not expect to record sales of any product prior to regulatory approval and commercialization of AFREZZA. We currently do not have the required approvals to market any of our product candidates, and we may not receive such approvals. We may not be profitable even if we succeed in commercializing any of our product candidates. There can be no assurance that we will obtain approval of AFREZZA by the FDA’s target date or that we will complete the installation and validation of equipment in our manufacturing facility on our anticipated timeline. We expect to make substantial expenditures and to incur additional operating losses for at least the next several years as we:</w:t>
      </w:r>
    </w:p>
    <w:p>
      <w:pPr>
        <w:spacing w:after="0" w:line="80"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AFREZZA and new delivery systems for the treatment of diabetes;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regulatory approval to sell AFREZZA in the United States and other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sales and marketing collaborations for AFREZZA;</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development collaborations for our cancer immunotherapy and cancer drug programs;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develop additional applications of our proprietary Technosphere platform technology for the pulmonary delivery of other drugs.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business is subject to significant risks, including but not limited to the risks inherent in our ongoing clinical trials and the regulatory approval process, our potential inability to enter into sales and marketing collaborations, to commercialize our lead product candidate in a timely manner, the results of our research and development efforts, competition from other products and technologies and uncertainties associated with obtaining and enforcing patent rights.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August 10, 2010, we entered into an agreement with Seaside 88, LP, or Seaside, for the sale of up to 18,200,000 shares of our common stock in increments of 700,000 on a bi-weekly basis with the first closing date scheduled for September 22, 2010 provided that certain conditions are met, including that the volume weighted average price of the common stock for the ten days immediately prior to the closing date be equal to or greater than $6.50. The purchase price per share at each closing will be equal to 92% of that 10-day volume weighted average price. The agreement with Seaside will terminate on the day following the final closing under the agreement, or we may terminate the Seaside agreement at any time upon written notice. On August 10, 2010, we entered into an agreement with Omni Capital Corporation to pay that firm a finder’s fee in an amount equal to 1% of the aggregate value of all cash, if any, invested by Seaside under its agreement with us. On October 20, 2010, we issued and sold the first tranche of 700,000 shares of common stock to Seaside for net proceeds of $4.3 million under the agreement.</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On August 10, 2010, we also entered into a common stock purchase agreement with The Mann Group LLC, or The Mann Group, an entity controlled by our chief executive officer and principal stockholder. Under this common stock purchase agreement, we are required to issue and sell, and The Mann Group is obligated to purchase, the same number of shares of our common stock that Seaside purchases on each closing date under its agreement with us. The price of the shares that we sell to The Mann Group under the agreement will be equal to the greater of $7.15 per share (the closing bid price of our common stock on August 10, 2010) and the closing bid price of our common stock on the trading day immediately preceding the applicable closing date. The aggregate purchase price for the shares of common stock we issue and sell to The Mann Group will be paid by cancelling an equal amount of the outstanding principal under a $350.0 million revolving loan arrangement provided by The Mann Group. At September 30, 2010, the principal amount outstanding under the loan arrangement was $252.0 million, and we had $98.0 million of available borrowings under the arrangement. To the extent that the outstanding principal amount owed under the loan arrangement is insufficient to pay the full purchase price for the shares of common stock to be acquired, The Mann Group will be obligated to pay cash for the balance of the shares of common stock it is obligated to purchase under the common stock purchase agreement. The common stock purchase agreement with The Mann Group will terminate on the day following the final closing under our agreement with Seaside or upon termination of the Seaside agreement. Concurrently with the sale of shares to Seaside on October 20, 2010, we issued and sold the first tranche of 700,000 shares to The Mann Group under the agreement for a total purchase price of $5.0 million, which was paid by the cancellation of outstanding principal under the loan arrangement.</w:t>
      </w:r>
    </w:p>
    <w:p>
      <w:pPr>
        <w:spacing w:after="0" w:line="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August 10, 2010, we also amended and restated the existing promissory note evidencing the loan arrangement with The Mann Group to extend the maturity date from December 31, 2011 to December 31, 2012, to provide for the cancellation of indebtedness under the note as described above, to provide that The Mann Group may require us to prepay the note in an amount not to exceed $200 million (less the amount of cancelled indebtedness) upon 90 days’ prior written notice or on December 31, 2012, whichever is earlier, and to limit the our ability to borrow and reborrow under the note through December 31, 2011 to an amount equal to $350.0 million less the amount of cancelled indebtedness. The Mann Group has agreed not to exercise its prepayment right if such prepayment would require the use of working capital resources to repay the loan.</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18, 2010, we entered into a purchase agreement with Merrill Lynch, Pierce, Fenner &amp; Smith Incorporated, or Merrill Lynch, acting as representative of the several initial purchasers named in the agreement, and completed a Rule 144A offering of $100.0 million aggregate principal amount of 5.75% Senior Convertible Notes due 2015. The net proceeds to us from the sale of the notes were approximately $95.8 million, after deducting the discount to the initial purchasers of $3.3 million and the offering expenses paid by us. We intend to use the net proceeds from the sale of the notes to fund the costs of our clinical trials programs and other research and development activities, to expand our manufacturing operations, both on-going and planned, and for general corporate purposes, including working capital.</w:t>
      </w:r>
    </w:p>
    <w:p>
      <w:pPr>
        <w:spacing w:after="0" w:line="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connection with the offering of the notes, on August 18, 2010, we entered into a share lending agreement with Bank of America, N.A., an affiliate of Merrill Lynch, pursuant to which we lent 9,000,000 shares of our common stock to Bank of America, which is obligated to return the borrowed shares (or, in certain circumstances, the cash value thereof) to us on or about the 45</w:t>
      </w:r>
      <w:r>
        <w:rPr>
          <w:rFonts w:ascii="Arial" w:cs="Arial" w:eastAsia="Arial" w:hAnsi="Arial"/>
          <w:sz w:val="14"/>
          <w:szCs w:val="14"/>
          <w:color w:val="auto"/>
        </w:rPr>
        <w:t>th</w:t>
      </w:r>
      <w:r>
        <w:rPr>
          <w:rFonts w:ascii="Arial" w:cs="Arial" w:eastAsia="Arial" w:hAnsi="Arial"/>
          <w:sz w:val="17"/>
          <w:szCs w:val="17"/>
          <w:color w:val="auto"/>
        </w:rPr>
        <w:t xml:space="preserve"> business day following the date as of which the entire principal amount of the notes ceases to be outstanding, subject to extension or acceleration in certain circumstances or early termination at Bank of America’s option.</w:t>
      </w:r>
    </w:p>
    <w:p>
      <w:pPr>
        <w:spacing w:after="0" w:line="6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Also on August 18, 2010, we entered into an underwriting agreement with Merrill Lynch and Bank of America, pursuant to which the borrowed shares were offered and sold to the public at a fixed price of $5.55 per share. We did not receive any proceeds from the sale of the borrowed shares to the public, but received a lending fee of $90,000 pursuant to the share lending agreement for the use by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of the borrowed shares. Bank of America received all of the net proceeds from the sale of the borrowed shares to the public.</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October 19, 2010, we announced the initiation of a Phase 2 clinical study of one of our investigational cancer therapy product candidates, MKC1106-MT, in patients with advanced melanoma.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 Included in research and development expenses for the quarter ended September 30, 2010 were purchases of insulin totaling $7.9 million.</w:t>
      </w:r>
    </w:p>
    <w:p>
      <w:pPr>
        <w:spacing w:after="0" w:line="59"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the majority of research and development costs as we incur them.</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AFREZZA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8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manufacturing process and discussions with the FDA regarding its requirements.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2010 and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the three months ended September 30, 2010 we did not recognize any revenue, and during the nine months ended September 30, 2010 we recognized revenue of $93,000 under a license agreement. We did not recognize any revenue during the same periods in 2009. We do not anticipate sales of any product prior to regulatory approval and commercialization of AFREZZA.</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comparison of the research and development expense categories for the three and nine months ended September 30, 2010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 (dollars in thousands):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left="356"/>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Manufacturing</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20,723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15,907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4,816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950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31,411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30,494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6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90"/>
              </w:rPr>
              <w:t>Nine months ended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left="356"/>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18,976</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35,843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(16,867)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Manufacturing</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51,558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53,262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(1,704)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11,019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4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866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88,062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113,232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(25,170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increase in research and development expenses for the three months ended September 30, 2010, as compared to the three months ended September 30, 2009, was primarily due to increased raw material purchases in the third quarter of 2010 offset by decreased costs associated with the clinical development of AFREZZA. The decrease in research and development expenses for the nine months ended September 30, 2010 compared to the same period in 2009 was primarily due to decreased costs associated with the clinical development of AFREZZA, reduced salary-related and other research costs as a result of a reduction in force that we implemented in April 2009 and decreased stock-based compensation expense as certain restricted stock units vested in the second quarter of 2009, which did not recur in 2010. We anticipate that our research and development expenses will decrease slightly in 2010 compared to the prior year as reduced product development costs will be mostly offset by increased raw material purchases as we prepare for commercialization of AFREZZA.</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comparison of the general and administrative expense categories for the three and nine months ended September 30, 2010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89"/>
              </w:rPr>
              <w:t>September 30,</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color w:val="auto"/>
                <w:w w:val="91"/>
              </w:rPr>
              <w:t xml:space="preserve">% </w:t>
            </w:r>
            <w:r>
              <w:rPr>
                <w:rFonts w:ascii="Arial" w:cs="Arial" w:eastAsia="Arial" w:hAnsi="Arial"/>
                <w:sz w:val="14"/>
                <w:szCs w:val="14"/>
                <w:b w:val="1"/>
                <w:bCs w:val="1"/>
                <w:color w:val="auto"/>
                <w:w w:val="91"/>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10,266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(628)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11,129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12,273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Nine months ended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89"/>
              </w:rPr>
              <w:t>September 30,</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color w:val="auto"/>
                <w:w w:val="91"/>
              </w:rPr>
              <w:t xml:space="preserve">% </w:t>
            </w:r>
            <w:r>
              <w:rPr>
                <w:rFonts w:ascii="Arial" w:cs="Arial" w:eastAsia="Arial" w:hAnsi="Arial"/>
                <w:sz w:val="14"/>
                <w:szCs w:val="14"/>
                <w:b w:val="1"/>
                <w:bCs w:val="1"/>
                <w:color w:val="auto"/>
                <w:w w:val="91"/>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27,841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33,906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4,595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6,821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(2,226)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32,436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40,727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General and administrative expenses for the three and nine months ended September 30, 2010 decreased as compared to the same periods in the prior year primarily due to decreased salary related costs resulting from the April 2009 reduction in force as well as the non-recurrence of costs related to the Pfizer transaction during the first half of 2009 and decreased professional fees related to market studies conducted in 2009. Additionally, stock-based compensation expense decreased as certain restricted stock units vested in the second quarter of 2009 and did not recur in 2010. Overall, we expect general and administrative expenses to decrease in 2010 as a result of the April 2009 reduction in force and decreased professional fees.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Interest income for the three months ended September 30, 2010 increased by $7,000 as compared to the same period in the prior year, while interest income for the nine months ended September 30, 2010 decreased by $45,000 as compared to the same period in the prior year.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Interest expense for the three and nine months ended September 30, 2010 increased by $1.8 million and $4.6 million, respectively, as compared to the same period in the prior year primarily due to increased interest expense related to the greater amounts outstanding under the borrowing arrangement with The Mann Group and the issuance of the senior convertible notes outstanding due 2015 in August 2010.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funded our operations primarily through the sale of equity and convertible debt securities and borrowings under a related party note.</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 xml:space="preserve">In October 2007, we entered into a loan arrangement with our principal stockholder allowing us to borrow up to a total of $350.0 million. In February 2009, as a result of our principal stockholder being licensed as a finance lender under the California Finance Lenders Law, the promissory note underlying the loan arrangement was revised to reflect the lender as The Mann Group. Interest accrues on each outstanding advance at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and is payable quarterly in arrears. On August 10, 2010, the Company amended and restated the promissory note to extend the maturity date from December 31, 2011 to December 31, 2012, to provide for the cancellation of indebtedness under the note as described below, to provide that The Mann Group may require the Company to prepay the note in an amount not to exceed $200.0 million (less the amount of cancelled indebtedness) upon 90 days’ prior written notice or on December 31, 2012, whichever is earlier, and to limit the Company’s ability to borrow and reborrow under the note through December 31, 2011 to an amount equal to $350.0 million less the amount of cancelled indebtedness. The Mann Group has agreed not to exercise its prepayment right if such prepayment would require the use of working capital resources to repay the loan.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 As of September 30, 2010, the amount borrowed and outstanding under the arrangement was $252.0 million.</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August 10, 2010, Seaside and we entered into a common stock purchase agreement, or the Seaside purchase agreement. The Seaside purchase agreement requires us to issue and sell, and Seaside to buy, up to 700,000 shares of our common stock once every 14 days, subject to the satisfaction of certain closing conditions at each closing, beginning on September 22, 2010 and ending approximately 50 weeks after the initial closing. The price of the shares that we sell to Seaside will be at an 8% discount to the volume weighted average trading price for our common stock for the ten consecutive trading days immediately preceding each closing date. For a particular closing to take place, the ten-day volume weighted average trading price for our common stock immediately prior to such closing must be at least $6.50 per share. If the ten-day volume weighted average trading price for a particular closing is below $6.50 per share, then that closing will not occur and the aggregate number of shares to be purchased will be reduced by 700,000 shares. Seaside also has the right not to complete a purchase of shares at a closing if it would cause Seaside’s beneficial ownership of our common stock, calculated in accordance with Rule 13d-3 under the Securities Exchange Act of 1934, as amended, or the Exchange Act, to exceed 10% of our outstanding common stock immediately after such subsequent closing. Seaside has agreed not to engage in short sales of our common stock during the term of the Seaside purchase agreement and agreed that it will not sell more than 10% of the total number of shares of common stock traded on any trading day. On August 10, 2010, we entered into an agreement with Omni Capital Corporation to pay that firm a finder’s fee in an amount equal to 1% of the aggregate value of all cash, if any, invested by Seaside under the Seaside purchase agreement. As of September 30, 2010, no shares had been sold to Seaside under the Seaside purchase agreement. On October 20, 2010, we issued and sold 700,000 shares of common stock to Seaside for net proceeds of $4.3 million under the agreement.</w:t>
      </w:r>
    </w:p>
    <w:p>
      <w:pPr>
        <w:spacing w:after="0" w:line="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conjunction with the Seaside agreement, on August 10, 2010, The Mann Group and we entered into a common stock purchase agreement, or the Mann purchase agreement. Under the Mann purchase agreement, we are required to issue and sell, and The Mann Group is obligated to purchase, the same number of shares of our common stock that Seaside purchases on each closing date under the Seaside purchase agreement. The price of the shares that we issue and sell to The Mann Group will be equal to the greater of $7.15 per share (the closing bid price of our common stock on August 10, 2010) and the closing bid price of our common stock on the trading day immediately preceding the applicable closing date. The aggregate purchase price for the shares of common stock we issue and sell to The Mann Group will be paid by cancelling an equal amount of the outstanding principal under the $350.0 million revolving loan arrangement provided by The Mann Group. At September 30, 2010, the principal amount outstanding under the loan arrangement was $252.0 million, and we had $98.0 million of available borrowings under the arrangement. To the extent that the outstanding principal amount owed under the loan arrangement is insufficient to pay the full purchase price for the shares of common stock to be acquired, The Mann Group will be obligated to pay cash for the balance of the shares of common stock it is obligated to purchase under the Mann purchase agreement. The Mann purchase agreement will terminate on the day following the final closing under the Seaside purchase agreement or upon termination of the Seaside purchase agreement. As of September 30, 2010, no shares had been issued to</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Mann Group under the Mann purchase agreement. Concurrently with the sale of shares to Seaside on October 20, 2010, we issued and sold 700,000 shares to The Mann Group for a total purchase price of $5.0 million, which was paid by the cancellation of outstanding principal under the loan arrangement.</w:t>
      </w:r>
    </w:p>
    <w:p>
      <w:pPr>
        <w:spacing w:after="0" w:line="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18, 2010, we completed a Rule 144A offering of $100.0 million aggregate principal amount of 5.75% Senior Convertible Notes due 2015. The net proceeds to us from the sale of the notes were approximately $95.8 million, after deducting the discount to the initial purchasers of $3.3 million and the offering expenses paid by us. We intend to use the net proceeds from the sale of the notes to fund the costs of our clinical trials programs and other research and development activities, to expand our manufacturing operations, both on-going and planned, and for general corporate purposes, including working capital.</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offering of the notes, on August 18, 2010, we entered into a share lending agreement with Bank of America, pursuant to which we lent 9,000,000 shares of our common stock to Bank of America, which is obligated to return the borrowed shares (or, in certain circumstances, the cash value thereof) to us on or about the 45</w:t>
      </w:r>
      <w:r>
        <w:rPr>
          <w:rFonts w:ascii="Arial" w:cs="Arial" w:eastAsia="Arial" w:hAnsi="Arial"/>
          <w:sz w:val="15"/>
          <w:szCs w:val="15"/>
          <w:color w:val="auto"/>
        </w:rPr>
        <w:t>th</w:t>
      </w:r>
      <w:r>
        <w:rPr>
          <w:rFonts w:ascii="Arial" w:cs="Arial" w:eastAsia="Arial" w:hAnsi="Arial"/>
          <w:sz w:val="18"/>
          <w:szCs w:val="18"/>
          <w:color w:val="auto"/>
        </w:rPr>
        <w:t xml:space="preserve"> business day following the date as of which the entire principal amount of the notes ceases to be outstanding, subject to extension or acceleration in certain circumstances or early termination at Bank of America’s option.</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Also on August 18, 2010, we entered into an underwriting agreement with Merrill Lynch and Bank of America, pursuant to which the borrowed shares were offered and sold to the public at a fixed price of $5.55 per share. We did not receive any proceeds from the sale of the borrowed shares to the public, but received a lending fee of $90,000 pursuant to the share lending agreement for the use by Bank of America of the borrowed shares. Bank of America received all of the net proceeds from the sale of the borrowed shares to the public.</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nine months ended September 30, 2010, we used $109.7 million of cash for our operations compared to using $146.7 million for our operations in the nine months ended September 30, 2009. We had a net loss of $132.3 million for the nine months ended September 30, 2010, of which $24.3 million consisted of non-cash charges such as depreciation and amortization, and stock-based compensation. We expect our negative operating cash flow to continue at least until we obtain regulatory approval and achieve commercialization of AFREZZA.</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used $3.6 million of cash for investing activities during the nine months ended September 30, 2010, compared to using $0.9 million of cash for investing activities for the nine months ended September 30, 2009. For the nine months ended September 30, 2010 and 2009, $5.6 million and $16.7 million, respectively, were used to purchase machinery and equipment to expand our manufacturing operations and our quality systems that support clinical trials for AFREZZA.</w:t>
      </w:r>
    </w:p>
    <w:p>
      <w:pPr>
        <w:spacing w:after="0" w:line="7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financing activities generated $181.2 million of cash for the nine months ended September 30, 2010, compared to $173.9 million for the same period in 2009. For the nine months ended September 30, 2010, cash from financing activities was primarily from the offering of 5.75% Senior Convertible Notes due 2015 and related party borrowings, as well as the exercise of stock options.</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September 30, 2010, we had $98.0 million in cash, cash equivalents, and marketable securities. Although we believe our existing cash resources, including the $98.0 million remaining available under our loan arrangement with The Mann Group but excluding any proceeds to us from the Seaside purchase agreement, will be sufficient to fund our anticipated cash requirements into the third quarter of 2011, we will require significant additional financing in the future to fund our operations and if we are unable to do so, there would be substantial doubt about our ability to continue as a going concern. Accordingly, we expect that we will need to raise additional funds, either through the sale of equity and/or debt securities, the entry into a strategic business collaboration with a pharmaceutical or biotechnology company or the establishment of other funding facilities, in order to continue the development and commercialization of AFREZZA and other product candidates and to support our other ongoing activities. However, we cannot provide assurances that we will be able to continue to raise funds on favorable terms, if at all. As of September 30, 2010, we had a stockholders’ deficit of $181.4 million which may raise concerns about our solvency and affect our ability to raise additional funds. Also, we have reserved substantially all of our authorized but unissued shares of common stock for future issuance pursuant to outstanding equity awards, our equity plans, our convertible notes, the Seaside purchase agreement and the Mann purchase agreement. As a result, our ability to issue shares of common stock, or debt securities convertible into shares of common stock, other than pursuant to existing arrangements will be limited until such time, if ever, that we are able to amend our certificate of incorporation to further increase our authorized shares of common stock or shares currently reserved for issuance otherwise become available (for example, due to the termination of the underlying agreement to issue the shares).</w:t>
      </w:r>
    </w:p>
    <w:p>
      <w:pPr>
        <w:spacing w:after="0" w:line="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intend to use our capital resources to continue the development and commercialization of AFREZZA, if approved, and to develop additional applications for our proprietary Technosphere platform technology. In addition, portions of our capital resources will be devoted to expanding our other product development programs for the treatment of different types of cancers. We are expending a portion of our capital to scale up our manufacturing capabilities in our Danbury facilities. We also intend to use our capital resources for general corporate purposes, which may include in-licensing or acquiring additional technologies.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also may seek to raise additional funds by pursuing opportunities for the licensing, sale or divestiture of certain intellectual property and other assets. There can be no assurance, however, that any strategic collaboration, sale of securities or sale or license of assets will be available to us on a timely basis or on acceptable terms, if at all. If we are unable to raise additional funds,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we are not successful in raising additional funds, we may be required to reduce expenses through the delay, reduction or curtailment of our projects, including AFREZZA development activities, or further reduction of costs for facilities and administration, and there will be substantial doubt about our ability to continue as a going concern.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2010 we did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only material change to our contractual obligations disclosed in Item 7 of our Annual Report was the additional borrowing of $87.0 million from The Mann Group during the nine months ended September 30, 2010. (See Note 12 — Related-party arrangements of the Notes to the accompanying financial statements.)</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August 18, 2010, we sold $100.0 million aggregate principal amount of 5.75% Senior Convertible Notes due 2015 in a Rule 144A offering. Interest is payable in cash semi-annually in arrears on February 15 and August 15 of each year, beginning February 15, 2011. The maturity date of these notes is August 15, 2015 and payment is due in full on that date for unconverted securities.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On April 29, 2010, the Financial Accounting Standards Board issued Accounting Standards Update, or ASU, No. 2010-17, </w:t>
      </w:r>
      <w:r>
        <w:rPr>
          <w:rFonts w:ascii="Arial" w:cs="Arial" w:eastAsia="Arial" w:hAnsi="Arial"/>
          <w:sz w:val="16"/>
          <w:szCs w:val="16"/>
          <w:i w:val="1"/>
          <w:iCs w:val="1"/>
          <w:color w:val="auto"/>
        </w:rPr>
        <w:t>Milestone Method of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w:t>
      </w:r>
      <w:r>
        <w:rPr>
          <w:rFonts w:ascii="Arial" w:cs="Arial" w:eastAsia="Arial" w:hAnsi="Arial"/>
          <w:sz w:val="16"/>
          <w:szCs w:val="16"/>
          <w:color w:val="auto"/>
        </w:rPr>
        <w:t>which establishes a revenue recognition model for contingent consideration that is payable upon the achievement of an uncertain future event,</w:t>
      </w:r>
      <w:r>
        <w:rPr>
          <w:rFonts w:ascii="Arial" w:cs="Arial" w:eastAsia="Arial" w:hAnsi="Arial"/>
          <w:sz w:val="16"/>
          <w:szCs w:val="16"/>
          <w:i w:val="1"/>
          <w:iCs w:val="1"/>
          <w:color w:val="auto"/>
        </w:rPr>
        <w:t xml:space="preserve"> </w:t>
      </w:r>
      <w:r>
        <w:rPr>
          <w:rFonts w:ascii="Arial" w:cs="Arial" w:eastAsia="Arial" w:hAnsi="Arial"/>
          <w:sz w:val="16"/>
          <w:szCs w:val="16"/>
          <w:color w:val="auto"/>
        </w:rPr>
        <w:t>referred to as a milestone, which requires an entity to record the milestone payment in its entirety in the period received if the milestone meets all the necessary criteria to be considered substantive. The scope of the ASU is limited to research and development arrangements. The ASU is effective for fiscal years beginning on or after June 15, 2010, and interim periods within those years. Early application is permitted. Adoption of this guidance is expected to have a significant effect on how certain future revenue arrangements are reflected in the financial statements.</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 xml:space="preserve">We are exposed to market risk related to changes in interest rates impacting our short-term investment portfolio as well as the interest rate on our credit facility with The Mann Group. The interest rate on our credit facility with The Mann Group is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short-term investment at September 30, 2010 is a common stock investment. We have entered into a foreign exchange hedging transaction as part of our risk management program. We continue to utilize our $350.0 million credit facility to fund operations. As of September 30, 2010, the amount borrowed and outstanding under the credit facility was $252.0 million. The interest rate is fixed at the time of the draw. If interest rates were to increase from levels at September 30, 2010 we could experience a higher level of interest expense than assumed in our current operating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Our chief executive officer and chief financial officer performed an evaluation under the supervision and with the participation of our management, of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disclosure controls and procedures (as defined in Rules 13a-15(e) and 15d-15(e) of the Exchange Act) as of September 30, 2010. Based on that evaluation,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chief executive officer and chief financial officer concluded that our disclosure controls and procedures were effective at the reasonable assurance level.</w:t>
      </w:r>
    </w:p>
    <w:p>
      <w:pPr>
        <w:spacing w:after="0" w:line="12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September 30, 2010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On September 16, 2010, John Arditi, our former Senior Director — GCP — Regulatory Affairs, filed a lawsuit in the Law Division of the Superior Court of New Jersey (Bergen County), against us and our Chief Scientific Officer and our Vice President — World Wide Regulatory Affairs. In the lawsuit, </w:t>
      </w:r>
      <w:r>
        <w:rPr>
          <w:rFonts w:ascii="Arial" w:cs="Arial" w:eastAsia="Arial" w:hAnsi="Arial"/>
          <w:sz w:val="17"/>
          <w:szCs w:val="17"/>
          <w:i w:val="1"/>
          <w:iCs w:val="1"/>
          <w:color w:val="auto"/>
        </w:rPr>
        <w:t>Arditi v.</w:t>
      </w:r>
      <w:r>
        <w:rPr>
          <w:rFonts w:ascii="Arial" w:cs="Arial" w:eastAsia="Arial" w:hAnsi="Arial"/>
          <w:sz w:val="17"/>
          <w:szCs w:val="17"/>
          <w:color w:val="auto"/>
        </w:rPr>
        <w:t xml:space="preserve"> </w:t>
      </w:r>
      <w:r>
        <w:rPr>
          <w:rFonts w:ascii="Arial" w:cs="Arial" w:eastAsia="Arial" w:hAnsi="Arial"/>
          <w:sz w:val="17"/>
          <w:szCs w:val="17"/>
          <w:i w:val="1"/>
          <w:iCs w:val="1"/>
          <w:color w:val="auto"/>
        </w:rPr>
        <w:t>MannKind Corporation</w:t>
      </w:r>
      <w:r>
        <w:rPr>
          <w:rFonts w:ascii="Arial" w:cs="Arial" w:eastAsia="Arial" w:hAnsi="Arial"/>
          <w:sz w:val="17"/>
          <w:szCs w:val="17"/>
          <w:color w:val="auto"/>
        </w:rPr>
        <w:t>, Docket No. BER-L-8783-10, Mr. Arditi alleges that we terminated his employment in retaliation for his purported reporting of</w:t>
      </w:r>
      <w:r>
        <w:rPr>
          <w:rFonts w:ascii="Arial" w:cs="Arial" w:eastAsia="Arial" w:hAnsi="Arial"/>
          <w:sz w:val="17"/>
          <w:szCs w:val="17"/>
          <w:i w:val="1"/>
          <w:iCs w:val="1"/>
          <w:color w:val="auto"/>
        </w:rPr>
        <w:t xml:space="preserve"> </w:t>
      </w:r>
      <w:r>
        <w:rPr>
          <w:rFonts w:ascii="Arial" w:cs="Arial" w:eastAsia="Arial" w:hAnsi="Arial"/>
          <w:sz w:val="17"/>
          <w:szCs w:val="17"/>
          <w:color w:val="auto"/>
        </w:rPr>
        <w:t>alleged unlawful practices in connection with our clinical trials. Mr. Arditi has asserted claims for violation of the New Jersey Conscientious Employee Protection Act, wrongful discharge, breach of contract, breach of the implied covenant of good faith and fair dealing and intentional infliction of emotional distress. Mr. Arditi is seeking, among other relief, compensatory and punitive damages and counsel fees, costs and interest. Our deadline to respond to the complaint is December 3, 2010. Before Mr. Arditi filed his complaint, we had completed an internal investigation and retained an independent outside firm to conduct an extensive external investigation of Mr. Arditi’s claims. Neither investigation found any basis for his claims. We believe the allegations in the complaint are without merit and we intend to defend against them vigorously.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that we are unaware of may also become important factors that affect us. The risk factors set forth below with an asterisk (*) next to 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successful development and commercialization of our lead product candidate, AFREZZA, which is not yet approved, and our other product candidates, which are in early clinical or preclinical development.*</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To date, we have not commercialized any product candidates. In March 2009, we submitted an NDA to the FDA requesting approval of AFREZZA for the treatment of adults with type 1 or type 2 diabetes for the control of hyperglycemia. In March 2010, we received a Complete Response letter regarding this NDA from the FDA. A Complete Response letter is issued by the FDA’s Center for Drug Evaluation and Research when the review of a submitted file is completed and questions remain that preclude the approval of the NDA in its current form. In July 2010, the FDA accepted our reply to the Complete Response letter and set a target action date of December 29, 2010. There can be no assurance that the FDA will find our proposed approach for addressing its questions acceptable. The FDA could also request that we conduct additional clinical trials to provide sufficient data for approval of the NDA. There can be no assurance that we will obtain approval of the NDA in a timely manner or at all.</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other product candidates are generally in early clinical or preclinical development. We anticipate that in the near term, our ability to generate revenues will depend solely on the successful development and commercialization of AFREZZA.</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expended significant time, money and effort in the development of AFREZZA, which has not yet received regulatory approval and which may not be approved by the FDA in a timely manner, or at all. We must receive the necessary approvals from the FDA and similar foreign regulatory agencies before AFREZZA can be marketed and sold in the United States or elsewhere. Even if we were to receive regulatory approval, we ultimately may be unable to gain market acceptance of AFREZZA for a variety of reasons, including the treatment and dosage regimen, potential adverse effects, the availability of alternative treatments and cost effectiveness. If we fail to commercialize AFREZZA, our business, financial condition and results of operations will be materially and adversely affected.</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AFREZZA,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never been profitable and, as of September 30, 2010, we had incurred a cumulative net loss of $1.7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approvals and market our product candidates including AFREZZA. This cumulative net loss may increase significantly as we continue development and clinical trial efforts.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September 30, 2010, we had a stockholders’ deficit of $181.4 million. Our ability to achieve and sustain profitability depends upon obtaining regulatory approvals for and successfully commercializing AFREZZA,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It is costly to develop therapeutic product candidates and conduct clinical trials for these product candidates. Although we are currently focusing on AFREZZA as our lead product candidate, we have begun to conduct clinical trials for additional product candidates. Our existing capital resources will not be sufficient to support the expense of fully commercializing AFREZZA or completely developing any of our product candidates.</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Based upon our current expectations, we believe that our existing capital resources, including the loan arrangement with The Mann Group but excluding any proceeds to us from the Seaside purchase agreement, will enable us to continue planned operations into the third quarter of 2011. However, we cannot assure you that our plans will not change or that changed circumstances will not result in the depletion of our capital resources more rapidly than we currently anticipate. Accordingly, we may raise additional funds through the sale of equity or debt securities, the entry into strategic business collaborations, the establishment of other funding facilities, licensing arrangements and/or asset sales, in order to continue the development and commercialization of AFREZZA and other product candidates and to support our other ongoing activities. However, it may be difficult for us to raise additional funds through the sale of equity or debt securities. As of September 30, 2010, we had a stockholders’ deficit of $181.4 million which may raise concerns about our solvency and affect our ability to raise additional funds. Also, we have reserved substantially all of our authorized but unissued shares of common stock for future issuance pursuant to outstanding equity awards, our equity plans, our convertible notes, the Seaside purchase agreement and the Mann purchase agreement. As a result, our ability to issue shares of common stock, or debt securities convertible into shares of common stock, other than pursuant to existing arrangements will be limited until such time, if ever, that we are able to amend our certificate of incorporation to further increase our authorized shares of common stock or shares currently reserved for issuance otherwise become available (for example, due to the termination of the underlying agreement to issue the shares).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amount of additional funds we need will depend on a number of factors, including:</w:t>
      </w:r>
    </w:p>
    <w:p>
      <w:pPr>
        <w:spacing w:after="0" w:line="117" w:lineRule="exact"/>
        <w:rPr>
          <w:sz w:val="20"/>
          <w:szCs w:val="20"/>
          <w:color w:val="auto"/>
        </w:rPr>
      </w:pPr>
    </w:p>
    <w:p>
      <w:pPr>
        <w:ind w:left="660" w:right="56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AFREZZA;</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660" w:right="8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 and</w:t>
      </w:r>
    </w:p>
    <w:p>
      <w:pPr>
        <w:spacing w:after="0" w:line="130" w:lineRule="exact"/>
        <w:rPr>
          <w:rFonts w:ascii="Arial" w:cs="Arial" w:eastAsia="Arial" w:hAnsi="Arial"/>
          <w:sz w:val="18"/>
          <w:szCs w:val="18"/>
          <w:b w:val="1"/>
          <w:bCs w:val="1"/>
          <w:color w:val="auto"/>
        </w:rPr>
      </w:pPr>
    </w:p>
    <w:p>
      <w:pPr>
        <w:ind w:left="660" w:right="46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performing additional clinical trials to demonstrate safety and efficacy if our current trials do not deliver results sufficient for FDA approval and commercialization.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320"/>
        <w:spacing w:after="0" w:line="288" w:lineRule="auto"/>
        <w:rPr>
          <w:sz w:val="20"/>
          <w:szCs w:val="20"/>
          <w:color w:val="auto"/>
        </w:rPr>
      </w:pPr>
      <w:r>
        <w:rPr>
          <w:rFonts w:ascii="Arial" w:cs="Arial" w:eastAsia="Arial" w:hAnsi="Arial"/>
          <w:sz w:val="16"/>
          <w:szCs w:val="16"/>
          <w:color w:val="auto"/>
        </w:rPr>
        <w:t>We have raised capital in the past primarily through the sale of equity and debt securities. We may in the future pursue the sale of additional equity and/or debt securities, or the establishment of other funding facilities. For example, on August 10, 2010, we entered into the Seaside purchase agreement and the Mann purchase agreement for the sale and issuance by us of up to 36,400,000 shares of our common stock over a period of approximately 50 weeks.</w:t>
      </w:r>
    </w:p>
    <w:p>
      <w:pPr>
        <w:spacing w:after="0" w:line="273" w:lineRule="auto"/>
        <w:rPr>
          <w:sz w:val="20"/>
          <w:szCs w:val="20"/>
          <w:color w:val="auto"/>
        </w:rPr>
      </w:pPr>
      <w:r>
        <w:rPr>
          <w:rFonts w:ascii="Arial" w:cs="Arial" w:eastAsia="Arial" w:hAnsi="Arial"/>
          <w:sz w:val="17"/>
          <w:szCs w:val="17"/>
          <w:color w:val="auto"/>
        </w:rPr>
        <w:t>Issuances of additional debt or equity securities or the conversion of any of our currently outstanding convertible debt securities into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6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credit facilities, licensing arrangements and/or asset sales on a timely basis, we may be required to reduce expenses through the delay, reduction or curtailment of our projects, including AFREZZA commercialization, or further reduction of costs for facilities and administration. Moreover, if we do not obtain such additional funds, there would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Deteriorating global economic conditions may have an adverse impact on the loan facility with The Mann Group, which we currently cannot predict.</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widely reported, financial markets in the United States, Europe and Asia have been experiencing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the loan facility with The Mann Group. If we are unable to draw on this financial resource, our business and financial condition will be adversely affected.</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660" w:right="4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660" w:right="42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materials and components used in the manufacture of our product candidates, including insulin and other materials for AFREZZA;</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enter into sales and marketing collaborations for AFREZZA;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AFREZZA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may decline.</w:t>
      </w:r>
    </w:p>
    <w:p>
      <w:pPr>
        <w:spacing w:after="0" w:line="5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11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AFREZZA. To date we have not reached an agreement with any of these companies on a collaboration.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and/or marketing activities at our own expense, which would delay or otherwise impede the commercialization of AFREZZA.</w:t>
      </w:r>
    </w:p>
    <w:p>
      <w:pPr>
        <w:spacing w:after="0" w:line="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85"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7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6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73" w:lineRule="exact"/>
        <w:rPr>
          <w:sz w:val="20"/>
          <w:szCs w:val="20"/>
          <w:color w:val="auto"/>
        </w:rPr>
      </w:pPr>
    </w:p>
    <w:p>
      <w:pPr>
        <w:ind w:left="660" w:right="140" w:hanging="314"/>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660" w:right="280" w:hanging="314"/>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6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73"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AFREZZA to be commercially viable, we need access to sufficient, reliable and affordable supplies of insulin, our AFREZZA inhaler, the related cartridges and other materials. We have a long-term agreement with N.V. Organon for the supply of insulin. In June 2009, we purchased from Pfizer, a portion of its inventory of bulk insulin and acquired an option to purchase the remainder of Pfizer’s insulin inventory, in whole or in part, at a specified price to the extent that Pfizer has not otherwise disposed of or used the retained insulin.</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obtain FDKP, the precursor raw material for AFREZZA, from a major multinational chemical manufacturer. We have completed a successful validation campaign of FDKP at commercial scale. We can also utilize our in-house chemical manufacturing plant for supplemental capacity. We believe our contract manufacturer has the capacity to supply our current and future commercial requirements. We obtain our intended commercial AFREZZA inhaler and cartridges from a plastic molding company located in the United States.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 The supply of any of these materials may be limited or any of the manufacturers may not meet relevant regulatory requirements, and if we are unable to obtain any of these materials in sufficient amounts, in a timely manner and at reasonable prices, or if we should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81"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use our Danbury facility to formulate AFREZZA, fill plastic cartridges with AFREZZA, blister package the cartridges, place the blister packs into foil bags and package three bags plus two inhalers and the package insert as units in 90-unit boxes (and single bag packs for trials). There can be no assurance that the equipment in this facility will be qualified by the FDA or that the equipment will not need modification in order to be validated and/or approved by the FDA. The facility was designed for a different cartridge that had undergone inspection and been fully qualified by the FDA. A new fill/finish system for the new commercial AFREZZA cartridge has been installed and is undergoing qualification.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when we manufacture commercial material on a significantly larger production scale than the production scale for clinical trial materials, we are required by the FDA to establish that the results obtained from the clinical trials may reasonably be extrapolated to such commercial material. We have submitted documentation to the FDA to show correlation to the clinical-scale production materials but can provide no assurance that approval will be obtained.</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Any of these factors could cause us to delay or suspend clinical trials,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earthquakes and wars could disrupt our operations or those of our collaborators, contractors and vendors. Even though we believe we carry commercially reasonable liability insurance and stage-appropriate business interruption insurance, and our contractors may carry liability insurance that protect us in certain events,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75"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a chemical that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was, in turn, indemnified for these known environmental conditions by the previous owner.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During the construction of our expanded manufacturing facility, we completed the final stages of the soil cleanup plan in the third quarter of 2008, at a cost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$2.25 million. We have reached an agreement with the party responsible for their contribution to past clean-up costs and were reimbursed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$1.625 million in July 2010. The responsible party has agreed to pay for or indemnify us for any future costs and expenses directly related to the final closure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environmental remediation. If we are unable to collect these future costs and expenses, if any, from the responsible party, our business and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may be harmed.</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products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AFREZZA and to provide adequate support for them. Therefore, we plan to enter into collaborations with one or more pharmaceutical companies to market, distribute and sell AFREZZA, if it is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7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117"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pricing and reimbursement relative to other treatment therapeutics and methods;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consumers for our products, our products might not be used or purchased, which would adversely affect our revenues.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AFREZZA.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62" w:lineRule="exact"/>
        <w:rPr>
          <w:sz w:val="20"/>
          <w:szCs w:val="20"/>
          <w:color w:val="auto"/>
        </w:rPr>
      </w:pPr>
    </w:p>
    <w:p>
      <w:pPr>
        <w:jc w:val="both"/>
        <w:ind w:right="72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7"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March 2009, we submitted an NDA for AFREZZA. The FDA has advised us that it will regulate AFREZZA as a “combination product” because of the complex nature of the system that includes the combination of a new drug (AFREZZA) and a new medical device (the AFREZZA inhaler used to administer the insulin). The FDA’s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March 2010, we received a Complete Response letter regarding this NDA from the FDA. A Complete Response letter is issued by the FDA’s Center for Drug Evaluation and Research when the review of a submitted file is completed and questions remain that preclude the approval of the NDA in its current form. In July 2010, the FDA accepted our reply to the Complete Response letter and set a target action date of December 29, 2010. There can be no assurance that the FDA will find our proposed approach for addressing its questions acceptable. The FDA could also request that we conduct additional clinical trials to provide sufficient data for approval of the NDA. There can be no assurance that we will obtain approval of the NDA in a timely manner or at all.</w:t>
      </w:r>
    </w:p>
    <w:p>
      <w:pPr>
        <w:spacing w:after="0" w:line="5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w:t>
      </w:r>
    </w:p>
    <w:p>
      <w:pPr>
        <w:spacing w:after="0" w:line="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developing AFREZZA as a new treatment for diabetes utilizing unique, proprietary components. As a combination product, any changes to either the AFREZZA inhaler, or AFREZZA, including new suppliers, could possibly result in FDA requirements to repeat certain studies. For example, we plan to launch AFREZZA with our next-generation inhaler rather than the device that was used in pivotal clinical studies, and in our July 2010 reply to the FDA’s Complete Response letter, we submitted information on the comparability of our next-generation inhaler to the device that was used in pivotal clinical studies. As a result of our change to our next-generation inhaler, the FDA could yet require us to undertake additional clinical trials and other studies, which could significantly delay the development and commercialization of AFREZZA. Our product candidates that are currently in development for the treatment of cancer also face similar obstacles and costs.</w:t>
      </w:r>
    </w:p>
    <w:p>
      <w:pPr>
        <w:spacing w:after="0" w:line="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must obtain final approval from the FDA for the trade name of our product. In September 2009, we proposed AFREZZA as a trade name, which the FDA found conditionally acceptable in December 2009.</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will not be able to commercialize AFREZZA or any other product candidates until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Based on currently available clinical studies, we believe that AFREZZA may have certain advantages over currently approved insulin products including its approximation of the natural early insulin secretion normally seen in healthy individuals following the beginning of a meal. Nonetheless, there are no assurances that these or any other advantages of AFREZZA will be agreed to by the FDA or otherwise included in product labeling or advertising and, as a result, AFREZZA may not have our expected competitive advantages when compared to other insulin products.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pertaining to ensuring the safety of marketed drugs or other developments pertaining to the pharmaceutical industry will not adversely affect our operations.</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Arial" w:cs="Arial" w:eastAsia="Arial" w:hAnsi="Arial"/>
          <w:sz w:val="16"/>
          <w:szCs w:val="16"/>
          <w:i w:val="1"/>
          <w:iCs w:val="1"/>
          <w:color w:val="auto"/>
        </w:rPr>
        <w:t>e.g.</w:t>
      </w:r>
      <w:r>
        <w:rPr>
          <w:rFonts w:ascii="Arial" w:cs="Arial" w:eastAsia="Arial" w:hAnsi="Arial"/>
          <w:sz w:val="16"/>
          <w:szCs w:val="16"/>
          <w:color w:val="auto"/>
        </w:rPr>
        <w:t>,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insulin supplier does not yet supply human recombinant insulin for an FDA-approved product.*</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insulin supplier for purposes of the AFREZZA NDA sells its product outside of the United States. The FDA has inspected this supplier and found it to be acceptable.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device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insulin therapies, we could encounter delays in the timing of our clinical trials or difficulties in obtaining approval of AFREZZA. As well,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Interference proceedings brought by the U.S. Patent and Trademark Office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Moreover, certain components of AFREZZA and/or our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and cancer vaccine products under development, we have identified certain third-party patents having claims relating to pulmonary insulin delivery that may trigger an allegation of infringement upon the commercial manufacture and sale of AFREZZA as well as third-party patents disclosing methods of use and compositions of matter related to cancer vaccines that also may trigger an allegation of infringement upon the commercial manufacture and sale of our cancer immunotherapy.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not selected trade names for some of our product candidates; therefore, we have not filed trademark registrations for our potential trade names for our product candidates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r>
        <w:rPr>
          <w:rFonts w:ascii="Arial" w:cs="Arial" w:eastAsia="Arial" w:hAnsi="Arial"/>
          <w:sz w:val="18"/>
          <w:szCs w:val="18"/>
          <w:color w:val="auto"/>
        </w:rPr>
        <w:t>*</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39" w:lineRule="exact"/>
        <w:rPr>
          <w:sz w:val="20"/>
          <w:szCs w:val="20"/>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b w:val="1"/>
          <w:bCs w:val="1"/>
          <w:color w:val="auto"/>
        </w:rPr>
      </w:pPr>
    </w:p>
    <w:p>
      <w:pPr>
        <w:ind w:left="660" w:right="20" w:hanging="314"/>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b w:val="1"/>
          <w:bCs w:val="1"/>
          <w:color w:val="auto"/>
        </w:rPr>
      </w:pPr>
    </w:p>
    <w:p>
      <w:pPr>
        <w:ind w:left="660" w:right="260" w:hanging="314"/>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issuance and sale of our common stock pursuant to the Seaside purchase agreement and the Mann purchase agreement over the terms of these agreements;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b w:val="1"/>
          <w:bCs w:val="1"/>
          <w:color w:val="auto"/>
        </w:rPr>
      </w:pPr>
    </w:p>
    <w:p>
      <w:pPr>
        <w:ind w:left="660" w:right="140" w:hanging="314"/>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recently-completed sale of our 5.75% convertible notes due 2015; and</w:t>
      </w:r>
    </w:p>
    <w:p>
      <w:pPr>
        <w:spacing w:after="0" w:line="75" w:lineRule="exact"/>
        <w:rPr>
          <w:rFonts w:ascii="Arial" w:cs="Arial" w:eastAsia="Arial" w:hAnsi="Arial"/>
          <w:sz w:val="18"/>
          <w:szCs w:val="18"/>
          <w:b w:val="1"/>
          <w:bCs w:val="1"/>
          <w:color w:val="auto"/>
        </w:rPr>
      </w:pPr>
    </w:p>
    <w:p>
      <w:pPr>
        <w:ind w:left="660" w:right="80" w:hanging="314"/>
        <w:spacing w:after="0" w:line="25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statements about us and our investigational products that appear on interactive websites that permit users to generate content anonymously or under a pseudonym may be difficult to verify and statements attributed to company officials may, in fact, have originated elsewhere.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At September 30, 2010, Mr. Mann beneficially owned approximately 38.9%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6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Subject to compliance with United States federal and state securities laws and lockup restrictions in connection with the recently-completed sale of our 5.75% convertible notes due 2015,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sale of our common stock or the conversion of our senior convertible notes into common stock could negatively affect our stock price.*</w:t>
      </w:r>
    </w:p>
    <w:p>
      <w:pPr>
        <w:spacing w:after="0" w:line="14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of September 30, 2010, we had 123,363,865 shares of common stock outstanding including the 9,000,000 shares of common stock loaned to Bank of America under a share lending agreement.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August 10, 2010, we entered into the Seaside purchase agreement and the Mann purchase agreement, which together provide for the sale and issuance by us of up to 36,400,000 shares of our common stock over a period of approximately 50 weeks; as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September 30, 2010, we had not sold any shares to Seaside or The Mann Group pursuant to these agreements. However, on October 20, 2010, we issued and sold a total of 1,400,000 shares under these agreements. The future issuance of shares of our common stock pursuant to these two agreements, or the expectation that these issuances will occur, may further depress the price of our common stock.</w:t>
      </w:r>
    </w:p>
    <w:p>
      <w:pPr>
        <w:spacing w:after="0" w:line="7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reserved for future issuance substantially all of our authorized but unissued shares of common stock, which may impair our ability to conduct future financing and other transactions.*</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certificate of incorporation currently authorizes us to issue up to 200,000,000 shares of common stock and 10,000,000 shares of preferred stock. As of September 30, 2010, we had a total of 76,636,135 shares of common stock that were authorized but unissued. We have reserved substantially all of our authorized but unissued shares for future issuance pursuant to outstanding equity awards, our equity plans, our 3.75% senior convertible notes due 2013, our 5.75% senior convertible notes due 2015 and the Seaside purchase agreement and Mann purchase agreement. As a result, our ability to issue shares of common stock other than pursuant to existing arrangements will be limited until such time, if ever, that we are able to amend our certificate of incorporation to further increase our authorized shares of common stock or shares currently reserved for issuance otherwise become available (for example, due to the termination of the underlying agreement to issue the shares).</w:t>
      </w:r>
    </w:p>
    <w:p>
      <w:pPr>
        <w:spacing w:after="0" w:line="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65"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4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equity securities by us that were not registered under the Securities Act of 1933, as amended, during the third quarter of 2010.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56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7"/>
        </w:trPr>
        <w:tc>
          <w:tcPr>
            <w:tcW w:w="78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10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240"/>
              <w:spacing w:after="0"/>
              <w:rPr>
                <w:sz w:val="20"/>
                <w:szCs w:val="20"/>
                <w:color w:val="auto"/>
              </w:rPr>
            </w:pPr>
            <w:r>
              <w:rPr>
                <w:rFonts w:ascii="Arial" w:cs="Arial" w:eastAsia="Arial" w:hAnsi="Arial"/>
                <w:sz w:val="18"/>
                <w:szCs w:val="18"/>
                <w:color w:val="auto"/>
              </w:rPr>
              <w:t>Restated Certificate of Incorporation.</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10560" w:type="dxa"/>
            <w:vAlign w:val="bottom"/>
          </w:tcPr>
          <w:p>
            <w:pPr>
              <w:ind w:left="24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3.3(3)</w:t>
            </w:r>
          </w:p>
        </w:tc>
        <w:tc>
          <w:tcPr>
            <w:tcW w:w="10560" w:type="dxa"/>
            <w:vAlign w:val="bottom"/>
          </w:tcPr>
          <w:p>
            <w:pPr>
              <w:ind w:left="24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3.4(4)</w:t>
            </w:r>
          </w:p>
        </w:tc>
        <w:tc>
          <w:tcPr>
            <w:tcW w:w="10560" w:type="dxa"/>
            <w:vAlign w:val="bottom"/>
          </w:tcPr>
          <w:p>
            <w:pPr>
              <w:ind w:left="24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4.1(5)</w:t>
            </w:r>
          </w:p>
        </w:tc>
        <w:tc>
          <w:tcPr>
            <w:tcW w:w="10560" w:type="dxa"/>
            <w:vAlign w:val="bottom"/>
          </w:tcPr>
          <w:p>
            <w:pPr>
              <w:ind w:left="240"/>
              <w:spacing w:after="0"/>
              <w:rPr>
                <w:sz w:val="20"/>
                <w:szCs w:val="20"/>
                <w:color w:val="auto"/>
              </w:rPr>
            </w:pPr>
            <w:r>
              <w:rPr>
                <w:rFonts w:ascii="Arial" w:cs="Arial" w:eastAsia="Arial" w:hAnsi="Arial"/>
                <w:sz w:val="18"/>
                <w:szCs w:val="18"/>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4.2(6)</w:t>
            </w:r>
          </w:p>
        </w:tc>
        <w:tc>
          <w:tcPr>
            <w:tcW w:w="10560" w:type="dxa"/>
            <w:vAlign w:val="bottom"/>
          </w:tcPr>
          <w:p>
            <w:pPr>
              <w:ind w:left="24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4.3(6)</w:t>
            </w:r>
          </w:p>
        </w:tc>
        <w:tc>
          <w:tcPr>
            <w:tcW w:w="10560" w:type="dxa"/>
            <w:vAlign w:val="bottom"/>
          </w:tcPr>
          <w:p>
            <w:pPr>
              <w:ind w:left="240"/>
              <w:spacing w:after="0"/>
              <w:rPr>
                <w:sz w:val="20"/>
                <w:szCs w:val="20"/>
                <w:color w:val="auto"/>
              </w:rPr>
            </w:pPr>
            <w:r>
              <w:rPr>
                <w:rFonts w:ascii="Arial" w:cs="Arial" w:eastAsia="Arial" w:hAnsi="Arial"/>
                <w:sz w:val="18"/>
                <w:szCs w:val="18"/>
                <w:color w:val="auto"/>
              </w:rPr>
              <w:t>Form of 3.75% Senior Convertible Note due 2013.</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4.4(1)</w:t>
            </w:r>
          </w:p>
        </w:tc>
        <w:tc>
          <w:tcPr>
            <w:tcW w:w="10560" w:type="dxa"/>
            <w:vAlign w:val="bottom"/>
          </w:tcPr>
          <w:p>
            <w:pPr>
              <w:ind w:left="24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4.5(1)</w:t>
            </w:r>
          </w:p>
        </w:tc>
        <w:tc>
          <w:tcPr>
            <w:tcW w:w="10560" w:type="dxa"/>
            <w:vAlign w:val="bottom"/>
          </w:tcPr>
          <w:p>
            <w:pPr>
              <w:ind w:left="240"/>
              <w:spacing w:after="0"/>
              <w:rPr>
                <w:sz w:val="20"/>
                <w:szCs w:val="20"/>
                <w:color w:val="auto"/>
              </w:rPr>
            </w:pPr>
            <w:r>
              <w:rPr>
                <w:rFonts w:ascii="Arial" w:cs="Arial" w:eastAsia="Arial" w:hAnsi="Arial"/>
                <w:sz w:val="18"/>
                <w:szCs w:val="18"/>
                <w:color w:val="auto"/>
                <w:w w:val="91"/>
              </w:rPr>
              <w:t>Registration Rights Agreement, dated October 15, 1998 by and among CTL ImmunoTherapies Corp., Medical Research Group, LLC, McLean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Watson Advisory Inc. and Alfred E. Mann, as amended.</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4.6(7)</w:t>
            </w:r>
          </w:p>
        </w:tc>
        <w:tc>
          <w:tcPr>
            <w:tcW w:w="10560" w:type="dxa"/>
            <w:vAlign w:val="bottom"/>
          </w:tcPr>
          <w:p>
            <w:pPr>
              <w:ind w:left="240"/>
              <w:spacing w:after="0"/>
              <w:rPr>
                <w:sz w:val="20"/>
                <w:szCs w:val="20"/>
                <w:color w:val="auto"/>
              </w:rPr>
            </w:pPr>
            <w:r>
              <w:rPr>
                <w:rFonts w:ascii="Arial" w:cs="Arial" w:eastAsia="Arial" w:hAnsi="Arial"/>
                <w:sz w:val="18"/>
                <w:szCs w:val="18"/>
                <w:color w:val="auto"/>
              </w:rPr>
              <w:t>Indenture, by and between MannKind and Wells Fargo Bank, N.A., dated August 24, 2010.</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4.7(7)</w:t>
            </w:r>
          </w:p>
        </w:tc>
        <w:tc>
          <w:tcPr>
            <w:tcW w:w="10560" w:type="dxa"/>
            <w:vAlign w:val="bottom"/>
          </w:tcPr>
          <w:p>
            <w:pPr>
              <w:ind w:left="240"/>
              <w:spacing w:after="0"/>
              <w:rPr>
                <w:sz w:val="20"/>
                <w:szCs w:val="20"/>
                <w:color w:val="auto"/>
              </w:rPr>
            </w:pPr>
            <w:r>
              <w:rPr>
                <w:rFonts w:ascii="Arial" w:cs="Arial" w:eastAsia="Arial" w:hAnsi="Arial"/>
                <w:sz w:val="18"/>
                <w:szCs w:val="18"/>
                <w:color w:val="auto"/>
              </w:rPr>
              <w:t>Form of 5.75% Senior Convertible Note due 2015.</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10560" w:type="dxa"/>
            <w:vAlign w:val="bottom"/>
          </w:tcPr>
          <w:p>
            <w:pPr>
              <w:ind w:left="240"/>
              <w:spacing w:after="0"/>
              <w:rPr>
                <w:sz w:val="20"/>
                <w:szCs w:val="20"/>
                <w:color w:val="auto"/>
              </w:rPr>
            </w:pPr>
            <w:r>
              <w:rPr>
                <w:rFonts w:ascii="Arial" w:cs="Arial" w:eastAsia="Arial" w:hAnsi="Arial"/>
                <w:sz w:val="18"/>
                <w:szCs w:val="18"/>
                <w:color w:val="auto"/>
                <w:w w:val="94"/>
              </w:rPr>
              <w:t>Purchase Agreement, by and between MannKind and Merrill Lynch, Pierce, Fenner &amp; Smith Incorporated, as representative for the initial</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purchasers named therein, dated August 18, 2010.</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10.2(7)</w:t>
            </w:r>
          </w:p>
        </w:tc>
        <w:tc>
          <w:tcPr>
            <w:tcW w:w="10560" w:type="dxa"/>
            <w:vAlign w:val="bottom"/>
          </w:tcPr>
          <w:p>
            <w:pPr>
              <w:ind w:left="240"/>
              <w:spacing w:after="0"/>
              <w:rPr>
                <w:sz w:val="20"/>
                <w:szCs w:val="20"/>
                <w:color w:val="auto"/>
              </w:rPr>
            </w:pPr>
            <w:r>
              <w:rPr>
                <w:rFonts w:ascii="Arial" w:cs="Arial" w:eastAsia="Arial" w:hAnsi="Arial"/>
                <w:sz w:val="18"/>
                <w:szCs w:val="18"/>
                <w:color w:val="auto"/>
              </w:rPr>
              <w:t>Share Lending Agreement, by and between MannKind and Bank of America, N.A., dated August 18, 2010.</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10.3(7)</w:t>
            </w:r>
          </w:p>
        </w:tc>
        <w:tc>
          <w:tcPr>
            <w:tcW w:w="10560" w:type="dxa"/>
            <w:vAlign w:val="bottom"/>
          </w:tcPr>
          <w:p>
            <w:pPr>
              <w:ind w:left="240"/>
              <w:spacing w:after="0"/>
              <w:rPr>
                <w:sz w:val="20"/>
                <w:szCs w:val="20"/>
                <w:color w:val="auto"/>
              </w:rPr>
            </w:pPr>
            <w:r>
              <w:rPr>
                <w:rFonts w:ascii="Arial" w:cs="Arial" w:eastAsia="Arial" w:hAnsi="Arial"/>
                <w:sz w:val="18"/>
                <w:szCs w:val="18"/>
                <w:color w:val="auto"/>
                <w:w w:val="90"/>
              </w:rPr>
              <w:t>Letter Agreement, dated August 18, 2010, related to Amended and Restated Promissory Note made by MannKind in favor of The Mann Group</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LLC, dated August 10, 2010.</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10.4(8)</w:t>
            </w:r>
          </w:p>
        </w:tc>
        <w:tc>
          <w:tcPr>
            <w:tcW w:w="10560" w:type="dxa"/>
            <w:vAlign w:val="bottom"/>
          </w:tcPr>
          <w:p>
            <w:pPr>
              <w:ind w:left="240"/>
              <w:spacing w:after="0"/>
              <w:rPr>
                <w:sz w:val="20"/>
                <w:szCs w:val="20"/>
                <w:color w:val="auto"/>
              </w:rPr>
            </w:pPr>
            <w:r>
              <w:rPr>
                <w:rFonts w:ascii="Arial" w:cs="Arial" w:eastAsia="Arial" w:hAnsi="Arial"/>
                <w:sz w:val="18"/>
                <w:szCs w:val="18"/>
                <w:color w:val="auto"/>
              </w:rPr>
              <w:t>Common Stock Purchase Agreement, by and between MannKind and Seaside 88, LP, dated August 10, 2010.</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10.5(8)</w:t>
            </w:r>
          </w:p>
        </w:tc>
        <w:tc>
          <w:tcPr>
            <w:tcW w:w="10560" w:type="dxa"/>
            <w:vAlign w:val="bottom"/>
          </w:tcPr>
          <w:p>
            <w:pPr>
              <w:ind w:left="240"/>
              <w:spacing w:after="0"/>
              <w:rPr>
                <w:sz w:val="20"/>
                <w:szCs w:val="20"/>
                <w:color w:val="auto"/>
              </w:rPr>
            </w:pPr>
            <w:r>
              <w:rPr>
                <w:rFonts w:ascii="Arial" w:cs="Arial" w:eastAsia="Arial" w:hAnsi="Arial"/>
                <w:sz w:val="18"/>
                <w:szCs w:val="18"/>
                <w:color w:val="auto"/>
              </w:rPr>
              <w:t>Letter Agreement, by and between MannKind and Omni Capital Corporation, dated August 10, 2010.</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10.6(8)</w:t>
            </w:r>
          </w:p>
        </w:tc>
        <w:tc>
          <w:tcPr>
            <w:tcW w:w="10560" w:type="dxa"/>
            <w:vAlign w:val="bottom"/>
          </w:tcPr>
          <w:p>
            <w:pPr>
              <w:ind w:left="240"/>
              <w:spacing w:after="0"/>
              <w:rPr>
                <w:sz w:val="20"/>
                <w:szCs w:val="20"/>
                <w:color w:val="auto"/>
              </w:rPr>
            </w:pPr>
            <w:r>
              <w:rPr>
                <w:rFonts w:ascii="Arial" w:cs="Arial" w:eastAsia="Arial" w:hAnsi="Arial"/>
                <w:sz w:val="18"/>
                <w:szCs w:val="18"/>
                <w:color w:val="auto"/>
              </w:rPr>
              <w:t>Common Stock Purchase Agreement by and between MannKind and The Mann Group LLC, dated August 10, 2010.</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10.7(8)</w:t>
            </w:r>
          </w:p>
        </w:tc>
        <w:tc>
          <w:tcPr>
            <w:tcW w:w="10560" w:type="dxa"/>
            <w:vAlign w:val="bottom"/>
          </w:tcPr>
          <w:p>
            <w:pPr>
              <w:ind w:left="240"/>
              <w:spacing w:after="0"/>
              <w:rPr>
                <w:sz w:val="20"/>
                <w:szCs w:val="20"/>
                <w:color w:val="auto"/>
              </w:rPr>
            </w:pPr>
            <w:r>
              <w:rPr>
                <w:rFonts w:ascii="Arial" w:cs="Arial" w:eastAsia="Arial" w:hAnsi="Arial"/>
                <w:sz w:val="18"/>
                <w:szCs w:val="18"/>
                <w:color w:val="auto"/>
                <w:w w:val="98"/>
              </w:rPr>
              <w:t>Amended and Restated Promissory Note made by MannKind Corporation in favor of The Mann Group LLC, dated August 10, 2010.</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240"/>
              <w:spacing w:after="0"/>
              <w:rPr>
                <w:sz w:val="20"/>
                <w:szCs w:val="20"/>
                <w:color w:val="auto"/>
              </w:rPr>
            </w:pPr>
            <w:r>
              <w:rPr>
                <w:rFonts w:ascii="Arial" w:cs="Arial" w:eastAsia="Arial" w:hAnsi="Arial"/>
                <w:sz w:val="18"/>
                <w:szCs w:val="18"/>
                <w:color w:val="auto"/>
                <w:w w:val="93"/>
              </w:rPr>
              <w:t>Certification of the Chief Executive Officer Pursuant to Rules 13a-14(a) or 15d-14(a) of the Securities Exchange Act of 1934, as amended.</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240"/>
              <w:spacing w:after="0"/>
              <w:rPr>
                <w:sz w:val="20"/>
                <w:szCs w:val="20"/>
                <w:color w:val="auto"/>
              </w:rPr>
            </w:pPr>
            <w:r>
              <w:rPr>
                <w:rFonts w:ascii="Arial" w:cs="Arial" w:eastAsia="Arial" w:hAnsi="Arial"/>
                <w:sz w:val="18"/>
                <w:szCs w:val="18"/>
                <w:color w:val="auto"/>
                <w:w w:val="94"/>
              </w:rPr>
              <w:t>Certification of the Chief Financial Officer Pursuant to Rules 13a-14(a) or 15d-14(a) of the Securities Exchange Act of 1934, as amended.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right="120" w:hanging="1012"/>
        <w:spacing w:after="0" w:line="308"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or 15d-14(b) of the Securities Exchange Act of 1934, as amended and Section 1350 of Chapter 63 of Title 18 of the United States Code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8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9, 2007.</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Incorporated by reference to MannKind’s quarterly report on Form 10-Q (File No. 000-50865), filed with the SEC on August 2, 2010.</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Incorporated by reference to MannKind’s current report on Form 8-K (File No. 000-50865), filed with the SEC on November 19, 2007.</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S-3 (File No. 333-138373), filed with the SEC on November 2, 2006.</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Incorporated by reference to MannKind’s current report on Form 8-K (File No. 000-50865), filed with the SEC on December 12, 2006.</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Incorporated by reference to MannKind’s current report on Form 8-K (File No. 000-50865), filed with the SEC on August 24, 2010.</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Incorporated by reference to MannKind’s current report on Form 8-K (File No. 000-50865), filed with the SEC on August 11, 2010.</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Dated: October 29, 2010</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Matthew J. Pfeffer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19"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nine months ended September 30, 2010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October 29,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nine months ended September 30, 2010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October 29,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Matthew J. Pfeffer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September 30, 2010,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64" w:lineRule="exact"/>
        <w:rPr>
          <w:sz w:val="20"/>
          <w:szCs w:val="20"/>
          <w:color w:val="auto"/>
        </w:rPr>
      </w:pPr>
    </w:p>
    <w:p>
      <w:pPr>
        <w:ind w:left="400" w:hanging="167"/>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right="560" w:firstLine="233"/>
        <w:spacing w:after="0" w:line="375" w:lineRule="auto"/>
        <w:tabs>
          <w:tab w:leader="none" w:pos="4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October 29, 2010</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29th day of October,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/s/ Alfred E. Mann</w:t>
            </w: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/s/ Matthew J. Pfeffer</w:t>
            </w:r>
          </w:p>
        </w:tc>
      </w:tr>
      <w:tr>
        <w:trPr>
          <w:trHeight w:val="209"/>
        </w:trPr>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Alfred E. Mann</w:t>
            </w:r>
          </w:p>
        </w:tc>
        <w:tc>
          <w:tcPr>
            <w:tcW w:w="320" w:type="dxa"/>
            <w:vAlign w:val="bottom"/>
          </w:tcPr>
          <w:p>
            <w:pPr>
              <w:spacing w:after="0"/>
              <w:rPr>
                <w:sz w:val="18"/>
                <w:szCs w:val="18"/>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32"/>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3"/>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2019-12-10T11:29:48Z</dcterms:created>
  <dcterms:modified xsi:type="dcterms:W3CDTF">2019-12-10T11:29:48Z</dcterms:modified>
</cp:coreProperties>
</file>