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nkd-20230630.htm"/>
      <w:bookmarkStart w:id="1" w:name="ksmnkd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6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bidi w:val="0"/>
        <w:spacing w:before="6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6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 .</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Commission file number: 000-50865</w:t>
      </w:r>
      <w:r>
        <w:rPr>
          <w:rFonts w:ascii="Times New Roman" w:hAnsi="Times New Roman"/>
          <w:sz w:val="20"/>
        </w:rPr>
        <w:t xml:space="preserve"> </w:t>
      </w:r>
    </w:p>
    <w:p>
      <w:pPr>
        <w:pStyle w:val="TextBody"/>
        <w:bidi w:val="0"/>
        <w:spacing w:before="60" w:after="0"/>
        <w:jc w:val="center"/>
        <w:rPr>
          <w:rFonts w:ascii="Times New Roman" w:hAnsi="Times New Roman"/>
          <w:sz w:val="20"/>
        </w:rPr>
      </w:pPr>
      <w:r>
        <w:rPr>
          <w:rFonts w:ascii="Times New Roman;serif" w:hAnsi="Times New Roman;serif"/>
          <w:b/>
          <w:sz w:val="48"/>
        </w:rPr>
        <w:t>MannKind Corporation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607" w:type="dxa"/>
        <w:jc w:val="left"/>
        <w:tblInd w:w="0" w:type="dxa"/>
        <w:tblLayout w:type="fixed"/>
        <w:tblCellMar>
          <w:top w:w="28" w:type="dxa"/>
          <w:left w:w="28" w:type="dxa"/>
          <w:bottom w:w="28" w:type="dxa"/>
          <w:right w:w="28" w:type="dxa"/>
        </w:tblCellMar>
      </w:tblPr>
      <w:tblGrid>
        <w:gridCol w:w="2926"/>
        <w:gridCol w:w="1681"/>
      </w:tblGrid>
      <w:tr>
        <w:trPr/>
        <w:tc>
          <w:tcPr>
            <w:tcW w:w="2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68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13-3607736</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(State or other jurisdiction of</w:t>
            </w:r>
          </w:p>
          <w:p>
            <w:pPr>
              <w:pStyle w:val="TableContents"/>
              <w:bidi w:val="0"/>
              <w:spacing w:before="0" w:after="20"/>
              <w:ind w:left="0" w:right="0" w:hanging="0"/>
              <w:jc w:val="center"/>
              <w:rPr>
                <w:rFonts w:ascii="Times New Roman;serif" w:hAnsi="Times New Roman;serif"/>
                <w:b/>
                <w:sz w:val="20"/>
              </w:rPr>
            </w:pPr>
            <w:r>
              <w:rPr>
                <w:rFonts w:ascii="Times New Roman;serif" w:hAnsi="Times New Roman;serif"/>
                <w:b/>
                <w:sz w:val="20"/>
              </w:rPr>
              <w:t>incorporation or organization)</w:t>
            </w:r>
          </w:p>
        </w:tc>
        <w:tc>
          <w:tcPr>
            <w:tcW w:w="168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(I.R.S. Employer</w:t>
            </w:r>
          </w:p>
          <w:p>
            <w:pPr>
              <w:pStyle w:val="TableContents"/>
              <w:bidi w:val="0"/>
              <w:spacing w:before="0" w:after="20"/>
              <w:ind w:left="0" w:right="0" w:hanging="0"/>
              <w:jc w:val="center"/>
              <w:rPr>
                <w:rFonts w:ascii="Times New Roman;serif" w:hAnsi="Times New Roman;serif"/>
                <w:b/>
                <w:sz w:val="20"/>
              </w:rPr>
            </w:pPr>
            <w:r>
              <w:rPr>
                <w:rFonts w:ascii="Times New Roman;serif" w:hAnsi="Times New Roman;serif"/>
                <w:b/>
                <w:sz w:val="20"/>
              </w:rPr>
              <w:t>Identification No.)</w:t>
            </w:r>
          </w:p>
        </w:tc>
      </w:tr>
      <w:tr>
        <w:trPr/>
        <w:tc>
          <w:tcPr>
            <w:tcW w:w="29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1 Casper Street</w:t>
            </w:r>
            <w:r>
              <w:rPr>
                <w:rFonts w:ascii="Times New Roman" w:hAnsi="Times New Roman"/>
                <w:sz w:val="20"/>
              </w:rPr>
              <w:t xml:space="preserve"> </w:t>
            </w:r>
          </w:p>
          <w:p>
            <w:pPr>
              <w:pStyle w:val="TableContents"/>
              <w:bidi w:val="0"/>
              <w:spacing w:before="0" w:after="20"/>
              <w:ind w:left="0" w:right="0" w:hanging="0"/>
              <w:jc w:val="center"/>
              <w:rPr>
                <w:rFonts w:ascii="Times New Roman;serif" w:hAnsi="Times New Roman;serif"/>
                <w:b/>
                <w:sz w:val="20"/>
              </w:rPr>
            </w:pPr>
            <w:r>
              <w:rPr>
                <w:rFonts w:ascii="Times New Roman;serif" w:hAnsi="Times New Roman;serif"/>
                <w:b/>
                <w:sz w:val="20"/>
              </w:rPr>
              <w:t>Danbury, Connecticut</w:t>
            </w:r>
          </w:p>
        </w:tc>
        <w:tc>
          <w:tcPr>
            <w:tcW w:w="168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06810</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 w:hAnsi="Times New Roman"/>
          <w:sz w:val="20"/>
        </w:rPr>
      </w:pPr>
      <w:r>
        <w:rPr>
          <w:rFonts w:ascii="Times New Roman;serif" w:hAnsi="Times New Roman;serif"/>
          <w:b/>
          <w:sz w:val="20"/>
        </w:rPr>
        <w:t>(818) 661-5000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N/A</w:t>
      </w:r>
    </w:p>
    <w:p>
      <w:pPr>
        <w:pStyle w:val="TextBody"/>
        <w:bidi w:val="0"/>
        <w:spacing w:before="60" w:after="0"/>
        <w:jc w:val="center"/>
        <w:rPr>
          <w:rFonts w:ascii="Times New Roman;serif" w:hAnsi="Times New Roman;serif"/>
          <w:b w:val="false"/>
          <w:sz w:val="18"/>
        </w:rPr>
      </w:pPr>
      <w:r>
        <w:rPr>
          <w:rFonts w:ascii="Times New Roman;serif" w:hAnsi="Times New Roman;serif"/>
          <w:b w:val="false"/>
          <w:sz w:val="18"/>
        </w:rPr>
        <w:t>(Former name, former address and former fiscal year, if changed since last report)</w:t>
      </w:r>
    </w:p>
    <w:p>
      <w:pPr>
        <w:pStyle w:val="TextBody"/>
        <w:bidi w:val="0"/>
        <w:spacing w:before="60" w:after="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bidi w:val="0"/>
        <w:spacing w:before="0" w:after="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0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$0.01 per share</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MNKD</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6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039" w:type="dxa"/>
        <w:jc w:val="left"/>
        <w:tblInd w:w="0" w:type="dxa"/>
        <w:tblLayout w:type="fixed"/>
        <w:tblCellMar>
          <w:top w:w="28" w:type="dxa"/>
          <w:left w:w="28" w:type="dxa"/>
          <w:bottom w:w="28" w:type="dxa"/>
          <w:right w:w="28" w:type="dxa"/>
        </w:tblCellMar>
      </w:tblPr>
      <w:tblGrid>
        <w:gridCol w:w="1921"/>
        <w:gridCol w:w="386"/>
        <w:gridCol w:w="231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8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42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8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421" w:type="dxa"/>
            <w:tcBorders/>
            <w:vAlign w:val="center"/>
          </w:tcPr>
          <w:p>
            <w:pPr>
              <w:pStyle w:val="TableContents"/>
              <w:bidi w:val="0"/>
              <w:spacing w:before="0" w:after="0"/>
              <w:ind w:left="0" w:right="0" w:hanging="0"/>
              <w:jc w:val="left"/>
              <w:rPr/>
            </w:pPr>
            <w:r>
              <w:rPr/>
              <w:t xml:space="preserve">☐ </w:t>
            </w:r>
          </w:p>
        </w:tc>
      </w:tr>
      <w:tr>
        <w:trPr/>
        <w:tc>
          <w:tcPr>
            <w:tcW w:w="1921"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6" w:type="dxa"/>
            <w:tcBorders/>
            <w:tcMar>
              <w:top w:w="0" w:type="dxa"/>
              <w:left w:w="0" w:type="dxa"/>
              <w:bottom w:w="0" w:type="dxa"/>
              <w:right w:w="0" w:type="dxa"/>
            </w:tcMar>
            <w:vAlign w:val="center"/>
          </w:tcPr>
          <w:p>
            <w:pPr>
              <w:pStyle w:val="TableContents"/>
              <w:bidi w:val="0"/>
              <w:spacing w:before="0" w:after="0"/>
              <w:ind w:left="0" w:right="0" w:firstLine="240"/>
              <w:jc w:val="left"/>
              <w:rPr/>
            </w:pPr>
            <w:r>
              <w:rPr/>
              <w:t> </w:t>
            </w:r>
          </w:p>
        </w:tc>
        <w:tc>
          <w:tcPr>
            <w:tcW w:w="231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Emerging growth company</w:t>
            </w:r>
          </w:p>
        </w:tc>
        <w:tc>
          <w:tcPr>
            <w:tcW w:w="421" w:type="dxa"/>
            <w:tcBorders/>
            <w:vAlign w:val="center"/>
          </w:tcPr>
          <w:p>
            <w:pPr>
              <w:pStyle w:val="TableContents"/>
              <w:bidi w:val="0"/>
              <w:spacing w:before="0" w:after="0"/>
              <w:ind w:left="0" w:right="0" w:hanging="0"/>
              <w:jc w:val="left"/>
              <w:rPr/>
            </w:pPr>
            <w:r>
              <w:rPr/>
              <w:t>☐</w:t>
            </w:r>
          </w:p>
        </w:tc>
      </w:tr>
    </w:tbl>
    <w:p>
      <w:pPr>
        <w:pStyle w:val="TextBody"/>
        <w:bidi w:val="0"/>
        <w:spacing w:before="6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No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20"/>
        </w:rPr>
        <w:t>As of July 28, 2023, there were 268,355,182</w:t>
      </w:r>
      <w:r>
        <w:rPr>
          <w:rFonts w:ascii="Times New Roman" w:hAnsi="Times New Roman"/>
          <w:sz w:val="20"/>
        </w:rPr>
        <w:t xml:space="preserve"> </w:t>
      </w:r>
      <w:r>
        <w:rPr>
          <w:rFonts w:ascii="Times New Roman;serif" w:hAnsi="Times New Roman;serif"/>
          <w:b w:val="false"/>
          <w:sz w:val="20"/>
        </w:rPr>
        <w:t>shares of the registrant’s common stock, $0.01 par value per share, outstanding.</w:t>
      </w:r>
    </w:p>
    <w:p>
      <w:pPr>
        <w:pStyle w:val="TextBody"/>
        <w:pBdr>
          <w:bottom w:val="double" w:sz="6" w:space="1" w:color="000000"/>
        </w:pBdr>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MANNKIND CORPORATION</w:t>
      </w:r>
    </w:p>
    <w:p>
      <w:pPr>
        <w:pStyle w:val="TextBody"/>
        <w:bidi w:val="0"/>
        <w:spacing w:before="120" w:after="0"/>
        <w:jc w:val="center"/>
        <w:rPr>
          <w:rFonts w:ascii="Times New Roman" w:hAnsi="Times New Roman"/>
          <w:sz w:val="20"/>
        </w:rPr>
      </w:pPr>
      <w:r>
        <w:rPr>
          <w:rFonts w:ascii="Times New Roman;serif" w:hAnsi="Times New Roman;serif"/>
          <w:b/>
          <w:sz w:val="20"/>
        </w:rPr>
        <w:t>Form 10-Q</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120" w:after="240"/>
        <w:jc w:val="center"/>
        <w:rPr>
          <w:rFonts w:ascii="Times New Roman;serif" w:hAnsi="Times New Roman;serif"/>
          <w:b/>
          <w:sz w:val="20"/>
        </w:rPr>
      </w:pPr>
      <w:r>
        <w:rPr>
          <w:rFonts w:ascii="Times New Roman;serif" w:hAnsi="Times New Roman;serif"/>
          <w:b/>
          <w:sz w:val="20"/>
        </w:rPr>
        <w:t>TABLE OF CONTENTS</w:t>
      </w:r>
    </w:p>
    <w:tbl>
      <w:tblPr>
        <w:tblW w:w="9977" w:type="dxa"/>
        <w:jc w:val="left"/>
        <w:tblInd w:w="0" w:type="dxa"/>
        <w:tblLayout w:type="fixed"/>
        <w:tblCellMar>
          <w:top w:w="28" w:type="dxa"/>
          <w:left w:w="28" w:type="dxa"/>
          <w:bottom w:w="28" w:type="dxa"/>
          <w:right w:w="28" w:type="dxa"/>
        </w:tblCellMar>
      </w:tblPr>
      <w:tblGrid>
        <w:gridCol w:w="9466"/>
        <w:gridCol w:w="511"/>
      </w:tblGrid>
      <w:tr>
        <w:trPr/>
        <w:tc>
          <w:tcPr>
            <w:tcW w:w="946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466" w:type="dxa"/>
            <w:tcBorders/>
            <w:vAlign w:val="center"/>
          </w:tcPr>
          <w:p>
            <w:pPr>
              <w:pStyle w:val="TableContents"/>
              <w:bidi w:val="0"/>
              <w:spacing w:before="0" w:after="0"/>
              <w:ind w:left="0" w:right="0" w:hanging="0"/>
              <w:jc w:val="left"/>
              <w:rPr/>
            </w:pPr>
            <w:hyperlink w:anchor="part_1_financial_information">
              <w:r>
                <w:rPr>
                  <w:rStyle w:val="InternetLink"/>
                  <w:rFonts w:ascii="Times New Roman;serif" w:hAnsi="Times New Roman;serif"/>
                  <w:b w:val="false"/>
                  <w:sz w:val="20"/>
                  <w:u w:val="single"/>
                </w:rPr>
                <w:t>PART I: FINANCIAL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94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94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Item 1. Financial Statements (Unaudited)</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9466" w:type="dxa"/>
            <w:tcBorders/>
            <w:vAlign w:val="center"/>
          </w:tcPr>
          <w:p>
            <w:pPr>
              <w:pStyle w:val="TableContents"/>
              <w:bidi w:val="0"/>
              <w:spacing w:before="0" w:after="0"/>
              <w:ind w:left="0" w:right="0" w:hanging="0"/>
              <w:jc w:val="left"/>
              <w:rPr/>
            </w:pPr>
            <w:hyperlink w:anchor="condensed_consol_stmt_of_operations">
              <w:r>
                <w:rPr>
                  <w:rStyle w:val="InternetLink"/>
                  <w:rFonts w:ascii="Times New Roman;serif" w:hAnsi="Times New Roman;serif"/>
                  <w:b w:val="false"/>
                  <w:sz w:val="20"/>
                  <w:u w:val="single"/>
                </w:rPr>
                <w:t>Condensed Consolidated Statements of Operations: Three and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946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Condensed Consolidated Statements of Comprehensive Loss: Three and six months ended June 30, 2023 and 2022</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466" w:type="dxa"/>
            <w:tcBorders/>
            <w:vAlign w:val="center"/>
          </w:tcPr>
          <w:p>
            <w:pPr>
              <w:pStyle w:val="TableContents"/>
              <w:bidi w:val="0"/>
              <w:spacing w:before="0" w:after="0"/>
              <w:ind w:left="0" w:right="0" w:hanging="0"/>
              <w:jc w:val="left"/>
              <w:rPr/>
            </w:pPr>
            <w:hyperlink w:anchor="condensed_consol_balance_sheets">
              <w:r>
                <w:rPr>
                  <w:rStyle w:val="InternetLink"/>
                  <w:rFonts w:ascii="Times New Roman;serif" w:hAnsi="Times New Roman;serif"/>
                  <w:b w:val="false"/>
                  <w:sz w:val="20"/>
                  <w:u w:val="single"/>
                </w:rPr>
                <w:t>Condensed Consolidated Balance Sheets: June 30, 2023 and December 31,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466" w:type="dxa"/>
            <w:tcBorders/>
            <w:vAlign w:val="center"/>
          </w:tcPr>
          <w:p>
            <w:pPr>
              <w:pStyle w:val="TableContents"/>
              <w:bidi w:val="0"/>
              <w:spacing w:before="0" w:after="0"/>
              <w:ind w:left="0" w:right="0" w:hanging="0"/>
              <w:jc w:val="left"/>
              <w:rPr/>
            </w:pPr>
            <w:hyperlink w:anchor="consolidated_statements_stockholders">
              <w:r>
                <w:rPr>
                  <w:rStyle w:val="InternetLink"/>
                  <w:rFonts w:ascii="Times New Roman;serif" w:hAnsi="Times New Roman;serif"/>
                  <w:b w:val="false"/>
                  <w:sz w:val="20"/>
                  <w:u w:val="single"/>
                </w:rPr>
                <w:t>Condensed Consolidated Statements of Stockholders’ Deficit: Three and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466"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Six months ended June 30, 2023 and 2022</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466" w:type="dxa"/>
            <w:tcBorders/>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4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94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4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4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9466" w:type="dxa"/>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4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94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46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4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9466"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9466"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9466"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94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Item 6. Exhibits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94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9466" w:type="dxa"/>
            <w:tcBorders/>
            <w:vAlign w:val="center"/>
          </w:tcPr>
          <w:p>
            <w:pPr>
              <w:pStyle w:val="TableContents"/>
              <w:bidi w:val="0"/>
              <w:spacing w:before="0" w:after="0"/>
              <w:ind w:left="0" w:right="0" w:hanging="0"/>
              <w:jc w:val="left"/>
              <w:rPr/>
            </w:pPr>
            <w:hyperlink w:anchor="signature">
              <w:r>
                <w:rPr>
                  <w:rStyle w:val="InternetLink"/>
                  <w:rFonts w:ascii="Times New Roman;serif" w:hAnsi="Times New Roman;serif"/>
                  <w:b w:val="false"/>
                  <w:sz w:val="20"/>
                  <w:u w:val="single"/>
                </w:rPr>
                <w:t>SIGNATURES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bookmarkStart w:id="2" w:name="part_1_financial_information"/>
      <w:bookmarkEnd w:id="2"/>
      <w:r>
        <w:rPr>
          <w:rFonts w:ascii="Times New Roman;serif" w:hAnsi="Times New Roman;serif"/>
          <w:b/>
          <w:sz w:val="20"/>
        </w:rPr>
        <w:t>PART 1: FINANCIAL INFORMATION</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MANNKIND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densed_consol_stmt_of_operations"/>
      <w:bookmarkEnd w:id="4"/>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bidi w:val="0"/>
        <w:spacing w:before="0" w:after="240"/>
        <w:jc w:val="center"/>
        <w:rPr>
          <w:rFonts w:ascii="Times New Roman;serif" w:hAnsi="Times New Roman;serif"/>
          <w:b/>
          <w:sz w:val="20"/>
        </w:rPr>
      </w:pPr>
      <w:r>
        <w:rPr>
          <w:rFonts w:ascii="Times New Roman;serif" w:hAnsi="Times New Roman;serif"/>
          <w:b/>
          <w:sz w:val="20"/>
        </w:rPr>
        <w:t>(Unaudited)</w:t>
      </w:r>
    </w:p>
    <w:tbl>
      <w:tblPr>
        <w:tblW w:w="10205" w:type="dxa"/>
        <w:jc w:val="left"/>
        <w:tblInd w:w="0" w:type="dxa"/>
        <w:tblLayout w:type="fixed"/>
        <w:tblCellMar>
          <w:top w:w="28" w:type="dxa"/>
          <w:left w:w="28" w:type="dxa"/>
          <w:bottom w:w="28" w:type="dxa"/>
          <w:right w:w="28" w:type="dxa"/>
        </w:tblCellMar>
      </w:tblPr>
      <w:tblGrid>
        <w:gridCol w:w="4544"/>
        <w:gridCol w:w="146"/>
        <w:gridCol w:w="211"/>
        <w:gridCol w:w="781"/>
        <w:gridCol w:w="166"/>
        <w:gridCol w:w="146"/>
        <w:gridCol w:w="211"/>
        <w:gridCol w:w="781"/>
        <w:gridCol w:w="166"/>
        <w:gridCol w:w="146"/>
        <w:gridCol w:w="211"/>
        <w:gridCol w:w="781"/>
        <w:gridCol w:w="166"/>
        <w:gridCol w:w="146"/>
        <w:gridCol w:w="211"/>
        <w:gridCol w:w="781"/>
        <w:gridCol w:w="611"/>
      </w:tblGrid>
      <w:tr>
        <w:trPr/>
        <w:tc>
          <w:tcPr>
            <w:tcW w:w="4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90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tc>
        <w:tc>
          <w:tcPr>
            <w:tcW w:w="611" w:type="dxa"/>
            <w:tcBorders/>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22,548</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 collaborations and services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8,034</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Royalties – collaborations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Expenses: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6,901</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 – collaborations and services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17,012</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8,429</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28,596</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18,144</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(gain) on foreign currency transaction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46,890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39,348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93,514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72,596</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(41,710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on financing liability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available-for-sale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(55,021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(55,021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shares used to compute net loss per share </w:t>
              <w:br/>
              <w:t>   –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264,802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252,775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MANNKIND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STATEMENTS OF COMPREHENSIVE LOSS</w:t>
      </w:r>
      <w:r>
        <w:rPr>
          <w:rFonts w:ascii="Times New Roman" w:hAnsi="Times New Roman"/>
          <w:sz w:val="20"/>
        </w:rPr>
        <w:t xml:space="preserve"> </w:t>
      </w:r>
    </w:p>
    <w:p>
      <w:pPr>
        <w:pStyle w:val="TextBody"/>
        <w:bidi w:val="0"/>
        <w:spacing w:before="0" w:after="240"/>
        <w:jc w:val="center"/>
        <w:rPr>
          <w:rFonts w:ascii="Times New Roman" w:hAnsi="Times New Roman"/>
          <w:sz w:val="20"/>
        </w:rPr>
      </w:pPr>
      <w:bookmarkStart w:id="5" w:name="condensed_cons_stmts_of_comp_loss"/>
      <w:bookmarkEnd w:id="5"/>
      <w:r>
        <w:rPr>
          <w:rFonts w:ascii="Times New Roman;serif" w:hAnsi="Times New Roman;serif"/>
          <w:b/>
          <w:sz w:val="20"/>
        </w:rPr>
        <w:t>(Unaudited)</w:t>
      </w:r>
      <w:r>
        <w:rPr>
          <w:rFonts w:ascii="Times New Roman" w:hAnsi="Times New Roman"/>
          <w:sz w:val="20"/>
        </w:rPr>
        <w:t xml:space="preserve"> </w:t>
      </w:r>
    </w:p>
    <w:tbl>
      <w:tblPr>
        <w:tblW w:w="9567" w:type="dxa"/>
        <w:jc w:val="left"/>
        <w:tblInd w:w="0" w:type="dxa"/>
        <w:tblLayout w:type="fixed"/>
        <w:tblCellMar>
          <w:top w:w="28" w:type="dxa"/>
          <w:left w:w="28" w:type="dxa"/>
          <w:bottom w:w="28" w:type="dxa"/>
          <w:right w:w="28" w:type="dxa"/>
        </w:tblCellMar>
      </w:tblPr>
      <w:tblGrid>
        <w:gridCol w:w="4411"/>
        <w:gridCol w:w="146"/>
        <w:gridCol w:w="211"/>
        <w:gridCol w:w="631"/>
        <w:gridCol w:w="166"/>
        <w:gridCol w:w="146"/>
        <w:gridCol w:w="211"/>
        <w:gridCol w:w="736"/>
        <w:gridCol w:w="166"/>
        <w:gridCol w:w="146"/>
        <w:gridCol w:w="211"/>
        <w:gridCol w:w="736"/>
        <w:gridCol w:w="166"/>
        <w:gridCol w:w="146"/>
        <w:gridCol w:w="211"/>
        <w:gridCol w:w="736"/>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1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(55,021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(56,227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notes to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MANNKIND CORPORATION AND SUBSIDIARIES</w:t>
      </w:r>
    </w:p>
    <w:p>
      <w:pPr>
        <w:pStyle w:val="TextBody"/>
        <w:bidi w:val="0"/>
        <w:spacing w:before="0" w:after="0"/>
        <w:jc w:val="center"/>
        <w:rPr>
          <w:rFonts w:ascii="Times New Roman;serif" w:hAnsi="Times New Roman;serif"/>
          <w:b/>
          <w:sz w:val="20"/>
        </w:rPr>
      </w:pPr>
      <w:bookmarkStart w:id="6" w:name="condensed_consol_balance_sheets"/>
      <w:bookmarkEnd w:id="6"/>
      <w:r>
        <w:rPr>
          <w:rFonts w:ascii="Times New Roman;serif" w:hAnsi="Times New Roman;serif"/>
          <w:b/>
          <w:sz w:val="20"/>
        </w:rPr>
        <w:t>CONDENSED CONSOLIDATED BALANCE SHEETS</w:t>
      </w:r>
    </w:p>
    <w:p>
      <w:pPr>
        <w:pStyle w:val="TextBody"/>
        <w:bidi w:val="0"/>
        <w:spacing w:before="0" w:after="24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9712" w:type="dxa"/>
        <w:jc w:val="left"/>
        <w:tblInd w:w="0" w:type="dxa"/>
        <w:tblLayout w:type="fixed"/>
        <w:tblCellMar>
          <w:top w:w="28" w:type="dxa"/>
          <w:left w:w="28" w:type="dxa"/>
          <w:bottom w:w="28" w:type="dxa"/>
          <w:right w:w="28" w:type="dxa"/>
        </w:tblCellMar>
      </w:tblPr>
      <w:tblGrid>
        <w:gridCol w:w="5941"/>
        <w:gridCol w:w="146"/>
        <w:gridCol w:w="211"/>
        <w:gridCol w:w="991"/>
        <w:gridCol w:w="166"/>
        <w:gridCol w:w="146"/>
        <w:gridCol w:w="263"/>
        <w:gridCol w:w="1237"/>
        <w:gridCol w:w="6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1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(In thousands except share </w:t>
              <w:br/>
              <w:t>and per share data)</w:t>
            </w:r>
          </w:p>
        </w:tc>
        <w:tc>
          <w:tcPr>
            <w:tcW w:w="611" w:type="dxa"/>
            <w:tcBorders/>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69,767</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101,079</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16,801</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21,772</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25,477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234,896</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45,126</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2,428</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313,422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295,282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DEFICIT</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11,052</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35,553</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liability –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9,565</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Midcap credit facility –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1,733</w:t>
            </w:r>
          </w:p>
        </w:tc>
        <w:tc>
          <w:tcPr>
            <w:tcW w:w="61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Recognized loss on purchase commitments – 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67,296</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Mann Group convertible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 – Mann Group convertible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liability – long 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94,512</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Midcap credit facility – long 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39,264</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convertible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225,397</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loss on purchase commitments – long 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62,916</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5,343</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 long 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37,684</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Milestone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4,524</w:t>
            </w:r>
          </w:p>
        </w:tc>
        <w:tc>
          <w:tcPr>
            <w:tcW w:w="611" w:type="dxa"/>
            <w:tcBorders/>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573,909</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23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545,820</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15)</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deficit:</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Undesignated preferred stock, $0.01</w:t>
            </w:r>
            <w:r>
              <w:rPr>
                <w:rFonts w:ascii="Times New Roman" w:hAnsi="Times New Roman"/>
                <w:sz w:val="20"/>
              </w:rPr>
              <w:t> </w:t>
            </w:r>
            <w:r>
              <w:rPr>
                <w:rFonts w:ascii="Times New Roman;serif" w:hAnsi="Times New Roman;serif"/>
                <w:b w:val="false"/>
                <w:sz w:val="20"/>
              </w:rPr>
              <w:t>par value – 10,000,000</w:t>
            </w:r>
            <w:r>
              <w:rPr>
                <w:rFonts w:ascii="Times New Roman" w:hAnsi="Times New Roman"/>
                <w:sz w:val="20"/>
              </w:rPr>
              <w:t> </w:t>
            </w:r>
            <w:r>
              <w:rPr>
                <w:rFonts w:ascii="Times New Roman;serif" w:hAnsi="Times New Roman;serif"/>
                <w:b w:val="false"/>
                <w:sz w:val="20"/>
              </w:rPr>
              <w:t>shares</w:t>
              <w:br/>
              <w:t>   authorized; no</w:t>
            </w:r>
            <w:r>
              <w:rPr>
                <w:rFonts w:ascii="Times New Roman" w:hAnsi="Times New Roman"/>
                <w:sz w:val="20"/>
              </w:rPr>
              <w:t> </w:t>
            </w:r>
            <w:r>
              <w:rPr>
                <w:rFonts w:ascii="Times New Roman;serif" w:hAnsi="Times New Roman;serif"/>
                <w:b w:val="false"/>
                <w:sz w:val="20"/>
              </w:rPr>
              <w:t>shares issued or outstanding as of June 30, 2023</w:t>
              <w:br/>
              <w:t>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 – 800,000,000</w:t>
            </w:r>
            <w:r>
              <w:rPr>
                <w:rFonts w:ascii="Times New Roman" w:hAnsi="Times New Roman"/>
                <w:sz w:val="20"/>
              </w:rPr>
              <w:t> </w:t>
            </w:r>
            <w:r>
              <w:rPr>
                <w:rFonts w:ascii="Times New Roman;serif" w:hAnsi="Times New Roman;serif"/>
                <w:b w:val="false"/>
                <w:sz w:val="20"/>
              </w:rPr>
              <w:t>and 400,000,000</w:t>
            </w:r>
            <w:r>
              <w:rPr>
                <w:rFonts w:ascii="Times New Roman" w:hAnsi="Times New Roman"/>
                <w:sz w:val="20"/>
              </w:rPr>
              <w:t> </w:t>
            </w:r>
            <w:r>
              <w:rPr>
                <w:rFonts w:ascii="Times New Roman;serif" w:hAnsi="Times New Roman;serif"/>
                <w:b w:val="false"/>
                <w:sz w:val="20"/>
              </w:rPr>
              <w:t xml:space="preserve">shares </w:t>
              <w:br/>
              <w:t>   authorized as of June 30, 2023 and December 31, 2022, respectively,</w:t>
              <w:br/>
              <w:t>  and 268,235,145</w:t>
            </w:r>
            <w:r>
              <w:rPr>
                <w:rFonts w:ascii="Times New Roman" w:hAnsi="Times New Roman"/>
                <w:sz w:val="20"/>
              </w:rPr>
              <w:t> </w:t>
            </w:r>
            <w:r>
              <w:rPr>
                <w:rFonts w:ascii="Times New Roman;serif" w:hAnsi="Times New Roman;serif"/>
                <w:b w:val="false"/>
                <w:sz w:val="20"/>
              </w:rPr>
              <w:t>and 263,793,305</w:t>
            </w:r>
            <w:r>
              <w:rPr>
                <w:rFonts w:ascii="Times New Roman" w:hAnsi="Times New Roman"/>
                <w:sz w:val="20"/>
              </w:rPr>
              <w:t> </w:t>
            </w:r>
            <w:r>
              <w:rPr>
                <w:rFonts w:ascii="Times New Roman;serif" w:hAnsi="Times New Roman;serif"/>
                <w:b w:val="false"/>
                <w:sz w:val="20"/>
              </w:rPr>
              <w:t>shares issued and outstanding as of</w:t>
              <w:br/>
              <w: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2,638</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2,968,917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2,964,293</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(3,232,529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(3,217,469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(250,538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313,422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295,282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4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MANNKIND CORPORATION AND SUBSIDIARIES</w:t>
      </w:r>
    </w:p>
    <w:p>
      <w:pPr>
        <w:pStyle w:val="TextBody"/>
        <w:bidi w:val="0"/>
        <w:spacing w:before="0" w:after="0"/>
        <w:jc w:val="center"/>
        <w:rPr>
          <w:rFonts w:ascii="Times New Roman;serif" w:hAnsi="Times New Roman;serif"/>
          <w:b/>
          <w:sz w:val="20"/>
        </w:rPr>
      </w:pPr>
      <w:bookmarkStart w:id="7" w:name="consolidated_statements_stockholders"/>
      <w:bookmarkEnd w:id="7"/>
      <w:r>
        <w:rPr>
          <w:rFonts w:ascii="Times New Roman;serif" w:hAnsi="Times New Roman;serif"/>
          <w:b/>
          <w:sz w:val="20"/>
        </w:rPr>
        <w:t>CONDENSED CONSOLIDATED STATEMENTS OF STOCKHOLDERS’ DEFICIT</w:t>
      </w:r>
    </w:p>
    <w:p>
      <w:pPr>
        <w:pStyle w:val="TextBody"/>
        <w:bidi w:val="0"/>
        <w:spacing w:before="0" w:after="24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809"/>
        <w:gridCol w:w="146"/>
        <w:gridCol w:w="146"/>
        <w:gridCol w:w="586"/>
        <w:gridCol w:w="146"/>
        <w:gridCol w:w="146"/>
        <w:gridCol w:w="181"/>
        <w:gridCol w:w="436"/>
        <w:gridCol w:w="146"/>
        <w:gridCol w:w="146"/>
        <w:gridCol w:w="210"/>
        <w:gridCol w:w="805"/>
        <w:gridCol w:w="151"/>
        <w:gridCol w:w="146"/>
        <w:gridCol w:w="363"/>
        <w:gridCol w:w="961"/>
        <w:gridCol w:w="151"/>
        <w:gridCol w:w="146"/>
        <w:gridCol w:w="181"/>
        <w:gridCol w:w="736"/>
        <w:gridCol w:w="151"/>
        <w:gridCol w:w="146"/>
        <w:gridCol w:w="181"/>
        <w:gridCol w:w="631"/>
        <w:gridCol w:w="358"/>
      </w:tblGrid>
      <w:tr>
        <w:trPr/>
        <w:tc>
          <w:tcPr>
            <w:tcW w:w="2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8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4"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Other</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8" w:type="dxa"/>
            <w:tcBorders/>
            <w:vAlign w:val="center"/>
          </w:tcPr>
          <w:p>
            <w:pPr>
              <w:pStyle w:val="TableContents"/>
              <w:bidi w:val="0"/>
              <w:spacing w:before="0" w:after="0"/>
              <w:ind w:left="0" w:right="0" w:hanging="0"/>
              <w:jc w:val="center"/>
              <w:rPr/>
            </w:pPr>
            <w:r>
              <w:rPr/>
              <w:t> </w:t>
            </w:r>
          </w:p>
        </w:tc>
      </w:tr>
      <w:tr>
        <w:trPr/>
        <w:tc>
          <w:tcPr>
            <w:tcW w:w="28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 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892" w:type="dxa"/>
            <w:gridSpan w:val="2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358" w:type="dxa"/>
            <w:tcBorders/>
            <w:vAlign w:val="center"/>
          </w:tcPr>
          <w:p>
            <w:pPr>
              <w:pStyle w:val="TableContents"/>
              <w:bidi w:val="0"/>
              <w:spacing w:before="0" w:after="0"/>
              <w:ind w:left="0" w:right="0" w:hanging="0"/>
              <w:jc w:val="center"/>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2,918,205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(3,130,069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(209,349</w:t>
            </w:r>
          </w:p>
        </w:tc>
        <w:tc>
          <w:tcPr>
            <w:tcW w:w="358"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issuance of common stock associated</w:t>
              <w:br/>
              <w:t>   with stock options and restricted stock</w:t>
              <w:br/>
              <w:t>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Issuance of common stock under the employee </w:t>
              <w:br/>
              <w:t>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740</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2,806</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from market</w:t>
              <w:br/>
              <w:t>   price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684</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Cumulative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(1,076</w:t>
            </w:r>
          </w:p>
        </w:tc>
        <w:tc>
          <w:tcPr>
            <w:tcW w:w="358"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(25,998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(25,998</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252,413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2,922,555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(3,156,067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(232,064</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pursuant to</w:t>
              <w:br/>
              <w:t xml:space="preserve">   conversion of Mann Group </w:t>
              <w:br/>
              <w:t>   convertible note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9,596</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Issuance of common stock pursuant to </w:t>
              <w:br/>
              <w:t>   conversion of the Mann Group</w:t>
              <w:br/>
              <w:t>   convertible note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520</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issuance of common stock associated</w:t>
              <w:br/>
              <w:t>   with stock options and restricted stock</w:t>
              <w:br/>
              <w:t>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(377</w:t>
            </w:r>
          </w:p>
        </w:tc>
        <w:tc>
          <w:tcPr>
            <w:tcW w:w="358"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4,422</w:t>
            </w:r>
          </w:p>
        </w:tc>
        <w:tc>
          <w:tcPr>
            <w:tcW w:w="358" w:type="dxa"/>
            <w:tcBorders/>
            <w:vAlign w:val="center"/>
          </w:tcPr>
          <w:p>
            <w:pPr>
              <w:pStyle w:val="TableContents"/>
              <w:bidi w:val="0"/>
              <w:spacing w:before="0" w:after="0"/>
              <w:ind w:left="0" w:right="0" w:firstLine="160"/>
              <w:jc w:val="left"/>
              <w:rPr/>
            </w:pPr>
            <w:r>
              <w:rPr/>
              <w:t> </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Cumulative loss on available-for-sale</w:t>
              <w:br/>
              <w: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w:t>
            </w:r>
          </w:p>
        </w:tc>
        <w:tc>
          <w:tcPr>
            <w:tcW w:w="358"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(29,023</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257,277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2,936,667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(3,185,090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(247,056</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bl>
    <w:p>
      <w:pPr>
        <w:pStyle w:val="TextBody"/>
        <w:bidi w:val="0"/>
        <w:spacing w:before="120" w:after="0"/>
        <w:jc w:val="center"/>
        <w:rPr/>
      </w:pPr>
      <w:r>
        <w:rPr/>
        <w:t> </w:t>
      </w:r>
    </w:p>
    <w:tbl>
      <w:tblPr>
        <w:tblW w:w="10181" w:type="dxa"/>
        <w:jc w:val="left"/>
        <w:tblInd w:w="0" w:type="dxa"/>
        <w:tblLayout w:type="fixed"/>
        <w:tblCellMar>
          <w:top w:w="28" w:type="dxa"/>
          <w:left w:w="28" w:type="dxa"/>
          <w:bottom w:w="28" w:type="dxa"/>
          <w:right w:w="28" w:type="dxa"/>
        </w:tblCellMar>
      </w:tblPr>
      <w:tblGrid>
        <w:gridCol w:w="2776"/>
        <w:gridCol w:w="146"/>
        <w:gridCol w:w="146"/>
        <w:gridCol w:w="586"/>
        <w:gridCol w:w="146"/>
        <w:gridCol w:w="146"/>
        <w:gridCol w:w="181"/>
        <w:gridCol w:w="436"/>
        <w:gridCol w:w="146"/>
        <w:gridCol w:w="146"/>
        <w:gridCol w:w="211"/>
        <w:gridCol w:w="809"/>
        <w:gridCol w:w="151"/>
        <w:gridCol w:w="146"/>
        <w:gridCol w:w="458"/>
        <w:gridCol w:w="877"/>
        <w:gridCol w:w="146"/>
        <w:gridCol w:w="146"/>
        <w:gridCol w:w="181"/>
        <w:gridCol w:w="736"/>
        <w:gridCol w:w="151"/>
        <w:gridCol w:w="146"/>
        <w:gridCol w:w="181"/>
        <w:gridCol w:w="631"/>
        <w:gridCol w:w="35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Other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 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3" w:type="dxa"/>
            <w:gridSpan w:val="2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356" w:type="dxa"/>
            <w:tcBorders/>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2,964,293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(3,217,469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(250,538</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associated</w:t>
              <w:br/>
              <w:t>   with at-the-market placement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1,199</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costs associated with at-the-market</w:t>
              <w:br/>
              <w:t>   placement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issuance of common stock associated</w:t>
              <w:br/>
              <w:t>   with stock options and restricted stock units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Issuance of common stock pursuant to </w:t>
              <w:br/>
              <w:t>   conversion of the Mann Group</w:t>
              <w:br/>
              <w:t>   convertible note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3,655</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(9,795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(9,795</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264,279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2,969,225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(3,227,264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(255,396</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associated</w:t>
              <w:br/>
              <w:t>   at-the-market placement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1,583</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costs associated with at-the-market</w:t>
              <w:br/>
              <w:t>   placement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Issuance of common stock pursuant to </w:t>
              <w:br/>
              <w:t>   conversion of the Mann Group</w:t>
              <w:br/>
              <w:t>   convertible note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issuance of common stock associated</w:t>
              <w:br/>
              <w:t>   with stock options and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(8,576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(8,544</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 xml:space="preserve">Issuance of common stock under </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923</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5,580</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from market</w:t>
              <w:br/>
              <w:t>   price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152</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Cumulative gain on available-for-sale</w:t>
              <w:br/>
              <w: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443</w:t>
            </w:r>
          </w:p>
        </w:tc>
        <w:tc>
          <w:tcPr>
            <w:tcW w:w="356" w:type="dxa"/>
            <w:tcBorders/>
            <w:vAlign w:val="center"/>
          </w:tcPr>
          <w:p>
            <w:pPr>
              <w:pStyle w:val="TableContents"/>
              <w:bidi w:val="0"/>
              <w:spacing w:before="0" w:after="0"/>
              <w:ind w:left="0" w:right="0" w:firstLine="160"/>
              <w:jc w:val="left"/>
              <w:rPr/>
            </w:pPr>
            <w:r>
              <w:rPr/>
              <w:t> </w:t>
            </w:r>
          </w:p>
        </w:tc>
      </w:tr>
      <w:tr>
        <w:trPr/>
        <w:tc>
          <w:tcPr>
            <w:tcW w:w="27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(5,265</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268,235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2,968,917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(3,232,529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(260,487</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8"/>
        </w:rPr>
      </w:pPr>
      <w:r>
        <w:rPr>
          <w:rFonts w:ascii="Times New Roman;serif" w:hAnsi="Times New Roman;serif"/>
          <w:b/>
          <w:sz w:val="18"/>
        </w:rPr>
        <w:t>MANNKIND CORPORATION AND SUBSIDIARIES</w:t>
      </w:r>
    </w:p>
    <w:p>
      <w:pPr>
        <w:pStyle w:val="TextBody"/>
        <w:bidi w:val="0"/>
        <w:spacing w:before="0" w:after="0"/>
        <w:jc w:val="center"/>
        <w:rPr>
          <w:rFonts w:ascii="Times New Roman" w:hAnsi="Times New Roman"/>
          <w:sz w:val="20"/>
        </w:rPr>
      </w:pPr>
      <w:bookmarkStart w:id="8" w:name="condensed_consolidated_statements_cash_f"/>
      <w:bookmarkEnd w:id="8"/>
      <w:r>
        <w:rPr>
          <w:rFonts w:ascii="Times New Roman;serif" w:hAnsi="Times New Roman;serif"/>
          <w:b/>
          <w:sz w:val="18"/>
        </w:rPr>
        <w:t>CONDENSED CONSOLIDATED STATEMENTS OF CASH FLOWS</w:t>
      </w:r>
      <w:r>
        <w:rPr>
          <w:rFonts w:ascii="Times New Roman" w:hAnsi="Times New Roman"/>
          <w:sz w:val="20"/>
        </w:rPr>
        <w:t xml:space="preserve"> </w:t>
      </w:r>
    </w:p>
    <w:p>
      <w:pPr>
        <w:pStyle w:val="TextBody"/>
        <w:bidi w:val="0"/>
        <w:spacing w:before="0" w:after="240"/>
        <w:jc w:val="center"/>
        <w:rPr>
          <w:rFonts w:ascii="Times New Roman" w:hAnsi="Times New Roman"/>
          <w:sz w:val="20"/>
        </w:rPr>
      </w:pPr>
      <w:r>
        <w:rPr>
          <w:rFonts w:ascii="Times New Roman;serif" w:hAnsi="Times New Roman;serif"/>
          <w:b/>
          <w:sz w:val="18"/>
        </w:rPr>
        <w:t>(Unaudited)</w:t>
      </w:r>
      <w:r>
        <w:rPr>
          <w:rFonts w:ascii="Times New Roman" w:hAnsi="Times New Roman"/>
          <w:sz w:val="20"/>
        </w:rPr>
        <w:t xml:space="preserve"> </w:t>
      </w:r>
    </w:p>
    <w:tbl>
      <w:tblPr>
        <w:tblW w:w="8824" w:type="dxa"/>
        <w:jc w:val="left"/>
        <w:tblInd w:w="0" w:type="dxa"/>
        <w:tblLayout w:type="fixed"/>
        <w:tblCellMar>
          <w:top w:w="28" w:type="dxa"/>
          <w:left w:w="28" w:type="dxa"/>
          <w:bottom w:w="28" w:type="dxa"/>
          <w:right w:w="28" w:type="dxa"/>
        </w:tblCellMar>
      </w:tblPr>
      <w:tblGrid>
        <w:gridCol w:w="5881"/>
        <w:gridCol w:w="146"/>
        <w:gridCol w:w="181"/>
        <w:gridCol w:w="556"/>
        <w:gridCol w:w="151"/>
        <w:gridCol w:w="146"/>
        <w:gridCol w:w="181"/>
        <w:gridCol w:w="586"/>
        <w:gridCol w:w="996"/>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8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Six Months Ended June 30,</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01"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996" w:type="dxa"/>
            <w:tcBorders/>
            <w:vAlign w:val="center"/>
          </w:tcPr>
          <w:p>
            <w:pPr>
              <w:pStyle w:val="TableContents"/>
              <w:bidi w:val="0"/>
              <w:spacing w:before="0" w:after="0"/>
              <w:ind w:left="0" w:right="0" w:hanging="0"/>
              <w:jc w:val="center"/>
              <w:rPr/>
            </w:pPr>
            <w:r>
              <w:rPr/>
              <w:t> </w:t>
            </w:r>
          </w:p>
        </w:tc>
      </w:tr>
      <w:tr>
        <w:trPr/>
        <w:tc>
          <w:tcPr>
            <w:tcW w:w="5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FLOWS FROM OPERATING ACTIVITIES:</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996" w:type="dxa"/>
            <w:tcBorders/>
            <w:vAlign w:val="center"/>
          </w:tcPr>
          <w:p>
            <w:pPr>
              <w:pStyle w:val="TableContents"/>
              <w:bidi w:val="0"/>
              <w:spacing w:before="0" w:after="0"/>
              <w:ind w:left="0" w:right="0" w:firstLine="200"/>
              <w:jc w:val="righ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(15,060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(55,021</w:t>
            </w:r>
          </w:p>
        </w:tc>
        <w:tc>
          <w:tcPr>
            <w:tcW w:w="996" w:type="dxa"/>
            <w:tcBorders/>
            <w:vAlign w:val="center"/>
          </w:tcPr>
          <w:p>
            <w:pPr>
              <w:pStyle w:val="TableContents"/>
              <w:bidi w:val="0"/>
              <w:spacing w:before="0" w:after="0"/>
              <w:ind w:left="0" w:right="0" w:firstLine="2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used in</w:t>
              <w:br/>
              <w:t>   operating activities:</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996" w:type="dxa"/>
            <w:tcBorders/>
            <w:vAlign w:val="center"/>
          </w:tcPr>
          <w:p>
            <w:pPr>
              <w:pStyle w:val="TableContents"/>
              <w:bidi w:val="0"/>
              <w:spacing w:before="0" w:after="0"/>
              <w:ind w:left="0" w:right="0" w:firstLine="400"/>
              <w:jc w:val="righ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9,235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7,228</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expense on financing liability</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4,814</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Write-off of inventory</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451</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1,326</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Loss (gain) on foreign currency transaction</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(6,486</w:t>
            </w:r>
          </w:p>
        </w:tc>
        <w:tc>
          <w:tcPr>
            <w:tcW w:w="996" w:type="dxa"/>
            <w:tcBorders/>
            <w:vAlign w:val="center"/>
          </w:tcPr>
          <w:p>
            <w:pPr>
              <w:pStyle w:val="TableContents"/>
              <w:bidi w:val="0"/>
              <w:spacing w:before="0" w:after="0"/>
              <w:ind w:left="0" w:right="0" w:firstLine="4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debt discount and issuance costs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940</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right-of-use assets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2,331</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expense on Mann Group convertible note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Gain on available-for-sale securities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net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469</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on milestone right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3,912</w:t>
            </w:r>
          </w:p>
        </w:tc>
        <w:tc>
          <w:tcPr>
            <w:tcW w:w="996" w:type="dxa"/>
            <w:tcBorders/>
            <w:vAlign w:val="center"/>
          </w:tcPr>
          <w:p>
            <w:pPr>
              <w:pStyle w:val="TableContents"/>
              <w:bidi w:val="0"/>
              <w:spacing w:before="0" w:after="0"/>
              <w:ind w:left="0" w:right="0" w:firstLine="400"/>
              <w:jc w:val="left"/>
              <w:rPr/>
            </w:pPr>
            <w:r>
              <w:rPr/>
              <w:t> </w:t>
            </w:r>
          </w:p>
        </w:tc>
      </w:tr>
      <w:tr>
        <w:trPr/>
        <w:tc>
          <w:tcPr>
            <w:tcW w:w="588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996" w:type="dxa"/>
            <w:tcBorders/>
            <w:vAlign w:val="center"/>
          </w:tcPr>
          <w:p>
            <w:pPr>
              <w:pStyle w:val="TableContents"/>
              <w:bidi w:val="0"/>
              <w:spacing w:before="0" w:after="0"/>
              <w:ind w:left="0" w:right="0" w:firstLine="600"/>
              <w:jc w:val="right"/>
              <w:rPr/>
            </w:pPr>
            <w:r>
              <w:rPr/>
              <w:t> </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receivable, net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(10,988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(10,036</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Inventory</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(6,877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(2,720</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(235</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(441</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867</w:t>
            </w:r>
          </w:p>
        </w:tc>
        <w:tc>
          <w:tcPr>
            <w:tcW w:w="996" w:type="dxa"/>
            <w:tcBorders/>
            <w:vAlign w:val="center"/>
          </w:tcPr>
          <w:p>
            <w:pPr>
              <w:pStyle w:val="TableContents"/>
              <w:bidi w:val="0"/>
              <w:spacing w:before="0" w:after="0"/>
              <w:ind w:left="0" w:right="0" w:firstLine="600"/>
              <w:jc w:val="left"/>
              <w:rPr/>
            </w:pPr>
            <w:r>
              <w:rPr/>
              <w:t> </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(4,403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11,059</w:t>
            </w:r>
          </w:p>
        </w:tc>
        <w:tc>
          <w:tcPr>
            <w:tcW w:w="996" w:type="dxa"/>
            <w:tcBorders/>
            <w:vAlign w:val="center"/>
          </w:tcPr>
          <w:p>
            <w:pPr>
              <w:pStyle w:val="TableContents"/>
              <w:bidi w:val="0"/>
              <w:spacing w:before="0" w:after="0"/>
              <w:ind w:left="0" w:right="0" w:firstLine="600"/>
              <w:jc w:val="left"/>
              <w:rPr/>
            </w:pPr>
            <w:r>
              <w:rPr/>
              <w:t> </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Recognized loss on purchase commitments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(4,286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(2,928</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Operating lease liabilities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(2,441</w:t>
            </w:r>
          </w:p>
        </w:tc>
        <w:tc>
          <w:tcPr>
            <w:tcW w:w="996" w:type="dxa"/>
            <w:tcBorders/>
            <w:vAlign w:val="center"/>
          </w:tcPr>
          <w:p>
            <w:pPr>
              <w:pStyle w:val="TableContents"/>
              <w:bidi w:val="0"/>
              <w:spacing w:before="0" w:after="0"/>
              <w:ind w:left="0" w:right="0" w:firstLine="6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Deposits from customer</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(3,387</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provided by (used in) operating activities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(50,230</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FLOWS FROM INVESTING ACTIVITIES:</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996" w:type="dxa"/>
            <w:tcBorders/>
            <w:vAlign w:val="center"/>
          </w:tcPr>
          <w:p>
            <w:pPr>
              <w:pStyle w:val="TableContents"/>
              <w:bidi w:val="0"/>
              <w:spacing w:before="0" w:after="0"/>
              <w:ind w:left="0" w:right="0" w:firstLine="200"/>
              <w:jc w:val="righ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maturity of debt securities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69,083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53,307</w:t>
            </w:r>
          </w:p>
        </w:tc>
        <w:tc>
          <w:tcPr>
            <w:tcW w:w="996" w:type="dxa"/>
            <w:tcBorders/>
            <w:vAlign w:val="center"/>
          </w:tcPr>
          <w:p>
            <w:pPr>
              <w:pStyle w:val="TableContents"/>
              <w:bidi w:val="0"/>
              <w:spacing w:before="0" w:after="0"/>
              <w:ind w:left="0" w:right="0" w:firstLine="200"/>
              <w:jc w:val="lef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held-to-maturity debt securities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(26,447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(68,470</w:t>
            </w:r>
          </w:p>
        </w:tc>
        <w:tc>
          <w:tcPr>
            <w:tcW w:w="996" w:type="dxa"/>
            <w:tcBorders/>
            <w:vAlign w:val="center"/>
          </w:tcPr>
          <w:p>
            <w:pPr>
              <w:pStyle w:val="TableContents"/>
              <w:bidi w:val="0"/>
              <w:spacing w:before="0" w:after="0"/>
              <w:ind w:left="0" w:right="0" w:firstLine="2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property and equipment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(25,180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(2,222</w:t>
            </w:r>
          </w:p>
        </w:tc>
        <w:tc>
          <w:tcPr>
            <w:tcW w:w="996" w:type="dxa"/>
            <w:tcBorders/>
            <w:vAlign w:val="center"/>
          </w:tcPr>
          <w:p>
            <w:pPr>
              <w:pStyle w:val="TableContents"/>
              <w:bidi w:val="0"/>
              <w:spacing w:before="0" w:after="0"/>
              <w:ind w:left="0" w:right="0" w:firstLine="2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Acquisition of V-Go</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(15,099</w:t>
            </w:r>
          </w:p>
        </w:tc>
        <w:tc>
          <w:tcPr>
            <w:tcW w:w="996" w:type="dxa"/>
            <w:tcBorders/>
            <w:vAlign w:val="center"/>
          </w:tcPr>
          <w:p>
            <w:pPr>
              <w:pStyle w:val="TableContents"/>
              <w:bidi w:val="0"/>
              <w:spacing w:before="0" w:after="0"/>
              <w:ind w:left="0" w:right="0" w:firstLine="2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available-for-sale securities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(5,000</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provided by (used in) investing activities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17,456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(37,484</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FLOWS FROM FINANCING ACTIVITIES:</w:t>
            </w:r>
          </w:p>
        </w:tc>
        <w:tc>
          <w:tcPr>
            <w:tcW w:w="146" w:type="dxa"/>
            <w:tcBorders/>
            <w:vAlign w:val="center"/>
          </w:tcPr>
          <w:p>
            <w:pPr>
              <w:pStyle w:val="TableContents"/>
              <w:bidi w:val="0"/>
              <w:spacing w:before="0" w:after="0"/>
              <w:ind w:left="0" w:right="0" w:hanging="0"/>
              <w:jc w:val="righ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996" w:type="dxa"/>
            <w:tcBorders/>
            <w:vAlign w:val="center"/>
          </w:tcPr>
          <w:p>
            <w:pPr>
              <w:pStyle w:val="TableContents"/>
              <w:bidi w:val="0"/>
              <w:spacing w:before="0" w:after="0"/>
              <w:ind w:left="0" w:right="0" w:firstLine="200"/>
              <w:jc w:val="righ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at-the-market-offering</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996" w:type="dxa"/>
            <w:tcBorders/>
            <w:vAlign w:val="center"/>
          </w:tcPr>
          <w:p>
            <w:pPr>
              <w:pStyle w:val="TableContents"/>
              <w:bidi w:val="0"/>
              <w:spacing w:before="0" w:after="0"/>
              <w:ind w:left="0" w:right="0" w:firstLine="200"/>
              <w:jc w:val="lef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costs associated with at-the-market offering</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996" w:type="dxa"/>
            <w:tcBorders/>
            <w:vAlign w:val="center"/>
          </w:tcPr>
          <w:p>
            <w:pPr>
              <w:pStyle w:val="TableContents"/>
              <w:bidi w:val="0"/>
              <w:spacing w:before="0" w:after="0"/>
              <w:ind w:left="0" w:right="0" w:firstLine="200"/>
              <w:jc w:val="lef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market price stock purchase plan and employee stock purchase plan</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684</w:t>
            </w:r>
          </w:p>
        </w:tc>
        <w:tc>
          <w:tcPr>
            <w:tcW w:w="996" w:type="dxa"/>
            <w:tcBorders/>
            <w:vAlign w:val="center"/>
          </w:tcPr>
          <w:p>
            <w:pPr>
              <w:pStyle w:val="TableContents"/>
              <w:bidi w:val="0"/>
              <w:spacing w:before="0" w:after="0"/>
              <w:ind w:left="0" w:right="0" w:firstLine="200"/>
              <w:jc w:val="left"/>
              <w:rPr/>
            </w:pPr>
            <w:r>
              <w:rPr/>
              <w:t> </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Payments for taxes related to net issuance of common stock associated with</w:t>
              <w:br/>
              <w:t>   restricted stock units and stock options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w:t>
            </w:r>
          </w:p>
        </w:tc>
        <w:tc>
          <w:tcPr>
            <w:tcW w:w="996" w:type="dxa"/>
            <w:tcBorders/>
            <w:vAlign w:val="center"/>
          </w:tcPr>
          <w:p>
            <w:pPr>
              <w:pStyle w:val="TableContents"/>
              <w:bidi w:val="0"/>
              <w:spacing w:before="0" w:after="0"/>
              <w:ind w:left="0" w:right="0" w:firstLine="2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on financing liability</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(1,399</w:t>
            </w:r>
          </w:p>
        </w:tc>
        <w:tc>
          <w:tcPr>
            <w:tcW w:w="996" w:type="dxa"/>
            <w:tcBorders/>
            <w:vAlign w:val="center"/>
          </w:tcPr>
          <w:p>
            <w:pPr>
              <w:pStyle w:val="TableContents"/>
              <w:bidi w:val="0"/>
              <w:spacing w:before="0" w:after="0"/>
              <w:ind w:left="0" w:right="0" w:firstLine="80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used in financing activities</w:t>
            </w:r>
          </w:p>
        </w:tc>
        <w:tc>
          <w:tcPr>
            <w:tcW w:w="146" w:type="dxa"/>
            <w:tcBorders/>
            <w:vAlign w:val="center"/>
          </w:tcPr>
          <w:p>
            <w:pPr>
              <w:pStyle w:val="TableContents"/>
              <w:bidi w:val="0"/>
              <w:spacing w:before="0" w:after="0"/>
              <w:ind w:left="0" w:right="0" w:hanging="0"/>
              <w:jc w:val="right"/>
              <w:rPr/>
            </w:pPr>
            <w:r>
              <w:rPr/>
              <w:t> </w:t>
            </w:r>
          </w:p>
        </w:tc>
        <w:tc>
          <w:tcPr>
            <w:tcW w:w="1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55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(4,791</w:t>
            </w:r>
          </w:p>
        </w:tc>
        <w:tc>
          <w:tcPr>
            <w:tcW w:w="1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58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(963</w:t>
            </w:r>
          </w:p>
        </w:tc>
        <w:tc>
          <w:tcPr>
            <w:tcW w:w="9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CASH AND CASH EQUIVALENTS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16,417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(88,677</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5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BEGINNING OF PERIOD</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69,767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124,184</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END OF PERIOD</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86,184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35,507</w:t>
            </w:r>
          </w:p>
        </w:tc>
        <w:tc>
          <w:tcPr>
            <w:tcW w:w="9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tbl>
      <w:tblPr>
        <w:tblW w:w="6901" w:type="dxa"/>
        <w:jc w:val="left"/>
        <w:tblInd w:w="0" w:type="dxa"/>
        <w:tblLayout w:type="fixed"/>
        <w:tblCellMar>
          <w:top w:w="28" w:type="dxa"/>
          <w:left w:w="28" w:type="dxa"/>
          <w:bottom w:w="28" w:type="dxa"/>
          <w:right w:w="28" w:type="dxa"/>
        </w:tblCellMar>
      </w:tblPr>
      <w:tblGrid>
        <w:gridCol w:w="4756"/>
        <w:gridCol w:w="146"/>
        <w:gridCol w:w="184"/>
        <w:gridCol w:w="521"/>
        <w:gridCol w:w="149"/>
        <w:gridCol w:w="149"/>
        <w:gridCol w:w="184"/>
        <w:gridCol w:w="521"/>
        <w:gridCol w:w="2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0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7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08"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291" w:type="dxa"/>
            <w:tcBorders/>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CASH FLOWS DISCLOSURES:</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47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Interest paid in cash</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4,259</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4,341</w:t>
            </w:r>
          </w:p>
        </w:tc>
        <w:tc>
          <w:tcPr>
            <w:tcW w:w="29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NON-CASH INVESTING AND FINANCING ACTIVITIES:</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righ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Reclassification of Midcap credit facility from long-term to current</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16,667</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Reclassification of investments from long-term to current</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2,623</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52,236</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Non-cash construction in progress, property and equipment</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1,858</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916</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Right-of-use asset modification</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728</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3,794</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Goodwill adjustment for a net reduction in liabilities</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497</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Payments on debt and interest through common stock issuance</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10,116</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Issuance of common stock under employee stock purchase plan</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740</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Addition of right-of-use-asset</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1,812</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UT owned property and equipment</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1,563</w:t>
            </w:r>
          </w:p>
        </w:tc>
        <w:tc>
          <w:tcPr>
            <w:tcW w:w="291" w:type="dxa"/>
            <w:tcBorders/>
            <w:vAlign w:val="center"/>
          </w:tcPr>
          <w:p>
            <w:pPr>
              <w:pStyle w:val="TableContents"/>
              <w:bidi w:val="0"/>
              <w:spacing w:before="0" w:after="0"/>
              <w:ind w:left="0" w:right="0" w:firstLine="100"/>
              <w:jc w:val="left"/>
              <w:rPr/>
            </w:pPr>
            <w:r>
              <w:rPr/>
              <w:t> </w:t>
            </w:r>
          </w:p>
        </w:tc>
      </w:tr>
      <w:tr>
        <w:trPr/>
        <w:tc>
          <w:tcPr>
            <w:tcW w:w="475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Contingent milestone liability</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610</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serif" w:hAnsi="Times New Roman;serif"/>
          <w:b w:val="false"/>
          <w:sz w:val="18"/>
        </w:rPr>
      </w:pPr>
      <w:r>
        <w:rPr>
          <w:rFonts w:ascii="Times New Roman;serif" w:hAnsi="Times New Roman;serif"/>
          <w:b w:val="false"/>
          <w:sz w:val="18"/>
        </w:rPr>
        <w:t>See notes to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MANNKIND CORPORATION AND SUBSIDIARIES</w:t>
      </w:r>
    </w:p>
    <w:p>
      <w:pPr>
        <w:pStyle w:val="TextBody"/>
        <w:bidi w:val="0"/>
        <w:spacing w:before="0" w:after="0"/>
        <w:jc w:val="center"/>
        <w:rPr>
          <w:rFonts w:ascii="Times New Roman" w:hAnsi="Times New Roman"/>
          <w:sz w:val="20"/>
        </w:rPr>
      </w:pPr>
      <w:bookmarkStart w:id="9" w:name="notes_to_condensed_consolidated_financia"/>
      <w:bookmarkEnd w:id="9"/>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1. Description of Business and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2022, filed with the SEC on February 23, 2023 (the “Annual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the opinion of management, all adjustments, consisting only of normal, recurring adjustments, considered necessary for a fair presentation of the results of these interim periods have been included. The results of operations for the three and six months ended June 30, 2023 may not be indicative of the results that may be expected for the full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Financial Statement Estimates</w:t>
      </w:r>
      <w:r>
        <w:rPr>
          <w:rFonts w:ascii="Times New Roman" w:hAnsi="Times New Roman"/>
          <w:sz w:val="20"/>
        </w:rPr>
        <w:t xml:space="preserve"> — </w:t>
      </w:r>
      <w:r>
        <w:rPr>
          <w:rFonts w:ascii="Times New Roman;serif" w:hAnsi="Times New Roman;serif"/>
          <w:b w:val="false"/>
          <w:sz w:val="20"/>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Business </w:t>
      </w:r>
      <w:r>
        <w:rPr>
          <w:rFonts w:ascii="Times New Roman" w:hAnsi="Times New Roman"/>
          <w:sz w:val="20"/>
        </w:rPr>
        <w:t xml:space="preserve">— </w:t>
      </w:r>
      <w:r>
        <w:rPr>
          <w:rFonts w:ascii="Times New Roman;serif" w:hAnsi="Times New Roman;serif"/>
          <w:b w:val="false"/>
          <w:sz w:val="20"/>
        </w:rPr>
        <w:t>MannKind is a biopharmaceutical company focused on the development and commercialization of innovative therapeutic products and devices to address serious unmet medical needs for those living with endocrine and orphan lung diseases. The Company’s signature technologies, Technosphere dry-powder formulations and Dreamboat inhalation devices, 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United Therapeutics ("UT") began commercializing Tyvaso DPI in June 2022 and is obligated to pay the Company a royalty on net sales of the product. The Company also receives a margin on supplies of Tyvaso DPI that it manufactures for UT.</w:t>
      </w:r>
    </w:p>
    <w:p>
      <w:pPr>
        <w:pStyle w:val="TextBody"/>
        <w:bidi w:val="0"/>
        <w:spacing w:before="240" w:after="0"/>
        <w:jc w:val="left"/>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 </w:t>
      </w:r>
      <w:r>
        <w:rPr>
          <w:rFonts w:ascii="Times New Roman;serif" w:hAnsi="Times New Roman;serif"/>
          <w:b w:val="false"/>
          <w:sz w:val="20"/>
        </w:rPr>
        <w:t>The condensed consolidated financial statements have been prepared in accordance with 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Principles of Consolidation</w:t>
      </w:r>
      <w:r>
        <w:rPr>
          <w:rFonts w:ascii="Times New Roman" w:hAnsi="Times New Roman"/>
          <w:sz w:val="20"/>
        </w:rPr>
        <w:t xml:space="preserve"> — </w:t>
      </w:r>
      <w:r>
        <w:rPr>
          <w:rFonts w:ascii="Times New Roman;serif" w:hAnsi="Times New Roman;serif"/>
          <w:b w:val="false"/>
          <w:sz w:val="20"/>
        </w:rPr>
        <w:t>The condensed consolidated financial statements include the accounts of the Company and its wholly-owned subsidiaries. Intercompany balances and transactions have been eliminated.</w:t>
      </w:r>
    </w:p>
    <w:p>
      <w:pPr>
        <w:pStyle w:val="TextBody"/>
        <w:bidi w:val="0"/>
        <w:spacing w:before="240" w:after="0"/>
        <w:jc w:val="left"/>
        <w:rPr>
          <w:rFonts w:ascii="Times New Roman" w:hAnsi="Times New Roman"/>
          <w:sz w:val="20"/>
        </w:rPr>
      </w:pPr>
      <w:r>
        <w:rPr>
          <w:rFonts w:ascii="Times New Roman;serif" w:hAnsi="Times New Roman;serif"/>
          <w:b w:val="false"/>
          <w:i/>
          <w:sz w:val="20"/>
        </w:rPr>
        <w:t>Reclassifications</w:t>
      </w:r>
      <w:r>
        <w:rPr>
          <w:rFonts w:ascii="Times New Roman" w:hAnsi="Times New Roman"/>
          <w:sz w:val="20"/>
        </w:rPr>
        <w:t xml:space="preserve"> — </w:t>
      </w:r>
      <w:r>
        <w:rPr>
          <w:rFonts w:ascii="Times New Roman;serif" w:hAnsi="Times New Roman;serif"/>
          <w:b w:val="false"/>
          <w:sz w:val="20"/>
        </w:rPr>
        <w:t>Certain prior year reported amounts have been reclassified to conform with the current year presentation. Changes were made to the condensed consolidated statements of cash flows to present the amortization of debt discount and issuance costs separately and to disclose net investment accretion under other, net. In addition, changes were made to the condensed consolidated statements of operations to present selling expenses separately from general and administrative expenses.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i/>
          <w:sz w:val="20"/>
        </w:rPr>
        <w:t>Segment Information</w:t>
      </w:r>
      <w:r>
        <w:rPr>
          <w:rFonts w:ascii="Times New Roman" w:hAnsi="Times New Roman"/>
          <w:sz w:val="20"/>
        </w:rPr>
        <w:t xml:space="preserve"> — </w:t>
      </w:r>
      <w:r>
        <w:rPr>
          <w:rFonts w:ascii="Times New Roman;serif" w:hAnsi="Times New Roman;serif"/>
          <w:b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w:t>
      </w:r>
      <w:r>
        <w:rPr>
          <w:rFonts w:ascii="Times New Roman" w:hAnsi="Times New Roman"/>
          <w:sz w:val="20"/>
        </w:rPr>
        <w:t xml:space="preserve"> </w:t>
      </w:r>
      <w:r>
        <w:rPr>
          <w:rFonts w:ascii="Times New Roman;serif" w:hAnsi="Times New Roman;serif"/>
          <w:b w:val="false"/>
          <w:sz w:val="20"/>
        </w:rPr>
        <w:t>segment operating in the United States of America.</w:t>
      </w:r>
    </w:p>
    <w:p>
      <w:pPr>
        <w:pStyle w:val="TextBody"/>
        <w:bidi w:val="0"/>
        <w:spacing w:before="240" w:after="0"/>
        <w:jc w:val="left"/>
        <w:rPr>
          <w:rFonts w:ascii="Times New Roman" w:hAnsi="Times New Roman"/>
          <w:sz w:val="20"/>
        </w:rPr>
      </w:pPr>
      <w:r>
        <w:rPr>
          <w:rFonts w:ascii="Times New Roman;serif" w:hAnsi="Times New Roman;serif"/>
          <w:b w:val="false"/>
          <w:i/>
          <w:sz w:val="20"/>
        </w:rPr>
        <w:t>Revenue Recognition</w:t>
      </w:r>
      <w:r>
        <w:rPr>
          <w:rFonts w:ascii="Times New Roman" w:hAnsi="Times New Roman"/>
          <w:sz w:val="20"/>
        </w:rPr>
        <w:t xml:space="preserve"> — </w:t>
      </w:r>
      <w:r>
        <w:rPr>
          <w:rFonts w:ascii="Times New Roman;serif" w:hAnsi="Times New Roman;serif"/>
          <w:b w:val="false"/>
          <w:sz w:val="20"/>
        </w:rPr>
        <w:t>The Company recognizes revenue when its customers obtain control of promised goods or services, in an amount that reflects the consideration which the Company expects to be entitled in exchange for those goods or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To determine revenue recognition for arrangements that are within the scope of Accounting Standards Codification (“ASC”) 606, </w:t>
      </w:r>
      <w:r>
        <w:rPr>
          <w:rFonts w:ascii="Times New Roman;serif" w:hAnsi="Times New Roman;serif"/>
          <w:b w:val="false"/>
          <w:i/>
          <w:sz w:val="20"/>
        </w:rPr>
        <w:t xml:space="preserve">Revenue from Contracts with Customers </w:t>
      </w:r>
      <w:r>
        <w:rPr>
          <w:rFonts w:ascii="Times New Roman;serif" w:hAnsi="Times New Roman;serif"/>
          <w:b w:val="false"/>
          <w:sz w:val="20"/>
        </w:rPr>
        <w:t>(“ASC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pStyle w:val="TextBody"/>
        <w:bidi w:val="0"/>
        <w:spacing w:before="240" w:after="0"/>
        <w:jc w:val="left"/>
        <w:rPr>
          <w:rFonts w:ascii="Times New Roman" w:hAnsi="Times New Roman"/>
          <w:sz w:val="20"/>
        </w:rPr>
      </w:pPr>
      <w:r>
        <w:rPr>
          <w:rFonts w:ascii="Times New Roman;serif" w:hAnsi="Times New Roman;serif"/>
          <w:b w:val="false"/>
          <w:i/>
          <w:sz w:val="20"/>
        </w:rPr>
        <w:t>Revenue Recognition — Net Revenue – Commercial Product Sales —</w:t>
      </w:r>
      <w:r>
        <w:rPr>
          <w:rFonts w:ascii="Times New Roman" w:hAnsi="Times New Roman"/>
          <w:sz w:val="20"/>
        </w:rPr>
        <w:t xml:space="preserve"> </w:t>
      </w:r>
      <w:r>
        <w:rPr>
          <w:rFonts w:ascii="Times New Roman;serif" w:hAnsi="Times New Roman;serif"/>
          <w:b w:val="false"/>
          <w:sz w:val="20"/>
        </w:rPr>
        <w:t>The Company sells its products to a limited number of wholesale distributors, specialty and retail pharmacies, and durable medical equipment suppliers (“DME”)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serif" w:hAnsi="Times New Roman;serif"/>
          <w:b w:val="false"/>
          <w:i/>
          <w:sz w:val="20"/>
        </w:rPr>
        <w:t xml:space="preserve">Reserves for Variable Consideration </w:t>
      </w:r>
      <w:r>
        <w:rPr>
          <w:rFonts w:ascii="Times New Roman;serif" w:hAnsi="Times New Roman;serif"/>
          <w:b w:val="false"/>
          <w:sz w:val="20"/>
        </w:rPr>
        <w:t>below.</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Free Goods Program — </w:t>
      </w:r>
      <w:r>
        <w:rPr>
          <w:rFonts w:ascii="Times New Roman;serif" w:hAnsi="Times New Roman;serif"/>
          <w:b w:val="false"/>
          <w:sz w:val="20"/>
        </w:rPr>
        <w:t>From time to time, the Company offers programs to potential new patients that allow them to obtain free goods (prescription fills) from a pharmacy. The Company excludes such amounts related to these programs from both gross and net revenue. The cost of product associated with the free goods program is recognized as cost of goods sold in the condensed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Reserves for Variable Consideration </w:t>
      </w:r>
      <w:r>
        <w:rPr>
          <w:rFonts w:ascii="Times New Roman" w:hAnsi="Times New Roman"/>
          <w:sz w:val="20"/>
        </w:rPr>
        <w:t xml:space="preserve">— </w:t>
      </w:r>
      <w:r>
        <w:rPr>
          <w:rFonts w:ascii="Times New Roman;serif" w:hAnsi="Times New Roman;serif"/>
          <w:b w:val="false"/>
          <w:sz w:val="20"/>
        </w:rPr>
        <w:t>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0"/>
        <w:jc w:val="left"/>
        <w:rPr>
          <w:rFonts w:ascii="Times New Roman" w:hAnsi="Times New Roman"/>
          <w:sz w:val="20"/>
        </w:rPr>
      </w:pPr>
      <w:r>
        <w:rPr>
          <w:rFonts w:ascii="Times New Roman;serif" w:hAnsi="Times New Roman;serif"/>
          <w:b w:val="false"/>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estimates, the Company will adjust these estimates, which would affect net revenue from commercial product sales and earnings in the period such variances become known.</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Trade Discounts and Allowances </w:t>
      </w:r>
      <w:r>
        <w:rPr>
          <w:rFonts w:ascii="Times New Roman" w:hAnsi="Times New Roman"/>
          <w:sz w:val="20"/>
        </w:rPr>
        <w:t xml:space="preserve">— </w:t>
      </w:r>
      <w:r>
        <w:rPr>
          <w:rFonts w:ascii="Times New Roman;serif" w:hAnsi="Times New Roman;serif"/>
          <w:b w:val="false"/>
          <w:sz w:val="20"/>
        </w:rPr>
        <w:t>The Company generally provides Customers with discounts which include incentives, such as prompt pay 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Product Returns </w:t>
      </w:r>
      <w:r>
        <w:rPr>
          <w:rFonts w:ascii="Times New Roman" w:hAnsi="Times New Roman"/>
          <w:sz w:val="20"/>
        </w:rPr>
        <w:t xml:space="preserve">— </w:t>
      </w:r>
      <w:r>
        <w:rPr>
          <w:rFonts w:ascii="Times New Roman;serif" w:hAnsi="Times New Roman;serif"/>
          <w:b w:val="false"/>
          <w:sz w:val="20"/>
        </w:rPr>
        <w:t>Consistent with industry practice, the Company generally offers Customers a right of return for unopened product that has been purchased from the Company for a period beginning six months</w:t>
      </w:r>
      <w:r>
        <w:rPr>
          <w:rFonts w:ascii="Times New Roman" w:hAnsi="Times New Roman"/>
          <w:sz w:val="20"/>
        </w:rPr>
        <w:t xml:space="preserve"> </w:t>
      </w:r>
      <w:r>
        <w:rPr>
          <w:rFonts w:ascii="Times New Roman;serif" w:hAnsi="Times New Roman;serif"/>
          <w:b w:val="false"/>
          <w:sz w:val="20"/>
        </w:rPr>
        <w:t>prior to and ending 12</w:t>
      </w:r>
      <w:r>
        <w:rPr>
          <w:rFonts w:ascii="Times New Roman" w:hAnsi="Times New Roman"/>
          <w:sz w:val="20"/>
        </w:rPr>
        <w:t xml:space="preserve"> </w:t>
      </w:r>
      <w:r>
        <w:rPr>
          <w:rFonts w:ascii="Times New Roman;serif" w:hAnsi="Times New Roman;serif"/>
          <w:b w:val="false"/>
          <w:sz w:val="20"/>
        </w:rPr>
        <w:t>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Provider Chargebacks and Discounts </w:t>
      </w:r>
      <w:r>
        <w:rPr>
          <w:rFonts w:ascii="Times New Roman" w:hAnsi="Times New Roman"/>
          <w:sz w:val="20"/>
        </w:rPr>
        <w:t xml:space="preserve">— </w:t>
      </w:r>
      <w:r>
        <w:rPr>
          <w:rFonts w:ascii="Times New Roman;serif" w:hAnsi="Times New Roman;serif"/>
          <w:b w:val="false"/>
          <w:sz w:val="20"/>
        </w:rPr>
        <w:t>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Government Rebates </w:t>
      </w:r>
      <w:r>
        <w:rPr>
          <w:rFonts w:ascii="Times New Roman" w:hAnsi="Times New Roman"/>
          <w:sz w:val="20"/>
        </w:rPr>
        <w:t xml:space="preserve">— </w:t>
      </w:r>
      <w:r>
        <w:rPr>
          <w:rFonts w:ascii="Times New Roman;serif" w:hAnsi="Times New Roman;serif"/>
          <w:b w:val="false"/>
          <w:sz w:val="20"/>
        </w:rPr>
        <w:t>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Payer Rebates </w:t>
      </w:r>
      <w:r>
        <w:rPr>
          <w:rFonts w:ascii="Times New Roman" w:hAnsi="Times New Roman"/>
          <w:sz w:val="20"/>
        </w:rPr>
        <w:t xml:space="preserve">— </w:t>
      </w:r>
      <w:r>
        <w:rPr>
          <w:rFonts w:ascii="Times New Roman;serif" w:hAnsi="Times New Roman;serif"/>
          <w:b w:val="false"/>
          <w:sz w:val="20"/>
        </w:rPr>
        <w:t>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Other Incentives </w:t>
      </w:r>
      <w:r>
        <w:rPr>
          <w:rFonts w:ascii="Times New Roman" w:hAnsi="Times New Roman"/>
          <w:sz w:val="20"/>
        </w:rPr>
        <w:t xml:space="preserve">— </w:t>
      </w:r>
      <w:r>
        <w:rPr>
          <w:rFonts w:ascii="Times New Roman;serif" w:hAnsi="Times New Roman;serif"/>
          <w:b w:val="false"/>
          <w:sz w:val="20"/>
        </w:rPr>
        <w:t>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Revenue Recognition — Revenue – Collaborations and Services </w:t>
      </w:r>
      <w:r>
        <w:rPr>
          <w:rFonts w:ascii="Times New Roman" w:hAnsi="Times New Roman"/>
          <w:sz w:val="20"/>
        </w:rPr>
        <w:t xml:space="preserve">— </w:t>
      </w:r>
      <w:r>
        <w:rPr>
          <w:rFonts w:ascii="Times New Roman;serif" w:hAnsi="Times New Roman;serif"/>
          <w:b w:val="false"/>
          <w:sz w:val="20"/>
        </w:rPr>
        <w:t xml:space="preserve">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10 – </w:t>
      </w:r>
      <w:r>
        <w:rPr>
          <w:rFonts w:ascii="Times New Roman;serif" w:hAnsi="Times New Roman;serif"/>
          <w:b w:val="false"/>
          <w:i/>
          <w:sz w:val="20"/>
        </w:rPr>
        <w:t>Collaboration, Licensing and Other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w:t>
      </w:r>
      <w:r>
        <w:rPr>
          <w:rFonts w:ascii="Times New Roman" w:hAnsi="Times New Roman"/>
          <w:sz w:val="20"/>
        </w:rPr>
        <w:t xml:space="preserve"> </w:t>
      </w:r>
      <w:r>
        <w:rPr>
          <w:rFonts w:ascii="Times New Roman;serif" w:hAnsi="Times New Roman;serif"/>
          <w:b w:val="false"/>
          <w:sz w:val="20"/>
        </w:rPr>
        <w:t xml:space="preserve">months. Amounts that the Company expects will not be recognized within the next 12 months are classified as long-term deferred revenue. For further information, see Note 10 – </w:t>
      </w:r>
      <w:r>
        <w:rPr>
          <w:rFonts w:ascii="Times New Roman;serif" w:hAnsi="Times New Roman;serif"/>
          <w:b w:val="false"/>
          <w:i/>
          <w:sz w:val="20"/>
        </w:rPr>
        <w:t>Collaboration, Licensing and Other Arrangements.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0"/>
        <w:jc w:val="left"/>
        <w:rPr>
          <w:rFonts w:ascii="Times New Roman" w:hAnsi="Times New Roman"/>
          <w:sz w:val="20"/>
        </w:rPr>
      </w:pPr>
      <w:r>
        <w:rPr>
          <w:rFonts w:ascii="Times New Roman;serif" w:hAnsi="Times New Roman;serif"/>
          <w:b w:val="false"/>
          <w:sz w:val="20"/>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pStyle w:val="TextBody"/>
        <w:bidi w:val="0"/>
        <w:spacing w:before="240" w:after="0"/>
        <w:jc w:val="left"/>
        <w:rPr>
          <w:rFonts w:ascii="Times New Roman" w:hAnsi="Times New Roman"/>
          <w:sz w:val="20"/>
        </w:rPr>
      </w:pPr>
      <w:r>
        <w:rPr>
          <w:rFonts w:ascii="Times New Roman;serif" w:hAnsi="Times New Roman;serif"/>
          <w:b w:val="false"/>
          <w:sz w:val="20"/>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pStyle w:val="TextBody"/>
        <w:bidi w:val="0"/>
        <w:spacing w:before="240" w:after="240"/>
        <w:jc w:val="left"/>
        <w:rPr>
          <w:rFonts w:ascii="Times New Roman" w:hAnsi="Times New Roman"/>
          <w:sz w:val="20"/>
        </w:rPr>
      </w:pPr>
      <w:r>
        <w:rPr>
          <w:rFonts w:ascii="Times New Roman;serif" w:hAnsi="Times New Roman;serif"/>
          <w:b w:val="false"/>
          <w:i/>
          <w:sz w:val="20"/>
        </w:rPr>
        <w:t>Revenue Recognition – Royalties —</w:t>
      </w:r>
      <w:r>
        <w:rPr>
          <w:rFonts w:ascii="Times New Roman" w:hAnsi="Times New Roman"/>
          <w:sz w:val="20"/>
        </w:rPr>
        <w:t xml:space="preserve"> </w:t>
      </w:r>
      <w:r>
        <w:rPr>
          <w:rFonts w:ascii="Times New Roman;serif" w:hAnsi="Times New Roman;serif"/>
          <w:b w:val="false"/>
          <w:sz w:val="20"/>
        </w:rPr>
        <w:t>The Company recognizes royalty revenue for a sales-based or usage-based royalty if it is promised in exchange for an intellectual property license. The royalty revenue is recognized as the latter of the subsequent sale of the product occurs or if the performance obligation to which the royalty has been allocated has been satisfied or partially satisfied. The Company’s collaborative agreement with UT entitles it to receive low double-digit royalties on net sales of Tyvaso DPI for the license of the Company’s IP that was considered to be interdependent with the development activities that supported the approval of Tyvaso DPI.</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Company’s net revenue and cost of revenue and goods sold as shown on the condensed consolidated statement of operations is comprised of revenue generated from product sales, services and royalties as shown below (in thousands):</w:t>
      </w:r>
    </w:p>
    <w:tbl>
      <w:tblPr>
        <w:tblW w:w="6707" w:type="dxa"/>
        <w:jc w:val="left"/>
        <w:tblInd w:w="0" w:type="dxa"/>
        <w:tblLayout w:type="fixed"/>
        <w:tblCellMar>
          <w:top w:w="28" w:type="dxa"/>
          <w:left w:w="28" w:type="dxa"/>
          <w:bottom w:w="28" w:type="dxa"/>
          <w:right w:w="28" w:type="dxa"/>
        </w:tblCellMar>
      </w:tblPr>
      <w:tblGrid>
        <w:gridCol w:w="1546"/>
        <w:gridCol w:w="146"/>
        <w:gridCol w:w="211"/>
        <w:gridCol w:w="676"/>
        <w:gridCol w:w="146"/>
        <w:gridCol w:w="146"/>
        <w:gridCol w:w="211"/>
        <w:gridCol w:w="676"/>
        <w:gridCol w:w="146"/>
        <w:gridCol w:w="146"/>
        <w:gridCol w:w="211"/>
        <w:gridCol w:w="676"/>
        <w:gridCol w:w="146"/>
        <w:gridCol w:w="146"/>
        <w:gridCol w:w="211"/>
        <w:gridCol w:w="676"/>
        <w:gridCol w:w="5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5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Product sales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28,427</w:t>
            </w:r>
          </w:p>
        </w:tc>
        <w:tc>
          <w:tcPr>
            <w:tcW w:w="591" w:type="dxa"/>
            <w:tcBorders/>
            <w:vAlign w:val="center"/>
          </w:tcPr>
          <w:p>
            <w:pPr>
              <w:pStyle w:val="TableContents"/>
              <w:bidi w:val="0"/>
              <w:spacing w:before="0" w:after="0"/>
              <w:ind w:left="0" w:right="0" w:firstLine="200"/>
              <w:jc w:val="left"/>
              <w:rPr/>
            </w:pPr>
            <w:r>
              <w:rPr/>
              <w:t> </w:t>
            </w:r>
          </w:p>
        </w:tc>
      </w:tr>
      <w:tr>
        <w:trPr/>
        <w:tc>
          <w:tcPr>
            <w:tcW w:w="15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Services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2,155</w:t>
            </w:r>
          </w:p>
        </w:tc>
        <w:tc>
          <w:tcPr>
            <w:tcW w:w="591" w:type="dxa"/>
            <w:tcBorders/>
            <w:vAlign w:val="center"/>
          </w:tcPr>
          <w:p>
            <w:pPr>
              <w:pStyle w:val="TableContents"/>
              <w:bidi w:val="0"/>
              <w:spacing w:before="0" w:after="0"/>
              <w:ind w:left="0" w:right="0" w:firstLine="200"/>
              <w:jc w:val="left"/>
              <w:rPr/>
            </w:pPr>
            <w:r>
              <w:rPr/>
              <w:t> </w:t>
            </w:r>
          </w:p>
        </w:tc>
      </w:tr>
      <w:tr>
        <w:trPr/>
        <w:tc>
          <w:tcPr>
            <w:tcW w:w="15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Royalties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Amounts represent the net sales of Afrezza and V-Go to wholesalers and specialty pharmacies and Tyvaso DPI to UT.</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spacing w:before="0" w:after="0"/>
        <w:jc w:val="left"/>
        <w:rPr>
          <w:rFonts w:ascii="Times New Roman;serif" w:hAnsi="Times New Roman;serif"/>
          <w:sz w:val="20"/>
        </w:rPr>
      </w:pPr>
      <w:r>
        <w:rPr>
          <w:rFonts w:ascii="Times New Roman;serif" w:hAnsi="Times New Roman;serif"/>
          <w:b w:val="false"/>
          <w:sz w:val="18"/>
        </w:rPr>
        <w:t xml:space="preserve">Amounts represent revenue generated from the Company's collaboration arrangements, including Next-Gen R&amp;D Services (as defined in Note 10) for UT as well as arrangements with other collaboration partners. See Note 10 – </w:t>
      </w:r>
      <w:r>
        <w:rPr>
          <w:rFonts w:ascii="Times New Roman;serif" w:hAnsi="Times New Roman;serif"/>
          <w:b w:val="false"/>
          <w:i/>
          <w:sz w:val="18"/>
        </w:rPr>
        <w:t>Collaboration, Licensing and Other Arrangements</w:t>
      </w:r>
      <w:r>
        <w:rPr>
          <w:rFonts w:ascii="Times New Roman;serif" w:hAnsi="Times New Roman;serif"/>
          <w:b w:val="false"/>
          <w:sz w:val="18"/>
        </w:rPr>
        <w:t xml:space="preserve">. </w:t>
      </w:r>
    </w:p>
    <w:p>
      <w:pPr>
        <w:pStyle w:val="TextBody"/>
        <w:bidi w:val="0"/>
        <w:spacing w:before="0" w:after="240"/>
        <w:jc w:val="left"/>
        <w:rPr>
          <w:rFonts w:ascii="Times New Roman" w:hAnsi="Times New Roman"/>
          <w:b w:val="false"/>
          <w:sz w:val="14"/>
        </w:rPr>
      </w:pPr>
      <w:r>
        <w:rPr>
          <w:rFonts w:ascii="Times New Roman" w:hAnsi="Times New Roman"/>
          <w:b w:val="false"/>
          <w:sz w:val="14"/>
        </w:rPr>
        <w:t>(3)</w:t>
      </w:r>
    </w:p>
    <w:p>
      <w:pPr>
        <w:pStyle w:val="TextBody"/>
        <w:bidi w:val="0"/>
        <w:spacing w:before="0" w:after="240"/>
        <w:jc w:val="left"/>
        <w:rPr>
          <w:rFonts w:ascii="Times New Roman;serif" w:hAnsi="Times New Roman;serif"/>
          <w:b w:val="false"/>
          <w:sz w:val="18"/>
        </w:rPr>
      </w:pPr>
      <w:r>
        <w:rPr>
          <w:rFonts w:ascii="Times New Roman;serif" w:hAnsi="Times New Roman;serif"/>
          <w:b w:val="false"/>
          <w:sz w:val="18"/>
        </w:rPr>
        <w:t xml:space="preserve">Amounts represent royalties on UT’s net sales of Tyvaso DPI. </w:t>
      </w:r>
    </w:p>
    <w:tbl>
      <w:tblPr>
        <w:tblW w:w="8852"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11"/>
        <w:gridCol w:w="676"/>
        <w:gridCol w:w="146"/>
        <w:gridCol w:w="146"/>
        <w:gridCol w:w="211"/>
        <w:gridCol w:w="676"/>
        <w:gridCol w:w="146"/>
        <w:gridCol w:w="146"/>
        <w:gridCol w:w="211"/>
        <w:gridCol w:w="676"/>
        <w:gridCol w:w="5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Cost of goods sold and cost of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22,967</w:t>
            </w:r>
          </w:p>
        </w:tc>
        <w:tc>
          <w:tcPr>
            <w:tcW w:w="591" w:type="dxa"/>
            <w:tcBorders/>
            <w:vAlign w:val="center"/>
          </w:tcPr>
          <w:p>
            <w:pPr>
              <w:pStyle w:val="TableContents"/>
              <w:bidi w:val="0"/>
              <w:spacing w:before="0" w:after="0"/>
              <w:ind w:left="0" w:right="0" w:firstLine="200"/>
              <w:jc w:val="left"/>
              <w:rPr/>
            </w:pPr>
            <w:r>
              <w:rPr/>
              <w:t> </w:t>
            </w:r>
          </w:p>
        </w:tc>
      </w:tr>
      <w:tr>
        <w:trPr/>
        <w:tc>
          <w:tcPr>
            <w:tcW w:w="3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goods sold and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Milestone Payments </w:t>
      </w:r>
      <w:r>
        <w:rPr>
          <w:rFonts w:ascii="Times New Roman" w:hAnsi="Times New Roman"/>
          <w:sz w:val="20"/>
        </w:rPr>
        <w:t xml:space="preserve">— </w:t>
      </w:r>
      <w:r>
        <w:rPr>
          <w:rFonts w:ascii="Times New Roman;serif" w:hAnsi="Times New Roman;serif"/>
          <w:b w:val="false"/>
          <w:sz w:val="20"/>
        </w:rPr>
        <w:t>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Cost of Goods Sold </w:t>
      </w:r>
      <w:r>
        <w:rPr>
          <w:rFonts w:ascii="Times New Roman" w:hAnsi="Times New Roman"/>
          <w:sz w:val="20"/>
        </w:rPr>
        <w:t xml:space="preserve">— </w:t>
      </w:r>
      <w:r>
        <w:rPr>
          <w:rFonts w:ascii="Times New Roman;serif" w:hAnsi="Times New Roman;serif"/>
          <w:b w:val="false"/>
          <w:sz w:val="20"/>
        </w:rPr>
        <w:t>Cost of goods sold includes material, labor costs and manufacturing overhead. Cost of goods sold also includes a component of current period manufacturing costs in excess of costs capitalized into inventory (“excess capacity costs”). These costs, in addition to the impact of the revaluation of inventory for standard costing, and write-offs of inventory are recorded as expenses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pStyle w:val="TextBody"/>
        <w:bidi w:val="0"/>
        <w:spacing w:before="240" w:after="0"/>
        <w:jc w:val="left"/>
        <w:rPr>
          <w:rFonts w:ascii="Times New Roman" w:hAnsi="Times New Roman"/>
          <w:sz w:val="20"/>
        </w:rPr>
      </w:pPr>
      <w:r>
        <w:rPr>
          <w:rFonts w:ascii="Times New Roman;serif" w:hAnsi="Times New Roman;serif"/>
          <w:b w:val="false"/>
          <w:i/>
          <w:sz w:val="20"/>
        </w:rPr>
        <w:t>Cost of Revenues – Collaborations and Services</w:t>
      </w:r>
      <w:r>
        <w:rPr>
          <w:rFonts w:ascii="Times New Roman" w:hAnsi="Times New Roman"/>
          <w:sz w:val="20"/>
        </w:rPr>
        <w:t xml:space="preserve"> — </w:t>
      </w:r>
      <w:r>
        <w:rPr>
          <w:rFonts w:ascii="Times New Roman;serif" w:hAnsi="Times New Roman;serif"/>
          <w:b w:val="false"/>
          <w:sz w:val="20"/>
        </w:rPr>
        <w:t>Cost of revenues for collaborations and services includes material, labor costs, manufacturing overhead, 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pStyle w:val="TextBody"/>
        <w:bidi w:val="0"/>
        <w:spacing w:before="240" w:after="0"/>
        <w:jc w:val="left"/>
        <w:rPr>
          <w:rFonts w:ascii="Times New Roman" w:hAnsi="Times New Roman"/>
          <w:sz w:val="20"/>
        </w:rPr>
      </w:pPr>
      <w:r>
        <w:rPr>
          <w:rFonts w:ascii="Times New Roman;serif" w:hAnsi="Times New Roman;serif"/>
          <w:b w:val="false"/>
          <w:i/>
          <w:sz w:val="20"/>
        </w:rPr>
        <w:t>Research and Development ("R&amp;D")</w:t>
      </w:r>
      <w:r>
        <w:rPr>
          <w:rFonts w:ascii="Times New Roman" w:hAnsi="Times New Roman"/>
          <w:sz w:val="20"/>
        </w:rPr>
        <w:t xml:space="preserve"> — </w:t>
      </w:r>
      <w:r>
        <w:rPr>
          <w:rFonts w:ascii="Times New Roman;serif" w:hAnsi="Times New Roman;serif"/>
          <w:b w:val="false"/>
          <w:sz w:val="20"/>
        </w:rPr>
        <w:t>Clinical trial expenses result from obligations under contracts with vendors, consultants and clinical site 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Cash and Cash Equivalents</w:t>
      </w:r>
      <w:r>
        <w:rPr>
          <w:rFonts w:ascii="Times New Roman" w:hAnsi="Times New Roman"/>
          <w:sz w:val="20"/>
        </w:rPr>
        <w:t xml:space="preserve"> — </w:t>
      </w:r>
      <w:r>
        <w:rPr>
          <w:rFonts w:ascii="Times New Roman;serif" w:hAnsi="Times New Roman;serif"/>
          <w:b w:val="false"/>
          <w:sz w:val="20"/>
        </w:rPr>
        <w:t>The Company considers all highly liquid investments with original or remaining maturities of 90 days or less at the time of purchase, that are readily convertible into cash to be cash equivalents. As of June 30, 2023 and December 31, 2022, cash equivalents were comprised of money market funds, corporate bonds and commercial paper with original maturities less than 90 days from the date of purchase.</w:t>
      </w:r>
    </w:p>
    <w:p>
      <w:pPr>
        <w:pStyle w:val="TextBody"/>
        <w:bidi w:val="0"/>
        <w:spacing w:before="240" w:after="0"/>
        <w:jc w:val="left"/>
        <w:rPr>
          <w:rFonts w:ascii="Times New Roman" w:hAnsi="Times New Roman"/>
          <w:sz w:val="20"/>
        </w:rPr>
      </w:pPr>
      <w:r>
        <w:rPr>
          <w:rFonts w:ascii="Times New Roman;serif" w:hAnsi="Times New Roman;serif"/>
          <w:b w:val="false"/>
          <w:i/>
          <w:sz w:val="20"/>
        </w:rPr>
        <w:t>Held-to-Maturity Investments</w:t>
      </w:r>
      <w:r>
        <w:rPr>
          <w:rFonts w:ascii="Times New Roman" w:hAnsi="Times New Roman"/>
          <w:sz w:val="20"/>
        </w:rPr>
        <w:t xml:space="preserve"> — </w:t>
      </w:r>
      <w:r>
        <w:rPr>
          <w:rFonts w:ascii="Times New Roman;serif" w:hAnsi="Times New Roman;serif"/>
          <w:b w:val="false"/>
          <w:sz w:val="20"/>
        </w:rPr>
        <w:t>The Company’s investments generally consist of commercial paper, corporate notes or bonds and U.S. Treasury securities. As of June 30, 2023 and December 31, 2022, the Company held short-term and long-term investments of debt securities, including commercial paper and bonds.</w:t>
      </w:r>
      <w:r>
        <w:rPr>
          <w:rFonts w:ascii="Times New Roman" w:hAnsi="Times New Roman"/>
          <w:sz w:val="20"/>
        </w:rPr>
        <w:t xml:space="preserve"> </w:t>
      </w:r>
      <w:r>
        <w:rPr>
          <w:rFonts w:ascii="Times New Roman;serif" w:hAnsi="Times New Roman;serif"/>
          <w:b w:val="false"/>
          <w:sz w:val="20"/>
        </w:rPr>
        <w:t>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i/>
          <w:sz w:val="20"/>
        </w:rPr>
        <w:t>Available-for-Sale Investment</w:t>
      </w:r>
      <w:r>
        <w:rPr>
          <w:rFonts w:ascii="Times New Roman" w:hAnsi="Times New Roman"/>
          <w:sz w:val="20"/>
        </w:rPr>
        <w:t xml:space="preserve"> — </w:t>
      </w:r>
      <w:r>
        <w:rPr>
          <w:rFonts w:ascii="Times New Roman;serif" w:hAnsi="Times New Roman;serif"/>
          <w:b w:val="false"/>
          <w:sz w:val="20"/>
        </w:rPr>
        <w:t>In June 2021, the Company purchased a $3.0</w:t>
      </w:r>
      <w:r>
        <w:rPr>
          <w:rFonts w:ascii="Times New Roman" w:hAnsi="Times New Roman"/>
          <w:sz w:val="20"/>
        </w:rPr>
        <w:t xml:space="preserve"> </w:t>
      </w:r>
      <w:r>
        <w:rPr>
          <w:rFonts w:ascii="Times New Roman;serif" w:hAnsi="Times New Roman;serif"/>
          <w:b w:val="false"/>
          <w:sz w:val="20"/>
        </w:rPr>
        <w:t>million convertible promissory note (the “Thirona convertible note”) issued by Thirona Bio, Inc. (“Thirona”). In January 2022, the Company purchased an additional $5.0</w:t>
      </w:r>
      <w:r>
        <w:rPr>
          <w:rFonts w:ascii="Times New Roman" w:hAnsi="Times New Roman"/>
          <w:sz w:val="20"/>
        </w:rPr>
        <w:t xml:space="preserve"> </w:t>
      </w:r>
      <w:r>
        <w:rPr>
          <w:rFonts w:ascii="Times New Roman;serif" w:hAnsi="Times New Roman;serif"/>
          <w:b w:val="false"/>
          <w:sz w:val="20"/>
        </w:rPr>
        <w:t xml:space="preserve">million convertible promissory note issued by Thirona. Unless earlier converted into conversion shares pursuant to the note purchase agreement, the principal and accrued interest shall be due and payable by Thirona on demand by the Company at any time after the maturity date. The Thirona convertible notes were amended in February 2023, which extended the maturity date from December 31, 2022 to June 30, 2024. The Thirona convertible notes are general unsecured obligations of Thirona and accrue interest at a rate of 6% per annum. The Thirona convertible notes are classified as available-for-sale securities and are included in prepaid expenses and other current assets in the condensed consolidated balance sheets. The Company assesses whether it has any intention to sell the investment, determines fair value of its available-for-sale investments using level 3 inputs as well as assesses whether there were other-than-temporary impairments associated with the available-for-sale investment. Unrealized holding gains and losses are excluded from earnings and reported in other comprehensive income until realized. In June 2021, the Company and Thirona also entered into a collaboration agreement to develop a compound for the treatment of fibrotic lung diseases. See Note 10 – </w:t>
      </w:r>
      <w:r>
        <w:rPr>
          <w:rFonts w:ascii="Times New Roman;serif" w:hAnsi="Times New Roman;serif"/>
          <w:b w:val="false"/>
          <w:i/>
          <w:sz w:val="20"/>
        </w:rPr>
        <w:t>Collaboration, Licensing and Other Arrangements</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i/>
          <w:sz w:val="20"/>
        </w:rPr>
        <w:t>Concentration of Credit Risk</w:t>
      </w:r>
      <w:r>
        <w:rPr>
          <w:rFonts w:ascii="Times New Roman" w:hAnsi="Times New Roman"/>
          <w:sz w:val="20"/>
        </w:rPr>
        <w:t xml:space="preserve"> — </w:t>
      </w:r>
      <w:r>
        <w:rPr>
          <w:rFonts w:ascii="Times New Roman;serif" w:hAnsi="Times New Roman;serif"/>
          <w:b w:val="false"/>
          <w:sz w:val="20"/>
        </w:rPr>
        <w:t>Financial instruments that potentially subject the Company to concentration of credit risk consist of cash and cash equivalents and investments. Cash and cash equivalents are held in high credit quality institutions. Cash equivalents consist of interest-bearing money market funds and U.S. Treasury securities with original or remaining maturities of 90 days or less at the time of purchase. Investments generally consist of commercial paper, corporate notes or bonds and U.S. Treasury securities. The cash equivalents and investments are regularly monitored by management.</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Accounts Receivable and Allowance for Credit Losses </w:t>
      </w:r>
      <w:r>
        <w:rPr>
          <w:rFonts w:ascii="Times New Roman" w:hAnsi="Times New Roman"/>
          <w:sz w:val="20"/>
        </w:rPr>
        <w:t xml:space="preserve">— </w:t>
      </w:r>
      <w:r>
        <w:rPr>
          <w:rFonts w:ascii="Times New Roman;serif" w:hAnsi="Times New Roman;serif"/>
          <w:b w:val="false"/>
          <w:sz w:val="20"/>
        </w:rPr>
        <w:t>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Pre-Launch Inventory </w:t>
      </w:r>
      <w:r>
        <w:rPr>
          <w:rFonts w:ascii="Times New Roman" w:hAnsi="Times New Roman"/>
          <w:sz w:val="20"/>
        </w:rPr>
        <w:t xml:space="preserve">— </w:t>
      </w:r>
      <w:r>
        <w:rPr>
          <w:rFonts w:ascii="Times New Roman;serif" w:hAnsi="Times New Roman;serif"/>
          <w:b w:val="false"/>
          <w:sz w:val="20"/>
        </w:rPr>
        <w:t>An improvement to the manufacturing process for the Company’s primary excipient, fumaryl diketopiperazine (“FDKP”) was 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R&amp;D expense in the period incurred.</w:t>
      </w:r>
    </w:p>
    <w:p>
      <w:pPr>
        <w:pStyle w:val="TextBody"/>
        <w:bidi w:val="0"/>
        <w:spacing w:before="240" w:after="0"/>
        <w:jc w:val="left"/>
        <w:rPr>
          <w:rFonts w:ascii="Times New Roman" w:hAnsi="Times New Roman"/>
          <w:sz w:val="20"/>
        </w:rPr>
      </w:pPr>
      <w:r>
        <w:rPr>
          <w:rFonts w:ascii="Times New Roman;serif" w:hAnsi="Times New Roman;serif"/>
          <w:b w:val="false"/>
          <w:i/>
          <w:sz w:val="20"/>
        </w:rPr>
        <w:t>Inventories</w:t>
      </w:r>
      <w:r>
        <w:rPr>
          <w:rFonts w:ascii="Times New Roman" w:hAnsi="Times New Roman"/>
          <w:sz w:val="20"/>
        </w:rPr>
        <w:t xml:space="preserve"> — </w:t>
      </w:r>
      <w:r>
        <w:rPr>
          <w:rFonts w:ascii="Times New Roman;serif" w:hAnsi="Times New Roman;serif"/>
          <w:b w:val="false"/>
          <w:sz w:val="20"/>
        </w:rPr>
        <w:t>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pStyle w:val="TextBody"/>
        <w:bidi w:val="0"/>
        <w:spacing w:before="240" w:after="0"/>
        <w:jc w:val="left"/>
        <w:rPr>
          <w:rFonts w:ascii="Times New Roman" w:hAnsi="Times New Roman"/>
          <w:sz w:val="20"/>
        </w:rPr>
      </w:pPr>
      <w:r>
        <w:rPr>
          <w:rFonts w:ascii="Times New Roman;serif" w:hAnsi="Times New Roman;serif"/>
          <w:b w:val="false"/>
          <w:i/>
          <w:sz w:val="20"/>
        </w:rPr>
        <w:t>Property and Equipment</w:t>
      </w:r>
      <w:r>
        <w:rPr>
          <w:rFonts w:ascii="Times New Roman" w:hAnsi="Times New Roman"/>
          <w:sz w:val="20"/>
        </w:rPr>
        <w:t xml:space="preserve"> — </w:t>
      </w:r>
      <w:r>
        <w:rPr>
          <w:rFonts w:ascii="Times New Roman;serif" w:hAnsi="Times New Roman;serif"/>
          <w:b w:val="false"/>
          <w:sz w:val="20"/>
        </w:rPr>
        <w:t xml:space="preserve">Property and equipment is recorded at historical cost, net of accumulated depreciation. Depreciation expense is recorded over the assets’ useful lives on a straight-line basis. See Note 6 – </w:t>
      </w:r>
      <w:r>
        <w:rPr>
          <w:rFonts w:ascii="Times New Roman;serif" w:hAnsi="Times New Roman;serif"/>
          <w:b w:val="false"/>
          <w:i/>
          <w:sz w:val="20"/>
        </w:rPr>
        <w:t>Property and Equipment</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i/>
          <w:sz w:val="20"/>
        </w:rPr>
        <w:t>Impairment of Long-Lived Assets</w:t>
      </w:r>
      <w:r>
        <w:rPr>
          <w:rFonts w:ascii="Times New Roman" w:hAnsi="Times New Roman"/>
          <w:sz w:val="20"/>
        </w:rPr>
        <w:t xml:space="preserve"> — </w:t>
      </w:r>
      <w:r>
        <w:rPr>
          <w:rFonts w:ascii="Times New Roman;serif" w:hAnsi="Times New Roman;serif"/>
          <w:b w:val="false"/>
          <w:sz w:val="20"/>
        </w:rPr>
        <w:t>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Acquisitions — </w:t>
      </w:r>
      <w:r>
        <w:rPr>
          <w:rFonts w:ascii="Times New Roman;serif" w:hAnsi="Times New Roman;serif"/>
          <w:b w:val="false"/>
          <w:sz w:val="20"/>
        </w:rPr>
        <w:t xml:space="preserve">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projects, and liabilities assumed are recorded at their respective fair values as of the acquisition date in the Company’s condensed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2 – </w:t>
      </w:r>
      <w:r>
        <w:rPr>
          <w:rFonts w:ascii="Times New Roman;serif" w:hAnsi="Times New Roman;serif"/>
          <w:b w:val="false"/>
          <w:i/>
          <w:sz w:val="20"/>
        </w:rPr>
        <w:t>Acquisition</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Goodwill and Other Intangible Assets — </w:t>
      </w:r>
      <w:r>
        <w:rPr>
          <w:rFonts w:ascii="Times New Roman;serif" w:hAnsi="Times New Roman;serif"/>
          <w:b w:val="false"/>
          <w:sz w:val="20"/>
        </w:rPr>
        <w:t>The fair value of acquired intangible assets is determined using an income-based approach referred to as the 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0"/>
        <w:jc w:val="left"/>
        <w:rPr>
          <w:rFonts w:ascii="Times New Roman" w:hAnsi="Times New Roman"/>
          <w:sz w:val="20"/>
        </w:rPr>
      </w:pPr>
      <w:r>
        <w:rPr>
          <w:rFonts w:ascii="Times New Roman;serif" w:hAnsi="Times New Roman;serif"/>
          <w:b w:val="false"/>
          <w:i/>
          <w:sz w:val="20"/>
        </w:rPr>
        <w:t>Recognized Loss on Purchase Commitments</w:t>
      </w:r>
      <w:r>
        <w:rPr>
          <w:rFonts w:ascii="Times New Roman" w:hAnsi="Times New Roman"/>
          <w:sz w:val="20"/>
        </w:rPr>
        <w:t xml:space="preserve"> — </w:t>
      </w:r>
      <w:r>
        <w:rPr>
          <w:rFonts w:ascii="Times New Roman;serif" w:hAnsi="Times New Roman;serif"/>
          <w:b w:val="false"/>
          <w:sz w:val="20"/>
        </w:rPr>
        <w:t>The Company assesses whether losses on long-term purchase commitments should be accrued. Losses that 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Milestone Rights Liability</w:t>
      </w:r>
      <w:r>
        <w:rPr>
          <w:rFonts w:ascii="Times New Roman" w:hAnsi="Times New Roman"/>
          <w:sz w:val="20"/>
        </w:rPr>
        <w:t xml:space="preserve"> — </w:t>
      </w:r>
      <w:r>
        <w:rPr>
          <w:rFonts w:ascii="Times New Roman;serif" w:hAnsi="Times New Roman;serif"/>
          <w:b w:val="false"/>
          <w:sz w:val="20"/>
        </w:rPr>
        <w:t>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SÁRL (the “Original Milestone Purchasers”). The foregoing milestone rights provided the Original Milestone Purchasers certain rights to receive payments of up to $90.0</w:t>
      </w:r>
      <w:r>
        <w:rPr>
          <w:rFonts w:ascii="Times New Roman" w:hAnsi="Times New Roman"/>
          <w:sz w:val="20"/>
        </w:rPr>
        <w:t xml:space="preserve"> </w:t>
      </w:r>
      <w:r>
        <w:rPr>
          <w:rFonts w:ascii="Times New Roman;serif" w:hAnsi="Times New Roman;serif"/>
          <w:b w:val="false"/>
          <w:sz w:val="20"/>
        </w:rPr>
        <w:t>million upon the occurrence of specified strategic and Afrezza sales milestones, $60.0</w:t>
      </w:r>
      <w:r>
        <w:rPr>
          <w:rFonts w:ascii="Times New Roman" w:hAnsi="Times New Roman"/>
          <w:sz w:val="20"/>
        </w:rPr>
        <w:t xml:space="preserve"> </w:t>
      </w:r>
      <w:r>
        <w:rPr>
          <w:rFonts w:ascii="Times New Roman;serif" w:hAnsi="Times New Roman;serif"/>
          <w:b w:val="false"/>
          <w:sz w:val="20"/>
        </w:rPr>
        <w:t xml:space="preserve">million of which remains payable as of June 30, 2023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11 – </w:t>
      </w:r>
      <w:r>
        <w:rPr>
          <w:rFonts w:ascii="Times New Roman;serif" w:hAnsi="Times New Roman;serif"/>
          <w:b w:val="false"/>
          <w:i/>
          <w:sz w:val="20"/>
        </w:rPr>
        <w:t>Fair Value of Financial Instruments</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sz w:val="20"/>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As of June 30, 2023, a $5.0</w:t>
      </w:r>
      <w:r>
        <w:rPr>
          <w:rFonts w:ascii="Times New Roman" w:hAnsi="Times New Roman"/>
          <w:sz w:val="20"/>
        </w:rPr>
        <w:t xml:space="preserve"> </w:t>
      </w:r>
      <w:r>
        <w:rPr>
          <w:rFonts w:ascii="Times New Roman;serif" w:hAnsi="Times New Roman;serif"/>
          <w:b w:val="false"/>
          <w:sz w:val="20"/>
        </w:rPr>
        <w:t xml:space="preserve">million milestone rights payment was included in accrued expenses and other current liabilities in our condensed consolidated balance sheets, which will be paid in the third quarter of 2023. (See Note 8 – </w:t>
      </w:r>
      <w:r>
        <w:rPr>
          <w:rFonts w:ascii="Times New Roman;serif" w:hAnsi="Times New Roman;serif"/>
          <w:b w:val="false"/>
          <w:i/>
          <w:sz w:val="20"/>
        </w:rPr>
        <w:t xml:space="preserve">Accrued Expenses and Other Current Liabilities </w:t>
      </w:r>
      <w:r>
        <w:rPr>
          <w:rFonts w:ascii="Times New Roman;serif" w:hAnsi="Times New Roman;serif"/>
          <w:b w:val="false"/>
          <w:sz w:val="20"/>
        </w:rPr>
        <w:t xml:space="preserve">and Note 9 – </w:t>
      </w:r>
      <w:r>
        <w:rPr>
          <w:rFonts w:ascii="Times New Roman;serif" w:hAnsi="Times New Roman;serif"/>
          <w:b w:val="false"/>
          <w:i/>
          <w:sz w:val="20"/>
        </w:rPr>
        <w:t>Borrowings.</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Fair Value of Financial Instruments </w:t>
      </w:r>
      <w:r>
        <w:rPr>
          <w:rFonts w:ascii="Times New Roman" w:hAnsi="Times New Roman"/>
          <w:sz w:val="20"/>
        </w:rPr>
        <w:t xml:space="preserve">— </w:t>
      </w:r>
      <w:r>
        <w:rPr>
          <w:rFonts w:ascii="Times New Roman;serif" w:hAnsi="Times New Roman;serif"/>
          <w:b w:val="false"/>
          <w:sz w:val="20"/>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 Quoted prices for identical instruments in active markets.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 — Significant inputs to the valuation model are unobservable.</w:t>
      </w:r>
    </w:p>
    <w:p>
      <w:pPr>
        <w:pStyle w:val="TextBody"/>
        <w:bidi w:val="0"/>
        <w:spacing w:before="240" w:after="0"/>
        <w:jc w:val="left"/>
        <w:rPr>
          <w:rFonts w:ascii="Times New Roman" w:hAnsi="Times New Roman"/>
          <w:sz w:val="20"/>
        </w:rPr>
      </w:pPr>
      <w:r>
        <w:rPr>
          <w:rFonts w:ascii="Times New Roman;serif" w:hAnsi="Times New Roman;serif"/>
          <w:b w:val="false"/>
          <w:i/>
          <w:sz w:val="20"/>
        </w:rPr>
        <w:t>Income Taxes</w:t>
      </w:r>
      <w:r>
        <w:rPr>
          <w:rFonts w:ascii="Times New Roman" w:hAnsi="Times New Roman"/>
          <w:sz w:val="20"/>
        </w:rPr>
        <w:t xml:space="preserve"> — </w:t>
      </w:r>
      <w:r>
        <w:rPr>
          <w:rFonts w:ascii="Times New Roman;serif" w:hAnsi="Times New Roman;serif"/>
          <w:b w:val="false"/>
          <w:sz w:val="20"/>
        </w:rPr>
        <w:t>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Contingencies</w:t>
      </w:r>
      <w:r>
        <w:rPr>
          <w:rFonts w:ascii="Times New Roman" w:hAnsi="Times New Roman"/>
          <w:sz w:val="20"/>
        </w:rPr>
        <w:t xml:space="preserve"> — </w:t>
      </w:r>
      <w:r>
        <w:rPr>
          <w:rFonts w:ascii="Times New Roman;serif" w:hAnsi="Times New Roman;serif"/>
          <w:b w:val="false"/>
          <w:sz w:val="20"/>
        </w:rPr>
        <w:t>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Stock-Based Compensation </w:t>
      </w:r>
      <w:r>
        <w:rPr>
          <w:rFonts w:ascii="Times New Roman" w:hAnsi="Times New Roman"/>
          <w:sz w:val="20"/>
        </w:rPr>
        <w:t xml:space="preserve">— </w:t>
      </w:r>
      <w:r>
        <w:rPr>
          <w:rFonts w:ascii="Times New Roman;serif" w:hAnsi="Times New Roman;serif"/>
          <w:b w:val="false"/>
          <w:sz w:val="20"/>
        </w:rPr>
        <w:t>Share-based payments to employees, including grants of restricted stock units ("RSUs,") performance-based non-qualified 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Net Income (Loss) Per Share of Common Stock</w:t>
      </w:r>
      <w:r>
        <w:rPr>
          <w:rFonts w:ascii="Times New Roman" w:hAnsi="Times New Roman"/>
          <w:sz w:val="20"/>
        </w:rPr>
        <w:t xml:space="preserve"> — </w:t>
      </w:r>
      <w:r>
        <w:rPr>
          <w:rFonts w:ascii="Times New Roman;serif" w:hAnsi="Times New Roman;serif"/>
          <w:b w:val="false"/>
          <w:sz w:val="20"/>
        </w:rPr>
        <w:t>Basic net income or loss per share excludes dilution for potentially dilutive securities and is 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pStyle w:val="TextBody"/>
        <w:bidi w:val="0"/>
        <w:spacing w:before="240" w:after="0"/>
        <w:jc w:val="left"/>
        <w:rPr>
          <w:rFonts w:ascii="Times New Roman" w:hAnsi="Times New Roman"/>
          <w:sz w:val="20"/>
        </w:rPr>
      </w:pPr>
      <w:r>
        <w:rPr>
          <w:rFonts w:ascii="Times New Roman;serif" w:hAnsi="Times New Roman;serif"/>
          <w:b w:val="false"/>
          <w:i/>
          <w:sz w:val="20"/>
        </w:rPr>
        <w:t>Recently Issued Accounting Standards</w:t>
      </w:r>
      <w:r>
        <w:rPr>
          <w:rFonts w:ascii="Times New Roman" w:hAnsi="Times New Roman"/>
          <w:sz w:val="20"/>
        </w:rPr>
        <w:t xml:space="preserve"> — </w:t>
      </w:r>
      <w:r>
        <w:rPr>
          <w:rFonts w:ascii="Times New Roman;serif" w:hAnsi="Times New Roman;serif"/>
          <w:b w:val="false"/>
          <w:sz w:val="20"/>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2. Acquisition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2022, the Company purchased certain assets and assumed certain liabilities associated with the V-Go wearable insulin delivery device from Zealand Pharma A/S and Zealand Pharma US, Inc. (together “Zealand”).</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terms of the agreement with Zealand, the Company paid up-front consideration of $15.3</w:t>
      </w:r>
      <w:r>
        <w:rPr>
          <w:rFonts w:ascii="Times New Roman" w:hAnsi="Times New Roman"/>
          <w:sz w:val="20"/>
        </w:rPr>
        <w:t xml:space="preserve"> </w:t>
      </w:r>
      <w:r>
        <w:rPr>
          <w:rFonts w:ascii="Times New Roman;serif" w:hAnsi="Times New Roman;serif"/>
          <w:b w:val="false"/>
          <w:sz w:val="20"/>
        </w:rPr>
        <w:t>million for certain assets and assumed liabilities related to V-Go. In addition, the Company will be obligated to make one-time sales-based milestone payments to Zealand totaling up to a maximum of $10.0</w:t>
      </w:r>
      <w:r>
        <w:rPr>
          <w:rFonts w:ascii="Times New Roman" w:hAnsi="Times New Roman"/>
          <w:sz w:val="20"/>
        </w:rPr>
        <w:t xml:space="preserve"> </w:t>
      </w:r>
      <w:r>
        <w:rPr>
          <w:rFonts w:ascii="Times New Roman;serif" w:hAnsi="Times New Roman;serif"/>
          <w:b w:val="false"/>
          <w:sz w:val="20"/>
        </w:rPr>
        <w:t>million upon the achievement of specified annual revenue milestones between $40</w:t>
      </w:r>
      <w:r>
        <w:rPr>
          <w:rFonts w:ascii="Times New Roman" w:hAnsi="Times New Roman"/>
          <w:sz w:val="20"/>
        </w:rPr>
        <w:t xml:space="preserve"> </w:t>
      </w:r>
      <w:r>
        <w:rPr>
          <w:rFonts w:ascii="Times New Roman;serif" w:hAnsi="Times New Roman;serif"/>
          <w:b w:val="false"/>
          <w:sz w:val="20"/>
        </w:rPr>
        <w:t>million and $100</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total purchase consideration for V-Go was as follows (in thousands):</w:t>
      </w:r>
    </w:p>
    <w:tbl>
      <w:tblPr>
        <w:tblW w:w="5015" w:type="dxa"/>
        <w:jc w:val="left"/>
        <w:tblInd w:w="0" w:type="dxa"/>
        <w:tblLayout w:type="fixed"/>
        <w:tblCellMar>
          <w:top w:w="28" w:type="dxa"/>
          <w:left w:w="28" w:type="dxa"/>
          <w:bottom w:w="28" w:type="dxa"/>
          <w:right w:w="28" w:type="dxa"/>
        </w:tblCellMar>
      </w:tblPr>
      <w:tblGrid>
        <w:gridCol w:w="3391"/>
        <w:gridCol w:w="146"/>
        <w:gridCol w:w="211"/>
        <w:gridCol w:w="676"/>
        <w:gridCol w:w="5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Fair value of consideration: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15,341</w:t>
            </w:r>
          </w:p>
        </w:tc>
        <w:tc>
          <w:tcPr>
            <w:tcW w:w="591" w:type="dxa"/>
            <w:tcBorders/>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Fair value of contingent consideration</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sz w:val="20"/>
        </w:rPr>
      </w:pPr>
      <w:r>
        <w:rPr>
          <w:rFonts w:ascii="Times New Roman;serif" w:hAnsi="Times New Roman;serif"/>
          <w:b w:val="false"/>
          <w:sz w:val="18"/>
        </w:rPr>
        <w:t>Subsequent changes in the fair value are reported in general and administrative expenses. As of June 30, 2023, the fair value of the contingent milestone liability was $0.6</w:t>
      </w:r>
      <w:r>
        <w:rPr>
          <w:rFonts w:ascii="Times New Roman;serif" w:hAnsi="Times New Roman;serif"/>
          <w:sz w:val="20"/>
        </w:rPr>
        <w:t xml:space="preserve"> </w:t>
      </w:r>
      <w:r>
        <w:rPr>
          <w:rFonts w:ascii="Times New Roman;serif" w:hAnsi="Times New Roman;serif"/>
          <w:b w:val="false"/>
          <w:sz w:val="18"/>
        </w:rPr>
        <w:t>million. The fair value of the contingent milestone liability as of December 31, 2022 was consistent with the fair value on the acquisition date.</w:t>
      </w:r>
    </w:p>
    <w:p>
      <w:pPr>
        <w:pStyle w:val="TextBody"/>
        <w:bidi w:val="0"/>
        <w:spacing w:before="240" w:after="0"/>
        <w:jc w:val="left"/>
        <w:rPr>
          <w:rFonts w:ascii="Times New Roman" w:hAnsi="Times New Roman"/>
          <w:sz w:val="20"/>
        </w:rPr>
      </w:pPr>
      <w:r>
        <w:rPr>
          <w:rFonts w:ascii="Times New Roman;serif" w:hAnsi="Times New Roman;serif"/>
          <w:b w:val="false"/>
          <w:sz w:val="20"/>
        </w:rPr>
        <w:t>The fair value of the contingent milestone liability was estimated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3.92%, dividend yield of 0%, volatility of 43%, period of 15</w:t>
      </w:r>
      <w:r>
        <w:rPr>
          <w:rFonts w:ascii="Times New Roman" w:hAnsi="Times New Roman"/>
          <w:sz w:val="20"/>
        </w:rPr>
        <w:t xml:space="preserve"> </w:t>
      </w:r>
      <w:r>
        <w:rPr>
          <w:rFonts w:ascii="Times New Roman;serif" w:hAnsi="Times New Roman;serif"/>
          <w:b w:val="false"/>
          <w:sz w:val="20"/>
        </w:rPr>
        <w:t>years and credit risk of 17%.</w:t>
      </w:r>
    </w:p>
    <w:p>
      <w:pPr>
        <w:pStyle w:val="TextBody"/>
        <w:bidi w:val="0"/>
        <w:spacing w:before="240" w:after="0"/>
        <w:jc w:val="left"/>
        <w:rPr>
          <w:rFonts w:ascii="Times New Roman" w:hAnsi="Times New Roman"/>
          <w:sz w:val="20"/>
        </w:rPr>
      </w:pPr>
      <w:r>
        <w:rPr>
          <w:rFonts w:ascii="Times New Roman;serif" w:hAnsi="Times New Roman;serif"/>
          <w:b w:val="false"/>
          <w:sz w:val="20"/>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w:t>
      </w:r>
      <w:r>
        <w:rPr>
          <w:rFonts w:ascii="Times New Roman" w:hAnsi="Times New Roman"/>
          <w:sz w:val="20"/>
        </w:rPr>
        <w:t xml:space="preserve"> </w:t>
      </w:r>
      <w:r>
        <w:rPr>
          <w:rFonts w:ascii="Times New Roman;serif" w:hAnsi="Times New Roman;serif"/>
          <w:b w:val="false"/>
          <w:sz w:val="20"/>
        </w:rPr>
        <w:t>years for tax purposes. The estimates and assumptions used include the projected timing and amount of future cash flows and discount rates to reflect the risk inherent in the future cash flows. In May 2023, the Company finalized the fair value for assets acquired and liabilities assumed for V-Go.</w:t>
      </w:r>
    </w:p>
    <w:p>
      <w:pPr>
        <w:pStyle w:val="TextBody"/>
        <w:bidi w:val="0"/>
        <w:spacing w:before="240" w:after="240"/>
        <w:jc w:val="left"/>
        <w:rPr>
          <w:rFonts w:ascii="Times New Roman" w:hAnsi="Times New Roman"/>
          <w:sz w:val="20"/>
        </w:rPr>
      </w:pPr>
      <w:r>
        <w:rPr>
          <w:rFonts w:ascii="Times New Roman;serif" w:hAnsi="Times New Roman;serif"/>
          <w:b w:val="false"/>
          <w:sz w:val="20"/>
        </w:rPr>
        <w:t>Inventory of $11.2</w:t>
      </w:r>
      <w:r>
        <w:rPr>
          <w:rFonts w:ascii="Times New Roman" w:hAnsi="Times New Roman"/>
          <w:sz w:val="20"/>
        </w:rPr>
        <w:t xml:space="preserve"> </w:t>
      </w:r>
      <w:r>
        <w:rPr>
          <w:rFonts w:ascii="Times New Roman;serif" w:hAnsi="Times New Roman;serif"/>
          <w:b w:val="false"/>
          <w:sz w:val="20"/>
        </w:rPr>
        <w:t xml:space="preserve">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842, </w:t>
      </w:r>
      <w:r>
        <w:rPr>
          <w:rFonts w:ascii="Times New Roman;serif" w:hAnsi="Times New Roman;serif"/>
          <w:b w:val="false"/>
          <w:i/>
          <w:sz w:val="20"/>
        </w:rPr>
        <w:t>Leases</w:t>
      </w:r>
      <w:r>
        <w:rPr>
          <w:rFonts w:ascii="Times New Roman;serif" w:hAnsi="Times New Roman;serif"/>
          <w:b w:val="false"/>
          <w:sz w:val="20"/>
        </w:rPr>
        <w:t>, based on discounted cash flow from lease payments, utilizing the Company’s incremental borrowing rate of 7.25%.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fair value of the intangible asset was determined by applying the income approach based on significant level 3 unobservable inputs. The income approach estimates fair value based on the present value of cash flow that the assets could be expected to generate in the future. The Company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pStyle w:val="TextBody"/>
        <w:bidi w:val="0"/>
        <w:spacing w:before="240" w:after="0"/>
        <w:jc w:val="left"/>
        <w:rPr>
          <w:rFonts w:ascii="Times New Roman" w:hAnsi="Times New Roman"/>
          <w:sz w:val="20"/>
        </w:rPr>
      </w:pPr>
      <w:r>
        <w:rPr>
          <w:rFonts w:ascii="Times New Roman;serif" w:hAnsi="Times New Roman;serif"/>
          <w:b w:val="false"/>
          <w:sz w:val="20"/>
        </w:rPr>
        <w:t>The information below reflects the amounts of identifiable assets acquired and liabilities assumed as of May 31, 2023 (in thousands):</w:t>
      </w:r>
      <w:r>
        <w:rPr>
          <w:rFonts w:ascii="Times New Roman" w:hAnsi="Times New Roman"/>
          <w:sz w:val="20"/>
        </w:rPr>
        <w:t xml:space="preserve"> </w:t>
      </w:r>
    </w:p>
    <w:tbl>
      <w:tblPr>
        <w:tblW w:w="5030" w:type="dxa"/>
        <w:jc w:val="left"/>
        <w:tblInd w:w="0" w:type="dxa"/>
        <w:tblLayout w:type="fixed"/>
        <w:tblCellMar>
          <w:top w:w="28" w:type="dxa"/>
          <w:left w:w="28" w:type="dxa"/>
          <w:bottom w:w="28" w:type="dxa"/>
          <w:right w:w="28" w:type="dxa"/>
        </w:tblCellMar>
      </w:tblPr>
      <w:tblGrid>
        <w:gridCol w:w="3406"/>
        <w:gridCol w:w="146"/>
        <w:gridCol w:w="211"/>
        <w:gridCol w:w="676"/>
        <w:gridCol w:w="5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firstLine="200"/>
              <w:jc w:val="center"/>
              <w:rPr/>
            </w:pPr>
            <w:r>
              <w:rPr/>
              <w:t> </w:t>
            </w:r>
          </w:p>
        </w:tc>
      </w:tr>
      <w:tr>
        <w:trPr/>
        <w:tc>
          <w:tcPr>
            <w:tcW w:w="340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Inventory</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11,152</w:t>
            </w:r>
          </w:p>
        </w:tc>
        <w:tc>
          <w:tcPr>
            <w:tcW w:w="59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w:t>
            </w:r>
          </w:p>
        </w:tc>
        <w:tc>
          <w:tcPr>
            <w:tcW w:w="59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Goodwill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w:t>
            </w:r>
          </w:p>
        </w:tc>
        <w:tc>
          <w:tcPr>
            <w:tcW w:w="59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 - Developed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59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19,016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40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Liabilities assumed</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w:t>
            </w:r>
          </w:p>
        </w:tc>
        <w:tc>
          <w:tcPr>
            <w:tcW w:w="59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sz w:val="20"/>
        </w:rPr>
      </w:pPr>
      <w:r>
        <w:rPr>
          <w:rFonts w:ascii="Times New Roman;serif" w:hAnsi="Times New Roman;serif"/>
          <w:b w:val="false"/>
          <w:sz w:val="18"/>
        </w:rPr>
        <w:t>Through May 2023, goodwill related to the acquisition of V-Go was adjusted for a reduction in rebate-related liabilities partially offset by a reserve for inventory obsolescence.</w:t>
      </w:r>
      <w:r>
        <w:rPr>
          <w:rFonts w:ascii="Times New Roman;serif" w:hAnsi="Times New Roman;serif"/>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acquisition-related costs incurred during the three and six months ended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serif" w:hAnsi="Times New Roman;serif"/>
          <w:b/>
          <w:sz w:val="20"/>
        </w:rPr>
      </w:pPr>
      <w:r>
        <w:rPr>
          <w:rFonts w:ascii="Times New Roman;serif" w:hAnsi="Times New Roman;serif"/>
          <w:b/>
          <w:sz w:val="20"/>
        </w:rPr>
        <w:t>Supplemental Pro Forma Information (unaudited)</w:t>
      </w:r>
    </w:p>
    <w:p>
      <w:pPr>
        <w:pStyle w:val="TextBody"/>
        <w:bidi w:val="0"/>
        <w:spacing w:before="240" w:after="240"/>
        <w:jc w:val="left"/>
        <w:rPr>
          <w:rFonts w:ascii="Times New Roman" w:hAnsi="Times New Roman"/>
          <w:sz w:val="20"/>
        </w:rPr>
      </w:pPr>
      <w:r>
        <w:rPr>
          <w:rFonts w:ascii="Times New Roman;serif" w:hAnsi="Times New Roman;serif"/>
          <w:b w:val="false"/>
          <w:sz w:val="20"/>
        </w:rPr>
        <w:t>For the three and six months ended June 30, 2023, net revenue for V-Go was $4.8</w:t>
      </w:r>
      <w:r>
        <w:rPr>
          <w:rFonts w:ascii="Times New Roman" w:hAnsi="Times New Roman"/>
          <w:sz w:val="20"/>
        </w:rPr>
        <w:t xml:space="preserve"> </w:t>
      </w:r>
      <w:r>
        <w:rPr>
          <w:rFonts w:ascii="Times New Roman;serif" w:hAnsi="Times New Roman;serif"/>
          <w:b w:val="false"/>
          <w:sz w:val="20"/>
        </w:rPr>
        <w:t>million and $10.0</w:t>
      </w:r>
      <w:r>
        <w:rPr>
          <w:rFonts w:ascii="Times New Roman" w:hAnsi="Times New Roman"/>
          <w:sz w:val="20"/>
        </w:rPr>
        <w:t xml:space="preserve"> </w:t>
      </w:r>
      <w:r>
        <w:rPr>
          <w:rFonts w:ascii="Times New Roman;serif" w:hAnsi="Times New Roman;serif"/>
          <w:b w:val="false"/>
          <w:sz w:val="20"/>
        </w:rPr>
        <w:t>million, respectively, and loss from operations was $0.5</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million, respectively. For each of the three and six month periods ended June 30, 2022, net revenue and loss from operations for V-Go was $2.1</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following unaudited pro forma summary presents consolidated information of the Company as if the acquisition had occurred on January 1, 2022 (in thousands):</w:t>
      </w:r>
    </w:p>
    <w:tbl>
      <w:tblPr>
        <w:tblW w:w="8097" w:type="dxa"/>
        <w:jc w:val="left"/>
        <w:tblInd w:w="0" w:type="dxa"/>
        <w:tblLayout w:type="fixed"/>
        <w:tblCellMar>
          <w:top w:w="28" w:type="dxa"/>
          <w:left w:w="28" w:type="dxa"/>
          <w:bottom w:w="28" w:type="dxa"/>
          <w:right w:w="28" w:type="dxa"/>
        </w:tblCellMar>
      </w:tblPr>
      <w:tblGrid>
        <w:gridCol w:w="3076"/>
        <w:gridCol w:w="146"/>
        <w:gridCol w:w="211"/>
        <w:gridCol w:w="676"/>
        <w:gridCol w:w="166"/>
        <w:gridCol w:w="146"/>
        <w:gridCol w:w="211"/>
        <w:gridCol w:w="736"/>
        <w:gridCol w:w="166"/>
        <w:gridCol w:w="146"/>
        <w:gridCol w:w="211"/>
        <w:gridCol w:w="736"/>
        <w:gridCol w:w="166"/>
        <w:gridCol w:w="146"/>
        <w:gridCol w:w="211"/>
        <w:gridCol w:w="73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43,082</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These pro forma amounts have been calculated by applying the Company’s accounting policies assuming transaction costs had been incurred beginning January 1, 2022. The Company did not have any other material nonrecurring pro forma adjustments directly attributable to the acquisition included in the reported pro forma revenue and loss.</w:t>
      </w:r>
    </w:p>
    <w:p>
      <w:pPr>
        <w:pStyle w:val="TextBody"/>
        <w:bidi w:val="0"/>
        <w:spacing w:before="360" w:after="0"/>
        <w:jc w:val="left"/>
        <w:rPr>
          <w:rFonts w:ascii="Times New Roman" w:hAnsi="Times New Roman"/>
          <w:sz w:val="20"/>
        </w:rPr>
      </w:pPr>
      <w:r>
        <w:rPr>
          <w:rFonts w:ascii="Times New Roman;serif" w:hAnsi="Times New Roman;serif"/>
          <w:b/>
          <w:sz w:val="20"/>
        </w:rPr>
        <w:t>3.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Cash Equivalents </w:t>
      </w:r>
      <w:r>
        <w:rPr>
          <w:rFonts w:ascii="Times New Roman" w:hAnsi="Times New Roman"/>
          <w:sz w:val="20"/>
        </w:rPr>
        <w:t xml:space="preserve">— </w:t>
      </w:r>
      <w:r>
        <w:rPr>
          <w:rFonts w:ascii="Times New Roman;serif" w:hAnsi="Times New Roman;serif"/>
          <w:b w:val="false"/>
          <w:sz w:val="20"/>
        </w:rPr>
        <w:t>Cash equivalents consist of highly liquid investments with original or remaining maturities of 90 days or less at the time of purchase that are readily convertible into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Available-for-Sale Investment</w:t>
      </w:r>
      <w:r>
        <w:rPr>
          <w:rFonts w:ascii="Times New Roman" w:hAnsi="Times New Roman"/>
          <w:sz w:val="20"/>
        </w:rPr>
        <w:t xml:space="preserve"> — </w:t>
      </w:r>
      <w:r>
        <w:rPr>
          <w:rFonts w:ascii="Times New Roman;serif" w:hAnsi="Times New Roman;serif"/>
          <w:b w:val="false"/>
          <w:sz w:val="20"/>
        </w:rPr>
        <w:t>The Thirona convertible notes are classified as available-for-sale securities and are included in prepaid expenses and other current assets in the condensed consolidated balance sheets. Available-for-sale investments are subsequently measured at fair value with realized gains and losses reported in other income (expense) in the condensed consolidated statements of operations. Unrealized holding gains and losses are excluded from earnings and reported in other comprehensive income until realized. The Company determines fair value of its available-for-sale investments using level 3 inputs. The Company evaluates the fair value of its investment in Thirona by applying a Monte Carlo simulation model. For the three and six months ended June 30, 2023, the Company recognized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of interest income on investment and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of interest income on investment, respectively, for the three and six months ended June 30, 2022. As of June 30, 2023 and December 31, 2022, the fair value of the Company's investment in Thirona was $8.4</w:t>
      </w:r>
      <w:r>
        <w:rPr>
          <w:rFonts w:ascii="Times New Roman" w:hAnsi="Times New Roman"/>
          <w:sz w:val="20"/>
        </w:rPr>
        <w:t xml:space="preserve"> </w:t>
      </w:r>
      <w:r>
        <w:rPr>
          <w:rFonts w:ascii="Times New Roman;serif" w:hAnsi="Times New Roman;serif"/>
          <w:b w:val="false"/>
          <w:sz w:val="20"/>
        </w:rPr>
        <w:t>million and $7.1</w:t>
      </w:r>
      <w:r>
        <w:rPr>
          <w:rFonts w:ascii="Times New Roman" w:hAnsi="Times New Roman"/>
          <w:sz w:val="20"/>
        </w:rPr>
        <w:t xml:space="preserve"> </w:t>
      </w:r>
      <w:r>
        <w:rPr>
          <w:rFonts w:ascii="Times New Roman;serif" w:hAnsi="Times New Roman;serif"/>
          <w:b w:val="false"/>
          <w:sz w:val="20"/>
        </w:rPr>
        <w:t>million, respectively. For the three and six months ended June 30, 2023, the Company recognized a gain of $0.9</w:t>
      </w:r>
      <w:r>
        <w:rPr>
          <w:rFonts w:ascii="Times New Roman" w:hAnsi="Times New Roman"/>
          <w:sz w:val="20"/>
        </w:rPr>
        <w:t xml:space="preserve"> </w:t>
      </w:r>
      <w:r>
        <w:rPr>
          <w:rFonts w:ascii="Times New Roman;serif" w:hAnsi="Times New Roman;serif"/>
          <w:b w:val="false"/>
          <w:sz w:val="20"/>
        </w:rPr>
        <w:t>million on its investment in Thirona as a result of the recovery of a temporary impairment, as well as an unrealized holding gain of $0.4</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Held-to-Maturity Investments </w:t>
      </w:r>
      <w:r>
        <w:rPr>
          <w:rFonts w:ascii="Times New Roman" w:hAnsi="Times New Roman"/>
          <w:sz w:val="20"/>
        </w:rPr>
        <w:t xml:space="preserve">— </w:t>
      </w:r>
      <w:r>
        <w:rPr>
          <w:rFonts w:ascii="Times New Roman;serif" w:hAnsi="Times New Roman;serif"/>
          <w:b w:val="false"/>
          <w:sz w:val="20"/>
        </w:rPr>
        <w:t>Investments consist of highly liquid investments that are intended to facilitate liquidity and capital preservation. The amortization or accretion of the Company’s investments is recognized as interest income in the condensed consolidated statements of operations. For the three and six months ended June 30, 2023, the Company recognized $1.0</w:t>
      </w:r>
      <w:r>
        <w:rPr>
          <w:rFonts w:ascii="Times New Roman" w:hAnsi="Times New Roman"/>
          <w:sz w:val="20"/>
        </w:rPr>
        <w:t xml:space="preserve"> </w:t>
      </w:r>
      <w:r>
        <w:rPr>
          <w:rFonts w:ascii="Times New Roman;serif" w:hAnsi="Times New Roman;serif"/>
          <w:b w:val="false"/>
          <w:sz w:val="20"/>
        </w:rPr>
        <w:t>million and $2.2</w:t>
      </w:r>
      <w:r>
        <w:rPr>
          <w:rFonts w:ascii="Times New Roman" w:hAnsi="Times New Roman"/>
          <w:sz w:val="20"/>
        </w:rPr>
        <w:t xml:space="preserve"> </w:t>
      </w:r>
      <w:r>
        <w:rPr>
          <w:rFonts w:ascii="Times New Roman;serif" w:hAnsi="Times New Roman;serif"/>
          <w:b w:val="false"/>
          <w:sz w:val="20"/>
        </w:rPr>
        <w:t>million, respectively, of interest income on investments and $0.4</w:t>
      </w:r>
      <w:r>
        <w:rPr>
          <w:rFonts w:ascii="Times New Roman" w:hAnsi="Times New Roman"/>
          <w:sz w:val="20"/>
        </w:rPr>
        <w:t xml:space="preserve"> </w:t>
      </w:r>
      <w:r>
        <w:rPr>
          <w:rFonts w:ascii="Times New Roman;serif" w:hAnsi="Times New Roman;serif"/>
          <w:b w:val="false"/>
          <w:sz w:val="20"/>
        </w:rPr>
        <w:t>million, for each respective period, of amortization on certain investments. For the three and six months ended June 30, 2022, the Company recognized $0.5</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respectively, of interest income on investments, and $0.2</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of amortization on certain investments. No</w:t>
      </w:r>
      <w:r>
        <w:rPr>
          <w:rFonts w:ascii="Times New Roman" w:hAnsi="Times New Roman"/>
          <w:sz w:val="20"/>
        </w:rPr>
        <w:t xml:space="preserve"> </w:t>
      </w:r>
      <w:r>
        <w:rPr>
          <w:rFonts w:ascii="Times New Roman;serif" w:hAnsi="Times New Roman;serif"/>
          <w:b w:val="false"/>
          <w:sz w:val="20"/>
        </w:rPr>
        <w:t>allowance for credit losses on held-to-maturity securities was required as of June 30, 2023.</w:t>
      </w:r>
    </w:p>
    <w:p>
      <w:pPr>
        <w:pStyle w:val="TextBody"/>
        <w:bidi w:val="0"/>
        <w:spacing w:before="240" w:after="240"/>
        <w:jc w:val="left"/>
        <w:rPr>
          <w:rFonts w:ascii="Times New Roman" w:hAnsi="Times New Roman"/>
          <w:sz w:val="20"/>
        </w:rPr>
      </w:pPr>
      <w:r>
        <w:rPr>
          <w:rFonts w:ascii="Times New Roman;serif" w:hAnsi="Times New Roman;serif"/>
          <w:b w:val="false"/>
          <w:sz w:val="20"/>
        </w:rPr>
        <w:t>The contractual maturities of the Company’s held to maturity investments are summarized below (in thousands):</w:t>
      </w:r>
      <w:r>
        <w:rPr>
          <w:rFonts w:ascii="Times New Roman" w:hAnsi="Times New Roman"/>
          <w:sz w:val="20"/>
        </w:rPr>
        <w:t xml:space="preserve"> </w:t>
      </w:r>
    </w:p>
    <w:tbl>
      <w:tblPr>
        <w:tblW w:w="8687"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46"/>
        <w:gridCol w:w="146"/>
        <w:gridCol w:w="211"/>
        <w:gridCol w:w="781"/>
        <w:gridCol w:w="146"/>
        <w:gridCol w:w="146"/>
        <w:gridCol w:w="211"/>
        <w:gridCol w:w="781"/>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 Basis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 Basis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Due in one year or less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156,976</w:t>
            </w:r>
          </w:p>
        </w:tc>
        <w:tc>
          <w:tcPr>
            <w:tcW w:w="591" w:type="dxa"/>
            <w:tcBorders/>
            <w:vAlign w:val="center"/>
          </w:tcPr>
          <w:p>
            <w:pPr>
              <w:pStyle w:val="TableContents"/>
              <w:bidi w:val="0"/>
              <w:spacing w:before="0" w:after="0"/>
              <w:ind w:left="0" w:right="0" w:hanging="0"/>
              <w:jc w:val="left"/>
              <w:rPr/>
            </w:pPr>
            <w:r>
              <w:rPr/>
              <w:t> </w:t>
            </w:r>
          </w:p>
        </w:tc>
      </w:tr>
      <w:tr>
        <w:trPr/>
        <w:tc>
          <w:tcPr>
            <w:tcW w:w="31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one year through five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1,948</w:t>
            </w:r>
          </w:p>
        </w:tc>
        <w:tc>
          <w:tcPr>
            <w:tcW w:w="591" w:type="dxa"/>
            <w:tcBorders/>
            <w:vAlign w:val="center"/>
          </w:tcPr>
          <w:p>
            <w:pPr>
              <w:pStyle w:val="TableContents"/>
              <w:bidi w:val="0"/>
              <w:spacing w:before="0" w:after="0"/>
              <w:ind w:left="0" w:right="0" w:firstLine="400"/>
              <w:jc w:val="left"/>
              <w:rPr/>
            </w:pPr>
            <w:r>
              <w:rPr/>
              <w:t> </w:t>
            </w:r>
          </w:p>
        </w:tc>
      </w:tr>
      <w:tr>
        <w:trPr/>
        <w:tc>
          <w:tcPr>
            <w:tcW w:w="31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135,370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135,122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154,823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158,924</w:t>
            </w:r>
          </w:p>
        </w:tc>
        <w:tc>
          <w:tcPr>
            <w:tcW w:w="5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sz w:val="20"/>
        </w:rPr>
      </w:pPr>
      <w:r>
        <w:rPr>
          <w:rFonts w:ascii="Times New Roman;serif" w:hAnsi="Times New Roman;serif"/>
          <w:b w:val="false"/>
          <w:sz w:val="18"/>
        </w:rPr>
        <w:t>The investments due in one year or less include cash equivalents of $74.9</w:t>
      </w:r>
      <w:r>
        <w:rPr>
          <w:rFonts w:ascii="Times New Roman;serif" w:hAnsi="Times New Roman;serif"/>
          <w:sz w:val="20"/>
        </w:rPr>
        <w:t xml:space="preserve"> </w:t>
      </w:r>
      <w:r>
        <w:rPr>
          <w:rFonts w:ascii="Times New Roman;serif" w:hAnsi="Times New Roman;serif"/>
          <w:b w:val="false"/>
          <w:sz w:val="18"/>
        </w:rPr>
        <w:t>million as of June 30, 2023</w:t>
      </w:r>
      <w:r>
        <w:rPr>
          <w:rFonts w:ascii="Times New Roman;serif" w:hAnsi="Times New Roman;serif"/>
          <w:sz w:val="20"/>
        </w:rPr>
        <w:t xml:space="preserve"> </w:t>
      </w:r>
      <w:r>
        <w:rPr>
          <w:rFonts w:ascii="Times New Roman;serif" w:hAnsi="Times New Roman;serif"/>
          <w:b w:val="false"/>
          <w:sz w:val="20"/>
        </w:rPr>
        <w:t xml:space="preserve">and </w:t>
      </w:r>
      <w:r>
        <w:rPr>
          <w:rFonts w:ascii="Times New Roman;serif" w:hAnsi="Times New Roman;serif"/>
          <w:b w:val="false"/>
          <w:sz w:val="18"/>
        </w:rPr>
        <w:t>$51.8</w:t>
      </w:r>
      <w:r>
        <w:rPr>
          <w:rFonts w:ascii="Times New Roman;serif" w:hAnsi="Times New Roman;serif"/>
          <w:sz w:val="20"/>
        </w:rPr>
        <w:t xml:space="preserve"> </w:t>
      </w:r>
      <w:r>
        <w:rPr>
          <w:rFonts w:ascii="Times New Roman;serif" w:hAnsi="Times New Roman;serif"/>
          <w:b w:val="false"/>
          <w:sz w:val="18"/>
        </w:rPr>
        <w:t>million as of December 31, 2022.</w:t>
      </w:r>
      <w:r>
        <w:rPr>
          <w:rFonts w:ascii="Times New Roman;serif" w:hAnsi="Times New Roman;serif"/>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fair value of the cash equivalents, long-term and short-term investments are disclosed below (dollars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281"/>
        <w:gridCol w:w="146"/>
        <w:gridCol w:w="1329"/>
        <w:gridCol w:w="146"/>
        <w:gridCol w:w="288"/>
        <w:gridCol w:w="1070"/>
        <w:gridCol w:w="146"/>
        <w:gridCol w:w="146"/>
        <w:gridCol w:w="534"/>
        <w:gridCol w:w="1221"/>
        <w:gridCol w:w="166"/>
        <w:gridCol w:w="146"/>
        <w:gridCol w:w="211"/>
        <w:gridCol w:w="781"/>
        <w:gridCol w:w="594"/>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84"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 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b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Gains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bonds and paper</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46,261</w:t>
            </w:r>
          </w:p>
        </w:tc>
        <w:tc>
          <w:tcPr>
            <w:tcW w:w="594" w:type="dxa"/>
            <w:tcBorders/>
            <w:vAlign w:val="center"/>
          </w:tcPr>
          <w:p>
            <w:pPr>
              <w:pStyle w:val="TableContents"/>
              <w:bidi w:val="0"/>
              <w:spacing w:before="0" w:after="0"/>
              <w:ind w:left="0" w:right="0" w:hanging="0"/>
              <w:jc w:val="left"/>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73,485</w:t>
            </w:r>
          </w:p>
        </w:tc>
        <w:tc>
          <w:tcPr>
            <w:tcW w:w="594" w:type="dxa"/>
            <w:tcBorders/>
            <w:vAlign w:val="center"/>
          </w:tcPr>
          <w:p>
            <w:pPr>
              <w:pStyle w:val="TableContents"/>
              <w:bidi w:val="0"/>
              <w:spacing w:before="0" w:after="0"/>
              <w:ind w:left="0" w:right="0" w:hanging="0"/>
              <w:jc w:val="left"/>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15,376</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 and investments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135,122</w:t>
            </w:r>
          </w:p>
        </w:tc>
        <w:tc>
          <w:tcPr>
            <w:tcW w:w="594" w:type="dxa"/>
            <w:tcBorders/>
            <w:vAlign w:val="center"/>
          </w:tcPr>
          <w:p>
            <w:pPr>
              <w:pStyle w:val="TableContents"/>
              <w:bidi w:val="0"/>
              <w:spacing w:before="0" w:after="0"/>
              <w:ind w:left="0" w:right="0" w:hanging="0"/>
              <w:jc w:val="left"/>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cash equivalents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60,197</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3281"/>
        <w:gridCol w:w="146"/>
        <w:gridCol w:w="1329"/>
        <w:gridCol w:w="146"/>
        <w:gridCol w:w="288"/>
        <w:gridCol w:w="1070"/>
        <w:gridCol w:w="146"/>
        <w:gridCol w:w="146"/>
        <w:gridCol w:w="439"/>
        <w:gridCol w:w="1316"/>
        <w:gridCol w:w="166"/>
        <w:gridCol w:w="146"/>
        <w:gridCol w:w="211"/>
        <w:gridCol w:w="781"/>
        <w:gridCol w:w="594"/>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84"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 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b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w:t>
              <w:br/>
              <w:t>Holding Gains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bonds and paper</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66,168</w:t>
            </w:r>
          </w:p>
        </w:tc>
        <w:tc>
          <w:tcPr>
            <w:tcW w:w="594" w:type="dxa"/>
            <w:tcBorders/>
            <w:vAlign w:val="center"/>
          </w:tcPr>
          <w:p>
            <w:pPr>
              <w:pStyle w:val="TableContents"/>
              <w:bidi w:val="0"/>
              <w:spacing w:before="0" w:after="0"/>
              <w:ind w:left="0" w:right="0" w:hanging="0"/>
              <w:jc w:val="left"/>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51,783</w:t>
            </w:r>
          </w:p>
        </w:tc>
        <w:tc>
          <w:tcPr>
            <w:tcW w:w="594" w:type="dxa"/>
            <w:tcBorders/>
            <w:vAlign w:val="center"/>
          </w:tcPr>
          <w:p>
            <w:pPr>
              <w:pStyle w:val="TableContents"/>
              <w:bidi w:val="0"/>
              <w:spacing w:before="0" w:after="0"/>
              <w:ind w:left="0" w:right="0" w:hanging="0"/>
              <w:jc w:val="left"/>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35,691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 and investments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153,642</w:t>
            </w:r>
          </w:p>
        </w:tc>
        <w:tc>
          <w:tcPr>
            <w:tcW w:w="594" w:type="dxa"/>
            <w:tcBorders/>
            <w:vAlign w:val="center"/>
          </w:tcPr>
          <w:p>
            <w:pPr>
              <w:pStyle w:val="TableContents"/>
              <w:bidi w:val="0"/>
              <w:spacing w:before="0" w:after="0"/>
              <w:ind w:left="0" w:right="0" w:hanging="0"/>
              <w:jc w:val="left"/>
              <w:rPr/>
            </w:pPr>
            <w:r>
              <w:rPr/>
              <w:t> </w:t>
            </w:r>
          </w:p>
        </w:tc>
      </w:tr>
      <w:tr>
        <w:trPr/>
        <w:tc>
          <w:tcPr>
            <w:tcW w:w="3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cash equivalents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51,783</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vAlign w:val="center"/>
          </w:tcPr>
          <w:p>
            <w:pPr>
              <w:pStyle w:val="TableContents"/>
              <w:bidi w:val="0"/>
              <w:spacing w:before="0" w:after="0"/>
              <w:ind w:left="0" w:right="0" w:hanging="0"/>
              <w:jc w:val="left"/>
              <w:rPr/>
            </w:pPr>
            <w:r>
              <w:rPr/>
              <w:t> </w:t>
            </w:r>
          </w:p>
        </w:tc>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101,859</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there was $0.2</w:t>
      </w:r>
      <w:r>
        <w:rPr>
          <w:rFonts w:ascii="Times New Roman" w:hAnsi="Times New Roman"/>
          <w:sz w:val="20"/>
        </w:rPr>
        <w:t xml:space="preserve"> </w:t>
      </w:r>
      <w:r>
        <w:rPr>
          <w:rFonts w:ascii="Times New Roman;serif" w:hAnsi="Times New Roman;serif"/>
          <w:b w:val="false"/>
          <w:sz w:val="20"/>
        </w:rPr>
        <w:t xml:space="preserve">million of amounts receivable included in our condensed consolidated balance sheets as prepaid expenses and other current assets, which consisted of a </w:t>
      </w:r>
      <w:r>
        <w:rPr>
          <w:rFonts w:ascii="Times New Roman;serif" w:hAnsi="Times New Roman;serif"/>
          <w:b w:val="false"/>
          <w:i/>
          <w:sz w:val="20"/>
        </w:rPr>
        <w:t>de minimis</w:t>
      </w:r>
      <w:r>
        <w:rPr>
          <w:rFonts w:ascii="Times New Roman" w:hAnsi="Times New Roman"/>
          <w:sz w:val="20"/>
        </w:rPr>
        <w:t xml:space="preserve"> </w:t>
      </w:r>
      <w:r>
        <w:rPr>
          <w:rFonts w:ascii="Times New Roman;serif" w:hAnsi="Times New Roman;serif"/>
          <w:b w:val="false"/>
          <w:sz w:val="20"/>
        </w:rPr>
        <w:t>amount of accrued interest receivable and $0.2</w:t>
      </w:r>
      <w:r>
        <w:rPr>
          <w:rFonts w:ascii="Times New Roman" w:hAnsi="Times New Roman"/>
          <w:sz w:val="20"/>
        </w:rPr>
        <w:t xml:space="preserve"> </w:t>
      </w:r>
      <w:r>
        <w:rPr>
          <w:rFonts w:ascii="Times New Roman;serif" w:hAnsi="Times New Roman;serif"/>
          <w:b w:val="false"/>
          <w:sz w:val="20"/>
        </w:rPr>
        <w:t>million of amount receivable on matured investment. As of December 31, 2022, there was $0.6</w:t>
      </w:r>
      <w:r>
        <w:rPr>
          <w:rFonts w:ascii="Times New Roman" w:hAnsi="Times New Roman"/>
          <w:sz w:val="20"/>
        </w:rPr>
        <w:t xml:space="preserve"> </w:t>
      </w:r>
      <w:r>
        <w:rPr>
          <w:rFonts w:ascii="Times New Roman;serif" w:hAnsi="Times New Roman;serif"/>
          <w:b w:val="false"/>
          <w:sz w:val="20"/>
        </w:rPr>
        <w:t>million of accrued interest receivable and $5.1</w:t>
      </w:r>
      <w:r>
        <w:rPr>
          <w:rFonts w:ascii="Times New Roman" w:hAnsi="Times New Roman"/>
          <w:sz w:val="20"/>
        </w:rPr>
        <w:t xml:space="preserve"> </w:t>
      </w:r>
      <w:r>
        <w:rPr>
          <w:rFonts w:ascii="Times New Roman;serif" w:hAnsi="Times New Roman;serif"/>
          <w:b w:val="false"/>
          <w:sz w:val="20"/>
        </w:rPr>
        <w:t>million of amount receivable on matured investment.</w:t>
      </w:r>
    </w:p>
    <w:p>
      <w:pPr>
        <w:pStyle w:val="TextBody"/>
        <w:bidi w:val="0"/>
        <w:spacing w:before="360" w:after="0"/>
        <w:jc w:val="left"/>
        <w:rPr>
          <w:rFonts w:ascii="Times New Roman" w:hAnsi="Times New Roman"/>
          <w:sz w:val="20"/>
        </w:rPr>
      </w:pPr>
      <w:r>
        <w:rPr>
          <w:rFonts w:ascii="Times New Roman;serif" w:hAnsi="Times New Roman;serif"/>
          <w:b/>
          <w:sz w:val="20"/>
        </w:rPr>
        <w:t>4. Accounts Receivable</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Accounts receivable, net consists of the following (in thousands):</w:t>
      </w:r>
      <w:r>
        <w:rPr>
          <w:rFonts w:ascii="Times New Roman" w:hAnsi="Times New Roman"/>
          <w:sz w:val="20"/>
        </w:rPr>
        <w:t xml:space="preserve"> </w:t>
      </w:r>
    </w:p>
    <w:tbl>
      <w:tblPr>
        <w:tblW w:w="8420" w:type="dxa"/>
        <w:jc w:val="left"/>
        <w:tblInd w:w="0" w:type="dxa"/>
        <w:tblLayout w:type="fixed"/>
        <w:tblCellMar>
          <w:top w:w="28" w:type="dxa"/>
          <w:left w:w="28" w:type="dxa"/>
          <w:bottom w:w="28" w:type="dxa"/>
          <w:right w:w="28" w:type="dxa"/>
        </w:tblCellMar>
      </w:tblPr>
      <w:tblGrid>
        <w:gridCol w:w="4546"/>
        <w:gridCol w:w="146"/>
        <w:gridCol w:w="267"/>
        <w:gridCol w:w="858"/>
        <w:gridCol w:w="166"/>
        <w:gridCol w:w="146"/>
        <w:gridCol w:w="357"/>
        <w:gridCol w:w="1143"/>
        <w:gridCol w:w="7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commercial</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firstLine="200"/>
              <w:jc w:val="center"/>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gross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19,359</w:t>
            </w:r>
          </w:p>
        </w:tc>
        <w:tc>
          <w:tcPr>
            <w:tcW w:w="791" w:type="dxa"/>
            <w:tcBorders/>
            <w:vAlign w:val="center"/>
          </w:tcPr>
          <w:p>
            <w:pPr>
              <w:pStyle w:val="TableContents"/>
              <w:bidi w:val="0"/>
              <w:spacing w:before="0" w:after="0"/>
              <w:ind w:left="0" w:right="0" w:firstLine="200"/>
              <w:jc w:val="left"/>
              <w:rPr/>
            </w:pPr>
            <w:r>
              <w:rPr/>
              <w:t> </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Wholesaler distribution fees and prompt pay discounts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Reserve for returns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(4,108</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accounts receivable – commercial, net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12,715</w:t>
            </w:r>
          </w:p>
        </w:tc>
        <w:tc>
          <w:tcPr>
            <w:tcW w:w="791" w:type="dxa"/>
            <w:tcBorders/>
            <w:vAlign w:val="center"/>
          </w:tcPr>
          <w:p>
            <w:pPr>
              <w:pStyle w:val="TableContents"/>
              <w:bidi w:val="0"/>
              <w:spacing w:before="0" w:after="0"/>
              <w:ind w:left="0" w:right="0" w:hanging="0"/>
              <w:jc w:val="left"/>
              <w:rPr/>
            </w:pPr>
            <w:r>
              <w:rPr/>
              <w:t> </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collaborations and services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4,086</w:t>
            </w:r>
          </w:p>
        </w:tc>
        <w:tc>
          <w:tcPr>
            <w:tcW w:w="791" w:type="dxa"/>
            <w:tcBorders/>
            <w:vAlign w:val="center"/>
          </w:tcPr>
          <w:p>
            <w:pPr>
              <w:pStyle w:val="TableContents"/>
              <w:bidi w:val="0"/>
              <w:spacing w:before="0" w:after="0"/>
              <w:ind w:left="0" w:right="0" w:firstLine="600"/>
              <w:jc w:val="left"/>
              <w:rPr/>
            </w:pPr>
            <w:r>
              <w:rPr/>
              <w:t> </w:t>
            </w:r>
          </w:p>
        </w:tc>
      </w:tr>
      <w:tr>
        <w:trPr/>
        <w:tc>
          <w:tcPr>
            <w:tcW w:w="454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accounts receivable, net</w:t>
            </w:r>
          </w:p>
        </w:tc>
        <w:tc>
          <w:tcPr>
            <w:tcW w:w="146" w:type="dxa"/>
            <w:tcBorders/>
            <w:vAlign w:val="center"/>
          </w:tcPr>
          <w:p>
            <w:pPr>
              <w:pStyle w:val="TableContents"/>
              <w:bidi w:val="0"/>
              <w:spacing w:before="0" w:after="0"/>
              <w:ind w:left="0" w:right="0" w:hanging="0"/>
              <w:jc w:val="left"/>
              <w:rPr/>
            </w:pPr>
            <w:r>
              <w:rPr/>
              <w:t> </w:t>
            </w:r>
          </w:p>
        </w:tc>
        <w:tc>
          <w:tcPr>
            <w:tcW w:w="26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27,789</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16,801</w:t>
            </w:r>
          </w:p>
        </w:tc>
        <w:tc>
          <w:tcPr>
            <w:tcW w:w="7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 xml:space="preserve">As of June 30, 2023 and December 31, 2022, the allowance for doubtful accounts for commercial accounts receivable was </w:t>
      </w:r>
      <w:r>
        <w:rPr>
          <w:rFonts w:ascii="Times New Roman;serif" w:hAnsi="Times New Roman;serif"/>
          <w:b w:val="false"/>
          <w:i/>
          <w:sz w:val="20"/>
        </w:rPr>
        <w:t>de minimis</w:t>
      </w:r>
      <w:r>
        <w:rPr>
          <w:rFonts w:ascii="Times New Roman;serif" w:hAnsi="Times New Roman;serif"/>
          <w:b w:val="false"/>
          <w:sz w:val="20"/>
        </w:rPr>
        <w:t>. The Company had three</w:t>
      </w:r>
      <w:r>
        <w:rPr>
          <w:rFonts w:ascii="Times New Roman" w:hAnsi="Times New Roman"/>
          <w:sz w:val="20"/>
        </w:rPr>
        <w:t xml:space="preserve"> </w:t>
      </w:r>
      <w:r>
        <w:rPr>
          <w:rFonts w:ascii="Times New Roman;serif" w:hAnsi="Times New Roman;serif"/>
          <w:b w:val="false"/>
          <w:sz w:val="20"/>
        </w:rPr>
        <w:t>wholesale distributors representing approximately 78% of commercial accounts receivable as of June 30, 2023</w:t>
      </w:r>
      <w:r>
        <w:rPr>
          <w:rFonts w:ascii="Times New Roman" w:hAnsi="Times New Roman"/>
          <w:sz w:val="20"/>
        </w:rPr>
        <w:t xml:space="preserve"> </w:t>
      </w:r>
      <w:r>
        <w:rPr>
          <w:rFonts w:ascii="Times New Roman;serif" w:hAnsi="Times New Roman;serif"/>
          <w:b w:val="false"/>
          <w:sz w:val="20"/>
        </w:rPr>
        <w:t>and approximately 71% of gross sales for each of the three and six months ended June 30, 2023. As of December 31, 2022, the Company had three</w:t>
      </w:r>
      <w:r>
        <w:rPr>
          <w:rFonts w:ascii="Times New Roman" w:hAnsi="Times New Roman"/>
          <w:sz w:val="20"/>
        </w:rPr>
        <w:t xml:space="preserve"> </w:t>
      </w:r>
      <w:r>
        <w:rPr>
          <w:rFonts w:ascii="Times New Roman;serif" w:hAnsi="Times New Roman;serif"/>
          <w:b w:val="false"/>
          <w:sz w:val="20"/>
        </w:rPr>
        <w:t>wholesale distributors representing approximately 79% of commercial accounts receivables.</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there was no</w:t>
      </w:r>
      <w:r>
        <w:rPr>
          <w:rFonts w:ascii="Times New Roman" w:hAnsi="Times New Roman"/>
          <w:sz w:val="20"/>
        </w:rPr>
        <w:t xml:space="preserve"> </w:t>
      </w:r>
      <w:r>
        <w:rPr>
          <w:rFonts w:ascii="Times New Roman;serif" w:hAnsi="Times New Roman;serif"/>
          <w:b w:val="false"/>
          <w:sz w:val="20"/>
        </w:rPr>
        <w:t>allowance for credit losses for accounts receivable for collaborations and services. The Company had one collaboration partner, UT, that comprised 100% of the collaboration and services net accounts receivable as of June 30, 2023 and December 31, 2022</w:t>
      </w:r>
      <w:r>
        <w:rPr>
          <w:rFonts w:ascii="Times New Roman" w:hAnsi="Times New Roman"/>
          <w:sz w:val="20"/>
        </w:rPr>
        <w:t xml:space="preserve"> </w:t>
      </w:r>
      <w:r>
        <w:rPr>
          <w:rFonts w:ascii="Times New Roman;serif" w:hAnsi="Times New Roman;serif"/>
          <w:b w:val="false"/>
          <w:sz w:val="20"/>
        </w:rPr>
        <w:t>and approximately 100% of gross revenue from collaborations and services for the three and six months ended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5. Inventories</w:t>
      </w:r>
    </w:p>
    <w:p>
      <w:pPr>
        <w:pStyle w:val="TextBody"/>
        <w:bidi w:val="0"/>
        <w:spacing w:before="120" w:after="240"/>
        <w:jc w:val="left"/>
        <w:rPr>
          <w:rFonts w:ascii="Times New Roman" w:hAnsi="Times New Roman"/>
          <w:sz w:val="20"/>
        </w:rPr>
      </w:pPr>
      <w:r>
        <w:rPr>
          <w:rFonts w:ascii="Times New Roman;serif" w:hAnsi="Times New Roman;serif"/>
          <w:b w:val="false"/>
          <w:sz w:val="20"/>
        </w:rPr>
        <w:t>Inventories consist of the following (in thousands):</w:t>
      </w:r>
      <w:r>
        <w:rPr>
          <w:rFonts w:ascii="Times New Roman" w:hAnsi="Times New Roman"/>
          <w:sz w:val="20"/>
        </w:rPr>
        <w:t xml:space="preserve"> </w:t>
      </w:r>
    </w:p>
    <w:tbl>
      <w:tblPr>
        <w:tblW w:w="49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3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5,739</w:t>
            </w:r>
          </w:p>
        </w:tc>
        <w:tc>
          <w:tcPr>
            <w:tcW w:w="3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13,815</w:t>
            </w:r>
          </w:p>
        </w:tc>
        <w:tc>
          <w:tcPr>
            <w:tcW w:w="3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inventory</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21,772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Work-in-process and finished goods as of June 30, 2023 and December 31, 2022</w:t>
      </w:r>
      <w:r>
        <w:rPr>
          <w:rFonts w:ascii="Times New Roman" w:hAnsi="Times New Roman"/>
          <w:sz w:val="20"/>
        </w:rPr>
        <w:t xml:space="preserve"> </w:t>
      </w:r>
      <w:r>
        <w:rPr>
          <w:rFonts w:ascii="Times New Roman;serif" w:hAnsi="Times New Roman;serif"/>
          <w:b w:val="false"/>
          <w:sz w:val="20"/>
        </w:rPr>
        <w:t>include conversion costs and exclude the cost of insulin. All insulin inventory on hand was written off and the projected loss on the purchase commitment contract to purchase future insulin was accrued as of the end of 2016. Raw materials inventory included $0.8</w:t>
      </w:r>
      <w:r>
        <w:rPr>
          <w:rFonts w:ascii="Times New Roman" w:hAnsi="Times New Roman"/>
          <w:sz w:val="20"/>
        </w:rPr>
        <w:t xml:space="preserve"> </w:t>
      </w:r>
      <w:r>
        <w:rPr>
          <w:rFonts w:ascii="Times New Roman;serif" w:hAnsi="Times New Roman;serif"/>
          <w:b w:val="false"/>
          <w:sz w:val="20"/>
        </w:rPr>
        <w:t>million of pre-launch inventory as of June 30, 2023 and December 31, 2022, which consisted of FDKP received in November 2019. The Company expects to request approval from the FDA for the new source of FDKP in 2024.</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June 30, 2023 and December 31, 2022. Inventory that was forecasted to become obsolete due to expiration as well as inventory that does not meet acceptable standards is recorded in costs of goods sold in the condensed consolidated statements of operations. As a result of this assessment, there was an inventory write-off of $1.0</w:t>
      </w:r>
      <w:r>
        <w:rPr>
          <w:rFonts w:ascii="Times New Roman" w:hAnsi="Times New Roman"/>
          <w:sz w:val="20"/>
        </w:rPr>
        <w:t xml:space="preserve"> </w:t>
      </w:r>
      <w:r>
        <w:rPr>
          <w:rFonts w:ascii="Times New Roman;serif" w:hAnsi="Times New Roman;serif"/>
          <w:b w:val="false"/>
          <w:sz w:val="20"/>
        </w:rPr>
        <w:t>million and $3.4</w:t>
      </w:r>
      <w:r>
        <w:rPr>
          <w:rFonts w:ascii="Times New Roman" w:hAnsi="Times New Roman"/>
          <w:sz w:val="20"/>
        </w:rPr>
        <w:t xml:space="preserve"> </w:t>
      </w:r>
      <w:r>
        <w:rPr>
          <w:rFonts w:ascii="Times New Roman;serif" w:hAnsi="Times New Roman;serif"/>
          <w:b w:val="false"/>
          <w:sz w:val="20"/>
        </w:rPr>
        <w:t>million for the three and six months ended June 30, 2023, respectively. For the three and six months ended June 30, 2022, there was an inventory write-off of $0.5</w:t>
      </w:r>
      <w:r>
        <w:rPr>
          <w:rFonts w:ascii="Times New Roman" w:hAnsi="Times New Roman"/>
          <w:sz w:val="20"/>
        </w:rPr>
        <w:t xml:space="preserve"> </w:t>
      </w:r>
      <w:r>
        <w:rPr>
          <w:rFonts w:ascii="Times New Roman;serif" w:hAnsi="Times New Roman;serif"/>
          <w:b w:val="false"/>
          <w:sz w:val="20"/>
        </w:rPr>
        <w:t>million as a result of this assessment.</w:t>
      </w:r>
    </w:p>
    <w:p>
      <w:pPr>
        <w:pStyle w:val="TextBody"/>
        <w:bidi w:val="0"/>
        <w:spacing w:before="360" w:after="0"/>
        <w:jc w:val="left"/>
        <w:rPr>
          <w:rFonts w:ascii="Times New Roman" w:hAnsi="Times New Roman"/>
          <w:sz w:val="20"/>
        </w:rPr>
      </w:pPr>
      <w:r>
        <w:rPr>
          <w:rFonts w:ascii="Times New Roman;serif" w:hAnsi="Times New Roman;serif"/>
          <w:b/>
          <w:sz w:val="20"/>
        </w:rPr>
        <w:t>6. Property and Equipment</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Property and equipment consists of the following (dollars in thousands):</w:t>
      </w:r>
      <w:r>
        <w:rPr>
          <w:rFonts w:ascii="Times New Roman" w:hAnsi="Times New Roman"/>
          <w:sz w:val="20"/>
        </w:rPr>
        <w:t xml:space="preserve"> </w:t>
      </w:r>
    </w:p>
    <w:tbl>
      <w:tblPr>
        <w:tblW w:w="8452"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225"/>
        <w:gridCol w:w="900"/>
        <w:gridCol w:w="166"/>
        <w:gridCol w:w="146"/>
        <w:gridCol w:w="319"/>
        <w:gridCol w:w="1181"/>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Useful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37" w:type="dxa"/>
            <w:gridSpan w:val="6"/>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Land</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Buildings</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17,389</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 improvements</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38,952</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Machinery and equipment</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58,542</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fixtures and office equipment</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8,246</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16,706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169,730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143,686</w:t>
            </w:r>
          </w:p>
        </w:tc>
        <w:tc>
          <w:tcPr>
            <w:tcW w:w="4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45,126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 w:hAnsi="Times New Roman"/>
          <w:sz w:val="20"/>
        </w:rPr>
      </w:pPr>
      <w:r>
        <w:rPr>
          <w:rFonts w:ascii="Times New Roman;serif" w:hAnsi="Times New Roman;serif"/>
          <w:b w:val="false"/>
          <w:sz w:val="20"/>
        </w:rPr>
        <w:t>Depreciation expense related to property and equipment was as follows (in thousands):</w:t>
      </w:r>
      <w:r>
        <w:rPr>
          <w:rFonts w:ascii="Times New Roman" w:hAnsi="Times New Roman"/>
          <w:sz w:val="20"/>
        </w:rPr>
        <w:t xml:space="preserve"> </w:t>
      </w:r>
    </w:p>
    <w:tbl>
      <w:tblPr>
        <w:tblW w:w="6097" w:type="dxa"/>
        <w:jc w:val="left"/>
        <w:tblInd w:w="0" w:type="dxa"/>
        <w:tblLayout w:type="fixed"/>
        <w:tblCellMar>
          <w:top w:w="28" w:type="dxa"/>
          <w:left w:w="28" w:type="dxa"/>
          <w:bottom w:w="28" w:type="dxa"/>
          <w:right w:w="28" w:type="dxa"/>
        </w:tblCellMar>
      </w:tblPr>
      <w:tblGrid>
        <w:gridCol w:w="1906"/>
        <w:gridCol w:w="146"/>
        <w:gridCol w:w="211"/>
        <w:gridCol w:w="571"/>
        <w:gridCol w:w="146"/>
        <w:gridCol w:w="146"/>
        <w:gridCol w:w="211"/>
        <w:gridCol w:w="421"/>
        <w:gridCol w:w="146"/>
        <w:gridCol w:w="146"/>
        <w:gridCol w:w="211"/>
        <w:gridCol w:w="571"/>
        <w:gridCol w:w="146"/>
        <w:gridCol w:w="146"/>
        <w:gridCol w:w="211"/>
        <w:gridCol w:w="57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 November 2021, the Company sold certain land, building and improvements located in Danbury, CT (the “Property”) to an affiliate of Creative Manufacturing Properties (the “Purchaser”) for a sales price of $102.3</w:t>
      </w:r>
      <w:r>
        <w:rPr>
          <w:rFonts w:ascii="Times New Roman;serif" w:hAnsi="Times New Roman;serif"/>
          <w:sz w:val="20"/>
        </w:rPr>
        <w:t xml:space="preserve"> </w:t>
      </w:r>
      <w:r>
        <w:rPr>
          <w:rFonts w:ascii="Times New Roman;serif" w:hAnsi="Times New Roman;serif"/>
          <w:b w:val="false"/>
          <w:sz w:val="20"/>
        </w:rPr>
        <w:t>million, subject to terms and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finance lease and the Property remains as a long-lived asset of the Company and is depreciated at its remaining useful life of 20</w:t>
      </w:r>
      <w:r>
        <w:rPr>
          <w:rFonts w:ascii="Times New Roman;serif" w:hAnsi="Times New Roman;serif"/>
          <w:sz w:val="20"/>
        </w:rPr>
        <w:t xml:space="preserve"> </w:t>
      </w:r>
      <w:r>
        <w:rPr>
          <w:rFonts w:ascii="Times New Roman;serif" w:hAnsi="Times New Roman;serif"/>
          <w:b w:val="false"/>
          <w:sz w:val="20"/>
        </w:rPr>
        <w:t xml:space="preserve">years or less. See Note 15 – </w:t>
      </w:r>
      <w:r>
        <w:rPr>
          <w:rFonts w:ascii="Times New Roman;serif" w:hAnsi="Times New Roman;serif"/>
          <w:b w:val="false"/>
          <w:i/>
          <w:sz w:val="20"/>
        </w:rPr>
        <w:t>Commitments and Contingencies</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7. Goodwill and Other Intangible Asset</w:t>
      </w:r>
    </w:p>
    <w:p>
      <w:pPr>
        <w:pStyle w:val="TextBody"/>
        <w:bidi w:val="0"/>
        <w:spacing w:before="120" w:after="0"/>
        <w:jc w:val="left"/>
        <w:rPr>
          <w:rFonts w:ascii="Times New Roman" w:hAnsi="Times New Roman"/>
          <w:sz w:val="20"/>
        </w:rPr>
      </w:pPr>
      <w:r>
        <w:rPr>
          <w:rFonts w:ascii="Times New Roman;serif" w:hAnsi="Times New Roman;serif"/>
          <w:b w:val="false"/>
          <w:i/>
          <w:sz w:val="20"/>
        </w:rPr>
        <w:t>Goodwill</w:t>
      </w:r>
      <w:r>
        <w:rPr>
          <w:rFonts w:ascii="Times New Roman" w:hAnsi="Times New Roman"/>
          <w:sz w:val="20"/>
        </w:rPr>
        <w:t xml:space="preserve"> — </w:t>
      </w:r>
      <w:r>
        <w:rPr>
          <w:rFonts w:ascii="Times New Roman;serif" w:hAnsi="Times New Roman;serif"/>
          <w:b w:val="false"/>
          <w:sz w:val="20"/>
        </w:rPr>
        <w:t>Goodwill represents the excess of the purchase price over the identifiable tangible and intangible assets acquired plus liabilities assumed arising from business combinations. The balance of goodwill was approximately $1.9</w:t>
      </w:r>
      <w:r>
        <w:rPr>
          <w:rFonts w:ascii="Times New Roman" w:hAnsi="Times New Roman"/>
          <w:sz w:val="20"/>
        </w:rPr>
        <w:t xml:space="preserve"> </w:t>
      </w:r>
      <w:r>
        <w:rPr>
          <w:rFonts w:ascii="Times New Roman;serif" w:hAnsi="Times New Roman;serif"/>
          <w:b w:val="false"/>
          <w:sz w:val="20"/>
        </w:rPr>
        <w:t>million and $2.4</w:t>
      </w:r>
      <w:r>
        <w:rPr>
          <w:rFonts w:ascii="Times New Roman" w:hAnsi="Times New Roman"/>
          <w:sz w:val="20"/>
        </w:rPr>
        <w:t xml:space="preserve"> </w:t>
      </w:r>
      <w:r>
        <w:rPr>
          <w:rFonts w:ascii="Times New Roman;serif" w:hAnsi="Times New Roman;serif"/>
          <w:b w:val="false"/>
          <w:sz w:val="20"/>
        </w:rPr>
        <w:t xml:space="preserve">million as of June 30, 2023 and December 31, 2022, respectively, as a result of the Company's acquisition of V-Go in May 2022. Through May 2023, goodwill related to the acquisition of V-Go was adjusted for a reduction in rebate-related liabilities partially offset by a reserve for inventory obsolescence. Goodwill is tested at least annually for impairment by assessing qualitative factors in determining whether it is more likely than not that the fair value of net assets is below their carrying amounts. See Note 1 – </w:t>
      </w:r>
      <w:r>
        <w:rPr>
          <w:rFonts w:ascii="Times New Roman;serif" w:hAnsi="Times New Roman;serif"/>
          <w:b w:val="false"/>
          <w:i/>
          <w:sz w:val="20"/>
        </w:rPr>
        <w:t>Description of Business and Significant Accounting Policies</w:t>
      </w:r>
      <w:r>
        <w:rPr>
          <w:rFonts w:ascii="Times New Roman;serif" w:hAnsi="Times New Roman;serif"/>
          <w:b w:val="false"/>
          <w:sz w:val="20"/>
        </w:rPr>
        <w:t>.</w:t>
      </w:r>
    </w:p>
    <w:p>
      <w:pPr>
        <w:pStyle w:val="TextBody"/>
        <w:bidi w:val="0"/>
        <w:spacing w:before="240" w:after="240"/>
        <w:jc w:val="left"/>
        <w:rPr>
          <w:rFonts w:ascii="Times New Roman" w:hAnsi="Times New Roman"/>
          <w:sz w:val="20"/>
        </w:rPr>
      </w:pPr>
      <w:r>
        <w:rPr>
          <w:rFonts w:ascii="Times New Roman;serif" w:hAnsi="Times New Roman;serif"/>
          <w:b w:val="false"/>
          <w:i/>
          <w:sz w:val="20"/>
        </w:rPr>
        <w:t xml:space="preserve">Other Intangible Asset </w:t>
      </w:r>
      <w:r>
        <w:rPr>
          <w:rFonts w:ascii="Times New Roman" w:hAnsi="Times New Roman"/>
          <w:sz w:val="20"/>
        </w:rPr>
        <w:t xml:space="preserve">— </w:t>
      </w:r>
      <w:r>
        <w:rPr>
          <w:rFonts w:ascii="Times New Roman;serif" w:hAnsi="Times New Roman;serif"/>
          <w:b w:val="false"/>
          <w:sz w:val="20"/>
        </w:rPr>
        <w:t>Other intangible asset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1472"/>
        <w:gridCol w:w="146"/>
        <w:gridCol w:w="282"/>
        <w:gridCol w:w="611"/>
        <w:gridCol w:w="146"/>
        <w:gridCol w:w="146"/>
        <w:gridCol w:w="211"/>
        <w:gridCol w:w="571"/>
        <w:gridCol w:w="146"/>
        <w:gridCol w:w="146"/>
        <w:gridCol w:w="388"/>
        <w:gridCol w:w="693"/>
        <w:gridCol w:w="166"/>
        <w:gridCol w:w="146"/>
        <w:gridCol w:w="267"/>
        <w:gridCol w:w="724"/>
        <w:gridCol w:w="146"/>
        <w:gridCol w:w="146"/>
        <w:gridCol w:w="211"/>
        <w:gridCol w:w="571"/>
        <w:gridCol w:w="146"/>
        <w:gridCol w:w="146"/>
        <w:gridCol w:w="388"/>
        <w:gridCol w:w="693"/>
        <w:gridCol w:w="166"/>
        <w:gridCol w:w="146"/>
        <w:gridCol w:w="267"/>
        <w:gridCol w:w="724"/>
        <w:gridCol w:w="194"/>
      </w:tblGrid>
      <w:tr>
        <w:trPr/>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 xml:space="preserve">Amortization expense related to the other intangible asset was </w:t>
      </w:r>
      <w:r>
        <w:rPr>
          <w:rFonts w:ascii="Times New Roman;serif" w:hAnsi="Times New Roman;serif"/>
          <w:b w:val="false"/>
          <w:i/>
          <w:sz w:val="20"/>
        </w:rPr>
        <w:t>de minimis</w:t>
      </w:r>
      <w:r>
        <w:rPr>
          <w:rFonts w:ascii="Times New Roman" w:hAnsi="Times New Roman"/>
          <w:sz w:val="20"/>
        </w:rPr>
        <w:t xml:space="preserve"> </w:t>
      </w:r>
      <w:r>
        <w:rPr>
          <w:rFonts w:ascii="Times New Roman;serif" w:hAnsi="Times New Roman;serif"/>
          <w:b w:val="false"/>
          <w:sz w:val="20"/>
        </w:rPr>
        <w:t>for the six months ended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estimated annual amortization expense for the other intangible asset for the years ended December 31, 2023 through 2027 will be approximately $0.1</w:t>
      </w:r>
      <w:r>
        <w:rPr>
          <w:rFonts w:ascii="Times New Roman" w:hAnsi="Times New Roman"/>
          <w:sz w:val="20"/>
        </w:rPr>
        <w:t xml:space="preserve"> </w:t>
      </w:r>
      <w:r>
        <w:rPr>
          <w:rFonts w:ascii="Times New Roman;serif" w:hAnsi="Times New Roman;serif"/>
          <w:b w:val="false"/>
          <w:sz w:val="20"/>
        </w:rPr>
        <w:t>million per year and $0.6</w:t>
      </w:r>
      <w:r>
        <w:rPr>
          <w:rFonts w:ascii="Times New Roman" w:hAnsi="Times New Roman"/>
          <w:sz w:val="20"/>
        </w:rPr>
        <w:t xml:space="preserve"> </w:t>
      </w:r>
      <w:r>
        <w:rPr>
          <w:rFonts w:ascii="Times New Roman;serif" w:hAnsi="Times New Roman;serif"/>
          <w:b w:val="false"/>
          <w:sz w:val="20"/>
        </w:rPr>
        <w:t>million, thereafter.</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evaluates its other intangible asset for potential impairment when events or changes in circumstances indicate that the carrying amount of an asset or asset group may not be recoverable. See Note 1 – </w:t>
      </w:r>
      <w:r>
        <w:rPr>
          <w:rFonts w:ascii="Times New Roman;serif" w:hAnsi="Times New Roman;serif"/>
          <w:b w:val="false"/>
          <w:i/>
          <w:sz w:val="20"/>
        </w:rPr>
        <w:t>Description of Business and Significant Accounting Policies</w:t>
      </w:r>
      <w:r>
        <w:rPr>
          <w:rFonts w:ascii="Times New Roman;serif" w:hAnsi="Times New Roman;serif"/>
          <w:b w:val="false"/>
          <w:sz w:val="20"/>
        </w:rPr>
        <w:t>.</w:t>
      </w:r>
    </w:p>
    <w:p>
      <w:pPr>
        <w:pStyle w:val="TextBody"/>
        <w:bidi w:val="0"/>
        <w:spacing w:before="360" w:after="0"/>
        <w:jc w:val="left"/>
        <w:rPr>
          <w:rFonts w:ascii="Times New Roman" w:hAnsi="Times New Roman"/>
          <w:sz w:val="20"/>
        </w:rPr>
      </w:pPr>
      <w:r>
        <w:rPr>
          <w:rFonts w:ascii="Times New Roman;serif" w:hAnsi="Times New Roman;serif"/>
          <w:b/>
          <w:sz w:val="20"/>
        </w:rPr>
        <w:t>8. Accrued Expenses and Other Current Liabilities</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Accrued expenses and other current liabilities were comprised of the following (in thousands):</w:t>
      </w:r>
      <w:r>
        <w:rPr>
          <w:rFonts w:ascii="Times New Roman" w:hAnsi="Times New Roman"/>
          <w:sz w:val="20"/>
        </w:rPr>
        <w:t xml:space="preserve"> </w:t>
      </w:r>
    </w:p>
    <w:tbl>
      <w:tblPr>
        <w:tblW w:w="8045" w:type="dxa"/>
        <w:jc w:val="left"/>
        <w:tblInd w:w="0" w:type="dxa"/>
        <w:tblLayout w:type="fixed"/>
        <w:tblCellMar>
          <w:top w:w="28" w:type="dxa"/>
          <w:left w:w="28" w:type="dxa"/>
          <w:bottom w:w="28" w:type="dxa"/>
          <w:right w:w="28" w:type="dxa"/>
        </w:tblCellMar>
      </w:tblPr>
      <w:tblGrid>
        <w:gridCol w:w="4591"/>
        <w:gridCol w:w="146"/>
        <w:gridCol w:w="267"/>
        <w:gridCol w:w="858"/>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Salary and related expenses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14,906</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Discounts and allowances for commercial product sales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8,504</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Accrued interest</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2,201</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Current portion of milestone rights liability</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lease liability</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Returns reserve for acquired product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Danbury facility buildout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w:t>
            </w:r>
          </w:p>
        </w:tc>
        <w:tc>
          <w:tcPr>
            <w:tcW w:w="391" w:type="dxa"/>
            <w:tcBorders/>
            <w:vAlign w:val="center"/>
          </w:tcPr>
          <w:p>
            <w:pPr>
              <w:pStyle w:val="TableContents"/>
              <w:bidi w:val="0"/>
              <w:spacing w:before="0" w:after="0"/>
              <w:ind w:left="0" w:right="0" w:hanging="0"/>
              <w:jc w:val="left"/>
              <w:rPr/>
            </w:pPr>
            <w:r>
              <w:rPr/>
              <w:t> </w:t>
            </w:r>
          </w:p>
        </w:tc>
      </w:tr>
      <w:tr>
        <w:trPr/>
        <w:tc>
          <w:tcPr>
            <w:tcW w:w="4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35,553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sz w:val="20"/>
        </w:rPr>
      </w:pPr>
      <w:r>
        <w:rPr>
          <w:rFonts w:ascii="Times New Roman;serif" w:hAnsi="Times New Roman;serif"/>
          <w:b w:val="false"/>
          <w:sz w:val="18"/>
        </w:rPr>
        <w:t>As of June 30, 2023, accrued interest includes $4.1</w:t>
      </w:r>
      <w:r>
        <w:rPr>
          <w:rFonts w:ascii="Times New Roman;serif" w:hAnsi="Times New Roman;serif"/>
          <w:sz w:val="20"/>
        </w:rPr>
        <w:t xml:space="preserve"> </w:t>
      </w:r>
      <w:r>
        <w:rPr>
          <w:rFonts w:ascii="Times New Roman;serif" w:hAnsi="Times New Roman;serif"/>
          <w:b w:val="false"/>
          <w:sz w:val="18"/>
        </w:rPr>
        <w:t>million related to a milestone payment of $5.0</w:t>
      </w:r>
      <w:r>
        <w:rPr>
          <w:rFonts w:ascii="Times New Roman;serif" w:hAnsi="Times New Roman;serif"/>
          <w:sz w:val="20"/>
        </w:rPr>
        <w:t xml:space="preserve"> </w:t>
      </w:r>
      <w:r>
        <w:rPr>
          <w:rFonts w:ascii="Times New Roman;serif" w:hAnsi="Times New Roman;serif"/>
          <w:b w:val="false"/>
          <w:sz w:val="18"/>
        </w:rPr>
        <w:t>million to be paid in the third quarter of 2023.</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jc w:val="left"/>
        <w:rPr>
          <w:rFonts w:ascii="Times New Roman;serif" w:hAnsi="Times New Roman;serif"/>
          <w:sz w:val="20"/>
        </w:rPr>
      </w:pPr>
      <w:r>
        <w:rPr>
          <w:rFonts w:ascii="Times New Roman;serif" w:hAnsi="Times New Roman;serif"/>
          <w:b w:val="false"/>
          <w:sz w:val="18"/>
        </w:rPr>
        <w:t>As of June 30, 2023, the current portion of milestone rights liability includes $0.9</w:t>
      </w:r>
      <w:r>
        <w:rPr>
          <w:rFonts w:ascii="Times New Roman;serif" w:hAnsi="Times New Roman;serif"/>
          <w:sz w:val="20"/>
        </w:rPr>
        <w:t xml:space="preserve"> </w:t>
      </w:r>
      <w:r>
        <w:rPr>
          <w:rFonts w:ascii="Times New Roman;serif" w:hAnsi="Times New Roman;serif"/>
          <w:b w:val="false"/>
          <w:sz w:val="18"/>
        </w:rPr>
        <w:t>million to be paid in the third quarter of 2023 and $0.8</w:t>
      </w:r>
      <w:r>
        <w:rPr>
          <w:rFonts w:ascii="Times New Roman;serif" w:hAnsi="Times New Roman;serif"/>
          <w:sz w:val="20"/>
        </w:rPr>
        <w:t xml:space="preserve"> </w:t>
      </w:r>
      <w:r>
        <w:rPr>
          <w:rFonts w:ascii="Times New Roman;serif" w:hAnsi="Times New Roman;serif"/>
          <w:b w:val="false"/>
          <w:sz w:val="18"/>
        </w:rPr>
        <w:t>million reclassed from long-term to short-term milestone right liability.</w:t>
      </w:r>
    </w:p>
    <w:p>
      <w:pPr>
        <w:pStyle w:val="TextBody"/>
        <w:bidi w:val="0"/>
        <w:spacing w:before="360" w:after="0"/>
        <w:jc w:val="left"/>
        <w:rPr>
          <w:rFonts w:ascii="Times New Roman" w:hAnsi="Times New Roman"/>
          <w:sz w:val="20"/>
        </w:rPr>
      </w:pPr>
      <w:r>
        <w:rPr>
          <w:rFonts w:ascii="Times New Roman;serif" w:hAnsi="Times New Roman;serif"/>
          <w:b/>
          <w:sz w:val="20"/>
        </w:rPr>
        <w:t>9</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sz w:val="20"/>
        </w:rPr>
        <w:t>Borrowings</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Carrying amount of the Company's borrowings consist of the following (in thousands):</w:t>
      </w:r>
      <w:r>
        <w:rPr>
          <w:rFonts w:ascii="Times New Roman" w:hAnsi="Times New Roman"/>
          <w:sz w:val="20"/>
        </w:rPr>
        <w:t xml:space="preserve"> </w:t>
      </w:r>
    </w:p>
    <w:tbl>
      <w:tblPr>
        <w:tblW w:w="6245" w:type="dxa"/>
        <w:jc w:val="left"/>
        <w:tblInd w:w="0" w:type="dxa"/>
        <w:tblLayout w:type="fixed"/>
        <w:tblCellMar>
          <w:top w:w="28" w:type="dxa"/>
          <w:left w:w="28" w:type="dxa"/>
          <w:bottom w:w="28" w:type="dxa"/>
          <w:right w:w="28" w:type="dxa"/>
        </w:tblCellMar>
      </w:tblPr>
      <w:tblGrid>
        <w:gridCol w:w="2791"/>
        <w:gridCol w:w="146"/>
        <w:gridCol w:w="239"/>
        <w:gridCol w:w="886"/>
        <w:gridCol w:w="146"/>
        <w:gridCol w:w="146"/>
        <w:gridCol w:w="319"/>
        <w:gridCol w:w="1181"/>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convertible notes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225,397</w:t>
            </w:r>
          </w:p>
        </w:tc>
        <w:tc>
          <w:tcPr>
            <w:tcW w:w="391" w:type="dxa"/>
            <w:tcBorders/>
            <w:vAlign w:val="center"/>
          </w:tcPr>
          <w:p>
            <w:pPr>
              <w:pStyle w:val="TableContents"/>
              <w:bidi w:val="0"/>
              <w:spacing w:before="0" w:after="0"/>
              <w:ind w:left="0" w:right="0" w:hanging="0"/>
              <w:jc w:val="left"/>
              <w:rPr/>
            </w:pPr>
            <w:r>
              <w:rPr/>
              <w:t> </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MidCap credit facility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39,264</w:t>
            </w:r>
          </w:p>
        </w:tc>
        <w:tc>
          <w:tcPr>
            <w:tcW w:w="391" w:type="dxa"/>
            <w:tcBorders/>
            <w:vAlign w:val="center"/>
          </w:tcPr>
          <w:p>
            <w:pPr>
              <w:pStyle w:val="TableContents"/>
              <w:bidi w:val="0"/>
              <w:spacing w:before="0" w:after="0"/>
              <w:ind w:left="0" w:right="0" w:hanging="0"/>
              <w:jc w:val="left"/>
              <w:rPr/>
            </w:pPr>
            <w:r>
              <w:rPr/>
              <w:t> </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Mann Group convertible note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debt – net carrying amount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274,431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273,490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serif" w:hAnsi="Times New Roman;serif"/>
          <w:b w:val="false"/>
          <w:sz w:val="20"/>
        </w:rPr>
        <w:t>The following table provides a summary of the Company’s principal balance of debt and key terms: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144"/>
        <w:gridCol w:w="146"/>
        <w:gridCol w:w="1321"/>
        <w:gridCol w:w="146"/>
        <w:gridCol w:w="1453"/>
        <w:gridCol w:w="146"/>
        <w:gridCol w:w="1167"/>
        <w:gridCol w:w="146"/>
        <w:gridCol w:w="256"/>
        <w:gridCol w:w="166"/>
        <w:gridCol w:w="1258"/>
        <w:gridCol w:w="146"/>
        <w:gridCol w:w="256"/>
        <w:gridCol w:w="166"/>
        <w:gridCol w:w="1288"/>
      </w:tblGrid>
      <w:tr>
        <w:trPr/>
        <w:tc>
          <w:tcPr>
            <w:tcW w:w="2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Due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Terms</w:t>
            </w:r>
          </w:p>
        </w:tc>
      </w:tr>
      <w:tr>
        <w:trPr/>
        <w:tc>
          <w:tcPr>
            <w:tcW w:w="21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Annual Interest</w:t>
              <w:br/>
              <w:t>   Rate</w:t>
            </w:r>
          </w:p>
        </w:tc>
        <w:tc>
          <w:tcPr>
            <w:tcW w:w="4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4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Conversion Price</w:t>
            </w:r>
          </w:p>
        </w:tc>
      </w:tr>
      <w:tr>
        <w:trPr/>
        <w:tc>
          <w:tcPr>
            <w:tcW w:w="21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convertible notes</w:t>
            </w:r>
          </w:p>
        </w:tc>
        <w:tc>
          <w:tcPr>
            <w:tcW w:w="1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$230.0</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$230.0</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40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25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2026</w:t>
            </w:r>
          </w:p>
        </w:tc>
        <w:tc>
          <w:tcPr>
            <w:tcW w:w="40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288"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$5.21</w:t>
            </w:r>
            <w:r>
              <w:rPr>
                <w:rFonts w:ascii="Times New Roman" w:hAnsi="Times New Roman"/>
                <w:sz w:val="20"/>
              </w:rPr>
              <w:t> </w:t>
            </w:r>
            <w:r>
              <w:rPr>
                <w:rFonts w:ascii="Times New Roman;serif" w:hAnsi="Times New Roman;serif"/>
                <w:b w:val="false"/>
                <w:sz w:val="20"/>
              </w:rPr>
              <w:br/>
              <w:t>per share</w:t>
            </w:r>
          </w:p>
        </w:tc>
      </w:tr>
      <w:tr>
        <w:trPr/>
        <w:tc>
          <w:tcPr>
            <w:tcW w:w="214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MidCap credit facility</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$40.0</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$40.0</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one-month</w:t>
              <w:br/>
              <w:t>SOFR</w:t>
              <w:br/>
              <w:t>(1% floor)</w:t>
              <w:br/>
              <w:t>plus 6.25%;</w:t>
              <w:br/>
              <w:t>cap of 8.25%</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5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August 2025</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r>
      <w:tr>
        <w:trPr/>
        <w:tc>
          <w:tcPr>
            <w:tcW w:w="21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Mann Group convertible note</w:t>
            </w:r>
          </w:p>
        </w:tc>
        <w:tc>
          <w:tcPr>
            <w:tcW w:w="1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$8.8</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$8.8</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40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25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2025</w:t>
            </w:r>
          </w:p>
        </w:tc>
        <w:tc>
          <w:tcPr>
            <w:tcW w:w="40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28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br/>
              <w:t>per share</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b w:val="false"/>
          <w:sz w:val="18"/>
        </w:rPr>
      </w:pPr>
      <w:r>
        <w:rPr>
          <w:rFonts w:ascii="Times New Roman;serif" w:hAnsi="Times New Roman;serif"/>
          <w:b w:val="false"/>
          <w:sz w:val="18"/>
        </w:rPr>
        <w:t xml:space="preserve">In August 2022, the Company amended the MidCap credit facility and transitioned the benchmark interest rate from LIBOR to the Secured Overnight Financing Rate (“SOFR”).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maturities of the Company’s borrowings as of June 30, 2023 are as follows (in thousands):</w:t>
      </w:r>
    </w:p>
    <w:tbl>
      <w:tblPr>
        <w:tblW w:w="3910" w:type="dxa"/>
        <w:jc w:val="left"/>
        <w:tblInd w:w="0" w:type="dxa"/>
        <w:tblLayout w:type="fixed"/>
        <w:tblCellMar>
          <w:top w:w="28" w:type="dxa"/>
          <w:left w:w="28" w:type="dxa"/>
          <w:bottom w:w="28" w:type="dxa"/>
          <w:right w:w="28" w:type="dxa"/>
        </w:tblCellMar>
      </w:tblPr>
      <w:tblGrid>
        <w:gridCol w:w="2361"/>
        <w:gridCol w:w="146"/>
        <w:gridCol w:w="211"/>
        <w:gridCol w:w="781"/>
        <w:gridCol w:w="41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6,667</w:t>
            </w:r>
          </w:p>
        </w:tc>
        <w:tc>
          <w:tcPr>
            <w:tcW w:w="411" w:type="dxa"/>
            <w:tcBorders/>
            <w:vAlign w:val="center"/>
          </w:tcPr>
          <w:p>
            <w:pPr>
              <w:pStyle w:val="TableContents"/>
              <w:bidi w:val="0"/>
              <w:spacing w:before="0" w:after="0"/>
              <w:ind w:left="0" w:right="0" w:hanging="0"/>
              <w:jc w:val="left"/>
              <w:rPr/>
            </w:pPr>
            <w:r>
              <w:rPr/>
              <w:t> </w:t>
            </w:r>
          </w:p>
        </w:tc>
      </w:tr>
      <w:tr>
        <w:trPr/>
        <w:tc>
          <w:tcPr>
            <w:tcW w:w="2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411" w:type="dxa"/>
            <w:tcBorders/>
            <w:vAlign w:val="center"/>
          </w:tcPr>
          <w:p>
            <w:pPr>
              <w:pStyle w:val="TableContents"/>
              <w:bidi w:val="0"/>
              <w:spacing w:before="0" w:after="0"/>
              <w:ind w:left="0" w:right="0" w:hanging="0"/>
              <w:jc w:val="left"/>
              <w:rPr/>
            </w:pPr>
            <w:r>
              <w:rPr/>
              <w:t> </w:t>
            </w:r>
          </w:p>
        </w:tc>
      </w:tr>
      <w:tr>
        <w:trPr/>
        <w:tc>
          <w:tcPr>
            <w:tcW w:w="2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22,163</w:t>
            </w:r>
          </w:p>
        </w:tc>
        <w:tc>
          <w:tcPr>
            <w:tcW w:w="411" w:type="dxa"/>
            <w:tcBorders/>
            <w:vAlign w:val="center"/>
          </w:tcPr>
          <w:p>
            <w:pPr>
              <w:pStyle w:val="TableContents"/>
              <w:bidi w:val="0"/>
              <w:spacing w:before="0" w:after="0"/>
              <w:ind w:left="0" w:right="0" w:hanging="0"/>
              <w:jc w:val="left"/>
              <w:rPr/>
            </w:pPr>
            <w:r>
              <w:rPr/>
              <w:t> </w:t>
            </w:r>
          </w:p>
        </w:tc>
      </w:tr>
      <w:tr>
        <w:trPr/>
        <w:tc>
          <w:tcPr>
            <w:tcW w:w="2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411" w:type="dxa"/>
            <w:tcBorders/>
            <w:vAlign w:val="center"/>
          </w:tcPr>
          <w:p>
            <w:pPr>
              <w:pStyle w:val="TableContents"/>
              <w:bidi w:val="0"/>
              <w:spacing w:before="0" w:after="0"/>
              <w:ind w:left="0" w:right="0" w:firstLine="200"/>
              <w:jc w:val="left"/>
              <w:rPr/>
            </w:pPr>
            <w:r>
              <w:rPr/>
              <w:t> </w:t>
            </w:r>
          </w:p>
        </w:tc>
      </w:tr>
      <w:tr>
        <w:trPr/>
        <w:tc>
          <w:tcPr>
            <w:tcW w:w="236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principal payments</w:t>
            </w:r>
          </w:p>
        </w:tc>
        <w:tc>
          <w:tcPr>
            <w:tcW w:w="146" w:type="dxa"/>
            <w:tcBorders/>
            <w:vAlign w:val="center"/>
          </w:tcPr>
          <w:p>
            <w:pPr>
              <w:pStyle w:val="TableContents"/>
              <w:bidi w:val="0"/>
              <w:spacing w:before="0" w:after="0"/>
              <w:ind w:left="20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278,830</w:t>
            </w:r>
          </w:p>
        </w:tc>
        <w:tc>
          <w:tcPr>
            <w:tcW w:w="4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2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6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debt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274,431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Senior convertible notes </w:t>
      </w:r>
      <w:r>
        <w:rPr>
          <w:rFonts w:ascii="Times New Roman" w:hAnsi="Times New Roman"/>
          <w:sz w:val="20"/>
        </w:rPr>
        <w:t xml:space="preserve">– </w:t>
      </w:r>
      <w:r>
        <w:rPr>
          <w:rFonts w:ascii="Times New Roman;serif" w:hAnsi="Times New Roman;serif"/>
          <w:b w:val="false"/>
          <w:sz w:val="20"/>
        </w:rPr>
        <w:t>In March 2021, the Company issued $230.0</w:t>
      </w:r>
      <w:r>
        <w:rPr>
          <w:rFonts w:ascii="Times New Roman" w:hAnsi="Times New Roman"/>
          <w:sz w:val="20"/>
        </w:rPr>
        <w:t xml:space="preserve"> </w:t>
      </w:r>
      <w:r>
        <w:rPr>
          <w:rFonts w:ascii="Times New Roman;serif" w:hAnsi="Times New Roman;serif"/>
          <w:b w:val="false"/>
          <w:sz w:val="20"/>
        </w:rPr>
        <w:t>million aggregate principal amount of Senior convertible notes in a private offering. The Senior convertible notes were issued pursuant to an indenture, dated March 4, 2021 (the “Indenture”), between the Company and U.S. Bank National Association, as trustee.</w:t>
      </w:r>
    </w:p>
    <w:p>
      <w:pPr>
        <w:pStyle w:val="TextBody"/>
        <w:bidi w:val="0"/>
        <w:spacing w:before="240" w:after="0"/>
        <w:jc w:val="left"/>
        <w:rPr>
          <w:rFonts w:ascii="Times New Roman" w:hAnsi="Times New Roman"/>
          <w:sz w:val="20"/>
        </w:rPr>
      </w:pPr>
      <w:r>
        <w:rPr>
          <w:rFonts w:ascii="Times New Roman;serif" w:hAnsi="Times New Roman;serif"/>
          <w:b w:val="false"/>
          <w:sz w:val="20"/>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w:t>
      </w:r>
      <w:r>
        <w:rPr>
          <w:rFonts w:ascii="Times New Roman" w:hAnsi="Times New Roman"/>
          <w:sz w:val="20"/>
        </w:rPr>
        <w:t xml:space="preserve"> </w:t>
      </w:r>
      <w:r>
        <w:rPr>
          <w:rFonts w:ascii="Times New Roman;serif" w:hAnsi="Times New Roman;serif"/>
          <w:b w:val="false"/>
          <w:sz w:val="20"/>
        </w:rPr>
        <w:t>per share, for at least 20</w:t>
      </w:r>
      <w:r>
        <w:rPr>
          <w:rFonts w:ascii="Times New Roman" w:hAnsi="Times New Roman"/>
          <w:sz w:val="20"/>
        </w:rPr>
        <w:t xml:space="preserve"> </w:t>
      </w:r>
      <w:r>
        <w:rPr>
          <w:rFonts w:ascii="Times New Roman;serif" w:hAnsi="Times New Roman;serif"/>
          <w:b w:val="false"/>
          <w:sz w:val="20"/>
        </w:rPr>
        <w:t>trading days (whether or not consecutive) during a period of 30</w:t>
      </w:r>
      <w:r>
        <w:rPr>
          <w:rFonts w:ascii="Times New Roman" w:hAnsi="Times New Roman"/>
          <w:sz w:val="20"/>
        </w:rPr>
        <w:t xml:space="preserve"> </w:t>
      </w:r>
      <w:r>
        <w:rPr>
          <w:rFonts w:ascii="Times New Roman;serif" w:hAnsi="Times New Roman;serif"/>
          <w:b w:val="false"/>
          <w:sz w:val="20"/>
        </w:rPr>
        <w:t>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w:t>
      </w:r>
      <w:r>
        <w:rPr>
          <w:rFonts w:ascii="Times New Roman" w:hAnsi="Times New Roman"/>
          <w:sz w:val="20"/>
        </w:rPr>
        <w:t xml:space="preserve"> </w:t>
      </w:r>
      <w:r>
        <w:rPr>
          <w:rFonts w:ascii="Times New Roman;serif" w:hAnsi="Times New Roman;serif"/>
          <w:b w:val="false"/>
          <w:sz w:val="20"/>
        </w:rPr>
        <w:t>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pStyle w:val="TextBody"/>
        <w:bidi w:val="0"/>
        <w:spacing w:before="240" w:after="0"/>
        <w:jc w:val="left"/>
        <w:rPr>
          <w:rFonts w:ascii="Times New Roman" w:hAnsi="Times New Roman"/>
          <w:sz w:val="20"/>
        </w:rPr>
      </w:pPr>
      <w:r>
        <w:rPr>
          <w:rFonts w:ascii="Times New Roman;serif" w:hAnsi="Times New Roman;serif"/>
          <w:b w:val="false"/>
          <w:sz w:val="20"/>
        </w:rPr>
        <w:t>The initial conversion rate is 191.8281</w:t>
      </w:r>
      <w:r>
        <w:rPr>
          <w:rFonts w:ascii="Times New Roman" w:hAnsi="Times New Roman"/>
          <w:sz w:val="20"/>
        </w:rPr>
        <w:t xml:space="preserve"> </w:t>
      </w:r>
      <w:r>
        <w:rPr>
          <w:rFonts w:ascii="Times New Roman;serif" w:hAnsi="Times New Roman;serif"/>
          <w:b w:val="false"/>
          <w:sz w:val="20"/>
        </w:rPr>
        <w:t>shares of common stock per $1,000</w:t>
      </w:r>
      <w:r>
        <w:rPr>
          <w:rFonts w:ascii="Times New Roman" w:hAnsi="Times New Roman"/>
          <w:sz w:val="20"/>
        </w:rPr>
        <w:t xml:space="preserve"> </w:t>
      </w:r>
      <w:r>
        <w:rPr>
          <w:rFonts w:ascii="Times New Roman;serif" w:hAnsi="Times New Roman;serif"/>
          <w:b w:val="false"/>
          <w:sz w:val="20"/>
        </w:rPr>
        <w:t>principal amount of Notes (equivalent to an initial conversion price of approximately $5.21</w:t>
      </w:r>
      <w:r>
        <w:rPr>
          <w:rFonts w:ascii="Times New Roman" w:hAnsi="Times New Roman"/>
          <w:sz w:val="20"/>
        </w:rPr>
        <w:t xml:space="preserve"> </w:t>
      </w:r>
      <w:r>
        <w:rPr>
          <w:rFonts w:ascii="Times New Roman;serif" w:hAnsi="Times New Roman;serif"/>
          <w:b w:val="false"/>
          <w:sz w:val="20"/>
        </w:rPr>
        <w:t>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convertible notes for a holder who elects to convert its Senior convertible notes in connection with such a corporate event or convert its Notes called for redemption during the related redemption period (as defined in the Indenture), as the case may be.</w:t>
      </w:r>
    </w:p>
    <w:p>
      <w:pPr>
        <w:pStyle w:val="TextBody"/>
        <w:bidi w:val="0"/>
        <w:spacing w:before="240" w:after="0"/>
        <w:jc w:val="left"/>
        <w:rPr>
          <w:rFonts w:ascii="Times New Roman;serif" w:hAnsi="Times New Roman;serif"/>
          <w:sz w:val="20"/>
        </w:rPr>
      </w:pPr>
      <w:r>
        <w:rPr>
          <w:rFonts w:ascii="Times New Roman;serif" w:hAnsi="Times New Roman;serif"/>
          <w:b w:val="false"/>
          <w:sz w:val="20"/>
        </w:rPr>
        <w:t>The Company may not redeem the Senior convertible notes prior to March 6, 2024. The Company may redeem for cash all or any portion of the Senior convertible notes, at its option, on or after March 6, 2024</w:t>
      </w:r>
      <w:r>
        <w:rPr>
          <w:rFonts w:ascii="Times New Roman;serif" w:hAnsi="Times New Roman;serif"/>
          <w:sz w:val="20"/>
        </w:rPr>
        <w:t xml:space="preserve"> </w:t>
      </w:r>
      <w:r>
        <w:rPr>
          <w:rFonts w:ascii="Times New Roman;serif" w:hAnsi="Times New Roman;serif"/>
          <w:b w:val="false"/>
          <w:sz w:val="20"/>
        </w:rPr>
        <w:t>and prior to the 36th scheduled trading day immediately preceding the maturity date, if the last reported sale price of common stock has been at least 130% of the conversion price for the Senior convertible notes then in effect for at least 20</w:t>
      </w:r>
      <w:r>
        <w:rPr>
          <w:rFonts w:ascii="Times New Roman;serif" w:hAnsi="Times New Roman;serif"/>
          <w:sz w:val="20"/>
        </w:rPr>
        <w:t xml:space="preserve"> </w:t>
      </w:r>
      <w:r>
        <w:rPr>
          <w:rFonts w:ascii="Times New Roman;serif" w:hAnsi="Times New Roman;serif"/>
          <w:b w:val="false"/>
          <w:sz w:val="20"/>
        </w:rPr>
        <w:t>trading days (whether or not consecutive) during any 30</w:t>
      </w:r>
      <w:r>
        <w:rPr>
          <w:rFonts w:ascii="Times New Roman;serif" w:hAnsi="Times New Roman;serif"/>
          <w:sz w:val="20"/>
        </w:rPr>
        <w:t xml:space="preserve"> </w:t>
      </w:r>
      <w:r>
        <w:rPr>
          <w:rFonts w:ascii="Times New Roman;serif" w:hAnsi="Times New Roman;serif"/>
          <w:b w:val="false"/>
          <w:sz w:val="20"/>
        </w:rPr>
        <w:t>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w:t>
      </w:r>
      <w:r>
        <w:rPr>
          <w:rFonts w:ascii="Times New Roman;serif" w:hAnsi="Times New Roman;serif"/>
          <w:sz w:val="20"/>
        </w:rPr>
        <w:t xml:space="preserve"> </w:t>
      </w:r>
      <w:r>
        <w:rPr>
          <w:rFonts w:ascii="Times New Roman;serif" w:hAnsi="Times New Roman;serif"/>
          <w:b w:val="false"/>
          <w:sz w:val="20"/>
        </w:rPr>
        <w:t>million aggregate principal amount of Senior convertible notes must be outstanding and not subject to redemption as of the relevant redemption notice date. No</w:t>
      </w:r>
      <w:r>
        <w:rPr>
          <w:rFonts w:ascii="Times New Roman;serif" w:hAnsi="Times New Roman;serif"/>
          <w:sz w:val="20"/>
        </w:rPr>
        <w:t xml:space="preserve"> </w:t>
      </w:r>
      <w:r>
        <w:rPr>
          <w:rFonts w:ascii="Times New Roman;serif" w:hAnsi="Times New Roman;serif"/>
          <w:b w:val="false"/>
          <w:sz w:val="20"/>
        </w:rPr>
        <w:t>sinking fund is provided for the Senior convertible notes.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pStyle w:val="TextBody"/>
        <w:bidi w:val="0"/>
        <w:spacing w:before="240" w:after="0"/>
        <w:jc w:val="left"/>
        <w:rPr>
          <w:rFonts w:ascii="Times New Roman" w:hAnsi="Times New Roman"/>
          <w:sz w:val="20"/>
        </w:rPr>
      </w:pPr>
      <w:r>
        <w:rPr>
          <w:rFonts w:ascii="Times New Roman;serif" w:hAnsi="Times New Roman;serif"/>
          <w:b w:val="false"/>
          <w:sz w:val="20"/>
        </w:rPr>
        <w:t>The Indenture includes customary covenants and sets forth certain events of default after which the Senior convertible notes may be declared immediately due and payable.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net proceeds from the March 2021 offering were approximately $222.7</w:t>
      </w:r>
      <w:r>
        <w:rPr>
          <w:rFonts w:ascii="Times New Roman" w:hAnsi="Times New Roman"/>
          <w:sz w:val="20"/>
        </w:rPr>
        <w:t xml:space="preserve"> </w:t>
      </w:r>
      <w:r>
        <w:rPr>
          <w:rFonts w:ascii="Times New Roman;serif" w:hAnsi="Times New Roman;serif"/>
          <w:b w:val="false"/>
          <w:sz w:val="20"/>
        </w:rPr>
        <w:t>million, after deducting the initial purchasers’ discounts and commissions and the estimated offering expenses payable by the Company. As of June 30, 2023, the unamortized debt issuance cost was $3.9</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MidCap credit facility</w:t>
      </w:r>
      <w:r>
        <w:rPr>
          <w:rFonts w:ascii="Times New Roman" w:hAnsi="Times New Roman"/>
          <w:sz w:val="20"/>
        </w:rPr>
        <w:t xml:space="preserve"> — </w:t>
      </w:r>
      <w:r>
        <w:rPr>
          <w:rFonts w:ascii="Times New Roman;serif" w:hAnsi="Times New Roman;serif"/>
          <w:b w:val="false"/>
          <w:sz w:val="20"/>
        </w:rPr>
        <w:t>In August 2019, the Company entered into the MidCap credit facility and borrowed the first advance of $40.0</w:t>
      </w:r>
      <w:r>
        <w:rPr>
          <w:rFonts w:ascii="Times New Roman" w:hAnsi="Times New Roman"/>
          <w:sz w:val="20"/>
        </w:rPr>
        <w:t xml:space="preserve"> </w:t>
      </w:r>
      <w:r>
        <w:rPr>
          <w:rFonts w:ascii="Times New Roman;serif" w:hAnsi="Times New Roman;serif"/>
          <w:b w:val="false"/>
          <w:sz w:val="20"/>
        </w:rPr>
        <w:t>million (“Tranche 1”) in August 2019 and the second advance of $10.0</w:t>
      </w:r>
      <w:r>
        <w:rPr>
          <w:rFonts w:ascii="Times New Roman" w:hAnsi="Times New Roman"/>
          <w:sz w:val="20"/>
        </w:rPr>
        <w:t xml:space="preserve"> </w:t>
      </w:r>
      <w:r>
        <w:rPr>
          <w:rFonts w:ascii="Times New Roman;serif" w:hAnsi="Times New Roman;serif"/>
          <w:b w:val="false"/>
          <w:sz w:val="20"/>
        </w:rPr>
        <w:t>million (“Tranche 2”) in December 2020. In April 2021, $10.0</w:t>
      </w:r>
      <w:r>
        <w:rPr>
          <w:rFonts w:ascii="Times New Roman" w:hAnsi="Times New Roman"/>
          <w:sz w:val="20"/>
        </w:rPr>
        <w:t xml:space="preserve"> </w:t>
      </w:r>
      <w:r>
        <w:rPr>
          <w:rFonts w:ascii="Times New Roman;serif" w:hAnsi="Times New Roman;serif"/>
          <w:b w:val="false"/>
          <w:sz w:val="20"/>
        </w:rPr>
        <w:t>million was prepaid. Under the terms of the MidCap credit facility, a third advance of $60.0</w:t>
      </w:r>
      <w:r>
        <w:rPr>
          <w:rFonts w:ascii="Times New Roman" w:hAnsi="Times New Roman"/>
          <w:sz w:val="20"/>
        </w:rPr>
        <w:t xml:space="preserve"> </w:t>
      </w:r>
      <w:r>
        <w:rPr>
          <w:rFonts w:ascii="Times New Roman;serif" w:hAnsi="Times New Roman;serif"/>
          <w:b w:val="false"/>
          <w:sz w:val="20"/>
        </w:rPr>
        <w:t xml:space="preserve">million (“Tranche 3”) became available to the Company after the Tyvaso DPI approval by the FDA through June 30, 2022 (see Note 10 – </w:t>
      </w:r>
      <w:r>
        <w:rPr>
          <w:rFonts w:ascii="Times New Roman;serif" w:hAnsi="Times New Roman;serif"/>
          <w:b w:val="false"/>
          <w:i/>
          <w:sz w:val="20"/>
        </w:rPr>
        <w:t>Collaboration, Licensing and Other Arrangements</w:t>
      </w:r>
      <w:r>
        <w:rPr>
          <w:rFonts w:ascii="Times New Roman;serif" w:hAnsi="Times New Roman;serif"/>
          <w:b w:val="false"/>
          <w:sz w:val="20"/>
        </w:rPr>
        <w:t>). The Company did not exercise its right to borrow Tranche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MidCap credit facility has been amended several times, including in April 2021 when the parties agreed to, among other things, (i) increase the amount available under the third advance from $25.0</w:t>
      </w:r>
      <w:r>
        <w:rPr>
          <w:rFonts w:ascii="Times New Roman;serif" w:hAnsi="Times New Roman;serif"/>
          <w:sz w:val="20"/>
        </w:rPr>
        <w:t xml:space="preserve"> </w:t>
      </w:r>
      <w:r>
        <w:rPr>
          <w:rFonts w:ascii="Times New Roman;serif" w:hAnsi="Times New Roman;serif"/>
          <w:b w:val="false"/>
          <w:sz w:val="20"/>
        </w:rPr>
        <w:t>million to $60.0</w:t>
      </w:r>
      <w:r>
        <w:rPr>
          <w:rFonts w:ascii="Times New Roman;serif" w:hAnsi="Times New Roman;serif"/>
          <w:sz w:val="20"/>
        </w:rPr>
        <w:t xml:space="preserve"> </w:t>
      </w:r>
      <w:r>
        <w:rPr>
          <w:rFonts w:ascii="Times New Roman;serif" w:hAnsi="Times New Roman;serif"/>
          <w:b w:val="false"/>
          <w:sz w:val="20"/>
        </w:rPr>
        <w:t>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w:t>
      </w:r>
      <w:r>
        <w:rPr>
          <w:rFonts w:ascii="Times New Roman;serif" w:hAnsi="Times New Roman;serif"/>
          <w:sz w:val="20"/>
        </w:rPr>
        <w:t xml:space="preserve"> </w:t>
      </w:r>
      <w:r>
        <w:rPr>
          <w:rFonts w:ascii="Times New Roman;serif" w:hAnsi="Times New Roman;serif"/>
          <w:b w:val="false"/>
          <w:sz w:val="20"/>
        </w:rPr>
        <w:t>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w:t>
      </w:r>
      <w:r>
        <w:rPr>
          <w:rFonts w:ascii="Times New Roman;serif" w:hAnsi="Times New Roman;serif"/>
          <w:sz w:val="20"/>
        </w:rPr>
        <w:t xml:space="preserve"> </w:t>
      </w:r>
      <w:r>
        <w:rPr>
          <w:rFonts w:ascii="Times New Roman;serif" w:hAnsi="Times New Roman;serif"/>
          <w:b w:val="false"/>
          <w:sz w:val="20"/>
        </w:rPr>
        <w:t>million so long as the Company has $90.0</w:t>
      </w:r>
      <w:r>
        <w:rPr>
          <w:rFonts w:ascii="Times New Roman;serif" w:hAnsi="Times New Roman;serif"/>
          <w:sz w:val="20"/>
        </w:rPr>
        <w:t xml:space="preserve"> </w:t>
      </w:r>
      <w:r>
        <w:rPr>
          <w:rFonts w:ascii="Times New Roman;serif" w:hAnsi="Times New Roman;serif"/>
          <w:b w:val="false"/>
          <w:sz w:val="20"/>
        </w:rPr>
        <w:t>million or more of unrestricted cash and short-term investments following such investment.</w:t>
      </w:r>
      <w:r>
        <w:rPr>
          <w:rFonts w:ascii="Times New Roman" w:hAnsi="Times New Roman"/>
          <w:sz w:val="20"/>
        </w:rPr>
        <w:t xml:space="preserve"> </w:t>
      </w:r>
      <w:r>
        <w:rPr>
          <w:rFonts w:ascii="Times New Roman;serif" w:hAnsi="Times New Roman;serif"/>
          <w:b w:val="false"/>
          <w:sz w:val="20"/>
        </w:rPr>
        <w:t>Concurrent with entering into this amendment,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Company made a $10.0</w:t>
      </w:r>
      <w:r>
        <w:rPr>
          <w:rFonts w:ascii="Times New Roman" w:hAnsi="Times New Roman"/>
          <w:sz w:val="20"/>
        </w:rPr>
        <w:t xml:space="preserve"> </w:t>
      </w:r>
      <w:r>
        <w:rPr>
          <w:rFonts w:ascii="Times New Roman;serif" w:hAnsi="Times New Roman;serif"/>
          <w:b w:val="false"/>
          <w:sz w:val="20"/>
        </w:rPr>
        <w:t>million principal prepayment against outstanding term loans under the MidCap credit facility and paid a related $1.0</w:t>
      </w:r>
      <w:r>
        <w:rPr>
          <w:rFonts w:ascii="Times New Roman" w:hAnsi="Times New Roman"/>
          <w:sz w:val="20"/>
        </w:rPr>
        <w:t xml:space="preserve"> </w:t>
      </w:r>
      <w:r>
        <w:rPr>
          <w:rFonts w:ascii="Times New Roman;serif" w:hAnsi="Times New Roman;serif"/>
          <w:b w:val="false"/>
          <w:sz w:val="20"/>
        </w:rPr>
        <w:t>million exit fee in lieu of the unaccrued portion of the original exit fee and prepayment penalties that would otherwise have been due with respect to the partial prepayment.</w:t>
      </w:r>
    </w:p>
    <w:p>
      <w:pPr>
        <w:pStyle w:val="TextBody"/>
        <w:bidi w:val="0"/>
        <w:spacing w:before="240" w:after="0"/>
        <w:jc w:val="left"/>
        <w:rPr>
          <w:rFonts w:ascii="Times New Roman" w:hAnsi="Times New Roman"/>
          <w:sz w:val="20"/>
        </w:rPr>
      </w:pPr>
      <w:r>
        <w:rPr>
          <w:rFonts w:ascii="Times New Roman;serif" w:hAnsi="Times New Roman;serif"/>
          <w:b w:val="false"/>
          <w:sz w:val="20"/>
        </w:rPr>
        <w:t>The prepayment penalty of $1.0</w:t>
      </w:r>
      <w:r>
        <w:rPr>
          <w:rFonts w:ascii="Times New Roman" w:hAnsi="Times New Roman"/>
          <w:sz w:val="20"/>
        </w:rPr>
        <w:t xml:space="preserve"> </w:t>
      </w:r>
      <w:r>
        <w:rPr>
          <w:rFonts w:ascii="Times New Roman;serif" w:hAnsi="Times New Roman;serif"/>
          <w:b w:val="false"/>
          <w:sz w:val="20"/>
        </w:rPr>
        <w:t>million related to the payment of $10.0</w:t>
      </w:r>
      <w:r>
        <w:rPr>
          <w:rFonts w:ascii="Times New Roman" w:hAnsi="Times New Roman"/>
          <w:sz w:val="20"/>
        </w:rPr>
        <w:t xml:space="preserve"> </w:t>
      </w:r>
      <w:r>
        <w:rPr>
          <w:rFonts w:ascii="Times New Roman;serif" w:hAnsi="Times New Roman;serif"/>
          <w:b w:val="false"/>
          <w:sz w:val="20"/>
        </w:rPr>
        <w:t>million was capitalized and will be amortized over the remaining life of the debt. As of June 30, 2023, the unamortized debt discount was $0.2</w:t>
      </w:r>
      <w:r>
        <w:rPr>
          <w:rFonts w:ascii="Times New Roman" w:hAnsi="Times New Roman"/>
          <w:sz w:val="20"/>
        </w:rPr>
        <w:t xml:space="preserve"> </w:t>
      </w:r>
      <w:r>
        <w:rPr>
          <w:rFonts w:ascii="Times New Roman;serif" w:hAnsi="Times New Roman;serif"/>
          <w:b w:val="false"/>
          <w:sz w:val="20"/>
        </w:rPr>
        <w:t>million and the unamortized prepayment penalty was $0.4</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August 2022, the Company entered into the tenth amendment to the MidCap credit facility to change the benchmark interest rate from LIBOR to the Secured Overnight Financing Rate (“SOFR”).</w:t>
      </w:r>
    </w:p>
    <w:p>
      <w:pPr>
        <w:pStyle w:val="TextBody"/>
        <w:bidi w:val="0"/>
        <w:spacing w:before="240" w:after="0"/>
        <w:jc w:val="left"/>
        <w:rPr>
          <w:rFonts w:ascii="Times New Roman" w:hAnsi="Times New Roman"/>
          <w:sz w:val="20"/>
        </w:rPr>
      </w:pPr>
      <w:r>
        <w:rPr>
          <w:rFonts w:ascii="Times New Roman;serif" w:hAnsi="Times New Roman;serif"/>
          <w:b w:val="false"/>
          <w:sz w:val="20"/>
        </w:rPr>
        <w:t>Tranche 1 and Tranche 2 accrue interest at an annual rate equal to the lesser of (i) 8.25% and (ii) the one-month SOFR (subject to a one-month SOFR floor of 1.00%) plus 6.25%. Interest on each term loan advance is due and payable monthly in arrears. Principal on each term loan advance under Tranche 1 and Tranche 2 are payable in 24</w:t>
      </w:r>
      <w:r>
        <w:rPr>
          <w:rFonts w:ascii="Times New Roman;serif" w:hAnsi="Times New Roman;serif"/>
          <w:sz w:val="20"/>
        </w:rPr>
        <w:t xml:space="preserve"> </w:t>
      </w:r>
      <w:r>
        <w:rPr>
          <w:rFonts w:ascii="Times New Roman;serif" w:hAnsi="Times New Roman;serif"/>
          <w:b w:val="false"/>
          <w:sz w:val="20"/>
        </w:rPr>
        <w:t>equal monthly installments beginning September 1, 2023, until paid in full on August 1, 2025.</w:t>
      </w:r>
      <w:r>
        <w:rPr>
          <w:rFonts w:ascii="Times New Roman" w:hAnsi="Times New Roman"/>
          <w:sz w:val="20"/>
        </w:rPr>
        <w:t xml:space="preserve"> </w:t>
      </w:r>
      <w:r>
        <w:rPr>
          <w:rFonts w:ascii="Times New Roman;serif" w:hAnsi="Times New Roman;serif"/>
          <w:b w:val="false"/>
          <w:sz w:val="20"/>
        </w:rPr>
        <w:t>The Company has the option to prepay its existing term loans, in whole or in part, subject to early termination fees in an amount equal to 1.00% of principal prepaid.</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obligations under the MidCap credit facility are secured by a security interest on substantially all of its assets, including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w:t>
      </w:r>
      <w:r>
        <w:rPr>
          <w:rFonts w:ascii="Times New Roman" w:hAnsi="Times New Roman"/>
          <w:sz w:val="20"/>
        </w:rPr>
        <w:t xml:space="preserve"> </w:t>
      </w:r>
      <w:r>
        <w:rPr>
          <w:rFonts w:ascii="Times New Roman;serif" w:hAnsi="Times New Roman;serif"/>
          <w:b w:val="false"/>
          <w:sz w:val="20"/>
        </w:rPr>
        <w:t>million or more of unrestricted cash and short-term investments. As of June 30, 2023, the Company was in compliance with the financial covenant.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pStyle w:val="TextBody"/>
        <w:bidi w:val="0"/>
        <w:spacing w:before="240" w:after="0"/>
        <w:jc w:val="left"/>
        <w:rPr>
          <w:rFonts w:ascii="Times New Roman" w:hAnsi="Times New Roman"/>
          <w:sz w:val="20"/>
        </w:rPr>
      </w:pPr>
      <w:r>
        <w:rPr>
          <w:rFonts w:ascii="Times New Roman;serif" w:hAnsi="Times New Roman;serif"/>
          <w:b w:val="false"/>
          <w:i/>
          <w:sz w:val="20"/>
        </w:rPr>
        <w:t>Mann Group convertible note</w:t>
      </w:r>
      <w:r>
        <w:rPr>
          <w:rFonts w:ascii="Times New Roman" w:hAnsi="Times New Roman"/>
          <w:sz w:val="20"/>
        </w:rPr>
        <w:t xml:space="preserve"> — </w:t>
      </w:r>
      <w:r>
        <w:rPr>
          <w:rFonts w:ascii="Times New Roman;serif" w:hAnsi="Times New Roman;serif"/>
          <w:b w:val="false"/>
          <w:sz w:val="20"/>
        </w:rPr>
        <w:t>In August 2019, the Company issued a $35.0</w:t>
      </w:r>
      <w:r>
        <w:rPr>
          <w:rFonts w:ascii="Times New Roman" w:hAnsi="Times New Roman"/>
          <w:sz w:val="20"/>
        </w:rPr>
        <w:t xml:space="preserve"> </w:t>
      </w:r>
      <w:r>
        <w:rPr>
          <w:rFonts w:ascii="Times New Roman;serif" w:hAnsi="Times New Roman;serif"/>
          <w:b w:val="false"/>
          <w:sz w:val="20"/>
        </w:rPr>
        <w:t>million note that is convertible into shares of the Company’s common stock at $2.50</w:t>
      </w:r>
      <w:r>
        <w:rPr>
          <w:rFonts w:ascii="Times New Roman" w:hAnsi="Times New Roman"/>
          <w:sz w:val="20"/>
        </w:rPr>
        <w:t xml:space="preserve"> </w:t>
      </w:r>
      <w:r>
        <w:rPr>
          <w:rFonts w:ascii="Times New Roman;serif" w:hAnsi="Times New Roman;serif"/>
          <w:b w:val="false"/>
          <w:sz w:val="20"/>
        </w:rPr>
        <w:t>per share (the “Mann Group convertible note”) as part of a restructuring of its then existing indebtedness to Mann Group.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Mann Group convertible note originally accrued interest at the rate of 7.00% per year on the principal amount, payable quarterly</w:t>
      </w:r>
      <w:r>
        <w:rPr>
          <w:rFonts w:ascii="Times New Roman" w:hAnsi="Times New Roman"/>
          <w:sz w:val="20"/>
        </w:rPr>
        <w:t xml:space="preserve"> </w:t>
      </w:r>
      <w:r>
        <w:rPr>
          <w:rFonts w:ascii="Times New Roman;serif" w:hAnsi="Times New Roman;serif"/>
          <w:b w:val="false"/>
          <w:sz w:val="20"/>
        </w:rPr>
        <w:t>in arrears on the first day of each calendar quarter beginning October 1, 2019. In April 2021, the Company and Mann Group amended the Mann Group convertible note, pursuant to which the parties agreed to (i) reduce the interest rate from 7.0% to 2.5% effective on April 22, 2021, and (ii) extend the maturity date from November 3, 2024</w:t>
      </w:r>
      <w:r>
        <w:rPr>
          <w:rFonts w:ascii="Times New Roman" w:hAnsi="Times New Roman"/>
          <w:sz w:val="20"/>
        </w:rPr>
        <w:t xml:space="preserve"> </w:t>
      </w:r>
      <w:r>
        <w:rPr>
          <w:rFonts w:ascii="Times New Roman;serif" w:hAnsi="Times New Roman;serif"/>
          <w:b w:val="false"/>
          <w:sz w:val="20"/>
        </w:rPr>
        <w:t>to December 31, 2025.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w:t>
      </w:r>
      <w:r>
        <w:rPr>
          <w:rFonts w:ascii="Times New Roman" w:hAnsi="Times New Roman"/>
          <w:sz w:val="20"/>
        </w:rPr>
        <w:t xml:space="preserve"> </w:t>
      </w:r>
      <w:r>
        <w:rPr>
          <w:rFonts w:ascii="Times New Roman;serif" w:hAnsi="Times New Roman;serif"/>
          <w:b w:val="false"/>
          <w:sz w:val="20"/>
        </w:rPr>
        <w:t>shares per $1,000</w:t>
      </w:r>
      <w:r>
        <w:rPr>
          <w:rFonts w:ascii="Times New Roman" w:hAnsi="Times New Roman"/>
          <w:sz w:val="20"/>
        </w:rPr>
        <w:t xml:space="preserve"> </w:t>
      </w:r>
      <w:r>
        <w:rPr>
          <w:rFonts w:ascii="Times New Roman;serif" w:hAnsi="Times New Roman;serif"/>
          <w:b w:val="false"/>
          <w:sz w:val="20"/>
        </w:rPr>
        <w:t>of principal and/or accrued and unpaid interest, which is equal to a conversion price of $2.50</w:t>
      </w:r>
      <w:r>
        <w:rPr>
          <w:rFonts w:ascii="Times New Roman" w:hAnsi="Times New Roman"/>
          <w:sz w:val="20"/>
        </w:rPr>
        <w:t xml:space="preserve"> </w:t>
      </w:r>
      <w:r>
        <w:rPr>
          <w:rFonts w:ascii="Times New Roman;serif" w:hAnsi="Times New Roman;serif"/>
          <w:b w:val="false"/>
          <w:sz w:val="20"/>
        </w:rPr>
        <w:t>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six months ended June 30, 2023, the Company paid interest on the Mann Group convertible note by issuing 23,683</w:t>
      </w:r>
      <w:r>
        <w:rPr>
          <w:rFonts w:ascii="Times New Roman" w:hAnsi="Times New Roman"/>
          <w:sz w:val="20"/>
        </w:rPr>
        <w:t xml:space="preserve"> </w:t>
      </w:r>
      <w:r>
        <w:rPr>
          <w:rFonts w:ascii="Times New Roman;serif" w:hAnsi="Times New Roman;serif"/>
          <w:b w:val="false"/>
          <w:sz w:val="20"/>
        </w:rPr>
        <w:t>shares of common stock. During the six months ended June 30, 2022, Mann Group converted $10.0</w:t>
      </w:r>
      <w:r>
        <w:rPr>
          <w:rFonts w:ascii="Times New Roman" w:hAnsi="Times New Roman"/>
          <w:sz w:val="20"/>
        </w:rPr>
        <w:t xml:space="preserve"> </w:t>
      </w:r>
      <w:r>
        <w:rPr>
          <w:rFonts w:ascii="Times New Roman;serif" w:hAnsi="Times New Roman;serif"/>
          <w:b w:val="false"/>
          <w:sz w:val="20"/>
        </w:rPr>
        <w:t>million of principal and capitalized interest into 4,000,000</w:t>
      </w:r>
      <w:r>
        <w:rPr>
          <w:rFonts w:ascii="Times New Roman" w:hAnsi="Times New Roman"/>
          <w:sz w:val="20"/>
        </w:rPr>
        <w:t xml:space="preserve"> </w:t>
      </w:r>
      <w:r>
        <w:rPr>
          <w:rFonts w:ascii="Times New Roman;serif" w:hAnsi="Times New Roman;serif"/>
          <w:b w:val="false"/>
          <w:sz w:val="20"/>
        </w:rPr>
        <w:t>shares of common stock. In addition, the Company paid quarterly interest by issuing the Mann Group 31,541</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Amortization of the premium and accretion of debt issuance costs related to all borrowings were as follows (in thousands):</w:t>
      </w:r>
    </w:p>
    <w:tbl>
      <w:tblPr>
        <w:tblW w:w="6667" w:type="dxa"/>
        <w:jc w:val="left"/>
        <w:tblInd w:w="0" w:type="dxa"/>
        <w:tblLayout w:type="fixed"/>
        <w:tblCellMar>
          <w:top w:w="28" w:type="dxa"/>
          <w:left w:w="28" w:type="dxa"/>
          <w:bottom w:w="28" w:type="dxa"/>
          <w:right w:w="28" w:type="dxa"/>
        </w:tblCellMar>
      </w:tblPr>
      <w:tblGrid>
        <w:gridCol w:w="2926"/>
        <w:gridCol w:w="146"/>
        <w:gridCol w:w="211"/>
        <w:gridCol w:w="421"/>
        <w:gridCol w:w="146"/>
        <w:gridCol w:w="146"/>
        <w:gridCol w:w="211"/>
        <w:gridCol w:w="421"/>
        <w:gridCol w:w="146"/>
        <w:gridCol w:w="146"/>
        <w:gridCol w:w="211"/>
        <w:gridCol w:w="421"/>
        <w:gridCol w:w="146"/>
        <w:gridCol w:w="146"/>
        <w:gridCol w:w="211"/>
        <w:gridCol w:w="42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debt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debt issuance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i/>
          <w:sz w:val="20"/>
        </w:rPr>
        <w:t>Milestone Rights</w:t>
      </w:r>
      <w:r>
        <w:rPr>
          <w:rFonts w:ascii="Times New Roman" w:hAnsi="Times New Roman"/>
          <w:sz w:val="20"/>
        </w:rPr>
        <w:t xml:space="preserve"> — </w:t>
      </w:r>
      <w:r>
        <w:rPr>
          <w:rFonts w:ascii="Times New Roman;serif" w:hAnsi="Times New Roman;serif"/>
          <w:b w:val="false"/>
          <w:sz w:val="20"/>
        </w:rPr>
        <w:t>As of June 30, 2023 and December 31, 2022, the remaining Milestone Rights liability balance was $4.8</w:t>
      </w:r>
      <w:r>
        <w:rPr>
          <w:rFonts w:ascii="Times New Roman" w:hAnsi="Times New Roman"/>
          <w:sz w:val="20"/>
        </w:rPr>
        <w:t xml:space="preserve"> </w:t>
      </w:r>
      <w:r>
        <w:rPr>
          <w:rFonts w:ascii="Times New Roman;serif" w:hAnsi="Times New Roman;serif"/>
          <w:b w:val="false"/>
          <w:sz w:val="20"/>
        </w:rPr>
        <w:t>million, which was based on initial fair value estimates calculated using the income approach and reduced by milestone achievement payments made. As of June 30, 2023 and December 31, 2022, the Milestone Rights liability consisted of $1.7</w:t>
      </w:r>
      <w:r>
        <w:rPr>
          <w:rFonts w:ascii="Times New Roman" w:hAnsi="Times New Roman"/>
          <w:sz w:val="20"/>
        </w:rPr>
        <w:t xml:space="preserve"> </w:t>
      </w:r>
      <w:r>
        <w:rPr>
          <w:rFonts w:ascii="Times New Roman;serif" w:hAnsi="Times New Roman;serif"/>
          <w:b w:val="false"/>
          <w:sz w:val="20"/>
        </w:rPr>
        <w:t>million of current liability which was presented as accrued expenses and other current liabilities, and $3.2</w:t>
      </w:r>
      <w:r>
        <w:rPr>
          <w:rFonts w:ascii="Times New Roman" w:hAnsi="Times New Roman"/>
          <w:sz w:val="20"/>
        </w:rPr>
        <w:t xml:space="preserve"> </w:t>
      </w:r>
      <w:r>
        <w:rPr>
          <w:rFonts w:ascii="Times New Roman;serif" w:hAnsi="Times New Roman;serif"/>
          <w:b w:val="false"/>
          <w:sz w:val="20"/>
        </w:rPr>
        <w:t>million of long-term liability which was presented as milestone liabilities in our condensed consolidated balance sheets.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10. Collaboration, Licensing and Other Arrangements</w:t>
      </w:r>
      <w:r>
        <w:rPr>
          <w:rFonts w:ascii="Times New Roman" w:hAnsi="Times New Roman"/>
          <w:sz w:val="20"/>
        </w:rPr>
        <w:t xml:space="preserve">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Revenue from collaborations and services were as follows (in thousands):</w:t>
      </w:r>
    </w:p>
    <w:tbl>
      <w:tblPr>
        <w:tblW w:w="8667" w:type="dxa"/>
        <w:jc w:val="left"/>
        <w:tblInd w:w="0" w:type="dxa"/>
        <w:tblLayout w:type="fixed"/>
        <w:tblCellMar>
          <w:top w:w="28" w:type="dxa"/>
          <w:left w:w="28" w:type="dxa"/>
          <w:bottom w:w="28" w:type="dxa"/>
          <w:right w:w="28" w:type="dxa"/>
        </w:tblCellMar>
      </w:tblPr>
      <w:tblGrid>
        <w:gridCol w:w="3916"/>
        <w:gridCol w:w="146"/>
        <w:gridCol w:w="211"/>
        <w:gridCol w:w="676"/>
        <w:gridCol w:w="146"/>
        <w:gridCol w:w="146"/>
        <w:gridCol w:w="211"/>
        <w:gridCol w:w="571"/>
        <w:gridCol w:w="146"/>
        <w:gridCol w:w="146"/>
        <w:gridCol w:w="211"/>
        <w:gridCol w:w="676"/>
        <w:gridCol w:w="146"/>
        <w:gridCol w:w="146"/>
        <w:gridCol w:w="211"/>
        <w:gridCol w:w="57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UT CSA Agreement</w:t>
            </w:r>
            <w:r>
              <w:rPr>
                <w:rFonts w:ascii="Times New Roman" w:hAnsi="Times New Roman"/>
                <w:sz w:val="20"/>
              </w:rPr>
              <w: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UT License Agreement</w:t>
            </w:r>
            <w:r>
              <w:rPr>
                <w:rFonts w:ascii="Times New Roman" w:hAnsi="Times New Roman"/>
                <w:sz w:val="20"/>
              </w:rPr>
              <w:t>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Cipla License and Distribution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Vertice Pharma Co-Promotion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3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391" w:type="dxa"/>
            <w:tcBorders/>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 from collaborations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8,034</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Amount consists of revenue recognized for Manufacturing Services and sales of product to UT for the periods presented.</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jc w:val="left"/>
        <w:rPr>
          <w:rFonts w:ascii="Times New Roman;serif" w:hAnsi="Times New Roman;serif"/>
          <w:b w:val="false"/>
          <w:sz w:val="18"/>
        </w:rPr>
      </w:pPr>
      <w:r>
        <w:rPr>
          <w:rFonts w:ascii="Times New Roman;serif" w:hAnsi="Times New Roman;serif"/>
          <w:b w:val="false"/>
          <w:sz w:val="18"/>
        </w:rPr>
        <w:t>Amounts consist of revenue recognized for Next-Gen R&amp;D Services and R&amp;D Services and License for the periods presented.</w:t>
      </w:r>
    </w:p>
    <w:p>
      <w:pPr>
        <w:pStyle w:val="TextBody"/>
        <w:bidi w:val="0"/>
        <w:spacing w:before="240" w:after="0"/>
        <w:jc w:val="left"/>
        <w:rPr>
          <w:rFonts w:ascii="Times New Roman" w:hAnsi="Times New Roman"/>
          <w:sz w:val="20"/>
        </w:rPr>
      </w:pPr>
      <w:r>
        <w:rPr>
          <w:rFonts w:ascii="Times New Roman;serif" w:hAnsi="Times New Roman;serif"/>
          <w:b w:val="false"/>
          <w:i/>
          <w:sz w:val="20"/>
        </w:rPr>
        <w:t>United Therapeutics License Agreement</w:t>
      </w:r>
      <w:r>
        <w:rPr>
          <w:rFonts w:ascii="Times New Roman" w:hAnsi="Times New Roman"/>
          <w:sz w:val="20"/>
        </w:rPr>
        <w:t xml:space="preserve"> — </w:t>
      </w:r>
      <w:r>
        <w:rPr>
          <w:rFonts w:ascii="Times New Roman;serif" w:hAnsi="Times New Roman;serif"/>
          <w:b w:val="false"/>
          <w:sz w:val="20"/>
        </w:rPr>
        <w:t>In September 2018, the Company and UT entered into an exclusive global license and collaboration agreement (the “UT License Agreement”), pursuant to which UT is responsible for global development, regulatory and commercial activities with respect to Tyvaso DPI. The Company is responsible for manufacturing Tyvaso DPI.</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Total revenue from UT was as follows (in thousands):</w:t>
      </w:r>
    </w:p>
    <w:tbl>
      <w:tblPr>
        <w:tblW w:w="7362" w:type="dxa"/>
        <w:jc w:val="left"/>
        <w:tblInd w:w="0" w:type="dxa"/>
        <w:tblLayout w:type="fixed"/>
        <w:tblCellMar>
          <w:top w:w="28" w:type="dxa"/>
          <w:left w:w="28" w:type="dxa"/>
          <w:bottom w:w="28" w:type="dxa"/>
          <w:right w:w="28" w:type="dxa"/>
        </w:tblCellMar>
      </w:tblPr>
      <w:tblGrid>
        <w:gridCol w:w="2611"/>
        <w:gridCol w:w="146"/>
        <w:gridCol w:w="211"/>
        <w:gridCol w:w="676"/>
        <w:gridCol w:w="146"/>
        <w:gridCol w:w="146"/>
        <w:gridCol w:w="211"/>
        <w:gridCol w:w="571"/>
        <w:gridCol w:w="146"/>
        <w:gridCol w:w="146"/>
        <w:gridCol w:w="211"/>
        <w:gridCol w:w="676"/>
        <w:gridCol w:w="146"/>
        <w:gridCol w:w="146"/>
        <w:gridCol w:w="211"/>
        <w:gridCol w:w="57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UT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UT CSA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w:t>
            </w:r>
          </w:p>
        </w:tc>
        <w:tc>
          <w:tcPr>
            <w:tcW w:w="3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UT License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3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Royalties — Collaborations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 from UT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b w:val="false"/>
          <w:sz w:val="18"/>
        </w:rPr>
      </w:pPr>
      <w:r>
        <w:rPr>
          <w:rFonts w:ascii="Times New Roman;serif" w:hAnsi="Times New Roman;serif"/>
          <w:b w:val="false"/>
          <w:sz w:val="18"/>
        </w:rPr>
        <w:t>Amount consists of royalties associated with the UT License Agreement. The contract assets related to the royalties is included in prepaid expense and other current assets in the condensed consolidated balance sheets.</w:t>
      </w:r>
    </w:p>
    <w:p>
      <w:pPr>
        <w:pStyle w:val="TextBody"/>
        <w:bidi w:val="0"/>
        <w:spacing w:before="240" w:after="0"/>
        <w:jc w:val="left"/>
        <w:rPr>
          <w:rFonts w:ascii="Times New Roman" w:hAnsi="Times New Roman"/>
          <w:sz w:val="20"/>
        </w:rPr>
      </w:pPr>
      <w:r>
        <w:rPr>
          <w:rFonts w:ascii="Times New Roman;serif" w:hAnsi="Times New Roman;serif"/>
          <w:b w:val="false"/>
          <w:sz w:val="20"/>
        </w:rPr>
        <w:t>In October 2018, the Company and UT entered into the UT License Agreement for the collaboration and development of Tyvaso DPI. Pursuant to this agreement, the Company also receives low double-digit royalties on net sales of Tyvaso DPI as well as a manufacturing margin on commercial supplies of the product. In August 2021, the Company and UT entered into the CSA, pursuant to which the Company is responsible for manufacturing and supplying to UT, and UT is responsible for purchasing from the Company on a cost-plus basis. There have been various amendments to the UT License Agreement and the CSA since inception. The terms of the amendments and related accounting treatment are disclosed in the Company's Form 10-K for the fiscal year ended December 31, 2022, filed with the SEC on February 23, 2023.</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serif" w:hAnsi="Times New Roman;serif"/>
          <w:b w:val="false"/>
          <w:sz w:val="20"/>
        </w:rPr>
        <w:t>In December 2022, the Company and UT agreed to fund an additional $39.5</w:t>
      </w:r>
      <w:r>
        <w:rPr>
          <w:rFonts w:ascii="Times New Roman" w:hAnsi="Times New Roman"/>
          <w:sz w:val="20"/>
        </w:rPr>
        <w:t xml:space="preserve"> </w:t>
      </w:r>
      <w:r>
        <w:rPr>
          <w:rFonts w:ascii="Times New Roman;serif" w:hAnsi="Times New Roman;serif"/>
          <w:b w:val="false"/>
          <w:sz w:val="20"/>
        </w:rPr>
        <w:t>million to support capital and continuous improvement activities and $2.3</w:t>
      </w:r>
      <w:r>
        <w:rPr>
          <w:rFonts w:ascii="Times New Roman" w:hAnsi="Times New Roman"/>
          <w:sz w:val="20"/>
        </w:rPr>
        <w:t xml:space="preserve"> </w:t>
      </w:r>
      <w:r>
        <w:rPr>
          <w:rFonts w:ascii="Times New Roman;serif" w:hAnsi="Times New Roman;serif"/>
          <w:b w:val="false"/>
          <w:sz w:val="20"/>
        </w:rPr>
        <w:t>million in the development of alternative manufacturing processes. The Company determined that the capital and continuous improvements should be combined with the manufacturing services performance obligation and the alternative manufacturing processes should be combined with the Next-Gen R&amp;D Services. The total revised anticipated cash flows of $722.3</w:t>
      </w:r>
      <w:r>
        <w:rPr>
          <w:rFonts w:ascii="Times New Roman;serif" w:hAnsi="Times New Roman;serif"/>
          <w:sz w:val="20"/>
        </w:rPr>
        <w:t xml:space="preserve"> </w:t>
      </w:r>
      <w:r>
        <w:rPr>
          <w:rFonts w:ascii="Times New Roman;serif" w:hAnsi="Times New Roman;serif"/>
          <w:b w:val="false"/>
          <w:sz w:val="20"/>
        </w:rPr>
        <w:t>million from the transaction was allocated to the three distinct performance obligations as follows (dollars in millions):</w:t>
      </w:r>
    </w:p>
    <w:tbl>
      <w:tblPr>
        <w:tblW w:w="10205" w:type="dxa"/>
        <w:jc w:val="left"/>
        <w:tblInd w:w="0" w:type="dxa"/>
        <w:tblLayout w:type="fixed"/>
        <w:tblCellMar>
          <w:top w:w="28" w:type="dxa"/>
          <w:left w:w="28" w:type="dxa"/>
          <w:bottom w:w="28" w:type="dxa"/>
          <w:right w:w="28" w:type="dxa"/>
        </w:tblCellMar>
      </w:tblPr>
      <w:tblGrid>
        <w:gridCol w:w="2425"/>
        <w:gridCol w:w="146"/>
        <w:gridCol w:w="227"/>
        <w:gridCol w:w="616"/>
        <w:gridCol w:w="146"/>
        <w:gridCol w:w="146"/>
        <w:gridCol w:w="354"/>
        <w:gridCol w:w="965"/>
        <w:gridCol w:w="146"/>
        <w:gridCol w:w="146"/>
        <w:gridCol w:w="1399"/>
        <w:gridCol w:w="146"/>
        <w:gridCol w:w="1205"/>
        <w:gridCol w:w="146"/>
        <w:gridCol w:w="1797"/>
        <w:gridCol w:w="195"/>
      </w:tblGrid>
      <w:tr>
        <w:trPr/>
        <w:tc>
          <w:tcPr>
            <w:tcW w:w="2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Anticipated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42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Flow</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 Allocation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Recognition Method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Progress Measure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w:t>
              <w:br/>
              <w:t>Recognition</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2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Total anticipated cash flow</w:t>
            </w:r>
            <w:r>
              <w:rPr>
                <w:rFonts w:ascii="Times New Roman;serif" w:hAnsi="Times New Roman;serif"/>
                <w:b/>
                <w:sz w:val="13"/>
              </w:rPr>
              <w:t>(1)</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3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9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42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Distinct Performance Obligation</w:t>
            </w:r>
          </w:p>
        </w:tc>
        <w:tc>
          <w:tcPr>
            <w:tcW w:w="146" w:type="dxa"/>
            <w:tcBorders/>
            <w:vAlign w:val="center"/>
          </w:tcPr>
          <w:p>
            <w:pPr>
              <w:pStyle w:val="TableContents"/>
              <w:bidi w:val="0"/>
              <w:spacing w:before="0" w:after="0"/>
              <w:ind w:left="0" w:right="0" w:hanging="0"/>
              <w:jc w:val="left"/>
              <w:rPr/>
            </w:pPr>
            <w:r>
              <w:rPr/>
              <w:t> </w:t>
            </w:r>
          </w:p>
        </w:tc>
        <w:tc>
          <w:tcPr>
            <w:tcW w:w="84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9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R&amp;D Services and License</w:t>
            </w:r>
          </w:p>
        </w:tc>
        <w:tc>
          <w:tcPr>
            <w:tcW w:w="146" w:type="dxa"/>
            <w:tcBorders/>
            <w:vAlign w:val="center"/>
          </w:tcPr>
          <w:p>
            <w:pPr>
              <w:pStyle w:val="TableContents"/>
              <w:bidi w:val="0"/>
              <w:spacing w:before="0" w:after="0"/>
              <w:ind w:left="0" w:right="0" w:hanging="0"/>
              <w:jc w:val="left"/>
              <w:rPr/>
            </w:pPr>
            <w:r>
              <w:rPr/>
              <w:t> </w:t>
            </w:r>
          </w:p>
        </w:tc>
        <w:tc>
          <w:tcPr>
            <w:tcW w:w="84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Over time</w:t>
            </w:r>
          </w:p>
        </w:tc>
        <w:tc>
          <w:tcPr>
            <w:tcW w:w="146" w:type="dxa"/>
            <w:tcBorders/>
            <w:vAlign w:val="center"/>
          </w:tcPr>
          <w:p>
            <w:pPr>
              <w:pStyle w:val="TableContents"/>
              <w:bidi w:val="0"/>
              <w:spacing w:before="0" w:after="0"/>
              <w:ind w:left="0" w:right="0" w:hanging="0"/>
              <w:jc w:val="right"/>
              <w:rPr/>
            </w:pPr>
            <w:r>
              <w:rPr/>
              <w:t> </w:t>
            </w:r>
          </w:p>
        </w:tc>
        <w:tc>
          <w:tcPr>
            <w:tcW w:w="120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Ratably</w:t>
            </w:r>
          </w:p>
        </w:tc>
        <w:tc>
          <w:tcPr>
            <w:tcW w:w="146" w:type="dxa"/>
            <w:tcBorders/>
            <w:vAlign w:val="center"/>
          </w:tcPr>
          <w:p>
            <w:pPr>
              <w:pStyle w:val="TableContents"/>
              <w:bidi w:val="0"/>
              <w:spacing w:before="0" w:after="0"/>
              <w:ind w:left="0" w:right="0" w:hanging="0"/>
              <w:jc w:val="righ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Aug 2021 - Oct 2021</w:t>
            </w:r>
          </w:p>
        </w:tc>
        <w:tc>
          <w:tcPr>
            <w:tcW w:w="195" w:type="dxa"/>
            <w:tcBorders/>
            <w:vAlign w:val="center"/>
          </w:tcPr>
          <w:p>
            <w:pPr>
              <w:pStyle w:val="TableContents"/>
              <w:bidi w:val="0"/>
              <w:spacing w:before="0" w:after="0"/>
              <w:ind w:left="0" w:right="0" w:hanging="0"/>
              <w:jc w:val="left"/>
              <w:rPr/>
            </w:pPr>
            <w:r>
              <w:rPr/>
              <w:t> </w:t>
            </w:r>
          </w:p>
        </w:tc>
      </w:tr>
      <w:tr>
        <w:trPr/>
        <w:tc>
          <w:tcPr>
            <w:tcW w:w="2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Next-Gen R&amp;D Services</w:t>
            </w:r>
          </w:p>
        </w:tc>
        <w:tc>
          <w:tcPr>
            <w:tcW w:w="146" w:type="dxa"/>
            <w:tcBorders/>
            <w:vAlign w:val="center"/>
          </w:tcPr>
          <w:p>
            <w:pPr>
              <w:pStyle w:val="TableContents"/>
              <w:bidi w:val="0"/>
              <w:spacing w:before="0" w:after="0"/>
              <w:ind w:left="0" w:right="0" w:hanging="0"/>
              <w:jc w:val="left"/>
              <w:rPr/>
            </w:pPr>
            <w:r>
              <w:rPr/>
              <w:t> </w:t>
            </w:r>
          </w:p>
        </w:tc>
        <w:tc>
          <w:tcPr>
            <w:tcW w:w="84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Over time</w:t>
            </w:r>
          </w:p>
        </w:tc>
        <w:tc>
          <w:tcPr>
            <w:tcW w:w="146" w:type="dxa"/>
            <w:tcBorders/>
            <w:vAlign w:val="center"/>
          </w:tcPr>
          <w:p>
            <w:pPr>
              <w:pStyle w:val="TableContents"/>
              <w:bidi w:val="0"/>
              <w:spacing w:before="0" w:after="0"/>
              <w:ind w:left="0" w:right="0" w:hanging="0"/>
              <w:jc w:val="left"/>
              <w:rPr/>
            </w:pPr>
            <w:r>
              <w:rPr/>
              <w:t> </w:t>
            </w:r>
          </w:p>
        </w:tc>
        <w:tc>
          <w:tcPr>
            <w:tcW w:w="120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Input</w:t>
            </w:r>
          </w:p>
        </w:tc>
        <w:tc>
          <w:tcPr>
            <w:tcW w:w="146"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 of completion of costs</w:t>
            </w:r>
          </w:p>
        </w:tc>
        <w:tc>
          <w:tcPr>
            <w:tcW w:w="195" w:type="dxa"/>
            <w:tcBorders/>
            <w:vAlign w:val="center"/>
          </w:tcPr>
          <w:p>
            <w:pPr>
              <w:pStyle w:val="TableContents"/>
              <w:bidi w:val="0"/>
              <w:spacing w:before="0" w:after="0"/>
              <w:ind w:left="0" w:right="0" w:hanging="0"/>
              <w:jc w:val="left"/>
              <w:rPr/>
            </w:pPr>
            <w:r>
              <w:rPr/>
              <w:t> </w:t>
            </w:r>
          </w:p>
        </w:tc>
      </w:tr>
      <w:tr>
        <w:trPr/>
        <w:tc>
          <w:tcPr>
            <w:tcW w:w="242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Manufacturing Services and</w:t>
              <w:br/>
              <w:t>   Product Sales</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84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Point in time</w:t>
            </w:r>
          </w:p>
        </w:tc>
        <w:tc>
          <w:tcPr>
            <w:tcW w:w="146" w:type="dxa"/>
            <w:tcBorders/>
            <w:vAlign w:val="center"/>
          </w:tcPr>
          <w:p>
            <w:pPr>
              <w:pStyle w:val="TableContents"/>
              <w:bidi w:val="0"/>
              <w:spacing w:before="0" w:after="0"/>
              <w:ind w:left="0" w:right="0" w:hanging="0"/>
              <w:jc w:val="left"/>
              <w:rPr/>
            </w:pPr>
            <w:r>
              <w:rPr/>
              <w:t> </w:t>
            </w:r>
          </w:p>
        </w:tc>
        <w:tc>
          <w:tcPr>
            <w:tcW w:w="12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Transfer of control</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sz w:val="20"/>
        </w:rPr>
      </w:pPr>
      <w:r>
        <w:rPr>
          <w:rFonts w:ascii="Times New Roman;serif" w:hAnsi="Times New Roman;serif"/>
          <w:b w:val="false"/>
          <w:sz w:val="18"/>
        </w:rPr>
        <w:t>The total anticipated cash flow includes a transaction price of $120.0</w:t>
      </w:r>
      <w:r>
        <w:rPr>
          <w:rFonts w:ascii="Times New Roman;serif" w:hAnsi="Times New Roman;serif"/>
          <w:sz w:val="20"/>
        </w:rPr>
        <w:t xml:space="preserve"> </w:t>
      </w:r>
      <w:r>
        <w:rPr>
          <w:rFonts w:ascii="Times New Roman;serif" w:hAnsi="Times New Roman;serif"/>
          <w:b w:val="false"/>
          <w:sz w:val="18"/>
        </w:rPr>
        <w:t>million for the contractual obligations under the CSA for the Manufacturing Services and the Next-Gen R&amp;D Services performance obligations and $602.3</w:t>
      </w:r>
      <w:r>
        <w:rPr>
          <w:rFonts w:ascii="Times New Roman;serif" w:hAnsi="Times New Roman;serif"/>
          <w:sz w:val="20"/>
        </w:rPr>
        <w:t xml:space="preserve"> </w:t>
      </w:r>
      <w:r>
        <w:rPr>
          <w:rFonts w:ascii="Times New Roman;serif" w:hAnsi="Times New Roman;serif"/>
          <w:b w:val="false"/>
          <w:sz w:val="18"/>
        </w:rPr>
        <w:t>million for future supply of Tyvaso DPI over the remaining term of the CSA.</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jc w:val="left"/>
        <w:rPr>
          <w:rFonts w:ascii="Times New Roman;serif" w:hAnsi="Times New Roman;serif"/>
          <w:sz w:val="20"/>
        </w:rPr>
      </w:pPr>
      <w:r>
        <w:rPr>
          <w:rFonts w:ascii="Times New Roman;serif" w:hAnsi="Times New Roman;serif"/>
          <w:b w:val="false"/>
          <w:sz w:val="18"/>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$220.8</w:t>
      </w:r>
      <w:r>
        <w:rPr>
          <w:rFonts w:ascii="Times New Roman;serif" w:hAnsi="Times New Roman;serif"/>
          <w:sz w:val="20"/>
        </w:rPr>
        <w:t xml:space="preserve"> </w:t>
      </w:r>
      <w:r>
        <w:rPr>
          <w:rFonts w:ascii="Times New Roman;serif" w:hAnsi="Times New Roman;serif"/>
          <w:b w:val="false"/>
          <w:sz w:val="18"/>
        </w:rPr>
        <w:t>million. The Company will sell product to UT under individual purchase orders, which represent distinct performance obligations. The ultimate cash flows may vary as manufacturing purchase orders are received.</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deferred revenue consisted of $62.3</w:t>
      </w:r>
      <w:r>
        <w:rPr>
          <w:rFonts w:ascii="Times New Roman" w:hAnsi="Times New Roman"/>
          <w:sz w:val="20"/>
        </w:rPr>
        <w:t xml:space="preserve"> </w:t>
      </w:r>
      <w:r>
        <w:rPr>
          <w:rFonts w:ascii="Times New Roman;serif" w:hAnsi="Times New Roman;serif"/>
          <w:b w:val="false"/>
          <w:sz w:val="20"/>
        </w:rPr>
        <w:t>million, of which $3.3</w:t>
      </w:r>
      <w:r>
        <w:rPr>
          <w:rFonts w:ascii="Times New Roman" w:hAnsi="Times New Roman"/>
          <w:sz w:val="20"/>
        </w:rPr>
        <w:t xml:space="preserve"> </w:t>
      </w:r>
      <w:r>
        <w:rPr>
          <w:rFonts w:ascii="Times New Roman;serif" w:hAnsi="Times New Roman;serif"/>
          <w:b w:val="false"/>
          <w:sz w:val="20"/>
        </w:rPr>
        <w:t>million was classified as current and $59.0</w:t>
      </w:r>
      <w:r>
        <w:rPr>
          <w:rFonts w:ascii="Times New Roman" w:hAnsi="Times New Roman"/>
          <w:sz w:val="20"/>
        </w:rPr>
        <w:t xml:space="preserve"> </w:t>
      </w:r>
      <w:r>
        <w:rPr>
          <w:rFonts w:ascii="Times New Roman;serif" w:hAnsi="Times New Roman;serif"/>
          <w:b w:val="false"/>
          <w:sz w:val="20"/>
        </w:rPr>
        <w:t>million was classified as long-term on the condensed consolidated balance sheet. As of December 31, 2022, deferred revenue consisted of $37.9</w:t>
      </w:r>
      <w:r>
        <w:rPr>
          <w:rFonts w:ascii="Times New Roman" w:hAnsi="Times New Roman"/>
          <w:sz w:val="20"/>
        </w:rPr>
        <w:t xml:space="preserve"> </w:t>
      </w:r>
      <w:r>
        <w:rPr>
          <w:rFonts w:ascii="Times New Roman;serif" w:hAnsi="Times New Roman;serif"/>
          <w:b w:val="false"/>
          <w:sz w:val="20"/>
        </w:rPr>
        <w:t>million, of which $1.6</w:t>
      </w:r>
      <w:r>
        <w:rPr>
          <w:rFonts w:ascii="Times New Roman" w:hAnsi="Times New Roman"/>
          <w:sz w:val="20"/>
        </w:rPr>
        <w:t xml:space="preserve"> </w:t>
      </w:r>
      <w:r>
        <w:rPr>
          <w:rFonts w:ascii="Times New Roman;serif" w:hAnsi="Times New Roman;serif"/>
          <w:b w:val="false"/>
          <w:sz w:val="20"/>
        </w:rPr>
        <w:t>million was classified as current and $36.3</w:t>
      </w:r>
      <w:r>
        <w:rPr>
          <w:rFonts w:ascii="Times New Roman" w:hAnsi="Times New Roman"/>
          <w:sz w:val="20"/>
        </w:rPr>
        <w:t xml:space="preserve"> </w:t>
      </w:r>
      <w:r>
        <w:rPr>
          <w:rFonts w:ascii="Times New Roman;serif" w:hAnsi="Times New Roman;serif"/>
          <w:b w:val="false"/>
          <w:sz w:val="20"/>
        </w:rPr>
        <w:t>million was classified as long-term on the condensed consolidated balance sheet.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Thirona Collaboration Agreement</w:t>
      </w:r>
      <w:r>
        <w:rPr>
          <w:rFonts w:ascii="Times New Roman" w:hAnsi="Times New Roman"/>
          <w:sz w:val="20"/>
        </w:rPr>
        <w:t xml:space="preserve"> — </w:t>
      </w:r>
      <w:r>
        <w:rPr>
          <w:rFonts w:ascii="Times New Roman;serif" w:hAnsi="Times New Roman;serif"/>
          <w:b w:val="false"/>
          <w:sz w:val="20"/>
        </w:rPr>
        <w:t>In June 2021, the Company and Thirona entered into a collaboration agreement to evaluate the therapeutic potential 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Collaborative Agreements; however, no consideration was exchanged between the parties. The costs incurred by the Company were expensed as R&amp;D in the condensed consolidated statements of operations. On February 28, 2023, the collaboration agreement was amended to extend the term through June 2024. In accordance with the amendment, the Company will fund a minimum of $1.1</w:t>
      </w:r>
      <w:r>
        <w:rPr>
          <w:rFonts w:ascii="Times New Roman" w:hAnsi="Times New Roman"/>
          <w:sz w:val="20"/>
        </w:rPr>
        <w:t xml:space="preserve"> </w:t>
      </w:r>
      <w:r>
        <w:rPr>
          <w:rFonts w:ascii="Times New Roman;serif" w:hAnsi="Times New Roman;serif"/>
          <w:b w:val="false"/>
          <w:sz w:val="20"/>
        </w:rPr>
        <w:t>million to be expended on a revised development plan prepared by Thirona.</w:t>
      </w:r>
    </w:p>
    <w:p>
      <w:pPr>
        <w:pStyle w:val="TextBody"/>
        <w:bidi w:val="0"/>
        <w:spacing w:before="240" w:after="0"/>
        <w:jc w:val="left"/>
        <w:rPr>
          <w:rFonts w:ascii="Times New Roman" w:hAnsi="Times New Roman"/>
          <w:sz w:val="20"/>
        </w:rPr>
      </w:pPr>
      <w:r>
        <w:rPr>
          <w:rFonts w:ascii="Times New Roman;serif" w:hAnsi="Times New Roman;serif"/>
          <w:b w:val="false"/>
          <w:i/>
          <w:sz w:val="20"/>
        </w:rPr>
        <w:t>Biomm Supply and Distribution Agreement</w:t>
      </w:r>
      <w:r>
        <w:rPr>
          <w:rFonts w:ascii="Times New Roman" w:hAnsi="Times New Roman"/>
          <w:sz w:val="20"/>
        </w:rPr>
        <w:t xml:space="preserve"> — </w:t>
      </w:r>
      <w:r>
        <w:rPr>
          <w:rFonts w:ascii="Times New Roman;serif" w:hAnsi="Times New Roman;serif"/>
          <w:b w:val="false"/>
          <w:sz w:val="20"/>
        </w:rPr>
        <w:t>In May 2017, the Company and Biomm S.A. ("Biomm") entered into a supply and distribution agreement 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There were no</w:t>
      </w:r>
      <w:r>
        <w:rPr>
          <w:rFonts w:ascii="Times New Roman" w:hAnsi="Times New Roman"/>
          <w:sz w:val="20"/>
        </w:rPr>
        <w:t xml:space="preserve"> </w:t>
      </w:r>
      <w:r>
        <w:rPr>
          <w:rFonts w:ascii="Times New Roman;serif" w:hAnsi="Times New Roman;serif"/>
          <w:b w:val="false"/>
          <w:sz w:val="20"/>
        </w:rPr>
        <w:t>shipments of product to Biomm in 2022 or the first six months of 2023.</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Cipla License and Distribution Agreement </w:t>
      </w:r>
      <w:r>
        <w:rPr>
          <w:rFonts w:ascii="Times New Roman" w:hAnsi="Times New Roman"/>
          <w:sz w:val="20"/>
        </w:rPr>
        <w:t xml:space="preserve">— </w:t>
      </w:r>
      <w:r>
        <w:rPr>
          <w:rFonts w:ascii="Times New Roman;serif" w:hAnsi="Times New Roman;serif"/>
          <w:b w:val="false"/>
          <w:sz w:val="20"/>
        </w:rPr>
        <w:t>In May 2018, the Company and Cipla Ltd. (“Cipla”) entered into an exclusive agreement for the marketing and distribution of Afrezza in India and the Company received a $2.2</w:t>
      </w:r>
      <w:r>
        <w:rPr>
          <w:rFonts w:ascii="Times New Roman" w:hAnsi="Times New Roman"/>
          <w:sz w:val="20"/>
        </w:rPr>
        <w:t xml:space="preserve"> </w:t>
      </w:r>
      <w:r>
        <w:rPr>
          <w:rFonts w:ascii="Times New Roman;serif" w:hAnsi="Times New Roman;serif"/>
          <w:b w:val="false"/>
          <w:sz w:val="20"/>
        </w:rPr>
        <w:t>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pStyle w:val="TextBody"/>
        <w:bidi w:val="0"/>
        <w:spacing w:before="240" w:after="0"/>
        <w:jc w:val="left"/>
        <w:rPr>
          <w:rFonts w:ascii="Times New Roman" w:hAnsi="Times New Roman"/>
          <w:sz w:val="20"/>
        </w:rPr>
      </w:pPr>
      <w:r>
        <w:rPr>
          <w:rFonts w:ascii="Times New Roman;serif" w:hAnsi="Times New Roman;serif"/>
          <w:b w:val="false"/>
          <w:sz w:val="20"/>
        </w:rPr>
        <w:t>The nonrefundable licensing fee was recorded in deferred revenue and is being recognized in net revenue – collaborations over 15</w:t>
      </w:r>
      <w:r>
        <w:rPr>
          <w:rFonts w:ascii="Times New Roman" w:hAnsi="Times New Roman"/>
          <w:sz w:val="20"/>
        </w:rPr>
        <w:t xml:space="preserve"> </w:t>
      </w:r>
      <w:r>
        <w:rPr>
          <w:rFonts w:ascii="Times New Roman;serif" w:hAnsi="Times New Roman;serif"/>
          <w:b w:val="false"/>
          <w:sz w:val="20"/>
        </w:rPr>
        <w:t>years, representing the estimated period to satisfy the performance obligation. The additional milestone payments represent variable consideration for which the Company has not recognized any revenue because of the uncertainty of obtaining marketing approval. As of June 30, 2023, the deferred revenue balance was $1.4</w:t>
      </w:r>
      <w:r>
        <w:rPr>
          <w:rFonts w:ascii="Times New Roman" w:hAnsi="Times New Roman"/>
          <w:sz w:val="20"/>
        </w:rPr>
        <w:t xml:space="preserve"> </w:t>
      </w:r>
      <w:r>
        <w:rPr>
          <w:rFonts w:ascii="Times New Roman;serif" w:hAnsi="Times New Roman;serif"/>
          <w:b w:val="false"/>
          <w:sz w:val="20"/>
        </w:rPr>
        <w:t>million, of which $0.1</w:t>
      </w:r>
      <w:r>
        <w:rPr>
          <w:rFonts w:ascii="Times New Roman" w:hAnsi="Times New Roman"/>
          <w:sz w:val="20"/>
        </w:rPr>
        <w:t xml:space="preserve"> </w:t>
      </w:r>
      <w:r>
        <w:rPr>
          <w:rFonts w:ascii="Times New Roman;serif" w:hAnsi="Times New Roman;serif"/>
          <w:b w:val="false"/>
          <w:sz w:val="20"/>
        </w:rPr>
        <w:t>million is classified as current and $1.3</w:t>
      </w:r>
      <w:r>
        <w:rPr>
          <w:rFonts w:ascii="Times New Roman" w:hAnsi="Times New Roman"/>
          <w:sz w:val="20"/>
        </w:rPr>
        <w:t xml:space="preserve"> </w:t>
      </w:r>
      <w:r>
        <w:rPr>
          <w:rFonts w:ascii="Times New Roman;serif" w:hAnsi="Times New Roman;serif"/>
          <w:b w:val="false"/>
          <w:sz w:val="20"/>
        </w:rPr>
        <w:t>million is classified as long term in the condensed consolidated balance sheets.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11. Fair Value of Financial Instruments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 Quoted prices for identical instruments in active markets.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 — Significant inputs to the valuation model are unobservable.</w:t>
      </w:r>
    </w:p>
    <w:p>
      <w:pPr>
        <w:pStyle w:val="TextBody"/>
        <w:bidi w:val="0"/>
        <w:spacing w:before="240" w:after="0"/>
        <w:jc w:val="left"/>
        <w:rPr>
          <w:rFonts w:ascii="Times New Roman" w:hAnsi="Times New Roman"/>
          <w:sz w:val="20"/>
        </w:rPr>
      </w:pPr>
      <w:r>
        <w:rPr>
          <w:rFonts w:ascii="Times New Roman;serif" w:hAnsi="Times New Roman;serif"/>
          <w:b w:val="false"/>
          <w:sz w:val="20"/>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and Financing liability are disclosed below.</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i/>
          <w:sz w:val="20"/>
        </w:rPr>
        <w:t>Financial Liabilities</w:t>
      </w:r>
      <w:r>
        <w:rPr>
          <w:rFonts w:ascii="Times New Roman" w:hAnsi="Times New Roman"/>
          <w:sz w:val="20"/>
        </w:rPr>
        <w:t xml:space="preserve"> — </w:t>
      </w:r>
      <w:r>
        <w:rPr>
          <w:rFonts w:ascii="Times New Roman;serif" w:hAnsi="Times New Roman;serif"/>
          <w:b w:val="false"/>
          <w:sz w:val="20"/>
        </w:rPr>
        <w:t xml:space="preserve">The following tables set forth the fair value of the Company’s financial instruments (in thousands): </w:t>
      </w:r>
    </w:p>
    <w:tbl>
      <w:tblPr>
        <w:tblW w:w="6245" w:type="dxa"/>
        <w:jc w:val="left"/>
        <w:tblInd w:w="0" w:type="dxa"/>
        <w:tblLayout w:type="fixed"/>
        <w:tblCellMar>
          <w:top w:w="28" w:type="dxa"/>
          <w:left w:w="28" w:type="dxa"/>
          <w:bottom w:w="28" w:type="dxa"/>
          <w:right w:w="28" w:type="dxa"/>
        </w:tblCellMar>
      </w:tblPr>
      <w:tblGrid>
        <w:gridCol w:w="2761"/>
        <w:gridCol w:w="146"/>
        <w:gridCol w:w="300"/>
        <w:gridCol w:w="1110"/>
        <w:gridCol w:w="146"/>
        <w:gridCol w:w="146"/>
        <w:gridCol w:w="264"/>
        <w:gridCol w:w="981"/>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Unobservable</w:t>
              <w:br/>
              <w:t>Inputs (Level 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Senior convertible notes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241,904</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MidCap credit facility</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41,721</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Mann Group convertible note</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16,316</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Milestone rights</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11,800</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Contingent milestone liability</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Financing liability</w:t>
            </w:r>
            <w:r>
              <w:rPr>
                <w:rFonts w:ascii="Times New Roman;serif" w:hAnsi="Times New Roman;serif"/>
                <w:b w:val="false"/>
                <w:sz w:val="13"/>
              </w:rPr>
              <w:t>(5)</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103,229</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sz w:val="20"/>
        </w:rPr>
      </w:pPr>
      <w:r>
        <w:rPr>
          <w:rFonts w:ascii="Times New Roman;serif" w:hAnsi="Times New Roman;serif"/>
          <w:b w:val="false"/>
          <w:sz w:val="18"/>
        </w:rPr>
        <w:t>Fair value was determined by applying a discounted cash flow analysis to the straight note with a hypothetical yield of 11%, volatility of 72.9% and a Monte Carlo simulation for the value of the conversion feature. A change in yield of + or – 2% would result in a fair value of $233.4</w:t>
      </w:r>
      <w:r>
        <w:rPr>
          <w:rFonts w:ascii="Times New Roman;serif" w:hAnsi="Times New Roman;serif"/>
          <w:sz w:val="20"/>
        </w:rPr>
        <w:t xml:space="preserve"> </w:t>
      </w:r>
      <w:r>
        <w:rPr>
          <w:rFonts w:ascii="Times New Roman;serif" w:hAnsi="Times New Roman;serif"/>
          <w:b w:val="false"/>
          <w:sz w:val="18"/>
        </w:rPr>
        <w:t>million and $250.9</w:t>
      </w:r>
      <w:r>
        <w:rPr>
          <w:rFonts w:ascii="Times New Roman;serif" w:hAnsi="Times New Roman;serif"/>
          <w:sz w:val="20"/>
        </w:rPr>
        <w:t xml:space="preserve"> </w:t>
      </w:r>
      <w:r>
        <w:rPr>
          <w:rFonts w:ascii="Times New Roman;serif" w:hAnsi="Times New Roman;serif"/>
          <w:b w:val="false"/>
          <w:sz w:val="18"/>
        </w:rPr>
        <w:t>million, respectively.</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spacing w:before="0" w:after="0"/>
        <w:jc w:val="left"/>
        <w:rPr>
          <w:rFonts w:ascii="Times New Roman;serif" w:hAnsi="Times New Roman;serif"/>
          <w:sz w:val="20"/>
        </w:rPr>
      </w:pPr>
      <w:r>
        <w:rPr>
          <w:rFonts w:ascii="Times New Roman;serif" w:hAnsi="Times New Roman;serif"/>
          <w:b w:val="false"/>
          <w:sz w:val="18"/>
        </w:rPr>
        <w:t>Fair value was determined by applying a discounted cash flow analysis with a hypothetical yield of 12%. A change in yield of + or – 2% would result in a fair value of $40.9</w:t>
      </w:r>
      <w:r>
        <w:rPr>
          <w:rFonts w:ascii="Times New Roman;serif" w:hAnsi="Times New Roman;serif"/>
          <w:sz w:val="20"/>
        </w:rPr>
        <w:t xml:space="preserve"> </w:t>
      </w:r>
      <w:r>
        <w:rPr>
          <w:rFonts w:ascii="Times New Roman;serif" w:hAnsi="Times New Roman;serif"/>
          <w:b w:val="false"/>
          <w:sz w:val="18"/>
        </w:rPr>
        <w:t>million and $42.6</w:t>
      </w:r>
      <w:r>
        <w:rPr>
          <w:rFonts w:ascii="Times New Roman;serif" w:hAnsi="Times New Roman;serif"/>
          <w:sz w:val="20"/>
        </w:rPr>
        <w:t xml:space="preserve"> </w:t>
      </w:r>
      <w:r>
        <w:rPr>
          <w:rFonts w:ascii="Times New Roman;serif" w:hAnsi="Times New Roman;serif"/>
          <w:b w:val="false"/>
          <w:sz w:val="18"/>
        </w:rPr>
        <w:t>million, respectively.</w:t>
      </w:r>
    </w:p>
    <w:p>
      <w:pPr>
        <w:pStyle w:val="TextBody"/>
        <w:bidi w:val="0"/>
        <w:spacing w:before="0" w:after="0"/>
        <w:jc w:val="left"/>
        <w:rPr>
          <w:rFonts w:ascii="Times New Roman" w:hAnsi="Times New Roman"/>
          <w:b w:val="false"/>
          <w:sz w:val="14"/>
        </w:rPr>
      </w:pPr>
      <w:r>
        <w:rPr>
          <w:rFonts w:ascii="Times New Roman" w:hAnsi="Times New Roman"/>
          <w:b w:val="false"/>
          <w:sz w:val="14"/>
        </w:rPr>
        <w:t>(3)</w:t>
      </w:r>
    </w:p>
    <w:p>
      <w:pPr>
        <w:pStyle w:val="TextBody"/>
        <w:bidi w:val="0"/>
        <w:spacing w:before="0" w:after="0"/>
        <w:jc w:val="left"/>
        <w:rPr>
          <w:rFonts w:ascii="Times New Roman;serif" w:hAnsi="Times New Roman;serif"/>
          <w:sz w:val="20"/>
        </w:rPr>
      </w:pPr>
      <w:r>
        <w:rPr>
          <w:rFonts w:ascii="Times New Roman;serif" w:hAnsi="Times New Roman;serif"/>
          <w:b w:val="false"/>
          <w:sz w:val="18"/>
        </w:rPr>
        <w:t>The fair value was determined by applying a discounted cash flow analysis with a hypothetical yield of 13% and volatility of 72.3% to the straight note and a binomial option pricing model for the value of the conversion feature. A change in yield of + or – 2% would result in a fair value of $16.0</w:t>
      </w:r>
      <w:r>
        <w:rPr>
          <w:rFonts w:ascii="Times New Roman;serif" w:hAnsi="Times New Roman;serif"/>
          <w:sz w:val="20"/>
        </w:rPr>
        <w:t xml:space="preserve"> </w:t>
      </w:r>
      <w:r>
        <w:rPr>
          <w:rFonts w:ascii="Times New Roman;serif" w:hAnsi="Times New Roman;serif"/>
          <w:b w:val="false"/>
          <w:sz w:val="18"/>
        </w:rPr>
        <w:t>million and $16.6</w:t>
      </w:r>
      <w:r>
        <w:rPr>
          <w:rFonts w:ascii="Times New Roman;serif" w:hAnsi="Times New Roman;serif"/>
          <w:sz w:val="20"/>
        </w:rPr>
        <w:t xml:space="preserve"> </w:t>
      </w:r>
      <w:r>
        <w:rPr>
          <w:rFonts w:ascii="Times New Roman;serif" w:hAnsi="Times New Roman;serif"/>
          <w:b w:val="false"/>
          <w:sz w:val="18"/>
        </w:rPr>
        <w:t>million, respectively.</w:t>
      </w:r>
    </w:p>
    <w:p>
      <w:pPr>
        <w:pStyle w:val="TextBody"/>
        <w:bidi w:val="0"/>
        <w:spacing w:before="0" w:after="0"/>
        <w:jc w:val="left"/>
        <w:rPr>
          <w:rFonts w:ascii="Times New Roman" w:hAnsi="Times New Roman"/>
          <w:b w:val="false"/>
          <w:sz w:val="14"/>
        </w:rPr>
      </w:pPr>
      <w:r>
        <w:rPr>
          <w:rFonts w:ascii="Times New Roman" w:hAnsi="Times New Roman"/>
          <w:b w:val="false"/>
          <w:sz w:val="14"/>
        </w:rPr>
        <w:t>(4)</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Fair value was determined by applying a Monte Carlo simulation.</w:t>
      </w:r>
    </w:p>
    <w:p>
      <w:pPr>
        <w:pStyle w:val="TextBody"/>
        <w:bidi w:val="0"/>
        <w:spacing w:before="0" w:after="240"/>
        <w:jc w:val="left"/>
        <w:rPr>
          <w:rFonts w:ascii="Times New Roman" w:hAnsi="Times New Roman"/>
          <w:b w:val="false"/>
          <w:sz w:val="14"/>
        </w:rPr>
      </w:pPr>
      <w:r>
        <w:rPr>
          <w:rFonts w:ascii="Times New Roman" w:hAnsi="Times New Roman"/>
          <w:b w:val="false"/>
          <w:sz w:val="14"/>
        </w:rPr>
        <w:t>(5)</w:t>
      </w:r>
    </w:p>
    <w:p>
      <w:pPr>
        <w:pStyle w:val="TextBody"/>
        <w:bidi w:val="0"/>
        <w:spacing w:before="0" w:after="240"/>
        <w:jc w:val="left"/>
        <w:rPr>
          <w:rFonts w:ascii="Times New Roman;serif" w:hAnsi="Times New Roman;serif"/>
          <w:sz w:val="20"/>
        </w:rPr>
      </w:pPr>
      <w:r>
        <w:rPr>
          <w:rFonts w:ascii="Times New Roman;serif" w:hAnsi="Times New Roman;serif"/>
          <w:b w:val="false"/>
          <w:sz w:val="18"/>
        </w:rPr>
        <w:t>Fair value was determined by applying a discounted cash flow analysis with a hypothetical yield of 10%.</w:t>
      </w:r>
      <w:r>
        <w:rPr>
          <w:rFonts w:ascii="Times New Roman;serif" w:hAnsi="Times New Roman;serif"/>
          <w:sz w:val="20"/>
        </w:rPr>
        <w:t xml:space="preserve"> </w:t>
      </w:r>
    </w:p>
    <w:tbl>
      <w:tblPr>
        <w:tblW w:w="6080" w:type="dxa"/>
        <w:jc w:val="left"/>
        <w:tblInd w:w="0" w:type="dxa"/>
        <w:tblLayout w:type="fixed"/>
        <w:tblCellMar>
          <w:top w:w="28" w:type="dxa"/>
          <w:left w:w="28" w:type="dxa"/>
          <w:bottom w:w="28" w:type="dxa"/>
          <w:right w:w="28" w:type="dxa"/>
        </w:tblCellMar>
      </w:tblPr>
      <w:tblGrid>
        <w:gridCol w:w="2761"/>
        <w:gridCol w:w="146"/>
        <w:gridCol w:w="265"/>
        <w:gridCol w:w="980"/>
        <w:gridCol w:w="146"/>
        <w:gridCol w:w="146"/>
        <w:gridCol w:w="264"/>
        <w:gridCol w:w="981"/>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Unobservable</w:t>
              <w:br/>
              <w:t>Inputs (Level 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Senior convertible notes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253,864</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MidCap credit facility</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41,070</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Mann Group convertible note</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20,836</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Milestone rights</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12,600</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Contingent milestone liability</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391" w:type="dxa"/>
            <w:tcBorders/>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Financing liability</w:t>
            </w:r>
            <w:r>
              <w:rPr>
                <w:rFonts w:ascii="Times New Roman;serif" w:hAnsi="Times New Roman;serif"/>
                <w:b w:val="false"/>
                <w:sz w:val="13"/>
              </w:rPr>
              <w:t>(5)</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103,239</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sz w:val="20"/>
        </w:rPr>
      </w:pPr>
      <w:r>
        <w:rPr>
          <w:rFonts w:ascii="Times New Roman;serif" w:hAnsi="Times New Roman;serif"/>
          <w:b w:val="false"/>
          <w:sz w:val="18"/>
        </w:rPr>
        <w:t>Fair value was determined by applying a discounted cash flow analysis to the straight note with a hypothetical yield of 13%, volatility of 75.8% and a Monte Carlo simulation for the value of the conversion feature. A change in yield of + or – 2% would result in a fair value of $245.0</w:t>
      </w:r>
      <w:r>
        <w:rPr>
          <w:rFonts w:ascii="Times New Roman;serif" w:hAnsi="Times New Roman;serif"/>
          <w:sz w:val="20"/>
        </w:rPr>
        <w:t xml:space="preserve"> </w:t>
      </w:r>
      <w:r>
        <w:rPr>
          <w:rFonts w:ascii="Times New Roman;serif" w:hAnsi="Times New Roman;serif"/>
          <w:b w:val="false"/>
          <w:sz w:val="18"/>
        </w:rPr>
        <w:t>million and $263.4</w:t>
      </w:r>
      <w:r>
        <w:rPr>
          <w:rFonts w:ascii="Times New Roman;serif" w:hAnsi="Times New Roman;serif"/>
          <w:sz w:val="20"/>
        </w:rPr>
        <w:t xml:space="preserve"> </w:t>
      </w:r>
      <w:r>
        <w:rPr>
          <w:rFonts w:ascii="Times New Roman;serif" w:hAnsi="Times New Roman;serif"/>
          <w:b w:val="false"/>
          <w:sz w:val="18"/>
        </w:rPr>
        <w:t>million,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spacing w:before="0" w:after="0"/>
        <w:jc w:val="left"/>
        <w:rPr>
          <w:rFonts w:ascii="Times New Roman;serif" w:hAnsi="Times New Roman;serif"/>
          <w:sz w:val="20"/>
        </w:rPr>
      </w:pPr>
      <w:r>
        <w:rPr>
          <w:rFonts w:ascii="Times New Roman;serif" w:hAnsi="Times New Roman;serif"/>
          <w:b w:val="false"/>
          <w:sz w:val="18"/>
        </w:rPr>
        <w:t>Fair value was determined by applying a discounted cash flow analysis with a hypothetical yield of 12%. A change in yield of + or – 2% would result in a fair value of $40.0</w:t>
      </w:r>
      <w:r>
        <w:rPr>
          <w:rFonts w:ascii="Times New Roman;serif" w:hAnsi="Times New Roman;serif"/>
          <w:sz w:val="20"/>
        </w:rPr>
        <w:t xml:space="preserve"> </w:t>
      </w:r>
      <w:r>
        <w:rPr>
          <w:rFonts w:ascii="Times New Roman;serif" w:hAnsi="Times New Roman;serif"/>
          <w:b w:val="false"/>
          <w:sz w:val="18"/>
        </w:rPr>
        <w:t>million and $42.4</w:t>
      </w:r>
      <w:r>
        <w:rPr>
          <w:rFonts w:ascii="Times New Roman;serif" w:hAnsi="Times New Roman;serif"/>
          <w:sz w:val="20"/>
        </w:rPr>
        <w:t xml:space="preserve"> </w:t>
      </w:r>
      <w:r>
        <w:rPr>
          <w:rFonts w:ascii="Times New Roman;serif" w:hAnsi="Times New Roman;serif"/>
          <w:b w:val="false"/>
          <w:sz w:val="18"/>
        </w:rPr>
        <w:t>million, respectively.</w:t>
      </w:r>
    </w:p>
    <w:p>
      <w:pPr>
        <w:pStyle w:val="TextBody"/>
        <w:bidi w:val="0"/>
        <w:spacing w:before="0" w:after="0"/>
        <w:jc w:val="left"/>
        <w:rPr>
          <w:rFonts w:ascii="Times New Roman" w:hAnsi="Times New Roman"/>
          <w:b w:val="false"/>
          <w:sz w:val="14"/>
        </w:rPr>
      </w:pPr>
      <w:r>
        <w:rPr>
          <w:rFonts w:ascii="Times New Roman" w:hAnsi="Times New Roman"/>
          <w:b w:val="false"/>
          <w:sz w:val="14"/>
        </w:rPr>
        <w:t>(3)</w:t>
      </w:r>
    </w:p>
    <w:p>
      <w:pPr>
        <w:pStyle w:val="TextBody"/>
        <w:bidi w:val="0"/>
        <w:spacing w:before="0" w:after="0"/>
        <w:jc w:val="left"/>
        <w:rPr>
          <w:rFonts w:ascii="Times New Roman;serif" w:hAnsi="Times New Roman;serif"/>
          <w:sz w:val="20"/>
        </w:rPr>
      </w:pPr>
      <w:r>
        <w:rPr>
          <w:rFonts w:ascii="Times New Roman;serif" w:hAnsi="Times New Roman;serif"/>
          <w:b w:val="false"/>
          <w:sz w:val="18"/>
        </w:rPr>
        <w:t>Fair value was determined by applying a discounted cash flow analysis with a hypothetical yield of 13% and volatility of 77.8% to the straight note and a binomial option pricing model for the value of the conversion feature. A change in yield of + or – 2% would result in a fair value of $20.5</w:t>
      </w:r>
      <w:r>
        <w:rPr>
          <w:rFonts w:ascii="Times New Roman;serif" w:hAnsi="Times New Roman;serif"/>
          <w:sz w:val="20"/>
        </w:rPr>
        <w:t xml:space="preserve"> </w:t>
      </w:r>
      <w:r>
        <w:rPr>
          <w:rFonts w:ascii="Times New Roman;serif" w:hAnsi="Times New Roman;serif"/>
          <w:b w:val="false"/>
          <w:sz w:val="18"/>
        </w:rPr>
        <w:t>million and $21.2</w:t>
      </w:r>
      <w:r>
        <w:rPr>
          <w:rFonts w:ascii="Times New Roman;serif" w:hAnsi="Times New Roman;serif"/>
          <w:sz w:val="20"/>
        </w:rPr>
        <w:t xml:space="preserve"> </w:t>
      </w:r>
      <w:r>
        <w:rPr>
          <w:rFonts w:ascii="Times New Roman;serif" w:hAnsi="Times New Roman;serif"/>
          <w:b w:val="false"/>
          <w:sz w:val="18"/>
        </w:rPr>
        <w:t>million, respectively.</w:t>
      </w:r>
    </w:p>
    <w:p>
      <w:pPr>
        <w:pStyle w:val="TextBody"/>
        <w:bidi w:val="0"/>
        <w:spacing w:before="0" w:after="0"/>
        <w:jc w:val="left"/>
        <w:rPr>
          <w:rFonts w:ascii="Times New Roman" w:hAnsi="Times New Roman"/>
          <w:b w:val="false"/>
          <w:sz w:val="14"/>
        </w:rPr>
      </w:pPr>
      <w:r>
        <w:rPr>
          <w:rFonts w:ascii="Times New Roman" w:hAnsi="Times New Roman"/>
          <w:b w:val="false"/>
          <w:sz w:val="14"/>
        </w:rPr>
        <w:t>(4)</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Fair value was determined by applying a Monte Carlo simulation.</w:t>
      </w:r>
    </w:p>
    <w:p>
      <w:pPr>
        <w:pStyle w:val="TextBody"/>
        <w:bidi w:val="0"/>
        <w:spacing w:before="0" w:after="0"/>
        <w:jc w:val="left"/>
        <w:rPr>
          <w:rFonts w:ascii="Times New Roman" w:hAnsi="Times New Roman"/>
          <w:b w:val="false"/>
          <w:sz w:val="14"/>
        </w:rPr>
      </w:pPr>
      <w:r>
        <w:rPr>
          <w:rFonts w:ascii="Times New Roman" w:hAnsi="Times New Roman"/>
          <w:b w:val="false"/>
          <w:sz w:val="14"/>
        </w:rPr>
        <w:t>(5)</w:t>
      </w:r>
    </w:p>
    <w:p>
      <w:pPr>
        <w:pStyle w:val="TextBody"/>
        <w:bidi w:val="0"/>
        <w:jc w:val="left"/>
        <w:rPr>
          <w:rFonts w:ascii="Times New Roman;serif" w:hAnsi="Times New Roman;serif"/>
          <w:sz w:val="20"/>
        </w:rPr>
      </w:pPr>
      <w:r>
        <w:rPr>
          <w:rFonts w:ascii="Times New Roman;serif" w:hAnsi="Times New Roman;serif"/>
          <w:b w:val="false"/>
          <w:sz w:val="18"/>
        </w:rPr>
        <w:t>Fair value was determined by applying a discounted cash flow analysis with a hypothetical yield of 10%.</w:t>
      </w:r>
      <w:r>
        <w:rPr>
          <w:rFonts w:ascii="Times New Roman;serif" w:hAnsi="Times New Roman;serif"/>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Milestone Rights Liability </w:t>
      </w:r>
      <w:r>
        <w:rPr>
          <w:rFonts w:ascii="Times New Roman" w:hAnsi="Times New Roman"/>
          <w:sz w:val="20"/>
        </w:rPr>
        <w:t xml:space="preserve">— </w:t>
      </w:r>
      <w:r>
        <w:rPr>
          <w:rFonts w:ascii="Times New Roman;serif" w:hAnsi="Times New Roman;serif"/>
          <w:b w:val="false"/>
          <w:sz w:val="20"/>
        </w:rPr>
        <w:t xml:space="preserve">The fair value measurement of the Milestone Rights liability is sensitive to the discount rate and the timing of achievement of 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 See Note 9 – </w:t>
      </w:r>
      <w:r>
        <w:rPr>
          <w:rFonts w:ascii="Times New Roman;serif" w:hAnsi="Times New Roman;serif"/>
          <w:b w:val="false"/>
          <w:i/>
          <w:sz w:val="20"/>
        </w:rPr>
        <w:t>Borrowings</w:t>
      </w:r>
      <w:r>
        <w:rPr>
          <w:rFonts w:ascii="Times New Roman;serif" w:hAnsi="Times New Roman;serif"/>
          <w:b w:val="false"/>
          <w:sz w:val="20"/>
        </w:rPr>
        <w:t>.</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Contingent milestone liability — </w:t>
      </w:r>
      <w:r>
        <w:rPr>
          <w:rFonts w:ascii="Times New Roman;serif" w:hAnsi="Times New Roman;serif"/>
          <w:b w:val="false"/>
          <w:sz w:val="20"/>
        </w:rPr>
        <w:t xml:space="preserve">The acquisition of V-Go in May 2022 resulted in a contingent milestone liability which could result in obligations to the seller if certain revenue thresholds are met. The initial fair value of the contingent milestone liability was recorded as an adjustment to the purchase price. Subsequent changes in the fair value are reported in general and administrative expenses. See Note 2 – </w:t>
      </w:r>
      <w:r>
        <w:rPr>
          <w:rFonts w:ascii="Times New Roman;serif" w:hAnsi="Times New Roman;serif"/>
          <w:b w:val="false"/>
          <w:i/>
          <w:sz w:val="20"/>
        </w:rPr>
        <w:t>Acquisition.</w:t>
      </w:r>
    </w:p>
    <w:p>
      <w:pPr>
        <w:pStyle w:val="TextBody"/>
        <w:bidi w:val="0"/>
        <w:spacing w:before="240" w:after="0"/>
        <w:jc w:val="left"/>
        <w:rPr>
          <w:rFonts w:ascii="Times New Roman" w:hAnsi="Times New Roman"/>
          <w:sz w:val="20"/>
        </w:rPr>
      </w:pPr>
      <w:r>
        <w:rPr>
          <w:rFonts w:ascii="Times New Roman;serif" w:hAnsi="Times New Roman;serif"/>
          <w:b w:val="false"/>
          <w:i/>
          <w:sz w:val="20"/>
        </w:rPr>
        <w:t>Financing Liability</w:t>
      </w:r>
      <w:r>
        <w:rPr>
          <w:rFonts w:ascii="Times New Roman" w:hAnsi="Times New Roman"/>
          <w:sz w:val="20"/>
        </w:rPr>
        <w:t xml:space="preserve"> — </w:t>
      </w:r>
      <w:r>
        <w:rPr>
          <w:rFonts w:ascii="Times New Roman;serif" w:hAnsi="Times New Roman;serif"/>
          <w:b w:val="false"/>
          <w:sz w:val="20"/>
        </w:rPr>
        <w:t xml:space="preserve">The Sale-Leaseback Transaction in November 2021 resulted in a financing liability. See Note 15 – </w:t>
      </w:r>
      <w:r>
        <w:rPr>
          <w:rFonts w:ascii="Times New Roman;serif" w:hAnsi="Times New Roman;serif"/>
          <w:b w:val="false"/>
          <w:i/>
          <w:sz w:val="20"/>
        </w:rPr>
        <w:t>Commitments and Contingencies</w:t>
      </w:r>
      <w:r>
        <w:rPr>
          <w:rFonts w:ascii="Times New Roman;serif" w:hAnsi="Times New Roman;serif"/>
          <w:b w:val="false"/>
          <w:sz w:val="20"/>
        </w:rPr>
        <w:t>.</w:t>
      </w:r>
    </w:p>
    <w:p>
      <w:pPr>
        <w:pStyle w:val="TextBody"/>
        <w:bidi w:val="0"/>
        <w:spacing w:before="360" w:after="0"/>
        <w:jc w:val="left"/>
        <w:rPr>
          <w:rFonts w:ascii="Times New Roman" w:hAnsi="Times New Roman"/>
          <w:sz w:val="20"/>
        </w:rPr>
      </w:pPr>
      <w:r>
        <w:rPr>
          <w:rFonts w:ascii="Times New Roman;serif" w:hAnsi="Times New Roman;serif"/>
          <w:b/>
          <w:sz w:val="20"/>
        </w:rPr>
        <w:t>12.</w:t>
      </w:r>
      <w:r>
        <w:rPr>
          <w:rFonts w:ascii="Times New Roman" w:hAnsi="Times New Roman"/>
          <w:sz w:val="20"/>
        </w:rPr>
        <w:t xml:space="preserve"> </w:t>
      </w:r>
      <w:r>
        <w:rPr>
          <w:rFonts w:ascii="Times New Roman;serif" w:hAnsi="Times New Roman;serif"/>
          <w:b/>
          <w:sz w:val="20"/>
        </w:rPr>
        <w:t>Common and Preferred Stock</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the Company’s stockholders, upon recommendation of the Company’s board of directors approved an amendment to our Amended and Restated Certificate of Incorporation to increase the authorized number of shares of common stock from 400,000,000</w:t>
      </w:r>
      <w:r>
        <w:rPr>
          <w:rFonts w:ascii="Times New Roman" w:hAnsi="Times New Roman"/>
          <w:sz w:val="20"/>
        </w:rPr>
        <w:t xml:space="preserve"> </w:t>
      </w:r>
      <w:r>
        <w:rPr>
          <w:rFonts w:ascii="Times New Roman;serif" w:hAnsi="Times New Roman;serif"/>
          <w:b w:val="false"/>
          <w:sz w:val="20"/>
        </w:rPr>
        <w:t>shares to 800,000,000</w:t>
      </w:r>
      <w:r>
        <w:rPr>
          <w:rFonts w:ascii="Times New Roman" w:hAnsi="Times New Roman"/>
          <w:sz w:val="20"/>
        </w:rPr>
        <w:t xml:space="preserve"> </w:t>
      </w:r>
      <w:r>
        <w:rPr>
          <w:rFonts w:ascii="Times New Roman;serif" w:hAnsi="Times New Roman;serif"/>
          <w:b w:val="false"/>
          <w:sz w:val="20"/>
        </w:rPr>
        <w:t>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authorized to issue 800,000,000</w:t>
      </w:r>
      <w:r>
        <w:rPr>
          <w:rFonts w:ascii="Times New Roman" w:hAnsi="Times New Roman"/>
          <w:sz w:val="20"/>
        </w:rPr>
        <w:t xml:space="preserve"> </w:t>
      </w:r>
      <w:r>
        <w:rPr>
          <w:rFonts w:ascii="Times New Roman;serif" w:hAnsi="Times New Roman;serif"/>
          <w:b w:val="false"/>
          <w:sz w:val="20"/>
        </w:rPr>
        <w:t>shares of common stock, par value $0.01</w:t>
      </w:r>
      <w:r>
        <w:rPr>
          <w:rFonts w:ascii="Times New Roman" w:hAnsi="Times New Roman"/>
          <w:sz w:val="20"/>
        </w:rPr>
        <w:t xml:space="preserve"> </w:t>
      </w:r>
      <w:r>
        <w:rPr>
          <w:rFonts w:ascii="Times New Roman;serif" w:hAnsi="Times New Roman;serif"/>
          <w:b w:val="false"/>
          <w:sz w:val="20"/>
        </w:rPr>
        <w:t>per share, and 10,000,000</w:t>
      </w:r>
      <w:r>
        <w:rPr>
          <w:rFonts w:ascii="Times New Roman" w:hAnsi="Times New Roman"/>
          <w:sz w:val="20"/>
        </w:rPr>
        <w:t xml:space="preserve"> </w:t>
      </w:r>
      <w:r>
        <w:rPr>
          <w:rFonts w:ascii="Times New Roman;serif" w:hAnsi="Times New Roman;serif"/>
          <w:b w:val="false"/>
          <w:sz w:val="20"/>
        </w:rPr>
        <w:t>shares of undesignated preferred stock, par value $0.01</w:t>
      </w:r>
      <w:r>
        <w:rPr>
          <w:rFonts w:ascii="Times New Roman" w:hAnsi="Times New Roman"/>
          <w:sz w:val="20"/>
        </w:rPr>
        <w:t xml:space="preserve"> </w:t>
      </w:r>
      <w:r>
        <w:rPr>
          <w:rFonts w:ascii="Times New Roman;serif" w:hAnsi="Times New Roman;serif"/>
          <w:b w:val="false"/>
          <w:sz w:val="20"/>
        </w:rPr>
        <w:t>per share, issuable in one or more series as designated by the Company’s board of directors. No other class of capital stock is authorized. As of June 30, 2023 and December 31, 2022, 268,235,145</w:t>
      </w:r>
      <w:r>
        <w:rPr>
          <w:rFonts w:ascii="Times New Roman" w:hAnsi="Times New Roman"/>
          <w:sz w:val="20"/>
        </w:rPr>
        <w:t xml:space="preserve"> </w:t>
      </w:r>
      <w:r>
        <w:rPr>
          <w:rFonts w:ascii="Times New Roman;serif" w:hAnsi="Times New Roman;serif"/>
          <w:b w:val="false"/>
          <w:sz w:val="20"/>
        </w:rPr>
        <w:t>and 263,793,305</w:t>
      </w:r>
      <w:r>
        <w:rPr>
          <w:rFonts w:ascii="Times New Roman" w:hAnsi="Times New Roman"/>
          <w:sz w:val="20"/>
        </w:rPr>
        <w:t xml:space="preserve"> </w:t>
      </w:r>
      <w:r>
        <w:rPr>
          <w:rFonts w:ascii="Times New Roman;serif" w:hAnsi="Times New Roman;serif"/>
          <w:b w:val="false"/>
          <w:sz w:val="20"/>
        </w:rPr>
        <w:t>shares of common stock, respectively, were issued and outstanding and no</w:t>
      </w:r>
      <w:r>
        <w:rPr>
          <w:rFonts w:ascii="Times New Roman" w:hAnsi="Times New Roman"/>
          <w:sz w:val="20"/>
        </w:rPr>
        <w:t xml:space="preserve"> </w:t>
      </w:r>
      <w:r>
        <w:rPr>
          <w:rFonts w:ascii="Times New Roman;serif" w:hAnsi="Times New Roman;serif"/>
          <w:b w:val="false"/>
          <w:sz w:val="20"/>
        </w:rPr>
        <w:t>shares of preferred stock were outstanding.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w:t>
      </w:r>
      <w:r>
        <w:rPr>
          <w:rFonts w:ascii="Times New Roman" w:hAnsi="Times New Roman"/>
          <w:sz w:val="20"/>
        </w:rPr>
        <w:t xml:space="preserve"> </w:t>
      </w:r>
      <w:r>
        <w:rPr>
          <w:rFonts w:ascii="Times New Roman;serif" w:hAnsi="Times New Roman;serif"/>
          <w:b w:val="false"/>
          <w:sz w:val="20"/>
        </w:rPr>
        <w:t>million or such other amount as may be permitted by the Sales Agreement. Under the Sales Agreement, Cantor Fitzgerald may sell shares by any method deemed to be an “at-the-market offering” as defined in Rule 415 under the Securities Act of 1933, as amended. For the six months ended June 30, 2023, the Company sold 631,383</w:t>
      </w:r>
      <w:r>
        <w:rPr>
          <w:rFonts w:ascii="Times New Roman" w:hAnsi="Times New Roman"/>
          <w:sz w:val="20"/>
        </w:rPr>
        <w:t xml:space="preserve"> </w:t>
      </w:r>
      <w:r>
        <w:rPr>
          <w:rFonts w:ascii="Times New Roman;serif" w:hAnsi="Times New Roman;serif"/>
          <w:b w:val="false"/>
          <w:sz w:val="20"/>
        </w:rPr>
        <w:t>shares of common stock at a weighted average purchase price of $4.40</w:t>
      </w:r>
      <w:r>
        <w:rPr>
          <w:rFonts w:ascii="Times New Roman" w:hAnsi="Times New Roman"/>
          <w:sz w:val="20"/>
        </w:rPr>
        <w:t xml:space="preserve"> </w:t>
      </w:r>
      <w:r>
        <w:rPr>
          <w:rFonts w:ascii="Times New Roman;serif" w:hAnsi="Times New Roman;serif"/>
          <w:b w:val="false"/>
          <w:sz w:val="20"/>
        </w:rPr>
        <w:t>per share for gross proceeds of approximately $2.8</w:t>
      </w:r>
      <w:r>
        <w:rPr>
          <w:rFonts w:ascii="Times New Roman" w:hAnsi="Times New Roman"/>
          <w:sz w:val="20"/>
        </w:rPr>
        <w:t xml:space="preserve"> </w:t>
      </w:r>
      <w:r>
        <w:rPr>
          <w:rFonts w:ascii="Times New Roman;serif" w:hAnsi="Times New Roman;serif"/>
          <w:b w:val="false"/>
          <w:sz w:val="20"/>
        </w:rPr>
        <w:t>million pursuant to the CF Sales Agreement. There were no</w:t>
      </w:r>
      <w:r>
        <w:rPr>
          <w:rFonts w:ascii="Times New Roman" w:hAnsi="Times New Roman"/>
          <w:sz w:val="20"/>
        </w:rPr>
        <w:t xml:space="preserve"> </w:t>
      </w:r>
      <w:r>
        <w:rPr>
          <w:rFonts w:ascii="Times New Roman;serif" w:hAnsi="Times New Roman;serif"/>
          <w:b w:val="false"/>
          <w:sz w:val="20"/>
        </w:rPr>
        <w:t>sales under the CF Sales Agreement for the six months ended June 30, 2022.</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six months ended June 30, 2023, the Company paid interest on the Mann Group convertible note by issuing 23,683</w:t>
      </w:r>
      <w:r>
        <w:rPr>
          <w:rFonts w:ascii="Times New Roman" w:hAnsi="Times New Roman"/>
          <w:sz w:val="20"/>
        </w:rPr>
        <w:t xml:space="preserve"> </w:t>
      </w:r>
      <w:r>
        <w:rPr>
          <w:rFonts w:ascii="Times New Roman;serif" w:hAnsi="Times New Roman;serif"/>
          <w:b w:val="false"/>
          <w:sz w:val="20"/>
        </w:rPr>
        <w:t>shares of common stock. During the six months ended June 30, 2022, Mann Group converted $10.0</w:t>
      </w:r>
      <w:r>
        <w:rPr>
          <w:rFonts w:ascii="Times New Roman" w:hAnsi="Times New Roman"/>
          <w:sz w:val="20"/>
        </w:rPr>
        <w:t xml:space="preserve"> </w:t>
      </w:r>
      <w:r>
        <w:rPr>
          <w:rFonts w:ascii="Times New Roman;serif" w:hAnsi="Times New Roman;serif"/>
          <w:b w:val="false"/>
          <w:sz w:val="20"/>
        </w:rPr>
        <w:t>million of principal and capitalized interest into 4,000,000</w:t>
      </w:r>
      <w:r>
        <w:rPr>
          <w:rFonts w:ascii="Times New Roman" w:hAnsi="Times New Roman"/>
          <w:sz w:val="20"/>
        </w:rPr>
        <w:t xml:space="preserve"> </w:t>
      </w:r>
      <w:r>
        <w:rPr>
          <w:rFonts w:ascii="Times New Roman;serif" w:hAnsi="Times New Roman;serif"/>
          <w:b w:val="false"/>
          <w:sz w:val="20"/>
        </w:rPr>
        <w:t>shares of common stock. In addition, the Company paid quarterly interest by issuing the Mann Group 31,541</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six months ended June 30, 2023, the Company received</w:t>
      </w:r>
      <w:r>
        <w:rPr>
          <w:rFonts w:ascii="Times New Roman" w:hAnsi="Times New Roman"/>
          <w:sz w:val="20"/>
        </w:rPr>
        <w:t xml:space="preserve"> </w:t>
      </w:r>
      <w:r>
        <w:rPr>
          <w:rFonts w:ascii="Times New Roman;serif" w:hAnsi="Times New Roman;serif"/>
          <w:b w:val="false"/>
          <w:sz w:val="20"/>
        </w:rPr>
        <w:t>$0.2</w:t>
      </w:r>
      <w:r>
        <w:rPr>
          <w:rFonts w:ascii="Times New Roman" w:hAnsi="Times New Roman"/>
          <w:sz w:val="20"/>
        </w:rPr>
        <w:t xml:space="preserve"> </w:t>
      </w:r>
      <w:r>
        <w:rPr>
          <w:rFonts w:ascii="Times New Roman;serif" w:hAnsi="Times New Roman;serif"/>
          <w:b w:val="false"/>
          <w:sz w:val="20"/>
        </w:rPr>
        <w:t>million from the market price stock purchase plan (“MPSPP”) for 36,004</w:t>
      </w:r>
      <w:r>
        <w:rPr>
          <w:rFonts w:ascii="Times New Roman" w:hAnsi="Times New Roman"/>
          <w:sz w:val="20"/>
        </w:rPr>
        <w:t xml:space="preserve"> </w:t>
      </w:r>
      <w:r>
        <w:rPr>
          <w:rFonts w:ascii="Times New Roman;serif" w:hAnsi="Times New Roman;serif"/>
          <w:b w:val="false"/>
          <w:sz w:val="20"/>
        </w:rPr>
        <w:t>shares. For the six months ended June 30, 2022, the Company received</w:t>
      </w:r>
      <w:r>
        <w:rPr>
          <w:rFonts w:ascii="Times New Roman" w:hAnsi="Times New Roman"/>
          <w:sz w:val="20"/>
        </w:rPr>
        <w:t xml:space="preserve"> </w:t>
      </w:r>
      <w:r>
        <w:rPr>
          <w:rFonts w:ascii="Times New Roman;serif" w:hAnsi="Times New Roman;serif"/>
          <w:b w:val="false"/>
          <w:sz w:val="20"/>
        </w:rPr>
        <w:t>$0.7</w:t>
      </w:r>
      <w:r>
        <w:rPr>
          <w:rFonts w:ascii="Times New Roman" w:hAnsi="Times New Roman"/>
          <w:sz w:val="20"/>
        </w:rPr>
        <w:t xml:space="preserve"> </w:t>
      </w:r>
      <w:r>
        <w:rPr>
          <w:rFonts w:ascii="Times New Roman;serif" w:hAnsi="Times New Roman;serif"/>
          <w:b w:val="false"/>
          <w:sz w:val="20"/>
        </w:rPr>
        <w:t>million from the MPSPP for 252,176</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For shares of common stock issued pursuant to the Company's 2004 employee stock purchase plan ("ESPP"), see Note 14 – </w:t>
      </w:r>
      <w:r>
        <w:rPr>
          <w:rFonts w:ascii="Times New Roman;serif" w:hAnsi="Times New Roman;serif"/>
          <w:b w:val="false"/>
          <w:i/>
          <w:sz w:val="20"/>
        </w:rPr>
        <w:t>Stock-Based Compensation Expense.</w:t>
      </w:r>
    </w:p>
    <w:p>
      <w:pPr>
        <w:pStyle w:val="TextBody"/>
        <w:bidi w:val="0"/>
        <w:spacing w:before="360" w:after="0"/>
        <w:jc w:val="left"/>
        <w:rPr>
          <w:rFonts w:ascii="Times New Roman" w:hAnsi="Times New Roman"/>
          <w:sz w:val="20"/>
        </w:rPr>
      </w:pPr>
      <w:r>
        <w:rPr>
          <w:rFonts w:ascii="Times New Roman;serif" w:hAnsi="Times New Roman;serif"/>
          <w:b/>
          <w:sz w:val="20"/>
        </w:rPr>
        <w:t>13.</w:t>
      </w:r>
      <w:r>
        <w:rPr>
          <w:rFonts w:ascii="Times New Roman" w:hAnsi="Times New Roman"/>
          <w:sz w:val="20"/>
        </w:rPr>
        <w:t xml:space="preserve"> </w:t>
      </w:r>
      <w:r>
        <w:rPr>
          <w:rFonts w:ascii="Times New Roman;serif" w:hAnsi="Times New Roman;serif"/>
          <w:b/>
          <w:sz w:val="20"/>
        </w:rPr>
        <w:t>Earnings per Common Share (“EPS”)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following tables summarize the components of the basic and diluted EPS computations (in thousands, except per share amounts):</w:t>
      </w:r>
    </w:p>
    <w:tbl>
      <w:tblPr>
        <w:tblW w:w="9542" w:type="dxa"/>
        <w:jc w:val="left"/>
        <w:tblInd w:w="0" w:type="dxa"/>
        <w:tblLayout w:type="fixed"/>
        <w:tblCellMar>
          <w:top w:w="28" w:type="dxa"/>
          <w:left w:w="28" w:type="dxa"/>
          <w:bottom w:w="28" w:type="dxa"/>
          <w:right w:w="28" w:type="dxa"/>
        </w:tblCellMar>
      </w:tblPr>
      <w:tblGrid>
        <w:gridCol w:w="4081"/>
        <w:gridCol w:w="146"/>
        <w:gridCol w:w="211"/>
        <w:gridCol w:w="781"/>
        <w:gridCol w:w="166"/>
        <w:gridCol w:w="146"/>
        <w:gridCol w:w="211"/>
        <w:gridCol w:w="781"/>
        <w:gridCol w:w="166"/>
        <w:gridCol w:w="146"/>
        <w:gridCol w:w="211"/>
        <w:gridCol w:w="781"/>
        <w:gridCol w:w="166"/>
        <w:gridCol w:w="146"/>
        <w:gridCol w:w="211"/>
        <w:gridCol w:w="781"/>
        <w:gridCol w:w="4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EPS — basic and diluted:</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4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(numerator)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(55,021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common shares (denominator)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264,802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252,775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Common shares issuable represents incremental shares of common stock which consist of RSUs, options, warrants, and shares that could be issued upon conversion of the Senior convertible notes and the Mann Group convertible notes.</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Potentially dilutive securities outstanding that are considered antidilutive are summarized as follows (in shares):</w:t>
      </w:r>
    </w:p>
    <w:tbl>
      <w:tblPr>
        <w:tblW w:w="6044" w:type="dxa"/>
        <w:jc w:val="left"/>
        <w:tblInd w:w="0" w:type="dxa"/>
        <w:tblLayout w:type="fixed"/>
        <w:tblCellMar>
          <w:top w:w="28" w:type="dxa"/>
          <w:left w:w="28" w:type="dxa"/>
          <w:bottom w:w="28" w:type="dxa"/>
          <w:right w:w="28" w:type="dxa"/>
        </w:tblCellMar>
      </w:tblPr>
      <w:tblGrid>
        <w:gridCol w:w="2851"/>
        <w:gridCol w:w="146"/>
        <w:gridCol w:w="146"/>
        <w:gridCol w:w="1036"/>
        <w:gridCol w:w="146"/>
        <w:gridCol w:w="146"/>
        <w:gridCol w:w="146"/>
        <w:gridCol w:w="1036"/>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convertible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44,120,463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44,120,463</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RSUs and Market RSUs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16,951,734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15,848,183</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options and PNQs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8,688,625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9,766,028</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Mann Group convertible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3,370,000</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235,794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73,130,822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73,340,468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jc w:val="left"/>
        <w:rPr>
          <w:rFonts w:ascii="Times New Roman;serif" w:hAnsi="Times New Roman;serif"/>
          <w:b w:val="false"/>
          <w:sz w:val="18"/>
        </w:rPr>
      </w:pPr>
      <w:r>
        <w:rPr>
          <w:rFonts w:ascii="Times New Roman;serif" w:hAnsi="Times New Roman;serif"/>
          <w:b w:val="false"/>
          <w:sz w:val="18"/>
        </w:rPr>
        <w:t>Market RSUs issued in 2021, 2022, and 2023 are included at the share delivery of 0%, 162%, and 100%, respectively, in accordance with a valuation assessment obtained as of June 30, 2023.</w:t>
      </w:r>
    </w:p>
    <w:p>
      <w:pPr>
        <w:pStyle w:val="TextBody"/>
        <w:bidi w:val="0"/>
        <w:spacing w:before="360" w:after="0"/>
        <w:jc w:val="left"/>
        <w:rPr>
          <w:rFonts w:ascii="Times New Roman" w:hAnsi="Times New Roman"/>
          <w:sz w:val="20"/>
        </w:rPr>
      </w:pPr>
      <w:r>
        <w:rPr>
          <w:rFonts w:ascii="Times New Roman;serif" w:hAnsi="Times New Roman;serif"/>
          <w:b/>
          <w:sz w:val="20"/>
        </w:rPr>
        <w:t>14. Stock-Based Compensation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the Company’s stockholders, upon recommendation of the Company’s board of directors, approved an amendment to the Company’s 2018 Equity Incentive Plan (the "2018 Plan") to increase the number of shares of common stock that may be issued under the 2018 Plan by 25,000,000</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the Company granted the following awards (in shares):</w:t>
      </w:r>
    </w:p>
    <w:p>
      <w:pPr>
        <w:pStyle w:val="TextBody"/>
        <w:bidi w:val="0"/>
        <w:spacing w:before="120" w:after="0"/>
        <w:jc w:val="left"/>
        <w:rPr/>
      </w:pPr>
      <w:r>
        <w:rPr/>
        <w:t> </w:t>
      </w:r>
    </w:p>
    <w:tbl>
      <w:tblPr>
        <w:tblW w:w="7872" w:type="dxa"/>
        <w:jc w:val="left"/>
        <w:tblInd w:w="0" w:type="dxa"/>
        <w:tblLayout w:type="fixed"/>
        <w:tblCellMar>
          <w:top w:w="28" w:type="dxa"/>
          <w:left w:w="28" w:type="dxa"/>
          <w:bottom w:w="28" w:type="dxa"/>
          <w:right w:w="28" w:type="dxa"/>
        </w:tblCellMar>
      </w:tblPr>
      <w:tblGrid>
        <w:gridCol w:w="2491"/>
        <w:gridCol w:w="146"/>
        <w:gridCol w:w="212"/>
        <w:gridCol w:w="1138"/>
        <w:gridCol w:w="146"/>
        <w:gridCol w:w="286"/>
        <w:gridCol w:w="164"/>
        <w:gridCol w:w="1051"/>
        <w:gridCol w:w="146"/>
        <w:gridCol w:w="286"/>
        <w:gridCol w:w="164"/>
        <w:gridCol w:w="1051"/>
        <w:gridCol w:w="5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awards:</w:t>
            </w:r>
          </w:p>
        </w:tc>
        <w:tc>
          <w:tcPr>
            <w:tcW w:w="14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179,905</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1"/>
              </w:rPr>
              <w:t>(1)</w:t>
            </w:r>
          </w:p>
        </w:tc>
        <w:tc>
          <w:tcPr>
            <w:tcW w:w="164"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2,660,721</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1"/>
              </w:rPr>
              <w:t>(2)</w:t>
            </w:r>
          </w:p>
        </w:tc>
        <w:tc>
          <w:tcPr>
            <w:tcW w:w="164"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2,840,626</w:t>
            </w:r>
          </w:p>
        </w:tc>
        <w:tc>
          <w:tcPr>
            <w:tcW w:w="591" w:type="dxa"/>
            <w:tcBorders/>
            <w:vAlign w:val="center"/>
          </w:tcPr>
          <w:p>
            <w:pPr>
              <w:pStyle w:val="TableContents"/>
              <w:bidi w:val="0"/>
              <w:spacing w:before="0" w:after="0"/>
              <w:ind w:left="0" w:right="0" w:firstLine="200"/>
              <w:jc w:val="left"/>
              <w:rPr/>
            </w:pPr>
            <w:r>
              <w:rPr/>
              <w:t> </w:t>
            </w:r>
          </w:p>
        </w:tc>
      </w:tr>
      <w:tr>
        <w:trPr/>
        <w:tc>
          <w:tcPr>
            <w:tcW w:w="24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 RSUs</w:t>
            </w:r>
          </w:p>
        </w:tc>
        <w:tc>
          <w:tcPr>
            <w:tcW w:w="146" w:type="dxa"/>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1,445,000</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1"/>
              </w:rPr>
              <w:t>(3)</w:t>
            </w:r>
          </w:p>
        </w:tc>
        <w:tc>
          <w:tcPr>
            <w:tcW w:w="164"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1,445,000</w:t>
            </w:r>
          </w:p>
        </w:tc>
        <w:tc>
          <w:tcPr>
            <w:tcW w:w="591" w:type="dxa"/>
            <w:tcBorders/>
            <w:vAlign w:val="center"/>
          </w:tcPr>
          <w:p>
            <w:pPr>
              <w:pStyle w:val="TableContents"/>
              <w:bidi w:val="0"/>
              <w:spacing w:before="0" w:after="0"/>
              <w:ind w:left="0" w:right="0" w:firstLine="200"/>
              <w:jc w:val="left"/>
              <w:rPr/>
            </w:pPr>
            <w:r>
              <w:rPr/>
              <w:t> </w:t>
            </w:r>
          </w:p>
        </w:tc>
      </w:tr>
      <w:tr>
        <w:trPr/>
        <w:tc>
          <w:tcPr>
            <w:tcW w:w="24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Non-employee director RSUs</w:t>
            </w:r>
          </w:p>
        </w:tc>
        <w:tc>
          <w:tcPr>
            <w:tcW w:w="146" w:type="dxa"/>
            <w:tcBorders/>
            <w:vAlign w:val="center"/>
          </w:tcPr>
          <w:p>
            <w:pPr>
              <w:pStyle w:val="TableContents"/>
              <w:bidi w:val="0"/>
              <w:spacing w:before="0" w:after="0"/>
              <w:ind w:left="0" w:right="0" w:hanging="0"/>
              <w:jc w:val="center"/>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center"/>
              <w:rPr/>
            </w:pPr>
            <w:r>
              <w:rPr/>
              <w:t> </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1"/>
              </w:rPr>
              <w:t>(4)</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319,904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4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awards issued</w:t>
            </w:r>
          </w:p>
        </w:tc>
        <w:tc>
          <w:tcPr>
            <w:tcW w:w="146" w:type="dxa"/>
            <w:tcBorders/>
            <w:vAlign w:val="center"/>
          </w:tcPr>
          <w:p>
            <w:pPr>
              <w:pStyle w:val="TableContents"/>
              <w:bidi w:val="0"/>
              <w:spacing w:before="0" w:after="0"/>
              <w:ind w:left="0" w:right="0" w:hanging="0"/>
              <w:jc w:val="center"/>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179,905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4,425,625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4,605,530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sz w:val="20"/>
        </w:rPr>
      </w:pPr>
      <w:r>
        <w:rPr>
          <w:rFonts w:ascii="Times New Roman;serif" w:hAnsi="Times New Roman;serif"/>
          <w:b w:val="false"/>
          <w:sz w:val="18"/>
        </w:rPr>
        <w:t>RSUs had a weighted average grant date fair value of $4.16</w:t>
      </w:r>
      <w:r>
        <w:rPr>
          <w:rFonts w:ascii="Times New Roman;serif" w:hAnsi="Times New Roman;serif"/>
          <w:sz w:val="20"/>
        </w:rPr>
        <w:t xml:space="preserve"> </w:t>
      </w:r>
      <w:r>
        <w:rPr>
          <w:rFonts w:ascii="Times New Roman;serif" w:hAnsi="Times New Roman;serif"/>
          <w:b w:val="false"/>
          <w:sz w:val="18"/>
        </w:rPr>
        <w:t>per share, of which 91,900</w:t>
      </w:r>
      <w:r>
        <w:rPr>
          <w:rFonts w:ascii="Times New Roman;serif" w:hAnsi="Times New Roman;serif"/>
          <w:sz w:val="20"/>
        </w:rPr>
        <w:t xml:space="preserve"> </w:t>
      </w:r>
      <w:r>
        <w:rPr>
          <w:rFonts w:ascii="Times New Roman;serif" w:hAnsi="Times New Roman;serif"/>
          <w:b w:val="false"/>
          <w:sz w:val="18"/>
        </w:rPr>
        <w:t>RSUs had a cliff vesting period of three years, 42,000</w:t>
      </w:r>
      <w:r>
        <w:rPr>
          <w:rFonts w:ascii="Times New Roman;serif" w:hAnsi="Times New Roman;serif"/>
          <w:sz w:val="20"/>
        </w:rPr>
        <w:t xml:space="preserve"> </w:t>
      </w:r>
      <w:r>
        <w:rPr>
          <w:rFonts w:ascii="Times New Roman;serif" w:hAnsi="Times New Roman;serif"/>
          <w:b w:val="false"/>
          <w:sz w:val="18"/>
        </w:rPr>
        <w:t>RSUs had a cliff vesting period of two years, and 46,005</w:t>
      </w:r>
      <w:r>
        <w:rPr>
          <w:rFonts w:ascii="Times New Roman;serif" w:hAnsi="Times New Roman;serif"/>
          <w:sz w:val="20"/>
        </w:rPr>
        <w:t xml:space="preserve"> </w:t>
      </w:r>
      <w:r>
        <w:rPr>
          <w:rFonts w:ascii="Times New Roman;serif" w:hAnsi="Times New Roman;serif"/>
          <w:b w:val="false"/>
          <w:sz w:val="18"/>
        </w:rPr>
        <w:t>RSUs had a vesting period of 25% annually over four years.</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spacing w:before="0" w:after="0"/>
        <w:jc w:val="left"/>
        <w:rPr>
          <w:rFonts w:ascii="Times New Roman;serif" w:hAnsi="Times New Roman;serif"/>
          <w:sz w:val="20"/>
        </w:rPr>
      </w:pPr>
      <w:r>
        <w:rPr>
          <w:rFonts w:ascii="Times New Roman;serif" w:hAnsi="Times New Roman;serif"/>
          <w:b w:val="false"/>
          <w:sz w:val="18"/>
        </w:rPr>
        <w:t>RSUs had a weighted average grant date fair value of $4.56</w:t>
      </w:r>
      <w:r>
        <w:rPr>
          <w:rFonts w:ascii="Times New Roman;serif" w:hAnsi="Times New Roman;serif"/>
          <w:sz w:val="20"/>
        </w:rPr>
        <w:t xml:space="preserve"> </w:t>
      </w:r>
      <w:r>
        <w:rPr>
          <w:rFonts w:ascii="Times New Roman;serif" w:hAnsi="Times New Roman;serif"/>
          <w:b w:val="false"/>
          <w:sz w:val="18"/>
        </w:rPr>
        <w:t>per share, of which 2,598,971</w:t>
      </w:r>
      <w:r>
        <w:rPr>
          <w:rFonts w:ascii="Times New Roman;serif" w:hAnsi="Times New Roman;serif"/>
          <w:sz w:val="20"/>
        </w:rPr>
        <w:t xml:space="preserve"> </w:t>
      </w:r>
      <w:r>
        <w:rPr>
          <w:rFonts w:ascii="Times New Roman;serif" w:hAnsi="Times New Roman;serif"/>
          <w:b w:val="false"/>
          <w:sz w:val="18"/>
        </w:rPr>
        <w:t>RSUs had a vesting period of 25% annually over four years, and 61,750</w:t>
      </w:r>
      <w:r>
        <w:rPr>
          <w:rFonts w:ascii="Times New Roman;serif" w:hAnsi="Times New Roman;serif"/>
          <w:sz w:val="20"/>
        </w:rPr>
        <w:t xml:space="preserve"> </w:t>
      </w:r>
      <w:r>
        <w:rPr>
          <w:rFonts w:ascii="Times New Roman;serif" w:hAnsi="Times New Roman;serif"/>
          <w:b w:val="false"/>
          <w:sz w:val="18"/>
        </w:rPr>
        <w:t>RSUs had a cliff vesting period of 3 years.</w:t>
      </w:r>
    </w:p>
    <w:p>
      <w:pPr>
        <w:pStyle w:val="TextBody"/>
        <w:bidi w:val="0"/>
        <w:spacing w:before="0" w:after="0"/>
        <w:jc w:val="left"/>
        <w:rPr>
          <w:rFonts w:ascii="Times New Roman" w:hAnsi="Times New Roman"/>
          <w:b w:val="false"/>
          <w:sz w:val="14"/>
        </w:rPr>
      </w:pPr>
      <w:r>
        <w:rPr>
          <w:rFonts w:ascii="Times New Roman" w:hAnsi="Times New Roman"/>
          <w:b w:val="false"/>
          <w:sz w:val="14"/>
        </w:rPr>
        <w:t>(3)</w:t>
      </w:r>
    </w:p>
    <w:p>
      <w:pPr>
        <w:pStyle w:val="TextBody"/>
        <w:bidi w:val="0"/>
        <w:spacing w:before="0" w:after="0"/>
        <w:jc w:val="left"/>
        <w:rPr>
          <w:rFonts w:ascii="Times New Roman;serif" w:hAnsi="Times New Roman;serif"/>
          <w:sz w:val="20"/>
        </w:rPr>
      </w:pPr>
      <w:r>
        <w:rPr>
          <w:rFonts w:ascii="Times New Roman;serif" w:hAnsi="Times New Roman;serif"/>
          <w:b w:val="false"/>
          <w:sz w:val="18"/>
        </w:rPr>
        <w:t>Market RSUs had a grant date fair value of $9.40</w:t>
      </w:r>
      <w:r>
        <w:rPr>
          <w:rFonts w:ascii="Times New Roman;serif" w:hAnsi="Times New Roman;serif"/>
          <w:sz w:val="20"/>
        </w:rPr>
        <w:t xml:space="preserve"> </w:t>
      </w:r>
      <w:r>
        <w:rPr>
          <w:rFonts w:ascii="Times New Roman;serif" w:hAnsi="Times New Roman;serif"/>
          <w:b w:val="false"/>
          <w:sz w:val="18"/>
        </w:rPr>
        <w:t>per share and will vest on July 15, 2026</w:t>
      </w:r>
      <w:r>
        <w:rPr>
          <w:rFonts w:ascii="Times New Roman;serif" w:hAnsi="Times New Roman;serif"/>
          <w:sz w:val="20"/>
        </w:rPr>
        <w:t xml:space="preserve"> </w:t>
      </w:r>
      <w:r>
        <w:rPr>
          <w:rFonts w:ascii="Times New Roman;serif" w:hAnsi="Times New Roman;serif"/>
          <w:b w:val="false"/>
          <w:sz w:val="18"/>
        </w:rPr>
        <w:t>provided the closing price of the Company’s common stock on June 30, 2026 is not less than the closing price on July 1, 2023. The number of shares delivered on the vesting date is determined by the percentile ranking of MannKind total shareholder return (TSR) over the period from July 1, 2023 until July 30, 2026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pStyle w:val="TextBody"/>
        <w:bidi w:val="0"/>
        <w:spacing w:before="0" w:after="0"/>
        <w:jc w:val="left"/>
        <w:rPr>
          <w:rFonts w:ascii="Times New Roman" w:hAnsi="Times New Roman"/>
          <w:b w:val="false"/>
          <w:sz w:val="14"/>
        </w:rPr>
      </w:pPr>
      <w:r>
        <w:rPr>
          <w:rFonts w:ascii="Times New Roman" w:hAnsi="Times New Roman"/>
          <w:b w:val="false"/>
          <w:sz w:val="14"/>
        </w:rPr>
        <w:t>(4)</w:t>
      </w:r>
    </w:p>
    <w:p>
      <w:pPr>
        <w:pStyle w:val="TextBody"/>
        <w:bidi w:val="0"/>
        <w:jc w:val="left"/>
        <w:rPr>
          <w:rFonts w:ascii="Times New Roman;serif" w:hAnsi="Times New Roman;serif"/>
          <w:sz w:val="20"/>
        </w:rPr>
      </w:pPr>
      <w:r>
        <w:rPr>
          <w:rFonts w:ascii="Times New Roman;serif" w:hAnsi="Times New Roman;serif"/>
          <w:b w:val="false"/>
          <w:sz w:val="18"/>
        </w:rPr>
        <w:t>RSUs had a weighted average grant date fair value of $4.55</w:t>
      </w:r>
      <w:r>
        <w:rPr>
          <w:rFonts w:ascii="Times New Roman;serif" w:hAnsi="Times New Roman;serif"/>
          <w:sz w:val="20"/>
        </w:rPr>
        <w:t xml:space="preserve"> </w:t>
      </w:r>
      <w:r>
        <w:rPr>
          <w:rFonts w:ascii="Times New Roman;serif" w:hAnsi="Times New Roman;serif"/>
          <w:b w:val="false"/>
          <w:sz w:val="18"/>
        </w:rPr>
        <w:t>per share and vested immediately upon the grant date; however, the underlying shares of common stock will not be delivered until there is a separation of service such as resignation, retirement or death.</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unrecognized stock-based compensation expense was $0.2</w:t>
      </w:r>
      <w:r>
        <w:rPr>
          <w:rFonts w:ascii="Times New Roman" w:hAnsi="Times New Roman"/>
          <w:sz w:val="20"/>
        </w:rPr>
        <w:t xml:space="preserve"> </w:t>
      </w:r>
      <w:r>
        <w:rPr>
          <w:rFonts w:ascii="Times New Roman;serif" w:hAnsi="Times New Roman;serif"/>
          <w:b w:val="false"/>
          <w:sz w:val="20"/>
        </w:rPr>
        <w:t>million related to options and PNQs which is expected to be recognized over a weighted average period of 2.93</w:t>
      </w:r>
      <w:r>
        <w:rPr>
          <w:rFonts w:ascii="Times New Roman" w:hAnsi="Times New Roman"/>
          <w:sz w:val="20"/>
        </w:rPr>
        <w:t xml:space="preserve"> </w:t>
      </w:r>
      <w:r>
        <w:rPr>
          <w:rFonts w:ascii="Times New Roman;serif" w:hAnsi="Times New Roman;serif"/>
          <w:b w:val="false"/>
          <w:sz w:val="20"/>
        </w:rPr>
        <w:t>years as well as $24.0</w:t>
      </w:r>
      <w:r>
        <w:rPr>
          <w:rFonts w:ascii="Times New Roman" w:hAnsi="Times New Roman"/>
          <w:sz w:val="20"/>
        </w:rPr>
        <w:t xml:space="preserve"> </w:t>
      </w:r>
      <w:r>
        <w:rPr>
          <w:rFonts w:ascii="Times New Roman;serif" w:hAnsi="Times New Roman;serif"/>
          <w:b w:val="false"/>
          <w:sz w:val="20"/>
        </w:rPr>
        <w:t>million and $20.9</w:t>
      </w:r>
      <w:r>
        <w:rPr>
          <w:rFonts w:ascii="Times New Roman" w:hAnsi="Times New Roman"/>
          <w:sz w:val="20"/>
        </w:rPr>
        <w:t xml:space="preserve"> </w:t>
      </w:r>
      <w:r>
        <w:rPr>
          <w:rFonts w:ascii="Times New Roman;serif" w:hAnsi="Times New Roman;serif"/>
          <w:b w:val="false"/>
          <w:sz w:val="20"/>
        </w:rPr>
        <w:t>million related to RSUs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and Market RSUs, respectively, which is expected to be recognized over weighted average periods of approximately 2.73</w:t>
      </w:r>
      <w:r>
        <w:rPr>
          <w:rFonts w:ascii="Times New Roman" w:hAnsi="Times New Roman"/>
          <w:sz w:val="20"/>
        </w:rPr>
        <w:t xml:space="preserve"> </w:t>
      </w:r>
      <w:r>
        <w:rPr>
          <w:rFonts w:ascii="Times New Roman;serif" w:hAnsi="Times New Roman;serif"/>
          <w:b w:val="false"/>
          <w:sz w:val="20"/>
        </w:rPr>
        <w:t>and 2.07 years, respectively.</w:t>
      </w:r>
      <w:r>
        <w:rPr>
          <w:rFonts w:ascii="Times New Roman" w:hAnsi="Times New Roman"/>
          <w:sz w:val="20"/>
        </w:rPr>
        <w:t xml:space="preserve"> </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Total stock-based compensation expense recognized in the condensed consolidated statements of operations as cost of goods sold, cost of revenue – collaborations and services, R&amp;D, selling and general and administrative expense was as follows (in thousands):</w:t>
      </w:r>
    </w:p>
    <w:tbl>
      <w:tblPr>
        <w:tblW w:w="7137"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211"/>
        <w:gridCol w:w="571"/>
        <w:gridCol w:w="146"/>
        <w:gridCol w:w="146"/>
        <w:gridCol w:w="211"/>
        <w:gridCol w:w="571"/>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and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6,883</w:t>
            </w:r>
          </w:p>
        </w:tc>
        <w:tc>
          <w:tcPr>
            <w:tcW w:w="39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Employee Stock Purchase Plan</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provides all employees, including executive officers, the ability to purchase common stock at a discount under the Company’s 2004 the ESPP. The ESPP is designed to comply with Section 423 of the Internal Revenue Code and provides all employees with the opportunity to purchase up to $25,000</w:t>
      </w:r>
      <w:r>
        <w:rPr>
          <w:rFonts w:ascii="Times New Roman" w:hAnsi="Times New Roman"/>
          <w:sz w:val="20"/>
        </w:rPr>
        <w:t xml:space="preserve"> </w:t>
      </w:r>
      <w:r>
        <w:rPr>
          <w:rFonts w:ascii="Times New Roman;serif" w:hAnsi="Times New Roman;serif"/>
          <w:b w:val="false"/>
          <w:sz w:val="20"/>
        </w:rPr>
        <w:t>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w:t>
      </w:r>
      <w:r>
        <w:rPr>
          <w:rFonts w:ascii="Times New Roman" w:hAnsi="Times New Roman"/>
          <w:sz w:val="20"/>
        </w:rPr>
        <w:t xml:space="preserve"> </w:t>
      </w:r>
      <w:r>
        <w:rPr>
          <w:rFonts w:ascii="Times New Roman;serif" w:hAnsi="Times New Roman;serif"/>
          <w:b w:val="false"/>
          <w:sz w:val="20"/>
        </w:rPr>
        <w:t>shares of common stock on any purchase date. The executives’ rights under the ESPP are the same as those of all other employees.</w:t>
      </w:r>
    </w:p>
    <w:p>
      <w:pPr>
        <w:pStyle w:val="TextBody"/>
        <w:bidi w:val="0"/>
        <w:spacing w:before="240" w:after="0"/>
        <w:jc w:val="left"/>
        <w:rPr>
          <w:rFonts w:ascii="Times New Roman" w:hAnsi="Times New Roman"/>
          <w:sz w:val="20"/>
        </w:rPr>
      </w:pPr>
      <w:r>
        <w:rPr>
          <w:rFonts w:ascii="Times New Roman;serif" w:hAnsi="Times New Roman;serif"/>
          <w:b w:val="false"/>
          <w:sz w:val="20"/>
        </w:rPr>
        <w:t>In May 2023, the Company’s stockholders, upon recommendation of the Company’s board of directors, approved an amendment to the Company’s ESPP to increase the number of shares of common stock authorized for issuance under the ESPP by an additional 3,000,000</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left"/>
        <w:rPr>
          <w:rFonts w:ascii="Times New Roman" w:hAnsi="Times New Roman"/>
          <w:sz w:val="20"/>
        </w:rPr>
      </w:pPr>
      <w:r>
        <w:rPr>
          <w:rFonts w:ascii="Times New Roman;serif" w:hAnsi="Times New Roman;serif"/>
          <w:b w:val="false"/>
          <w:sz w:val="20"/>
        </w:rPr>
        <w:t>There were approximately 3.1</w:t>
      </w:r>
      <w:r>
        <w:rPr>
          <w:rFonts w:ascii="Times New Roman" w:hAnsi="Times New Roman"/>
          <w:sz w:val="20"/>
        </w:rPr>
        <w:t xml:space="preserve"> </w:t>
      </w:r>
      <w:r>
        <w:rPr>
          <w:rFonts w:ascii="Times New Roman;serif" w:hAnsi="Times New Roman;serif"/>
          <w:b w:val="false"/>
          <w:sz w:val="20"/>
        </w:rPr>
        <w:t>million shares of common stock available for issuance under the ESPP as of June 30, 2023.</w:t>
      </w:r>
    </w:p>
    <w:p>
      <w:pPr>
        <w:pStyle w:val="TextBody"/>
        <w:bidi w:val="0"/>
        <w:spacing w:before="360" w:after="0"/>
        <w:jc w:val="left"/>
        <w:rPr>
          <w:rFonts w:ascii="Times New Roman" w:hAnsi="Times New Roman"/>
          <w:sz w:val="20"/>
        </w:rPr>
      </w:pPr>
      <w:r>
        <w:rPr>
          <w:rFonts w:ascii="Times New Roman;serif" w:hAnsi="Times New Roman;serif"/>
          <w:b/>
          <w:sz w:val="20"/>
        </w:rPr>
        <w:t>15.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Guarantees and Indemnifications </w:t>
      </w:r>
      <w:r>
        <w:rPr>
          <w:rFonts w:ascii="Times New Roman" w:hAnsi="Times New Roman"/>
          <w:sz w:val="20"/>
        </w:rPr>
        <w:t xml:space="preserve">— </w:t>
      </w:r>
      <w:r>
        <w:rPr>
          <w:rFonts w:ascii="Times New Roman;serif" w:hAnsi="Times New Roman;serif"/>
          <w:b w:val="false"/>
          <w:sz w:val="20"/>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Litigation </w:t>
      </w:r>
      <w:r>
        <w:rPr>
          <w:rFonts w:ascii="Times New Roman" w:hAnsi="Times New Roman"/>
          <w:sz w:val="20"/>
        </w:rPr>
        <w:t xml:space="preserve">— </w:t>
      </w:r>
      <w:r>
        <w:rPr>
          <w:rFonts w:ascii="Times New Roman;serif" w:hAnsi="Times New Roman;serif"/>
          <w:b w:val="false"/>
          <w:sz w:val="20"/>
        </w:rPr>
        <w:t>The Company is subject to legal proceedings and claims which arise in the ordinary course of its business. As of June 30, 2023, the Company believes that the final disposition of such matters will not have a material adverse effect on the results of operations, financial position,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Contingencies </w:t>
      </w:r>
      <w:r>
        <w:rPr>
          <w:rFonts w:ascii="Times New Roman" w:hAnsi="Times New Roman"/>
          <w:sz w:val="20"/>
        </w:rPr>
        <w:t xml:space="preserve">— </w:t>
      </w:r>
      <w:r>
        <w:rPr>
          <w:rFonts w:ascii="Times New Roman;serif" w:hAnsi="Times New Roman;serif"/>
          <w:b w:val="false"/>
          <w:sz w:val="20"/>
        </w:rPr>
        <w:t>In July 2013, the Company entered into the Milestone Rights Agreement with the Original Milestone Purchasers, pursuant to which the Company granted the Milestone Rights to receive payments up to $90.0</w:t>
      </w:r>
      <w:r>
        <w:rPr>
          <w:rFonts w:ascii="Times New Roman" w:hAnsi="Times New Roman"/>
          <w:sz w:val="20"/>
        </w:rPr>
        <w:t xml:space="preserve"> </w:t>
      </w:r>
      <w:r>
        <w:rPr>
          <w:rFonts w:ascii="Times New Roman;serif" w:hAnsi="Times New Roman;serif"/>
          <w:b w:val="false"/>
          <w:sz w:val="20"/>
        </w:rPr>
        <w:t>million upon the occurrence of specified strategic and sales milestones, $60.0</w:t>
      </w:r>
      <w:r>
        <w:rPr>
          <w:rFonts w:ascii="Times New Roman" w:hAnsi="Times New Roman"/>
          <w:sz w:val="20"/>
        </w:rPr>
        <w:t xml:space="preserve"> </w:t>
      </w:r>
      <w:r>
        <w:rPr>
          <w:rFonts w:ascii="Times New Roman;serif" w:hAnsi="Times New Roman;serif"/>
          <w:b w:val="false"/>
          <w:sz w:val="20"/>
        </w:rPr>
        <w:t xml:space="preserve">million of which remains payable to the Milestone Purchasers upon achievement of such milestones (see Note 9 – </w:t>
      </w:r>
      <w:r>
        <w:rPr>
          <w:rFonts w:ascii="Times New Roman;serif" w:hAnsi="Times New Roman;serif"/>
          <w:b w:val="false"/>
          <w:i/>
          <w:sz w:val="20"/>
        </w:rPr>
        <w:t>Borrowings</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i/>
          <w:sz w:val="20"/>
        </w:rPr>
        <w:t>Sale-Leaseback Transaction</w:t>
      </w:r>
      <w:r>
        <w:rPr>
          <w:rFonts w:ascii="Times New Roman" w:hAnsi="Times New Roman"/>
          <w:sz w:val="20"/>
        </w:rPr>
        <w:t xml:space="preserve">— </w:t>
      </w:r>
      <w:r>
        <w:rPr>
          <w:rFonts w:ascii="Times New Roman;serif" w:hAnsi="Times New Roman;serif"/>
          <w:b w:val="false"/>
          <w:sz w:val="20"/>
        </w:rPr>
        <w:t>In November 2021, the Company sold the Property to the Purchaser for a sales price of $102.3</w:t>
      </w:r>
      <w:r>
        <w:rPr>
          <w:rFonts w:ascii="Times New Roman" w:hAnsi="Times New Roman"/>
          <w:sz w:val="20"/>
        </w:rPr>
        <w:t xml:space="preserve"> </w:t>
      </w:r>
      <w:r>
        <w:rPr>
          <w:rFonts w:ascii="Times New Roman;serif" w:hAnsi="Times New Roman;serif"/>
          <w:b w:val="false"/>
          <w:sz w:val="20"/>
        </w:rPr>
        <w:t>million, subject to terms and the conditions contained in a purchase and sale agreement.</w:t>
      </w:r>
    </w:p>
    <w:p>
      <w:pPr>
        <w:pStyle w:val="TextBody"/>
        <w:bidi w:val="0"/>
        <w:spacing w:before="240" w:after="0"/>
        <w:jc w:val="left"/>
        <w:rPr>
          <w:rFonts w:ascii="Times New Roman" w:hAnsi="Times New Roman"/>
          <w:sz w:val="20"/>
        </w:rPr>
      </w:pPr>
      <w:r>
        <w:rPr>
          <w:rFonts w:ascii="Times New Roman;serif" w:hAnsi="Times New Roman;serif"/>
          <w:b w:val="false"/>
          <w:sz w:val="20"/>
        </w:rPr>
        <w:t>Effective with the closing of the Sale-Leaseback Transaction, the Company and the Purchaser entered into a lease agreement (the “Lease”), pursuant to which the Company leased the Property from the Purchaser for an initial term of 20</w:t>
      </w:r>
      <w:r>
        <w:rPr>
          <w:rFonts w:ascii="Times New Roman" w:hAnsi="Times New Roman"/>
          <w:sz w:val="20"/>
        </w:rPr>
        <w:t xml:space="preserve"> </w:t>
      </w:r>
      <w:r>
        <w:rPr>
          <w:rFonts w:ascii="Times New Roman;serif" w:hAnsi="Times New Roman;serif"/>
          <w:b w:val="false"/>
          <w:sz w:val="20"/>
        </w:rPr>
        <w:t>years, with four renewal options of five years</w:t>
      </w:r>
      <w:r>
        <w:rPr>
          <w:rFonts w:ascii="Times New Roman" w:hAnsi="Times New Roman"/>
          <w:sz w:val="20"/>
        </w:rPr>
        <w:t xml:space="preserve"> </w:t>
      </w:r>
      <w:r>
        <w:rPr>
          <w:rFonts w:ascii="Times New Roman;serif" w:hAnsi="Times New Roman;serif"/>
          <w:b w:val="false"/>
          <w:sz w:val="20"/>
        </w:rPr>
        <w:t>each. The total annual rent under the Lease starts at approximately $9.5</w:t>
      </w:r>
      <w:r>
        <w:rPr>
          <w:rFonts w:ascii="Times New Roman;serif" w:hAnsi="Times New Roman;serif"/>
          <w:sz w:val="20"/>
        </w:rPr>
        <w:t xml:space="preserve"> </w:t>
      </w:r>
      <w:r>
        <w:rPr>
          <w:rFonts w:ascii="Times New Roman;serif" w:hAnsi="Times New Roman;serif"/>
          <w:b w:val="false"/>
          <w:sz w:val="20"/>
        </w:rPr>
        <w:t xml:space="preserve">million per year, subject to a 50% rent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abatement during the first year of the Lease, and will increase annually by (i) 2.5% in the second through fifth year of the Lease and (ii) 3% in the sixth and each subsequent year of the Lease, including any renewal term.</w:t>
      </w:r>
      <w:r>
        <w:rPr>
          <w:rFonts w:ascii="Times New Roman" w:hAnsi="Times New Roman"/>
          <w:sz w:val="20"/>
        </w:rPr>
        <w:t xml:space="preserve"> </w:t>
      </w:r>
      <w:r>
        <w:rPr>
          <w:rFonts w:ascii="Times New Roman;serif" w:hAnsi="Times New Roman;serif"/>
          <w:b w:val="false"/>
          <w:sz w:val="20"/>
        </w:rPr>
        <w:t>The Company is responsible for payment of operating expenses, property taxes and insurance for the Property. The Purchaser will hold a security deposit of $2.0</w:t>
      </w:r>
      <w:r>
        <w:rPr>
          <w:rFonts w:ascii="Times New Roman" w:hAnsi="Times New Roman"/>
          <w:sz w:val="20"/>
        </w:rPr>
        <w:t xml:space="preserve"> </w:t>
      </w:r>
      <w:r>
        <w:rPr>
          <w:rFonts w:ascii="Times New Roman;serif" w:hAnsi="Times New Roman;serif"/>
          <w:b w:val="false"/>
          <w:sz w:val="20"/>
        </w:rPr>
        <w:t>million during the Lease term. Pursuant to the terms of the Lease, the Company has four options to repurchase the Property, in 2026, 2031, 2036 and 2041, for the greater of (i) $102.3</w:t>
      </w:r>
      <w:r>
        <w:rPr>
          <w:rFonts w:ascii="Times New Roman;serif" w:hAnsi="Times New Roman;serif"/>
          <w:sz w:val="20"/>
        </w:rPr>
        <w:t xml:space="preserve"> </w:t>
      </w:r>
      <w:r>
        <w:rPr>
          <w:rFonts w:ascii="Times New Roman;serif" w:hAnsi="Times New Roman;serif"/>
          <w:b w:val="false"/>
          <w:sz w:val="20"/>
        </w:rPr>
        <w:t>million and (ii) the fair market value of the Property.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related</w:t>
      </w:r>
      <w:r>
        <w:rPr>
          <w:rFonts w:ascii="Times New Roman" w:hAnsi="Times New Roman"/>
          <w:sz w:val="20"/>
        </w:rPr>
        <w:t xml:space="preserve"> </w:t>
      </w:r>
      <w:r>
        <w:rPr>
          <w:rFonts w:ascii="Times New Roman;serif" w:hAnsi="Times New Roman;serif"/>
          <w:b w:val="false"/>
          <w:sz w:val="20"/>
        </w:rPr>
        <w:t>financing liability was $104.1</w:t>
      </w:r>
      <w:r>
        <w:rPr>
          <w:rFonts w:ascii="Times New Roman" w:hAnsi="Times New Roman"/>
          <w:sz w:val="20"/>
        </w:rPr>
        <w:t xml:space="preserve"> </w:t>
      </w:r>
      <w:r>
        <w:rPr>
          <w:rFonts w:ascii="Times New Roman;serif" w:hAnsi="Times New Roman;serif"/>
          <w:b w:val="false"/>
          <w:sz w:val="20"/>
        </w:rPr>
        <w:t>million, which was recognized in the condensed consolidated balance sheet and of which $94.4</w:t>
      </w:r>
      <w:r>
        <w:rPr>
          <w:rFonts w:ascii="Times New Roman" w:hAnsi="Times New Roman"/>
          <w:sz w:val="20"/>
        </w:rPr>
        <w:t xml:space="preserve"> </w:t>
      </w:r>
      <w:r>
        <w:rPr>
          <w:rFonts w:ascii="Times New Roman;serif" w:hAnsi="Times New Roman;serif"/>
          <w:b w:val="false"/>
          <w:sz w:val="20"/>
        </w:rPr>
        <w:t>million was long-term and $9.7</w:t>
      </w:r>
      <w:r>
        <w:rPr>
          <w:rFonts w:ascii="Times New Roman" w:hAnsi="Times New Roman"/>
          <w:sz w:val="20"/>
        </w:rPr>
        <w:t xml:space="preserve"> </w:t>
      </w:r>
      <w:r>
        <w:rPr>
          <w:rFonts w:ascii="Times New Roman;serif" w:hAnsi="Times New Roman;serif"/>
          <w:b w:val="false"/>
          <w:sz w:val="20"/>
        </w:rPr>
        <w:t>million was current. As of December 31, 2022, the related financing liability was $104.1</w:t>
      </w:r>
      <w:r>
        <w:rPr>
          <w:rFonts w:ascii="Times New Roman" w:hAnsi="Times New Roman"/>
          <w:sz w:val="20"/>
        </w:rPr>
        <w:t xml:space="preserve"> </w:t>
      </w:r>
      <w:r>
        <w:rPr>
          <w:rFonts w:ascii="Times New Roman;serif" w:hAnsi="Times New Roman;serif"/>
          <w:b w:val="false"/>
          <w:sz w:val="20"/>
        </w:rPr>
        <w:t>million, of which $94.5</w:t>
      </w:r>
      <w:r>
        <w:rPr>
          <w:rFonts w:ascii="Times New Roman" w:hAnsi="Times New Roman"/>
          <w:sz w:val="20"/>
        </w:rPr>
        <w:t xml:space="preserve"> </w:t>
      </w:r>
      <w:r>
        <w:rPr>
          <w:rFonts w:ascii="Times New Roman;serif" w:hAnsi="Times New Roman;serif"/>
          <w:b w:val="false"/>
          <w:sz w:val="20"/>
        </w:rPr>
        <w:t>million was long-term and $9.6</w:t>
      </w:r>
      <w:r>
        <w:rPr>
          <w:rFonts w:ascii="Times New Roman" w:hAnsi="Times New Roman"/>
          <w:sz w:val="20"/>
        </w:rPr>
        <w:t xml:space="preserve"> </w:t>
      </w:r>
      <w:r>
        <w:rPr>
          <w:rFonts w:ascii="Times New Roman;serif" w:hAnsi="Times New Roman;serif"/>
          <w:b w:val="false"/>
          <w:sz w:val="20"/>
        </w:rPr>
        <w:t>million was current.</w:t>
      </w:r>
    </w:p>
    <w:p>
      <w:pPr>
        <w:pStyle w:val="TextBody"/>
        <w:bidi w:val="0"/>
        <w:spacing w:before="240" w:after="240"/>
        <w:jc w:val="left"/>
        <w:rPr>
          <w:rFonts w:ascii="Times New Roman" w:hAnsi="Times New Roman"/>
          <w:sz w:val="20"/>
        </w:rPr>
      </w:pPr>
      <w:r>
        <w:rPr>
          <w:rFonts w:ascii="Times New Roman;serif" w:hAnsi="Times New Roman;serif"/>
          <w:b w:val="false"/>
          <w:sz w:val="20"/>
        </w:rPr>
        <w:t>Financing liability information was as follows:</w:t>
      </w:r>
      <w:r>
        <w:rPr>
          <w:rFonts w:ascii="Times New Roman" w:hAnsi="Times New Roman"/>
          <w:sz w:val="20"/>
        </w:rPr>
        <w:t xml:space="preserve"> </w:t>
      </w:r>
    </w:p>
    <w:tbl>
      <w:tblPr>
        <w:tblW w:w="7615" w:type="dxa"/>
        <w:jc w:val="left"/>
        <w:tblInd w:w="0" w:type="dxa"/>
        <w:tblLayout w:type="fixed"/>
        <w:tblCellMar>
          <w:top w:w="28" w:type="dxa"/>
          <w:left w:w="28" w:type="dxa"/>
          <w:bottom w:w="28" w:type="dxa"/>
          <w:right w:w="28" w:type="dxa"/>
        </w:tblCellMar>
      </w:tblPr>
      <w:tblGrid>
        <w:gridCol w:w="4111"/>
        <w:gridCol w:w="146"/>
        <w:gridCol w:w="268"/>
        <w:gridCol w:w="857"/>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pPr>
      <w:r>
        <w:rPr/>
        <w:t> </w:t>
      </w:r>
    </w:p>
    <w:tbl>
      <w:tblPr>
        <w:tblW w:w="7552"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46"/>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on financing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Company's remaining financing liability payments were as follows (in thousands):</w:t>
      </w:r>
    </w:p>
    <w:tbl>
      <w:tblPr>
        <w:tblW w:w="3748" w:type="dxa"/>
        <w:jc w:val="left"/>
        <w:tblInd w:w="0" w:type="dxa"/>
        <w:tblLayout w:type="fixed"/>
        <w:tblCellMar>
          <w:top w:w="28" w:type="dxa"/>
          <w:left w:w="28" w:type="dxa"/>
          <w:bottom w:w="28" w:type="dxa"/>
          <w:right w:w="28" w:type="dxa"/>
        </w:tblCellMar>
      </w:tblPr>
      <w:tblGrid>
        <w:gridCol w:w="2086"/>
        <w:gridCol w:w="146"/>
        <w:gridCol w:w="225"/>
        <w:gridCol w:w="900"/>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4,906</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10,018</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10,269</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10,533</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10,849</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188,453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235,028</w:t>
            </w:r>
          </w:p>
        </w:tc>
        <w:tc>
          <w:tcPr>
            <w:tcW w:w="3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payments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(128,166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Debt issuance costs</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financing liability</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104,081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Commitments </w:t>
      </w:r>
      <w:r>
        <w:rPr>
          <w:rFonts w:ascii="Times New Roman" w:hAnsi="Times New Roman"/>
          <w:sz w:val="20"/>
        </w:rPr>
        <w:t xml:space="preserve">— </w:t>
      </w:r>
      <w:r>
        <w:rPr>
          <w:rFonts w:ascii="Times New Roman;serif" w:hAnsi="Times New Roman;serif"/>
          <w:b w:val="false"/>
          <w:sz w:val="20"/>
        </w:rPr>
        <w:t>In July 2014, the Company entered into the Insulin Supply Agreement with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In May 2021, the Company and Amphastar amended the Insulin Supply Agreement to extend the term and restructure the annual purchase commitments. The Company's remaining purchase commitments were as follows (€ in millions):</w:t>
      </w:r>
    </w:p>
    <w:tbl>
      <w:tblPr>
        <w:tblW w:w="2003" w:type="dxa"/>
        <w:jc w:val="left"/>
        <w:tblInd w:w="0" w:type="dxa"/>
        <w:tblLayout w:type="fixed"/>
        <w:tblCellMar>
          <w:top w:w="28" w:type="dxa"/>
          <w:left w:w="28" w:type="dxa"/>
          <w:bottom w:w="28" w:type="dxa"/>
          <w:right w:w="28" w:type="dxa"/>
        </w:tblCellMar>
      </w:tblPr>
      <w:tblGrid>
        <w:gridCol w:w="541"/>
        <w:gridCol w:w="146"/>
        <w:gridCol w:w="268"/>
        <w:gridCol w:w="857"/>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Pursuant to the amendment, the term of the Insulin Supply Agreement expires on December 31, 2027, unless terminated earlier, and can be renewed for additional, successive two-year</w:t>
      </w:r>
      <w:r>
        <w:rPr>
          <w:rFonts w:ascii="Times New Roman" w:hAnsi="Times New Roman"/>
          <w:sz w:val="20"/>
        </w:rPr>
        <w:t xml:space="preserve"> </w:t>
      </w:r>
      <w:r>
        <w:rPr>
          <w:rFonts w:ascii="Times New Roman;serif" w:hAnsi="Times New Roman;serif"/>
          <w:b w:val="false"/>
          <w:sz w:val="20"/>
        </w:rPr>
        <w:t>terms upon 12 months’ written notice given prior to the end of the initial term or any additional two-year term. The Company and Amphastar each have normal and customary termination rights, including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Vehicle Leases </w:t>
      </w:r>
      <w:r>
        <w:rPr>
          <w:rFonts w:ascii="Times New Roman" w:hAnsi="Times New Roman"/>
          <w:sz w:val="20"/>
        </w:rPr>
        <w:t xml:space="preserve">— </w:t>
      </w:r>
      <w:r>
        <w:rPr>
          <w:rFonts w:ascii="Times New Roman;serif" w:hAnsi="Times New Roman;serif"/>
          <w:b w:val="false"/>
          <w:sz w:val="20"/>
        </w:rPr>
        <w:t>During the second quarter of 2018, the Company entered into a master lease agreement with Enterprise Fleet Management Inc. The monthly payment inclusive of maintenance fees, insurance and taxes is approximately $0.1</w:t>
      </w:r>
      <w:r>
        <w:rPr>
          <w:rFonts w:ascii="Times New Roman" w:hAnsi="Times New Roman"/>
          <w:sz w:val="20"/>
        </w:rPr>
        <w:t xml:space="preserve"> </w:t>
      </w:r>
      <w:r>
        <w:rPr>
          <w:rFonts w:ascii="Times New Roman;serif" w:hAnsi="Times New Roman;serif"/>
          <w:b w:val="false"/>
          <w:sz w:val="20"/>
        </w:rPr>
        <w:t>million. The lease expense is included in selling expenses in the condensed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i/>
          <w:sz w:val="20"/>
        </w:rPr>
        <w:t>Office Leases</w:t>
      </w:r>
      <w:r>
        <w:rPr>
          <w:rFonts w:ascii="Times New Roman" w:hAnsi="Times New Roman"/>
          <w:sz w:val="20"/>
        </w:rPr>
        <w:t xml:space="preserve"> — </w:t>
      </w:r>
      <w:r>
        <w:rPr>
          <w:rFonts w:ascii="Times New Roman;serif" w:hAnsi="Times New Roman;serif"/>
          <w:b w:val="false"/>
          <w:sz w:val="20"/>
        </w:rPr>
        <w:t>In May 2017, the Company executed an office lease with Russell Ranch Road II LLC for the Company’s corporate offices in Westlake Village, California, which was renewed in April 2022. Pursuant to the renewal, the monthly payments of $79,543</w:t>
      </w:r>
      <w:r>
        <w:rPr>
          <w:rFonts w:ascii="Times New Roman" w:hAnsi="Times New Roman"/>
          <w:sz w:val="20"/>
        </w:rPr>
        <w:t xml:space="preserve"> </w:t>
      </w:r>
      <w:r>
        <w:rPr>
          <w:rFonts w:ascii="Times New Roman;serif" w:hAnsi="Times New Roman;serif"/>
          <w:b w:val="false"/>
          <w:sz w:val="20"/>
        </w:rPr>
        <w:t>began in February 2023, subject to 3% annual increases, plus the estimated cost of maintaining the property and common areas by the landlord, and further subject to a six-month base rent concession beginning February 2023. The Company is also entitled to a one-time allowance up to $0.9</w:t>
      </w:r>
      <w:r>
        <w:rPr>
          <w:rFonts w:ascii="Times New Roman" w:hAnsi="Times New Roman"/>
          <w:sz w:val="20"/>
        </w:rPr>
        <w:t xml:space="preserve"> </w:t>
      </w:r>
      <w:r>
        <w:rPr>
          <w:rFonts w:ascii="Times New Roman;serif" w:hAnsi="Times New Roman;serif"/>
          <w:b w:val="false"/>
          <w:sz w:val="20"/>
        </w:rPr>
        <w:t>million as reimbursement for tenant improvements or the purchase of furniture, fixtures or equipment. Of the $0.9</w:t>
      </w:r>
      <w:r>
        <w:rPr>
          <w:rFonts w:ascii="Times New Roman" w:hAnsi="Times New Roman"/>
          <w:sz w:val="20"/>
        </w:rPr>
        <w:t xml:space="preserve"> </w:t>
      </w:r>
      <w:r>
        <w:rPr>
          <w:rFonts w:ascii="Times New Roman;serif" w:hAnsi="Times New Roman;serif"/>
          <w:b w:val="false"/>
          <w:sz w:val="20"/>
        </w:rPr>
        <w:t>million allowance, an amount up to $0.7</w:t>
      </w:r>
      <w:r>
        <w:rPr>
          <w:rFonts w:ascii="Times New Roman" w:hAnsi="Times New Roman"/>
          <w:sz w:val="20"/>
        </w:rPr>
        <w:t xml:space="preserve"> </w:t>
      </w:r>
      <w:r>
        <w:rPr>
          <w:rFonts w:ascii="Times New Roman;serif" w:hAnsi="Times New Roman;serif"/>
          <w:b w:val="false"/>
          <w:sz w:val="20"/>
        </w:rPr>
        <w:t>million may be applied as an additional base rent concession.</w:t>
      </w:r>
      <w:r>
        <w:rPr>
          <w:rFonts w:ascii="Times New Roman" w:hAnsi="Times New Roman"/>
          <w:sz w:val="20"/>
        </w:rPr>
        <w:t xml:space="preserve"> </w:t>
      </w:r>
      <w:r>
        <w:rPr>
          <w:rFonts w:ascii="Times New Roman;serif" w:hAnsi="Times New Roman;serif"/>
          <w:b w:val="false"/>
          <w:sz w:val="20"/>
        </w:rPr>
        <w:t>The Company has no further right to extend the lease term beyond July 31, 2028.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May 2022, the Company assumed certain leased real property (the “Marlborough Lease”) in connection with the V-Go acquisition. The Marlborough Lease pertains to certain premises in a building located in Marlborough, Massachusetts. The monthly payments of $28,895</w:t>
      </w:r>
      <w:r>
        <w:rPr>
          <w:rFonts w:ascii="Times New Roman" w:hAnsi="Times New Roman"/>
          <w:sz w:val="20"/>
        </w:rPr>
        <w:t xml:space="preserve"> </w:t>
      </w:r>
      <w:r>
        <w:rPr>
          <w:rFonts w:ascii="Times New Roman;serif" w:hAnsi="Times New Roman;serif"/>
          <w:b w:val="false"/>
          <w:sz w:val="20"/>
        </w:rPr>
        <w:t>began in June 2022, subject to approximately 3% annual increases through February 28, 2026.</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w:t>
      </w:r>
      <w:r>
        <w:rPr>
          <w:rFonts w:ascii="Times New Roman" w:hAnsi="Times New Roman"/>
          <w:sz w:val="20"/>
        </w:rPr>
        <w:t xml:space="preserve"> </w:t>
      </w:r>
      <w:r>
        <w:rPr>
          <w:rFonts w:ascii="Times New Roman;serif" w:hAnsi="Times New Roman;serif"/>
          <w:b w:val="false"/>
          <w:sz w:val="20"/>
        </w:rPr>
        <w:t>per month through February 28, 2026.</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Lease information was as follows (in thousands):</w:t>
      </w:r>
    </w:p>
    <w:tbl>
      <w:tblPr>
        <w:tblW w:w="7615" w:type="dxa"/>
        <w:jc w:val="left"/>
        <w:tblInd w:w="0" w:type="dxa"/>
        <w:tblLayout w:type="fixed"/>
        <w:tblCellMar>
          <w:top w:w="28" w:type="dxa"/>
          <w:left w:w="28" w:type="dxa"/>
          <w:bottom w:w="28" w:type="dxa"/>
          <w:right w:w="28" w:type="dxa"/>
        </w:tblCellMar>
      </w:tblPr>
      <w:tblGrid>
        <w:gridCol w:w="4111"/>
        <w:gridCol w:w="146"/>
        <w:gridCol w:w="303"/>
        <w:gridCol w:w="822"/>
        <w:gridCol w:w="271"/>
        <w:gridCol w:w="146"/>
        <w:gridCol w:w="403"/>
        <w:gridCol w:w="1097"/>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Operating lease right-of-use assets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6,714</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Operating lease liability-current</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liability-long-term</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1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10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6,647</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Operating right-of-use assets related to vehicles, offices and the manufacturing facility are included in other assets in the condensed consolidated balance sheets.</w:t>
      </w:r>
    </w:p>
    <w:p>
      <w:pPr>
        <w:pStyle w:val="TextBody"/>
        <w:bidi w:val="0"/>
        <w:spacing w:before="0" w:after="240"/>
        <w:jc w:val="left"/>
        <w:rPr>
          <w:rFonts w:ascii="Times New Roman" w:hAnsi="Times New Roman"/>
          <w:b w:val="false"/>
          <w:sz w:val="14"/>
        </w:rPr>
      </w:pPr>
      <w:r>
        <w:rPr>
          <w:rFonts w:ascii="Times New Roman" w:hAnsi="Times New Roman"/>
          <w:b w:val="false"/>
          <w:sz w:val="14"/>
        </w:rPr>
        <w:t>(2)</w:t>
      </w:r>
    </w:p>
    <w:p>
      <w:pPr>
        <w:pStyle w:val="TextBody"/>
        <w:bidi w:val="0"/>
        <w:spacing w:before="0" w:after="240"/>
        <w:jc w:val="left"/>
        <w:rPr>
          <w:rFonts w:ascii="Times New Roman;serif" w:hAnsi="Times New Roman;serif"/>
          <w:b w:val="false"/>
          <w:sz w:val="18"/>
        </w:rPr>
      </w:pPr>
      <w:r>
        <w:rPr>
          <w:rFonts w:ascii="Times New Roman;serif" w:hAnsi="Times New Roman;serif"/>
          <w:b w:val="false"/>
          <w:sz w:val="18"/>
        </w:rPr>
        <w:t>Operating lease liability – current are included in accrued expenses and other current liabilities in the condensed consolidated balance sheets.</w:t>
      </w:r>
    </w:p>
    <w:tbl>
      <w:tblPr>
        <w:tblW w:w="5507" w:type="dxa"/>
        <w:jc w:val="left"/>
        <w:tblInd w:w="0" w:type="dxa"/>
        <w:tblLayout w:type="fixed"/>
        <w:tblCellMar>
          <w:top w:w="28" w:type="dxa"/>
          <w:left w:w="28" w:type="dxa"/>
          <w:bottom w:w="28" w:type="dxa"/>
          <w:right w:w="28" w:type="dxa"/>
        </w:tblCellMar>
      </w:tblPr>
      <w:tblGrid>
        <w:gridCol w:w="1831"/>
        <w:gridCol w:w="146"/>
        <w:gridCol w:w="211"/>
        <w:gridCol w:w="421"/>
        <w:gridCol w:w="146"/>
        <w:gridCol w:w="146"/>
        <w:gridCol w:w="211"/>
        <w:gridCol w:w="421"/>
        <w:gridCol w:w="146"/>
        <w:gridCol w:w="146"/>
        <w:gridCol w:w="211"/>
        <w:gridCol w:w="421"/>
        <w:gridCol w:w="146"/>
        <w:gridCol w:w="146"/>
        <w:gridCol w:w="146"/>
        <w:gridCol w:w="42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Company's future minimum office and vehicle lease payments were as follows (in thousands):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tbl>
      <w:tblPr>
        <w:tblW w:w="4198" w:type="dxa"/>
        <w:jc w:val="left"/>
        <w:tblInd w:w="0" w:type="dxa"/>
        <w:tblLayout w:type="fixed"/>
        <w:tblCellMar>
          <w:top w:w="28" w:type="dxa"/>
          <w:left w:w="28" w:type="dxa"/>
          <w:bottom w:w="28" w:type="dxa"/>
          <w:right w:w="28" w:type="dxa"/>
        </w:tblCellMar>
      </w:tblPr>
      <w:tblGrid>
        <w:gridCol w:w="2536"/>
        <w:gridCol w:w="146"/>
        <w:gridCol w:w="282"/>
        <w:gridCol w:w="843"/>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3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w:t>
            </w:r>
          </w:p>
        </w:tc>
        <w:tc>
          <w:tcPr>
            <w:tcW w:w="3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1,861</w:t>
            </w:r>
          </w:p>
        </w:tc>
        <w:tc>
          <w:tcPr>
            <w:tcW w:w="3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1,140</w:t>
            </w:r>
          </w:p>
        </w:tc>
        <w:tc>
          <w:tcPr>
            <w:tcW w:w="3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1,072</w:t>
            </w:r>
          </w:p>
        </w:tc>
        <w:tc>
          <w:tcPr>
            <w:tcW w:w="3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3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liability</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16. Income Taxes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six months ended June 30, 2023, the Company did not recognize any interest or penalties. The Company’s tax years since 2018 remain subject to examination by tax authorities.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2022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we had an accumulated deficit of $3.2 billion and a stockholders’ deficit of $260.5 million. We had a net loss of $5.3 million and $15.1 million for the three and six months ended June 30, 2023,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as well as from proceeds of the sale-leaseback of our manufacturing facility in Danbury, CT.</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critical accounting policies and estimates can be found in Item 7. Management’s Discussion and Analysis of Financial Condition and Results of Operations in our Annual Report. See Note 1 – </w:t>
      </w:r>
      <w:r>
        <w:rPr>
          <w:rFonts w:ascii="Times New Roman;serif" w:hAnsi="Times New Roman;serif"/>
          <w:b w:val="false"/>
          <w:i/>
          <w:sz w:val="20"/>
        </w:rPr>
        <w:t>Description of Business and Significant Accounting Policies</w:t>
      </w:r>
      <w:r>
        <w:rPr>
          <w:rFonts w:ascii="Times New Roman" w:hAnsi="Times New Roman"/>
          <w:sz w:val="20"/>
        </w:rPr>
        <w:t xml:space="preserve"> </w:t>
      </w:r>
      <w:r>
        <w:rPr>
          <w:rFonts w:ascii="Times New Roman;serif" w:hAnsi="Times New Roman;serif"/>
          <w:b w:val="false"/>
          <w:sz w:val="20"/>
        </w:rPr>
        <w:t>in the condensed consolidated financial statements included in Part I – Financial Statements (Unaudited) for descriptions of the new accounting policies and impact of adoption.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Trends and Uncertainties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collaborative agreement with UT entitles us to receive low double-digit royalties on net sales of Tyvaso DPI. Our royalty revenue continues to increase, which reflects the upward trend in demand for Tyvaso DPI in the marketplace.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continue to maintain an elevated level of safety stock of certain raw materials due to concerns that supply chain interruptions may interfere with the manufacture of Afrezza, V-Go and Tyvaso DPI.</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Manufacturing risks may adversely affect our ability to manufacture our products and could reduce our gross margin or impact our collaboration with UT.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360" w:after="0"/>
        <w:jc w:val="left"/>
        <w:rPr>
          <w:rFonts w:ascii="Times New Roman;serif" w:hAnsi="Times New Roman;serif"/>
          <w:b/>
          <w:sz w:val="20"/>
        </w:rPr>
      </w:pPr>
      <w:r>
        <w:rPr>
          <w:rFonts w:ascii="Times New Roman;serif" w:hAnsi="Times New Roman;serif"/>
          <w:b/>
          <w:sz w:val="20"/>
        </w:rPr>
        <w:t>Three and six months ended June 30, 2023 and 2022</w:t>
      </w:r>
    </w:p>
    <w:p>
      <w:pPr>
        <w:pStyle w:val="TextBody"/>
        <w:bidi w:val="0"/>
        <w:spacing w:before="120" w:after="0"/>
        <w:jc w:val="left"/>
        <w:rPr>
          <w:rFonts w:ascii="Times New Roman" w:hAnsi="Times New Roman"/>
          <w:sz w:val="20"/>
        </w:rPr>
      </w:pPr>
      <w:r>
        <w:rPr>
          <w:rFonts w:ascii="Times New Roman;serif" w:hAnsi="Times New Roman;serif"/>
          <w:b/>
          <w:sz w:val="20"/>
        </w:rPr>
        <w:t>Revenues</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The following table provides a comparison of the revenue categories for the three and six months ended June 30, 2023 and 2022 (dollars in thousands):</w:t>
      </w:r>
      <w:r>
        <w:rPr>
          <w:rFonts w:ascii="Times New Roman" w:hAnsi="Times New Roman"/>
          <w:sz w:val="20"/>
        </w:rPr>
        <w:t xml:space="preserve"> </w:t>
      </w:r>
    </w:p>
    <w:tbl>
      <w:tblPr>
        <w:tblW w:w="9391" w:type="dxa"/>
        <w:jc w:val="left"/>
        <w:tblInd w:w="0" w:type="dxa"/>
        <w:tblLayout w:type="fixed"/>
        <w:tblCellMar>
          <w:top w:w="28" w:type="dxa"/>
          <w:left w:w="28" w:type="dxa"/>
          <w:bottom w:w="28" w:type="dxa"/>
          <w:right w:w="28" w:type="dxa"/>
        </w:tblCellMar>
      </w:tblPr>
      <w:tblGrid>
        <w:gridCol w:w="3871"/>
        <w:gridCol w:w="146"/>
        <w:gridCol w:w="211"/>
        <w:gridCol w:w="676"/>
        <w:gridCol w:w="271"/>
        <w:gridCol w:w="146"/>
        <w:gridCol w:w="211"/>
        <w:gridCol w:w="676"/>
        <w:gridCol w:w="271"/>
        <w:gridCol w:w="146"/>
        <w:gridCol w:w="211"/>
        <w:gridCol w:w="676"/>
        <w:gridCol w:w="146"/>
        <w:gridCol w:w="146"/>
        <w:gridCol w:w="224"/>
        <w:gridCol w:w="647"/>
        <w:gridCol w:w="7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firstLine="200"/>
              <w:jc w:val="right"/>
              <w:rPr/>
            </w:pPr>
            <w:r>
              <w:rPr/>
              <w:t> </w:t>
            </w:r>
          </w:p>
        </w:tc>
      </w:tr>
      <w:tr>
        <w:trPr/>
        <w:tc>
          <w:tcPr>
            <w:tcW w:w="38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revenue from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33,211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21,384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7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Less: Wholesaler distribution fees, rebates and</w:t>
              <w:br/>
              <w:t>   chargebacks, product returns and other</w:t>
              <w:br/>
              <w:t>   discounts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14,866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Gross-to-net revenue adjustment percentage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 collaborations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Royalties – collaborations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6" w:type="dxa"/>
            <w:tcBorders/>
            <w:vAlign w:val="center"/>
          </w:tcPr>
          <w:p>
            <w:pPr>
              <w:pStyle w:val="TableContents"/>
              <w:bidi w:val="0"/>
              <w:spacing w:before="0" w:after="0"/>
              <w:ind w:left="0" w:right="0" w:firstLine="200"/>
              <w:jc w:val="right"/>
              <w:rPr/>
            </w:pPr>
            <w:r>
              <w:rPr/>
              <w:t> </w:t>
            </w:r>
          </w:p>
        </w:tc>
      </w:tr>
      <w:tr>
        <w:trPr/>
        <w:tc>
          <w:tcPr>
            <w:tcW w:w="38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48,611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9391" w:type="dxa"/>
        <w:jc w:val="left"/>
        <w:tblInd w:w="0" w:type="dxa"/>
        <w:tblLayout w:type="fixed"/>
        <w:tblCellMar>
          <w:top w:w="28" w:type="dxa"/>
          <w:left w:w="28" w:type="dxa"/>
          <w:bottom w:w="28" w:type="dxa"/>
          <w:right w:w="28" w:type="dxa"/>
        </w:tblCellMar>
      </w:tblPr>
      <w:tblGrid>
        <w:gridCol w:w="3871"/>
        <w:gridCol w:w="146"/>
        <w:gridCol w:w="211"/>
        <w:gridCol w:w="676"/>
        <w:gridCol w:w="271"/>
        <w:gridCol w:w="146"/>
        <w:gridCol w:w="211"/>
        <w:gridCol w:w="676"/>
        <w:gridCol w:w="271"/>
        <w:gridCol w:w="146"/>
        <w:gridCol w:w="211"/>
        <w:gridCol w:w="676"/>
        <w:gridCol w:w="146"/>
        <w:gridCol w:w="146"/>
        <w:gridCol w:w="224"/>
        <w:gridCol w:w="647"/>
        <w:gridCol w:w="7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firstLine="200"/>
              <w:jc w:val="right"/>
              <w:rPr/>
            </w:pPr>
            <w:r>
              <w:rPr/>
              <w:t> </w:t>
            </w:r>
          </w:p>
        </w:tc>
      </w:tr>
      <w:tr>
        <w:trPr/>
        <w:tc>
          <w:tcPr>
            <w:tcW w:w="38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revenue from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63,628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37,420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7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Less: Wholesaler distribution fees, rebates and</w:t>
              <w:br/>
              <w:t>   chargebacks, product returns and other</w:t>
              <w:br/>
              <w:t>   discounts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35,907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22,548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Gross-to-net revenue adjustment percentage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 collaborations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Royalties – collaborations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16" w:type="dxa"/>
            <w:tcBorders/>
            <w:vAlign w:val="center"/>
          </w:tcPr>
          <w:p>
            <w:pPr>
              <w:pStyle w:val="TableContents"/>
              <w:bidi w:val="0"/>
              <w:spacing w:before="0" w:after="0"/>
              <w:ind w:left="0" w:right="0" w:firstLine="200"/>
              <w:jc w:val="right"/>
              <w:rPr/>
            </w:pPr>
            <w:r>
              <w:rPr/>
              <w:t> </w:t>
            </w:r>
          </w:p>
        </w:tc>
      </w:tr>
      <w:tr>
        <w:trPr/>
        <w:tc>
          <w:tcPr>
            <w:tcW w:w="38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89,237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 Not meaningful</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Afrezza </w:t>
      </w:r>
      <w:r>
        <w:rPr>
          <w:rFonts w:ascii="Times New Roman" w:hAnsi="Times New Roman"/>
          <w:sz w:val="20"/>
        </w:rPr>
        <w:t xml:space="preserve">— </w:t>
      </w:r>
      <w:r>
        <w:rPr>
          <w:rFonts w:ascii="Times New Roman;serif" w:hAnsi="Times New Roman;serif"/>
          <w:b w:val="false"/>
          <w:sz w:val="20"/>
        </w:rPr>
        <w:t>Gross revenue from sales of Afrezza increased by $4.9 million, or 29%, for the three months ended June 30, 2023 compared to the same period in the prior</w:t>
      </w:r>
      <w:r>
        <w:rPr>
          <w:rFonts w:ascii="Times New Roman" w:hAnsi="Times New Roman"/>
          <w:sz w:val="20"/>
        </w:rPr>
        <w:t xml:space="preserve"> </w:t>
      </w:r>
      <w:r>
        <w:rPr>
          <w:rFonts w:ascii="Times New Roman;serif" w:hAnsi="Times New Roman;serif"/>
          <w:b w:val="false"/>
          <w:sz w:val="20"/>
        </w:rPr>
        <w:t>year. The increase mainly reflects a combination of higher product demand and higher price. The gross-to-net adjustment was 39% of gross revenue, or $8.7 million, for the three months ended June 30, 2023, compared to 38% of gross revenue or $6.6 million, for the same period in the prior year. The increase in the gross-to-net percentage was primarily driven by an increase in rebates (as a percentage of gross sales). As a result, net revenue from sales of Afrezza increased by $2.9 million, or 27%, for the three months ended June 30, 2023, compared to the same period in the prior</w:t>
      </w:r>
      <w:r>
        <w:rPr>
          <w:rFonts w:ascii="Times New Roman" w:hAnsi="Times New Roman"/>
          <w:sz w:val="20"/>
        </w:rPr>
        <w:t xml:space="preserve"> </w:t>
      </w:r>
      <w:r>
        <w:rPr>
          <w:rFonts w:ascii="Times New Roman;serif" w:hAnsi="Times New Roman;serif"/>
          <w:b w:val="false"/>
          <w:sz w:val="20"/>
        </w:rPr>
        <w:t>year.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Gross revenue from sales of Afrezza increased by $8.8 million, or 26%, for the six months ended June 30, 2023 compared to the same period in the prior year. The increase primarily reflects a combination of higher product demand and higher price. The gross-to-net adjustment was 38% of gross revenue, or $16.2 million, for the six months ended June 30, 2023, compared to 39% of gross revenue, or $12.9 million, for the same period in the prior year. As a result, net revenue from sales of Afrezza increased by $5.5 million, or 27%, for the six months ended June 30, 2023, compared to the same period in the prior year.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i/>
          <w:sz w:val="20"/>
        </w:rPr>
        <w:t>V-Go</w:t>
      </w:r>
      <w:r>
        <w:rPr>
          <w:rFonts w:ascii="Times New Roman" w:hAnsi="Times New Roman"/>
          <w:sz w:val="20"/>
        </w:rPr>
        <w:t xml:space="preserve"> — </w:t>
      </w:r>
      <w:r>
        <w:rPr>
          <w:rFonts w:ascii="Times New Roman;serif" w:hAnsi="Times New Roman;serif"/>
          <w:b w:val="false"/>
          <w:sz w:val="20"/>
        </w:rPr>
        <w:t>Gross revenue from sales of V-Go increased by $6.9 million, or 169%, and net revenue by $2.7 million, or 132%, for the three months ended June 30, 2023, compared to the same period in the prior year. V-Go was acquired in May 2022. The gross-to-net adjustment was 56% of gross revenue, or $6.2 million, for the three months ended June 30, 2023, compared to 49% of gross revenue, or $2.0 million, for the same period in the prior year. The increase in gross-to-net percentage was mainly attributable to rebates.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Gross revenue from sales of V-Go increased by $17.4 million, or 425%, and net revenue by $7.9 million, or 380%, for the six months ended June 30, 2023, compared to the same period in the prior year. V-Go was acquired in May 2022. The gross-to-net adjustment was 54% of gross revenue, or $11.5 million, for the six months ended June 30, 2023, compared to 49% of gross revenue, or $2.0 million, for the same period in the prior year. The increase in gross-to-net percentage was mainly attributable to commercial and government rebates and product distribution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Collaborations and Services</w:t>
      </w:r>
      <w:r>
        <w:rPr>
          <w:rFonts w:ascii="Times New Roman" w:hAnsi="Times New Roman"/>
          <w:sz w:val="20"/>
        </w:rPr>
        <w:t xml:space="preserve"> — </w:t>
      </w:r>
      <w:r>
        <w:rPr>
          <w:rFonts w:ascii="Times New Roman;serif" w:hAnsi="Times New Roman;serif"/>
          <w:b w:val="false"/>
          <w:sz w:val="20"/>
        </w:rPr>
        <w:t xml:space="preserve">Net revenue from collaborations and services increased by $5.3 million, or 91%, for the three months ended June 30, 2023, and $14.6 million, or 181%, for the six months ended June 30, 2023, compared to the same periods in the prior year. The increases in collaborations and services revenue were primarily attributable to revenues associated with the CSA with UT. Revenue associated with the CSA was deferred until we began commercial manufacturing and subsequently selling Tyvaso DPI in June 2022. During the three months ended June 30, 2023, we recognized $10.9 million of revenue under the CSA and $19.1 million of royalty revenue, compared with $4.7 million of revenue under the CSA and $0.3 million of royalty revenue for the same period in the prior year. During the six months ended June 30, 2023, we recognized $22.1 million of revenue under the CSA and $30.7 million of royalty revenue, compared with $5.9 million of revenue under the CSA and $0.3 million of royalty revenue for the same period in the prior year. See Note 10 – </w:t>
      </w:r>
      <w:r>
        <w:rPr>
          <w:rFonts w:ascii="Times New Roman;serif" w:hAnsi="Times New Roman;serif"/>
          <w:b w:val="false"/>
          <w:i/>
          <w:sz w:val="20"/>
        </w:rPr>
        <w:t>Collaboration, Licensing and Other Arrangements</w:t>
      </w:r>
      <w:r>
        <w:rPr>
          <w:rFonts w:ascii="Times New Roman;serif" w:hAnsi="Times New Roman;serif"/>
          <w:b w:val="false"/>
          <w:sz w:val="20"/>
        </w:rPr>
        <w: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Commercial product gross profit</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The following table provides a comparison of the commercial product gross profit categories for the three and six months ended June 30, 2023 and 2022 (dollars in thousands):</w:t>
      </w:r>
      <w:r>
        <w:rPr>
          <w:rFonts w:ascii="Times New Roman" w:hAnsi="Times New Roman"/>
          <w:sz w:val="20"/>
        </w:rPr>
        <w:t xml:space="preserve"> </w:t>
      </w:r>
    </w:p>
    <w:tbl>
      <w:tblPr>
        <w:tblW w:w="8675" w:type="dxa"/>
        <w:jc w:val="left"/>
        <w:tblInd w:w="0" w:type="dxa"/>
        <w:tblLayout w:type="fixed"/>
        <w:tblCellMar>
          <w:top w:w="28" w:type="dxa"/>
          <w:left w:w="28" w:type="dxa"/>
          <w:bottom w:w="28" w:type="dxa"/>
          <w:right w:w="28" w:type="dxa"/>
        </w:tblCellMar>
      </w:tblPr>
      <w:tblGrid>
        <w:gridCol w:w="3346"/>
        <w:gridCol w:w="146"/>
        <w:gridCol w:w="211"/>
        <w:gridCol w:w="676"/>
        <w:gridCol w:w="271"/>
        <w:gridCol w:w="146"/>
        <w:gridCol w:w="211"/>
        <w:gridCol w:w="676"/>
        <w:gridCol w:w="271"/>
        <w:gridCol w:w="146"/>
        <w:gridCol w:w="214"/>
        <w:gridCol w:w="582"/>
        <w:gridCol w:w="146"/>
        <w:gridCol w:w="146"/>
        <w:gridCol w:w="275"/>
        <w:gridCol w:w="596"/>
        <w:gridCol w:w="6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product gross profit: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firstLine="100"/>
              <w:jc w:val="left"/>
              <w:rPr/>
            </w:pPr>
            <w:r>
              <w:rPr/>
              <w:t> </w:t>
            </w:r>
          </w:p>
        </w:tc>
      </w:tr>
      <w:tr>
        <w:trPr/>
        <w:tc>
          <w:tcPr>
            <w:tcW w:w="33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6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Cost of goods sold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616"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Commercial product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616"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pPr>
      <w:r>
        <w:rPr/>
        <w:t> </w:t>
      </w:r>
    </w:p>
    <w:tbl>
      <w:tblPr>
        <w:tblW w:w="8866" w:type="dxa"/>
        <w:jc w:val="left"/>
        <w:tblInd w:w="0" w:type="dxa"/>
        <w:tblLayout w:type="fixed"/>
        <w:tblCellMar>
          <w:top w:w="28" w:type="dxa"/>
          <w:left w:w="28" w:type="dxa"/>
          <w:bottom w:w="28" w:type="dxa"/>
          <w:right w:w="28" w:type="dxa"/>
        </w:tblCellMar>
      </w:tblPr>
      <w:tblGrid>
        <w:gridCol w:w="3346"/>
        <w:gridCol w:w="146"/>
        <w:gridCol w:w="211"/>
        <w:gridCol w:w="676"/>
        <w:gridCol w:w="271"/>
        <w:gridCol w:w="146"/>
        <w:gridCol w:w="211"/>
        <w:gridCol w:w="676"/>
        <w:gridCol w:w="271"/>
        <w:gridCol w:w="146"/>
        <w:gridCol w:w="211"/>
        <w:gridCol w:w="676"/>
        <w:gridCol w:w="146"/>
        <w:gridCol w:w="146"/>
        <w:gridCol w:w="275"/>
        <w:gridCol w:w="596"/>
        <w:gridCol w:w="7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product gross profit: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firstLine="200"/>
              <w:jc w:val="right"/>
              <w:rPr/>
            </w:pPr>
            <w:r>
              <w:rPr/>
              <w:t> </w:t>
            </w:r>
          </w:p>
        </w:tc>
      </w:tr>
      <w:tr>
        <w:trPr/>
        <w:tc>
          <w:tcPr>
            <w:tcW w:w="33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revenue – commercial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35,907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22,548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Cost of goods sold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7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product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7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Commercial product gross profit increased by $5.0 million, or 62%, for the three months ended June 30, 2023, and $9.5 million, or 61% for the six months ended June 30, 2023. The increase in gross profit was primarily attributable to an increase in Afrezza sales partially offset by an increase in cost of goods sold due to higher commercial product sales and lower cost absorption as a result of the costs absorbed by the full commercial production of Tyvaso DPI beginning in the second quarter of 2022. The acquisition of V-Go in May 2022 contributed to the increase in commercial product sales and related cost of goods sold for the three and six months ended June 30, 2023. As a result, gross margin was 72% for the three months ended June 30, 2023, compared to 64% for the same period in the prior year and 70% for the six months ended June 30, 2023, compared to 69% for the same period in the prior year.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Expenses</w:t>
      </w:r>
    </w:p>
    <w:p>
      <w:pPr>
        <w:pStyle w:val="TextBody"/>
        <w:bidi w:val="0"/>
        <w:spacing w:before="120" w:after="240"/>
        <w:jc w:val="left"/>
        <w:rPr>
          <w:rFonts w:ascii="Times New Roman" w:hAnsi="Times New Roman"/>
          <w:sz w:val="20"/>
        </w:rPr>
      </w:pPr>
      <w:r>
        <w:rPr>
          <w:rFonts w:ascii="Times New Roman;serif" w:hAnsi="Times New Roman;serif"/>
          <w:b w:val="false"/>
          <w:sz w:val="20"/>
        </w:rPr>
        <w:t>The following table provides a comparison of the expense categories for the three and six months ended June 30, 2023 (dollars in thousands):</w:t>
      </w:r>
      <w:r>
        <w:rPr>
          <w:rFonts w:ascii="Times New Roman" w:hAnsi="Times New Roman"/>
          <w:sz w:val="20"/>
        </w:rPr>
        <w:t xml:space="preserve"> </w:t>
      </w:r>
    </w:p>
    <w:tbl>
      <w:tblPr>
        <w:tblW w:w="8996" w:type="dxa"/>
        <w:jc w:val="left"/>
        <w:tblInd w:w="0" w:type="dxa"/>
        <w:tblLayout w:type="fixed"/>
        <w:tblCellMar>
          <w:top w:w="28" w:type="dxa"/>
          <w:left w:w="28" w:type="dxa"/>
          <w:bottom w:w="28" w:type="dxa"/>
          <w:right w:w="28" w:type="dxa"/>
        </w:tblCellMar>
      </w:tblPr>
      <w:tblGrid>
        <w:gridCol w:w="3856"/>
        <w:gridCol w:w="146"/>
        <w:gridCol w:w="211"/>
        <w:gridCol w:w="676"/>
        <w:gridCol w:w="146"/>
        <w:gridCol w:w="146"/>
        <w:gridCol w:w="211"/>
        <w:gridCol w:w="676"/>
        <w:gridCol w:w="166"/>
        <w:gridCol w:w="146"/>
        <w:gridCol w:w="211"/>
        <w:gridCol w:w="631"/>
        <w:gridCol w:w="166"/>
        <w:gridCol w:w="146"/>
        <w:gridCol w:w="243"/>
        <w:gridCol w:w="628"/>
        <w:gridCol w:w="5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0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Cost of goods sold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Cost of revenue – collaborations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Selling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Loss (gain) on foreign currency transaction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firstLine="400"/>
              <w:jc w:val="right"/>
              <w:rPr/>
            </w:pPr>
            <w:r>
              <w:rPr/>
              <w:t> </w:t>
            </w:r>
          </w:p>
        </w:tc>
      </w:tr>
      <w:tr>
        <w:trPr/>
        <w:tc>
          <w:tcPr>
            <w:tcW w:w="3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46,890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39,348</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9131" w:type="dxa"/>
        <w:jc w:val="left"/>
        <w:tblInd w:w="0" w:type="dxa"/>
        <w:tblLayout w:type="fixed"/>
        <w:tblCellMar>
          <w:top w:w="28" w:type="dxa"/>
          <w:left w:w="28" w:type="dxa"/>
          <w:bottom w:w="28" w:type="dxa"/>
          <w:right w:w="28" w:type="dxa"/>
        </w:tblCellMar>
      </w:tblPr>
      <w:tblGrid>
        <w:gridCol w:w="3946"/>
        <w:gridCol w:w="146"/>
        <w:gridCol w:w="211"/>
        <w:gridCol w:w="676"/>
        <w:gridCol w:w="146"/>
        <w:gridCol w:w="146"/>
        <w:gridCol w:w="211"/>
        <w:gridCol w:w="676"/>
        <w:gridCol w:w="166"/>
        <w:gridCol w:w="146"/>
        <w:gridCol w:w="211"/>
        <w:gridCol w:w="676"/>
        <w:gridCol w:w="166"/>
        <w:gridCol w:w="146"/>
        <w:gridCol w:w="275"/>
        <w:gridCol w:w="596"/>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4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Cost of goods sold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Cost of revenue — collaborations and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Selling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Loss (gain) on foreign currency transaction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firstLine="400"/>
              <w:jc w:val="righ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93,514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72,596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 Not meaningful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Cost of revenue – collaborations and services increased by $0.7 million, or 9%, for the three months ended June 30, 2023, and $2.7 million, or 16%, for the six months ended June 30, 2023, compared to the same periods in the prior year. The increases were attributable to an increase in manufacturing activities for the sale of Tyvaso DPI product to UT which began in the second quarter of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R&amp;D expenses increased by $1.6 million, or 32%, for the three months ended June 30, 2023, and $3.6 million, or 43%, for the six months ended June 30, 2023, compared to the same periods in the prior year. The increases were primarily attributable to development activities for MNKD-101 (inhaled clofazimine) and the Afrezza post-marketing clinical study (INHALE-3) which commenced in the second quarter of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Selling expenses decreased by $1.9 million, or 12%, for the three months ended June 30, 2023, and $1.3 million, or 4%, for the six months ended June 30, 2023, compared to the same periods in the prior year. The decreases were primarily attributable to the termination of an Afrezza pilot promotional effort targeting primary care physicians, which ended in the third quarter of 2022, partially offset by increased headcount after the acquisition of V-Go in the second quarter of 2022.</w:t>
      </w:r>
    </w:p>
    <w:p>
      <w:pPr>
        <w:pStyle w:val="TextBody"/>
        <w:bidi w:val="0"/>
        <w:spacing w:before="240" w:after="0"/>
        <w:jc w:val="left"/>
        <w:rPr>
          <w:rFonts w:ascii="Times New Roman" w:hAnsi="Times New Roman"/>
          <w:sz w:val="20"/>
        </w:rPr>
      </w:pPr>
      <w:r>
        <w:rPr>
          <w:rFonts w:ascii="Times New Roman;serif" w:hAnsi="Times New Roman;serif"/>
          <w:b w:val="false"/>
          <w:sz w:val="20"/>
        </w:rPr>
        <w:t>General and administrative expenses increased by $1.8 million, or 17%, for the three months ended June 30, 2023, and $4.3 million, or 24%, for the six months ended June 30, 2023, compared to the same periods in the prior year. The increases were primarily attributable to higher stock-based compensation and increased headcount.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Under the Insulin Supply Agreement with Amphastar, payment obligations are denominated in Euros. We are required to record the non-cash foreign currency transaction impact of the U.S. dollar to Euro exchange rate associated with the recognized gain or loss on purchase commitments. The foreign currency transaction loss was $0.3 million for the three months ended June 30, 2023, compared to a gain of $4.5 million for the same period in the prior year, and a loss of $1.2 million for the six months ended June 30, 2023, compared to a gain of $6.5 million for the same period in the prior year.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Other Income (Expense)</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The following table provides a comparison of the other income (expense) categories for the three and six months ended June 30, 2023 and 2022 (dollars in thousands):</w:t>
      </w:r>
      <w:r>
        <w:rPr>
          <w:rFonts w:ascii="Times New Roman" w:hAnsi="Times New Roman"/>
          <w:sz w:val="20"/>
        </w:rPr>
        <w:t xml:space="preserve"> </w:t>
      </w:r>
    </w:p>
    <w:tbl>
      <w:tblPr>
        <w:tblW w:w="8281" w:type="dxa"/>
        <w:jc w:val="left"/>
        <w:tblInd w:w="0" w:type="dxa"/>
        <w:tblLayout w:type="fixed"/>
        <w:tblCellMar>
          <w:top w:w="28" w:type="dxa"/>
          <w:left w:w="28" w:type="dxa"/>
          <w:bottom w:w="28" w:type="dxa"/>
          <w:right w:w="28" w:type="dxa"/>
        </w:tblCellMar>
      </w:tblPr>
      <w:tblGrid>
        <w:gridCol w:w="3211"/>
        <w:gridCol w:w="146"/>
        <w:gridCol w:w="211"/>
        <w:gridCol w:w="631"/>
        <w:gridCol w:w="166"/>
        <w:gridCol w:w="146"/>
        <w:gridCol w:w="211"/>
        <w:gridCol w:w="631"/>
        <w:gridCol w:w="166"/>
        <w:gridCol w:w="146"/>
        <w:gridCol w:w="211"/>
        <w:gridCol w:w="631"/>
        <w:gridCol w:w="166"/>
        <w:gridCol w:w="146"/>
        <w:gridCol w:w="224"/>
        <w:gridCol w:w="647"/>
        <w:gridCol w:w="5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3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on financing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firstLine="400"/>
              <w:jc w:val="right"/>
              <w:rPr/>
            </w:pPr>
            <w:r>
              <w:rPr/>
              <w:t> </w:t>
            </w:r>
          </w:p>
        </w:tc>
      </w:tr>
      <w:tr>
        <w:trPr/>
        <w:tc>
          <w:tcPr>
            <w:tcW w:w="32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tbl>
      <w:tblPr>
        <w:tblW w:w="8491" w:type="dxa"/>
        <w:jc w:val="left"/>
        <w:tblInd w:w="0" w:type="dxa"/>
        <w:tblLayout w:type="fixed"/>
        <w:tblCellMar>
          <w:top w:w="28" w:type="dxa"/>
          <w:left w:w="28" w:type="dxa"/>
          <w:bottom w:w="28" w:type="dxa"/>
          <w:right w:w="28" w:type="dxa"/>
        </w:tblCellMar>
      </w:tblPr>
      <w:tblGrid>
        <w:gridCol w:w="3211"/>
        <w:gridCol w:w="146"/>
        <w:gridCol w:w="211"/>
        <w:gridCol w:w="736"/>
        <w:gridCol w:w="166"/>
        <w:gridCol w:w="146"/>
        <w:gridCol w:w="211"/>
        <w:gridCol w:w="736"/>
        <w:gridCol w:w="166"/>
        <w:gridCol w:w="146"/>
        <w:gridCol w:w="211"/>
        <w:gridCol w:w="631"/>
        <w:gridCol w:w="166"/>
        <w:gridCol w:w="146"/>
        <w:gridCol w:w="224"/>
        <w:gridCol w:w="647"/>
        <w:gridCol w:w="5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4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on financing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firstLine="400"/>
              <w:jc w:val="right"/>
              <w:rPr/>
            </w:pPr>
            <w:r>
              <w:rPr/>
              <w:t> </w:t>
            </w:r>
          </w:p>
        </w:tc>
      </w:tr>
      <w:tr>
        <w:trPr/>
        <w:tc>
          <w:tcPr>
            <w:tcW w:w="32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 Not meaningful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Interest income, consisting of interest on investments net of amortization, increased by $1.0 million for the three months ended June 30, 2023, and by $2.0 million for the six months ended June 30, 2023, compared to the same periods in the prior year primarily due to higher yields on our marketable securities and money market funds.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Interest expense on financing liability was $2.4 million for the three months ended June 30, 2023, and $4.9 million for the six months ended June 30, 2023, and remained consistent with the same periods in the prior year. See Note 15 – </w:t>
      </w:r>
      <w:r>
        <w:rPr>
          <w:rFonts w:ascii="Times New Roman;serif" w:hAnsi="Times New Roman;serif"/>
          <w:b w:val="false"/>
          <w:i/>
          <w:sz w:val="20"/>
        </w:rPr>
        <w:t>Commitments and Contingencies</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Interest expense was $6.9 million for the three months ended June 30, 2023, and $9.7 million for the six months ended June 30, 2023, and remained consistent with the same periods in the prior year due to fixed interest rates on notes and consistent recognition of interest expense related to the achievement of Afrezza milestones. See Note 8 – </w:t>
      </w:r>
      <w:r>
        <w:rPr>
          <w:rFonts w:ascii="Times New Roman;serif" w:hAnsi="Times New Roman;serif"/>
          <w:b w:val="false"/>
          <w:i/>
          <w:sz w:val="20"/>
        </w:rPr>
        <w:t xml:space="preserve">Accrued Expenses and Other Current Liabilities </w:t>
      </w:r>
      <w:r>
        <w:rPr>
          <w:rFonts w:ascii="Times New Roman;serif" w:hAnsi="Times New Roman;serif"/>
          <w:b w:val="false"/>
          <w:sz w:val="20"/>
        </w:rPr>
        <w:t xml:space="preserve">and Note 9 – </w:t>
      </w:r>
      <w:r>
        <w:rPr>
          <w:rFonts w:ascii="Times New Roman;serif" w:hAnsi="Times New Roman;serif"/>
          <w:b w:val="false"/>
          <w:i/>
          <w:sz w:val="20"/>
        </w:rPr>
        <w:t>Borrowings</w:t>
      </w:r>
      <w:r>
        <w:rPr>
          <w:rFonts w:ascii="Times New Roman;serif" w:hAnsi="Times New Roman;serif"/>
          <w:b w:val="false"/>
          <w:sz w:val="20"/>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Gain on available-for-sale securities for the three and six months ended June 30, 2023 was $0.9 million as a result of the change in the fair value of the investment that related to credit risk.</w:t>
      </w:r>
    </w:p>
    <w:p>
      <w:pPr>
        <w:pStyle w:val="TextBody"/>
        <w:bidi w:val="0"/>
        <w:spacing w:before="240" w:after="0"/>
        <w:jc w:val="left"/>
        <w:rPr>
          <w:rFonts w:ascii="Times New Roman" w:hAnsi="Times New Roman"/>
          <w:sz w:val="20"/>
        </w:rPr>
      </w:pPr>
      <w:r>
        <w:rPr>
          <w:rFonts w:ascii="Times New Roman;serif" w:hAnsi="Times New Roman;serif"/>
          <w:b w:val="false"/>
          <w:sz w:val="20"/>
        </w:rPr>
        <w:t>Other expense for the three and six months ended June 30, 2023 and 2022 consisted primarily of losses associated with a foreign currency hedging transaction that was entered into to mitigate our exposure to the foreign currency exchange risk associated with our Insulin Supply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interest expense on our financing liability and debt.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To date, we have funded our operations primarily through the sale of equity and convertible debt securities, from the receipt of upfront and milestone payments from collaborations, from borrowings, from sales of Afrezza and V-Go, from royalties and manufacturing revenue from UT as well as from proceeds from the sale-leaseback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we had $69.2 million in insulin purchase commitments and $278.8 million principal amount of outstanding debt, consisting of: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$40.0 million principal amount under the MidCap credit facility, bearing interest at an annual rate equal to one-month Secured Overnight Financing Rate (“SOFR”) plus 6.25% (capped at a total of 8.25%), subject to a one-month SOFR floor of 1.00%. Interest is payable monthly in arrears. Principal is payable in equal monthly installments beginning in September 2023 through maturity in August 2025.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payable quarterly in arrears in-kind or in shares at our option.</w:t>
      </w:r>
    </w:p>
    <w:p>
      <w:pPr>
        <w:pStyle w:val="TextBody"/>
        <w:bidi w:val="0"/>
        <w:spacing w:before="240" w:after="0"/>
        <w:jc w:val="left"/>
        <w:rPr>
          <w:rFonts w:ascii="Times New Roman" w:hAnsi="Times New Roman"/>
          <w:sz w:val="20"/>
        </w:rPr>
      </w:pPr>
      <w:r>
        <w:rPr>
          <w:rFonts w:ascii="Times New Roman;serif" w:hAnsi="Times New Roman;serif"/>
          <w:b w:val="false"/>
          <w:sz w:val="20"/>
        </w:rPr>
        <w:t>To date, we have been able to timely make our required interest payments, but we cannot guarantee that we will be able to do so in the future. If we fail to repay, repurchase or redeem our outstanding notes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July 2013, we issued certain milestone rights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$60.0 million of which remain payable upon achievement of such milestones as of June 30, 2023. See Note 8 – </w:t>
      </w:r>
      <w:r>
        <w:rPr>
          <w:rFonts w:ascii="Times New Roman;serif" w:hAnsi="Times New Roman;serif"/>
          <w:b w:val="false"/>
          <w:i/>
          <w:sz w:val="20"/>
        </w:rPr>
        <w:t>Accrued Expenses and Other Current Liabilities</w:t>
      </w:r>
      <w:r>
        <w:rPr>
          <w:rFonts w:ascii="Times New Roman;serif" w:hAnsi="Times New Roman;serif"/>
          <w:b w:val="false"/>
          <w:sz w:val="20"/>
        </w:rPr>
        <w:t xml:space="preserve">, Note 9 – </w:t>
      </w:r>
      <w:r>
        <w:rPr>
          <w:rFonts w:ascii="Times New Roman;serif" w:hAnsi="Times New Roman;serif"/>
          <w:b w:val="false"/>
          <w:i/>
          <w:sz w:val="20"/>
        </w:rPr>
        <w:t>Borrowings</w:t>
      </w:r>
      <w:r>
        <w:rPr>
          <w:rFonts w:ascii="Times New Roman" w:hAnsi="Times New Roman"/>
          <w:sz w:val="20"/>
        </w:rPr>
        <w:t xml:space="preserve"> </w:t>
      </w:r>
      <w:r>
        <w:rPr>
          <w:rFonts w:ascii="Times New Roman;serif" w:hAnsi="Times New Roman;serif"/>
          <w:b w:val="false"/>
          <w:sz w:val="20"/>
        </w:rPr>
        <w:t xml:space="preserve">and Note 15 – </w:t>
      </w:r>
      <w:r>
        <w:rPr>
          <w:rFonts w:ascii="Times New Roman;serif" w:hAnsi="Times New Roman;serif"/>
          <w:b w:val="false"/>
          <w:i/>
          <w:sz w:val="20"/>
        </w:rPr>
        <w:t>Commitments and Contingencies</w:t>
      </w:r>
      <w:r>
        <w:rPr>
          <w:rFonts w:ascii="Times New Roman" w:hAnsi="Times New Roman"/>
          <w:sz w:val="20"/>
        </w:rPr>
        <w:t xml:space="preserve"> </w:t>
      </w:r>
      <w:r>
        <w:rPr>
          <w:rFonts w:ascii="Times New Roman;serif" w:hAnsi="Times New Roman;serif"/>
          <w:b w:val="false"/>
          <w:sz w:val="20"/>
        </w:rPr>
        <w:t>for further information related to the Milestone Rights.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we generated $3.8 million of cash from our operating activities, which consisted primarily of $98.6 million of revenue, partially offset by $39.5 million of cost of goods sold, $25.0 million of selling expenses, $14.2 million of general and administrative expenses, $13.1 million of R&amp;D costs and $4.3 million of cash paid for interest.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2022, we used $50.2 million of cash for our operating activities, which primarily consisted of $38.6 million of selling and general and administrative expenses, $21.5 million of cost of goods sold, $10.9 million of costs for R&amp;D and $5.8 million of cash paid for interest, partially offset by $31.7 million of revenue.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provided by investing activities of $17.5 million for the six months ended June 30, 2023 was primarily due to $69.1 million of proceeds received from the sales of debt securities, partially offset by the purchase of debt securities of $26.4 million and by $25.2 million for the purchase of property and equipment.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used in investing activities of $37.5 million for the six months ended June 30, 2022 was primarily due to the purchase of $68.5 million of debt securities, the up-front consideration of $15.1 million for certain assets and assumed liabilities related to V-Go, $5.0 million purchase of available-for-sale securities, and $2.2 million purchase of property and equipment, partially offset by the maturity of $53.3 million of debt securities.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used in financing activities of $4.8 million for the six months ended June 30, 2023 was primarily due to $8.5 million of payments to taxing authorities from equity withheld upon vesting of RSUs and stock options, partially offset by $3.7 million in proceeds from at-the-market offerings.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used in financing activities of $1.0 million for the six months ended June 30, 2022 was primarily due to the payments on our financing liability of $1.4 million.</w:t>
      </w:r>
    </w:p>
    <w:p>
      <w:pPr>
        <w:pStyle w:val="TextBody"/>
        <w:bidi w:val="0"/>
        <w:spacing w:before="360" w:after="0"/>
        <w:jc w:val="left"/>
        <w:rPr>
          <w:rFonts w:ascii="Times New Roman;serif" w:hAnsi="Times New Roman;serif"/>
          <w:b/>
          <w:sz w:val="20"/>
        </w:rPr>
      </w:pPr>
      <w:r>
        <w:rPr>
          <w:rFonts w:ascii="Times New Roman;serif" w:hAnsi="Times New Roman;serif"/>
          <w:b/>
          <w:sz w:val="20"/>
        </w:rPr>
        <w:t>Future Liquidity Needs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We are not currently profitable and have rarely generated positive net cash flow from operations. In addition, we expect to continue to incur expenditures for the foreseeable future in support of our manufacturing operations, sales and marketing costs for our products and development costs for other product candidates in our pipeline. As of June 30, 2023, we had capital resources comprised of $86.2 million in cash and cash equivalents, $58.2 million in short-term investments and $2.3 million in long-term investments, and total principal amount of outstanding borrowings of $278.8 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our resources will be sufficient to fund our operations for the next twelve months from the date of issuance of our condensed consolidated financial statements included in Part I – Financial Statements (Unaudited).</w:t>
      </w:r>
    </w:p>
    <w:p>
      <w:pPr>
        <w:pStyle w:val="TextBody"/>
        <w:bidi w:val="0"/>
        <w:spacing w:before="360" w:after="0"/>
        <w:jc w:val="left"/>
        <w:rPr>
          <w:rFonts w:ascii="Times New Roman;serif" w:hAnsi="Times New Roman;serif"/>
          <w:b/>
          <w:sz w:val="20"/>
        </w:rPr>
      </w:pPr>
      <w:r>
        <w:rPr>
          <w:rFonts w:ascii="Times New Roman;serif" w:hAnsi="Times New Roman;serif"/>
          <w:b/>
          <w:sz w:val="20"/>
        </w:rPr>
        <w:t>Contractual Obligations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See Note 9 – </w:t>
      </w:r>
      <w:r>
        <w:rPr>
          <w:rFonts w:ascii="Times New Roman;serif" w:hAnsi="Times New Roman;serif"/>
          <w:b w:val="false"/>
          <w:i/>
          <w:sz w:val="20"/>
        </w:rPr>
        <w:t xml:space="preserve">Borrowings </w:t>
      </w:r>
      <w:r>
        <w:rPr>
          <w:rFonts w:ascii="Times New Roman;serif" w:hAnsi="Times New Roman;serif"/>
          <w:b w:val="false"/>
          <w:sz w:val="20"/>
        </w:rPr>
        <w:t xml:space="preserve">and Note 15 – </w:t>
      </w:r>
      <w:r>
        <w:rPr>
          <w:rFonts w:ascii="Times New Roman;serif" w:hAnsi="Times New Roman;serif"/>
          <w:b w:val="false"/>
          <w:i/>
          <w:sz w:val="20"/>
        </w:rPr>
        <w:t>Commitments and Contingencies</w:t>
      </w:r>
      <w:r>
        <w:rPr>
          <w:rFonts w:ascii="Times New Roman" w:hAnsi="Times New Roman"/>
          <w:sz w:val="20"/>
        </w:rPr>
        <w:t xml:space="preserve"> </w:t>
      </w:r>
      <w:r>
        <w:rPr>
          <w:rFonts w:ascii="Times New Roman;serif" w:hAnsi="Times New Roman;serif"/>
          <w:b w:val="false"/>
          <w:sz w:val="20"/>
        </w:rPr>
        <w:t>for a discussion of material changes outside of the ordinary course of business in our contractual obligations from those disclosed within “Management’s Discussion and Analysis of Financial Condition and Results of Operations,” as contained in the Annual Report.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Interest Rate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on borrowings under the MidCap credit facility accrues interest at an annual rate equal to the lesser of (i) 8.25% and (ii) the one-month SOFR (subject to a one-month SOFR floor of 1.00%) plus 6.25%. Accordingly, our interest expense under the MidCap credit facility is subject to changes in the one-month SOFR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All other debt has fixed interest rates, so the interest expense associated with such debt is not exposed to changes in market interest rates. Specifically, the interest rate on the amount borrowed under the Mann Group convertible note is fixed at 2.50% and the interest rate under the Senior convertible notes is fixed at 2.50%. See Note 9 – </w:t>
      </w:r>
      <w:r>
        <w:rPr>
          <w:rFonts w:ascii="Times New Roman;serif" w:hAnsi="Times New Roman;serif"/>
          <w:b w:val="false"/>
          <w:i/>
          <w:sz w:val="20"/>
        </w:rPr>
        <w:t>Borrowings</w:t>
      </w:r>
      <w:r>
        <w:rPr>
          <w:rFonts w:ascii="Times New Roman" w:hAnsi="Times New Roman"/>
          <w:sz w:val="20"/>
        </w:rPr>
        <w:t xml:space="preserve"> </w:t>
      </w:r>
      <w:r>
        <w:rPr>
          <w:rFonts w:ascii="Times New Roman;serif" w:hAnsi="Times New Roman;serif"/>
          <w:b w:val="false"/>
          <w:sz w:val="20"/>
        </w:rPr>
        <w:t>for information about the principal amount of outstanding debt.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a hypothetical 10% change in the one-month SOFR interest rates on June 30, 2023 were to have occurred, this change would not have had a material effect on our interest payment obligation.</w:t>
      </w:r>
    </w:p>
    <w:p>
      <w:pPr>
        <w:pStyle w:val="TextBody"/>
        <w:bidi w:val="0"/>
        <w:spacing w:before="360" w:after="0"/>
        <w:jc w:val="left"/>
        <w:rPr>
          <w:rFonts w:ascii="Times New Roman" w:hAnsi="Times New Roman"/>
          <w:sz w:val="20"/>
        </w:rPr>
      </w:pPr>
      <w:r>
        <w:rPr>
          <w:rFonts w:ascii="Times New Roman;serif" w:hAnsi="Times New Roman;serif"/>
          <w:b/>
          <w:sz w:val="20"/>
        </w:rPr>
        <w:t>Foreign Currency Exchange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April 2023, we entered into a 90-day foreign currency hedging transaction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€3.3 million, for which we realized a </w:t>
      </w:r>
      <w:r>
        <w:rPr>
          <w:rFonts w:ascii="Times New Roman;serif" w:hAnsi="Times New Roman;serif"/>
          <w:b w:val="false"/>
          <w:i/>
          <w:sz w:val="20"/>
        </w:rPr>
        <w:t>de minimis</w:t>
      </w:r>
      <w:r>
        <w:rPr>
          <w:rFonts w:ascii="Times New Roman" w:hAnsi="Times New Roman"/>
          <w:sz w:val="20"/>
        </w:rPr>
        <w:t xml:space="preserve"> </w:t>
      </w:r>
      <w:r>
        <w:rPr>
          <w:rFonts w:ascii="Times New Roman;serif" w:hAnsi="Times New Roman;serif"/>
          <w:b w:val="false"/>
          <w:sz w:val="20"/>
        </w:rPr>
        <w:t>amount of loss during the three months ended June 30, 2023. This amount is recorded in other income and expense.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six months ended June 30, 2023, we realized a $1.2 million currency loss, which was included in loss on foreign currency transaction in the accompanying condensed consolidated statements of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Exchange rate fluctuations may adversely affect our expenses, results of operations, financial position and cash flows. If a change in the U.S. dollar to Euro exchange rate equal to 10% of the U.S. dollar to Euro exchange rate on June 30, 2023 were to have occurred, this change would have resulted in a foreign currency impact to our pre-tax loss of approximately $6.9 million.</w:t>
      </w:r>
    </w:p>
    <w:p>
      <w:pPr>
        <w:pStyle w:val="TextBody"/>
        <w:bidi w:val="0"/>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Disclosure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Based on the evaluation of our disclosure controls and procedures as of June 30, 2023, our Chief Executive Officer and our Chief Financial Officer have concluded, as of such date, that our disclosure controls and procedures were effective.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13" w:name="part_ii_or_information"/>
      <w:bookmarkEnd w:id="13"/>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4" w:name="item_1_legal_proceedings"/>
      <w:bookmarkEnd w:id="1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pStyle w:val="TextBody"/>
        <w:bidi w:val="0"/>
        <w:spacing w:before="360" w:after="0"/>
        <w:jc w:val="left"/>
        <w:rPr>
          <w:rFonts w:ascii="Times New Roman" w:hAnsi="Times New Roman"/>
          <w:sz w:val="20"/>
        </w:rPr>
      </w:pPr>
      <w:bookmarkStart w:id="15" w:name="item_1a_risk_factors"/>
      <w:bookmarkEnd w:id="15"/>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i/>
          <w:sz w:val="20"/>
        </w:rPr>
        <w:t>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pStyle w:val="TextBody"/>
        <w:bidi w:val="0"/>
        <w:spacing w:before="240" w:after="0"/>
        <w:jc w:val="center"/>
        <w:rPr>
          <w:rFonts w:ascii="Times New Roman;serif" w:hAnsi="Times New Roman;serif"/>
          <w:b/>
          <w:sz w:val="20"/>
        </w:rPr>
      </w:pPr>
      <w:r>
        <w:rPr>
          <w:rFonts w:ascii="Times New Roman;serif" w:hAnsi="Times New Roman;serif"/>
          <w:b/>
          <w:sz w:val="20"/>
        </w:rPr>
        <w:t>Summary Risk Factors</w:t>
      </w:r>
    </w:p>
    <w:p>
      <w:pPr>
        <w:pStyle w:val="TextBody"/>
        <w:bidi w:val="0"/>
        <w:spacing w:before="120" w:after="0"/>
        <w:jc w:val="left"/>
        <w:rPr>
          <w:rFonts w:ascii="Times New Roman" w:hAnsi="Times New Roman"/>
          <w:sz w:val="20"/>
        </w:rPr>
      </w:pPr>
      <w:r>
        <w:rPr>
          <w:rFonts w:ascii="Times New Roman;serif" w:hAnsi="Times New Roman;serif"/>
          <w:b w:val="false"/>
          <w:sz w:val="20"/>
        </w:rPr>
        <w:t>We face risks and uncertainties related to our business, many of which are beyond our control.</w:t>
      </w:r>
      <w:r>
        <w:rPr>
          <w:rFonts w:ascii="Times New Roman" w:hAnsi="Times New Roman"/>
          <w:sz w:val="20"/>
        </w:rPr>
        <w:t xml:space="preserve"> </w:t>
      </w:r>
      <w:r>
        <w:rPr>
          <w:rFonts w:ascii="Times New Roman;serif" w:hAnsi="Times New Roman;serif"/>
          <w:b w:val="false"/>
          <w:sz w:val="20"/>
        </w:rPr>
        <w:t>In particular, risks associated with our business include: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BUSINESS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products that we or our collaboration partner are commercializing may only achieve a limited degree of commercial success.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Manufacturing risks may adversely affect our ability to manufacture our products and Tyvaso DPI, which could reduce our gross margin and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third-party payers do not cover our approved products, such products might not be prescribed, used or purchased, which would adversely affect our revenues.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need to raise additional capital to fund our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results of operations will fluctuate for the foreseeable future, which may make it difficult to predict our future performance from period to period.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history of operating losses. We expect to incur losses in the future and we may not generate positive cash flow from operations in the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generate sufficient cash to service all of our indebtedness and commitments.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long-term safety and efficacy of approved products may differ from clinical studies, which could negatively impact sales and could lead to reputational harm or other negative effects.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and product candidates may be rendered obsolete by rapid technological change.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may undertake internal restructuring activities in the future that could result in disruptions to our business or otherwise materially harm our results of operations or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36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stringent, ongoing government regulation.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360" w:after="0"/>
        <w:jc w:val="left"/>
        <w:rPr>
          <w:rFonts w:ascii="Times New Roman;serif" w:hAnsi="Times New Roman;serif"/>
          <w:b/>
          <w:sz w:val="20"/>
        </w:rPr>
      </w:pPr>
      <w:r>
        <w:rPr>
          <w:rFonts w:ascii="Times New Roman;serif" w:hAnsi="Times New Roman;serif"/>
          <w:b/>
          <w:sz w:val="20"/>
        </w:rPr>
        <w:t>RISKS RELATED TO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stock price is volatile.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36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Unstable market, economic and geopolitical conditions may have serious adverse consequences on our business, financial condition and stock price.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spacing w:before="240" w:after="0"/>
        <w:jc w:val="center"/>
        <w:rPr>
          <w:rFonts w:ascii="Times New Roman;serif" w:hAnsi="Times New Roman;serif"/>
          <w:b/>
          <w:sz w:val="20"/>
        </w:rPr>
      </w:pPr>
      <w:r>
        <w:rPr>
          <w:rFonts w:ascii="Times New Roman;serif" w:hAnsi="Times New Roman;serif"/>
          <w:b/>
          <w:sz w:val="20"/>
        </w:rPr>
        <w:t>Risk Factors</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BUSINESS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products that we or our collaboration partner are commercializing may only achieve a limited degree of commercial success.*</w:t>
      </w:r>
    </w:p>
    <w:p>
      <w:pPr>
        <w:pStyle w:val="TextBody"/>
        <w:bidi w:val="0"/>
        <w:spacing w:before="120" w:after="0"/>
        <w:jc w:val="left"/>
        <w:rPr>
          <w:rFonts w:ascii="Times New Roman" w:hAnsi="Times New Roman"/>
          <w:sz w:val="20"/>
        </w:rPr>
      </w:pPr>
      <w:r>
        <w:rPr>
          <w:rFonts w:ascii="Times New Roman;serif" w:hAnsi="Times New Roman;serif"/>
          <w:b w:val="false"/>
          <w:sz w:val="20"/>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The products, including products that we commercialize ourselves and any products that we may develop or acquire in the future, and the product that is commercialized by our collaboration partner and future products that may be commercialized by a collaboration partner, may not gain market acceptance among physicians, patients,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third-party payers and the healthcare community. The degree of market acceptance of our or a collaboration partner’s products depends on many factors,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approved labeling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willingness of the healthcare community and patients to adopt new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ability to manufacture the product in sufficient quantities with acceptable quality and cost;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perception of patients and the healthcare community, including third-party payers, regarding the safety, efficacy and benefits compared to competing products or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convenience and ease of administration relative to existing treatment methods;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coverage and reimbursement, as well as pricing relative to other treatment therapeutics and methods;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marketing and distribution support.</w:t>
      </w:r>
    </w:p>
    <w:p>
      <w:pPr>
        <w:pStyle w:val="TextBody"/>
        <w:bidi w:val="0"/>
        <w:spacing w:before="120" w:after="0"/>
        <w:jc w:val="left"/>
        <w:rPr>
          <w:rFonts w:ascii="Times New Roman" w:hAnsi="Times New Roman"/>
          <w:sz w:val="20"/>
        </w:rPr>
      </w:pPr>
      <w:r>
        <w:rPr>
          <w:rFonts w:ascii="Times New Roman;serif" w:hAnsi="Times New Roman;serif"/>
          <w:b w:val="false"/>
          <w:sz w:val="20"/>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or our current or any future collaboration partner may need to enhance our/their commercialization capabilities in order to successfully commercialize such products in the United States or any other jurisdiction in which the product is approved for commercial sale, and we or the collaboration partner may not have sufficient resources to do so.</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order to successfully commercialize our products in the United States, we have built a sales force that promotes Afrezza and V-Go to endocrinologists and selected primary care physicians. In order to successfully commercialize any approved products, we must continue to build our sales, marketing, distribution, managerial and other non-technical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recruit, retain and effectively manage adequate numbers of effective sales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lack of complementary products to be offered by sales personnel, which may put us at a competitive disadvantage relative to companies that have more extensive product lines;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unforeseen delays, costs and expenses associated with maintaining our sales organization.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maintain an effective sales force for our products, including any other potential future approved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Manufacturing risks may adversely affect our ability to manufacture our products and Tyvaso DPI, which and could reduce our gross margin and profitability.*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pStyle w:val="TextBody"/>
        <w:bidi w:val="0"/>
        <w:spacing w:before="240" w:after="0"/>
        <w:jc w:val="left"/>
        <w:rPr>
          <w:rFonts w:ascii="Times New Roman" w:hAnsi="Times New Roman"/>
          <w:sz w:val="20"/>
        </w:rPr>
      </w:pPr>
      <w:r>
        <w:rPr>
          <w:rFonts w:ascii="Times New Roman;serif" w:hAnsi="Times New Roman;serif"/>
          <w:b w:val="false"/>
          <w:sz w:val="20"/>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experience shortages of qualified personnel, which could impact our ability to meet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manufacturing requirements. There is also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political and economic conditions, particularly those potentially negatively affecting the trade relationship between the United States and China;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trade protection measures, such as tariff increases, and import and export licensing and control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potentially negative consequences from changes in tax laws;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associated with the Chinese legal system, including increased costs and uncertainties associated with enforcing contractual obligations in China;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historically lower protection of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unexpected or unfavorable changes in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and volatility in currency exchange rates;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possible patient or physician preferences for more established pharmaceutical products and medical devices manufactured in the United States;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difficulties in managing foreign relationships and operations generally.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risks are likely to be exacerbated by our limited experience with V-Go and its manufacturing processes. As demand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0"/>
        <w:jc w:val="left"/>
        <w:rPr>
          <w:rFonts w:ascii="Times New Roman" w:hAnsi="Times New Roman"/>
          <w:sz w:val="20"/>
        </w:rPr>
      </w:pPr>
      <w:r>
        <w:rPr>
          <w:rFonts w:ascii="Times New Roman;serif" w:hAnsi="Times New Roman;serif"/>
          <w:b w:val="false"/>
          <w:sz w:val="20"/>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(“cGMP”) for drug products, and the molding of the inhaler and cartridges components in accordance with quality system regulations (“QSRs”).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Because we do not have long-standing relationships with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third-party payers do not cover our approved products, such products might not be prescribed, used or purchased, which would adversely affect our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or IRA, which was signed into law in August 2022, limits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need to raise additional capital to fund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degree to which we are able to generate revenue from products that we or a collaboration partner commercialize;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developing Afrezza and of commercializing Afrezza and V-Go on our own in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degree to which revenue from Afrezza exceeds or does not exceed the minimum revenue covenants under our credit and security agreement with MidCap Financial Trust (the “MidCap credit facility”), if applicable;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demand by any or all of the holders of our debt instruments to require us to repay or repurchase such debt securities if and when required;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repay or refinance existing indebtedness, and the extent to which our notes with conversion options or any other convertible debt securities we may issue are converted into or exchanged for shares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rate of progress and costs of our clinical studies and R&amp;D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procuring raw materials and operating our manufacturing facility;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obligation to make lease payments and milestone payments;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actions taken by the FDA and other regulatory authorities affecting Afrezza, V-Go, Tyvaso DPI, our product candidates or competitive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emergence of competing technologies and products and other market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preparing, filing, prosecuting, maintaining and enforcing patent claims and other intellectual property rights or defending against claims of infringement by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level of our legal and litigation expenses;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costs of discontinuing projects and technologies, and/or decommissioning existing facilities, if we undertake any such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expect that our results of operations will fluctuate for the foreseeable future, which may make it difficult to predict our future performance from period to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comparisons from period to period of our financial results are not necessarily meaningful and should not be relied upon as indications of our future performance.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have a history of operating losses. We expect to incur losses in the future and we may not generate positive cash flow from operations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profitable and have rarely generated positive net cash flow from operations. As of June 30, 2023,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to incur increasing operating losses in the future in order to continue commercializing our products and to advance development of product candidates in our pipeline. In addition, under our Insulin Supply Agreement with Amphastar, we agreed to purchase certain annual minimum quantities of insulin through 2027. As of June 30, 2023, there was approximately $69.2 million remaining in aggregate purchase commitments under this agreement. We may not have the necessary capital resources to service this contractual commitment.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our products, and although we had positive cash flow from operations during the six months ended June 30, 2023, we may not generate positive cash flow from operations or be profitable in the future.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be able to generate sufficient cash to service all of our indebtedness and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make scheduled payments on our purchase commitments and debt obligations will depend on our financial and operating performance, which is subject to the commercial success of our products, the extent to which we are able to successfully develop and commercialize additional products,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outstanding term loan under the MidCap credit facility or borrowings under the Senior convertible notes or the Mann Group convertible note when required, we will be in default under the instrument for such debt securities or loans,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the MidCap credit facility requires us, and any debt arrangements we may enter into in the future may require us, to comply with various covenants that limit our ability to,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dispose of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complete mergers or acquisitions;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incur indebtedness or modify existing debt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amend or modify certain material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engage in additional lines of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encumber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pay dividends or make other distributions to holders of our capital stock;</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make specified investments;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 certain key management personnel or organizational documents;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engage in transactions with our affiliates.</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required to comply with additional covenants in the future under certain circumstances. The restrictive covenants in the MidCap credit facility could prevent us from pursuing business opportunities that we or our stockholders may consider beneficial.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breach of any of these covenants could result in an event of default under the MidCap credit facility. If we default on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previously adversely affected by the global COVID-19 pandemic, and a resurgence of the COVID-19 pandemic or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particular, our contract manufacturers in China could be impacted by that country’s recent policy of strict lockdowns in order to reduce the spread of disease. Disruptions in sales and demand for our products would be expected to occur: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patients are physically quarantined or are unable or unwilling to visit healthcare providers,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physicians restrict access to their facilities for a material period of time,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healthcare providers prioritize treatment of acute or communicable illnesses over chronic disease management,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pharmacies are closed or suffering supply chain disruptions,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patients lose access to employer-sponsored health insurance due to periods of high unemployment,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as a result of general disruptions in the operations of payers, distributors, logistics providers and other third parties that are necessary for our products to be prescribed and reimbursed.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clinical trials of our products previously experienced delays as a result of the COVID-19 pandemic and may be affected by a resurgence in the COVID-19 pandemic or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120" w:after="0"/>
        <w:jc w:val="left"/>
        <w:rPr>
          <w:rFonts w:ascii="Times New Roman" w:hAnsi="Times New Roman"/>
          <w:sz w:val="20"/>
        </w:rPr>
      </w:pPr>
      <w:r>
        <w:rPr>
          <w:rFonts w:ascii="Times New Roman;serif" w:hAnsi="Times New Roman;serif"/>
          <w:b w:val="false"/>
          <w:sz w:val="20"/>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analysis of data collected from clinical studies of our product candidates may not reach the statistical significance necessary, or otherwise be sufficient to support FDA or other regulatory approval for the claimed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after reviewing clinical data, we or any collaborators may abandon projects that we previously believed were promising;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disruptions caused by man-made or natural disasters or public health pandemics or epidemics or other business interruptions.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rate of progress, costs and results of our clinical studies and preclinical research and development activities;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identify and enroll patients who meet clinical study eligibility criteria;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expanding and maintaining manufacturing operations, as necessary;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to which our clinical studies compete for clinical sites and eligible subjects with clinical studies sponsored by other companies;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actions by regulators;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disruptions caused by geopolitical conflicts, man-made or natural disasters or public health pandemics or epidemics or other business interruptions.</w:t>
      </w:r>
    </w:p>
    <w:p>
      <w:pPr>
        <w:pStyle w:val="TextBody"/>
        <w:bidi w:val="0"/>
        <w:spacing w:before="120" w:after="0"/>
        <w:jc w:val="left"/>
        <w:rPr>
          <w:rFonts w:ascii="Times New Roman" w:hAnsi="Times New Roman"/>
          <w:sz w:val="20"/>
        </w:rPr>
      </w:pPr>
      <w:r>
        <w:rPr>
          <w:rFonts w:ascii="Times New Roman;serif" w:hAnsi="Times New Roman;serif"/>
          <w:b w:val="false"/>
          <w:sz w:val="20"/>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For example, in June 2023, the contract manufacturer responsible for the production of clofazimine inhalation solution, the investigational product we are developing as MNKD-101, experienced a fire in its manufacturing facility in Germany. As a result of the incident, we estimate the production of clinical supplies of MNKD-101 will be delayed for three to six months, which may impact the initiation of a Phase 2/3 clinical study of MNKD-101 planned for later in 2023. While we are currently evaluating several mitigation strategies, we cannot predict the extent to which such delay will negatively impact our business, financial condition and results of operations. In addition, we may be delayed or prevented from generating revenues from milestone or other payments that depend on our ability to achieve any milestone obligations specified in an out-licensing arrangement.</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long-term safety and efficacy of approved products may differ from clinical studies, which could negatively impact sales and could lead to reputational harm or other negative effects.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V-Go received pre-market clearance in 2010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realize the benefit of our recent acquisition of V-Go or any future acquisition or strategic transaction; we may be unable to successfully integrate new products or businesses we may acquire.*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periodically evaluate and pursue acquisition of therapeutic products. We completed the acquisition of V-Go in May 2022 and it remains to be seen whether the acquisition will further our business strategy as anticipated or generate significant revenues. Moreover,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unanticipated liabilities related to acquired assets, companies or joint ventures;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integrating personnel, operations and systems, while maintaining focus on producing and delivering consistent, high quality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coordinating geographically dispersed organizations;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diversion of management time and focus from operating our business to management of strategic alliances or joint ventures or acquisition integration challenges;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retention of key employees;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increases in our expenses and reductions in our cash available for operations and other uses;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retaining existing customers and attracting new customers;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managing inefficiencies associated with integrating the operations of our company;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possible write-offs or impairment charges relating to acquired assets, businesses or joint ventures.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products and product candidates may be rendered obsolete by rapid technological change.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product liability claims are brought against us, we may incur significant liabilities and suffer damage to our reputation.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lose any key employees or scientific advisors, our operations and our ability to execute our business strategy could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or modifications in financial accounting standards may harm our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Effective January 1, 2022, the Tax Act eliminated the option to deduct research and development expenses for tax purposes in the year incurred and requires taxpayers to capitalize and subsequently amortize such expenses over five years for research activities conducted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ability to use net operating losses to offset future taxable income may be subject to limitations.*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the Company had federal and state net operating loss carryforwards of approximately $2.2 billion and $1.7 billion available, respectively, to reduce future taxable income. $499.6 million of the federal losses do not expire and the remaining federal losses have started expiring, beginning in the current year through various future dates.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2022, to determine whether additional limitations apply to the net operating loss carryforwards and other tax attributes, and no additional changes in ownership that met Section 382 study ownership change threshold has been identified through December 31, 2022. There is a risk that changes in ownership may occur in tax years after December 31, 2022.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Tax authorities may disagree with our positions and conclusions regarding certain tax positions, resulting in unanticipated costs, taxes or non-realization of expected benefits.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operations might be interrupted by the occurrence of a natural disaster or other catastrophic event.</w:t>
      </w:r>
    </w:p>
    <w:p>
      <w:pPr>
        <w:pStyle w:val="TextBody"/>
        <w:bidi w:val="0"/>
        <w:spacing w:before="120" w:after="0"/>
        <w:jc w:val="left"/>
        <w:rPr>
          <w:rFonts w:ascii="Times New Roman" w:hAnsi="Times New Roman"/>
          <w:sz w:val="20"/>
        </w:rPr>
      </w:pPr>
      <w:r>
        <w:rPr>
          <w:rFonts w:ascii="Times New Roman;serif" w:hAnsi="Times New Roman;serif"/>
          <w:b w:val="false"/>
          <w:sz w:val="20"/>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or other catastrophic events, including interruptions in the supply of natural resources, political and governmental changes, severe weather conditions, public health pandemics or epidemics, wars, conflicts (including the current Russia-Ukraine conflict),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deal with hazardous materials and must comply with environmental laws and regulations, which can be expensive and restrict how we do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0"/>
        <w:jc w:val="left"/>
        <w:rPr>
          <w:rFonts w:ascii="Times New Roman" w:hAnsi="Times New Roman"/>
          <w:sz w:val="20"/>
        </w:rPr>
      </w:pPr>
      <w:r>
        <w:rPr>
          <w:rFonts w:ascii="Times New Roman;serif" w:hAnsi="Times New Roman;serif"/>
          <w:b w:val="false"/>
          <w:sz w:val="20"/>
        </w:rPr>
        <w:t>We, and third parties acting on our behalf,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0"/>
        <w:jc w:val="left"/>
        <w:rPr>
          <w:rFonts w:ascii="Times New Roman" w:hAnsi="Times New Roman"/>
          <w:sz w:val="20"/>
        </w:rPr>
      </w:pPr>
      <w:r>
        <w:rPr>
          <w:rFonts w:ascii="Times New Roman;serif" w:hAnsi="Times New Roman;serif"/>
          <w:b w:val="false"/>
          <w:sz w:val="20"/>
        </w:rPr>
        <w:t>We may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may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We have in the past experienced security incident(s).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AI technologies.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0"/>
        <w:jc w:val="left"/>
        <w:rPr>
          <w:rFonts w:ascii="Times New Roman" w:hAnsi="Times New Roman"/>
          <w:sz w:val="20"/>
        </w:rPr>
      </w:pPr>
      <w:r>
        <w:rPr>
          <w:rFonts w:ascii="Times New Roman;serif" w:hAnsi="Times New Roman;serif"/>
          <w:b w:val="false"/>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Adverse developments affecting the financial services industry could adversely affect our current and projected business operations and our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maintain our cash at financial institutions, often in balances that exceed federally insured limits.*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recently took control of SVB, Signature Bank, Silvergate Capital Corp and First Republic Bank.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36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design, development, manufacture and testing;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labeling;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storage and shipping;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pre-market clearance or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advertising and promotion;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product sales and distribution.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comply with regulatory requirements, we may not be able to obtain the labeling claims necessary or desirable for product promotion. We may also be required to undertake post-marketing studies.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are subject to stringent, ongoing government regulation.*</w:t>
      </w:r>
    </w:p>
    <w:p>
      <w:pPr>
        <w:pStyle w:val="TextBody"/>
        <w:bidi w:val="0"/>
        <w:spacing w:before="120" w:after="0"/>
        <w:jc w:val="left"/>
        <w:rPr>
          <w:rFonts w:ascii="Times New Roman" w:hAnsi="Times New Roman"/>
          <w:sz w:val="20"/>
        </w:rPr>
      </w:pPr>
      <w:r>
        <w:rPr>
          <w:rFonts w:ascii="Times New Roman;serif" w:hAnsi="Times New Roman;serif"/>
          <w:b w:val="false"/>
          <w:sz w:val="20"/>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restrictions on the marketing or manufacturing of our product candidates, withdrawal of the product from the market, or voluntary or mandatory product recalls;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revisions to the approved labeling to add new safety information;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fines, warning letters or holds on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refusal by the FDA to approve pending applications or supplements to approved applications filed by us or suspension or revocation of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seizure or detention, or refusal to permit the import or export of our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injunctions or the imposition of civil or criminal penalties.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approval of Afrezza, the FDA required us to conduct certain additional clinical studies of Afrezza. One of these studies, a Phase 3 clinical trial to evaluate the safety and efficacy of Afrezza in 4-17 year-old children and adolescents, is ongoing.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Healthcare legislation may make it more difficult to receive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Education and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caps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expect that PPACA, the IRA,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Physician Payments Sunshine Act under PPACA, which requires certain manufacturers of drugs, devices, biologics, and medical supplies to report annually to Centers for Medicare &amp; Medicaid Services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Because of the breadth of these laws and the narrowness of available statutory exceptions and regulatory safe harbors, it is possible that some of our business activities could be subject to challenge under one or more of such laws. With Afrezza approved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addition, the CCPA imposes obligations on covered businesses, including, but not limited to, providing specific disclosures in privacy notices and affording California consumers, business representatives, and employees who are California residents certain rights related to their personal data. The CCPA provides for administrative fines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operative January 1, 2023, expanded the CCPA’s requirements, including by adding a new right for individuals to correct their personal information and establishing a new California Privacy Protection Agency to implement and enforce the CPRA. Other states also have enacted comprehensive data privacy laws. For example, Virginia passed the Consumer Data Protection Act, and Colorado passed the Colorado Privacy Act, both of which became effective in 2023. While these states, like the CCPA, also exempt some data processed in the context of clinical trials, these developments further complicate compliance efforts, and increase legal risk and compliance costs for us, the third parties upon whom we rely, and our customers. In addition, data privacy and security laws have been proposed at the federal, state, and local levels in recent years, which could further complicate compliance efforts.</w:t>
      </w:r>
    </w:p>
    <w:p>
      <w:pPr>
        <w:pStyle w:val="TextBody"/>
        <w:bidi w:val="0"/>
        <w:spacing w:before="240" w:after="0"/>
        <w:jc w:val="left"/>
        <w:rPr>
          <w:rFonts w:ascii="Times New Roman" w:hAnsi="Times New Roman"/>
          <w:sz w:val="20"/>
        </w:rPr>
      </w:pPr>
      <w:r>
        <w:rPr>
          <w:rFonts w:ascii="Times New Roman;serif" w:hAnsi="Times New Roman;serif"/>
          <w:b w:val="false"/>
          <w:sz w:val="20"/>
        </w:rPr>
        <w:t>Outside the United States, an increasing number of laws, regulations, and industry standards apply to data privacy and security. For example, the General Data Protection Regulation (“GDPR”) and, the United Kingdom’s GDPR (“UK GDPR”), Brazil’s General Data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employees and personnel may use generative artificial intelligence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(which allows for transfers for relevant U.S.-based organizations who self-certify compliance and participate in the Framework), these mechanisms are subject to legal challenges, and there is no assurance that we can satisfy or rely on these reasons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240" w:after="0"/>
        <w:jc w:val="left"/>
        <w:rPr>
          <w:rFonts w:ascii="Times New Roman" w:hAnsi="Times New Roman"/>
          <w:sz w:val="20"/>
        </w:rPr>
      </w:pPr>
      <w:r>
        <w:rPr>
          <w:rFonts w:ascii="Times New Roman;serif" w:hAnsi="Times New Roman;serif"/>
          <w:b/>
          <w:i/>
          <w:sz w:val="20"/>
        </w:rPr>
        <w:t>If we fail to comply with our reporting and payment obligations under the Medicaid Drug Rebate Program or other governmental pricing programs in the United States, we could be subject to additional reimbursement requirements, fines, sanctions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i/>
          <w:sz w:val="20"/>
        </w:rPr>
      </w:pPr>
      <w:r>
        <w:rPr>
          <w:rFonts w:ascii="Times New Roman;serif" w:hAnsi="Times New Roman;serif"/>
          <w:b/>
          <w:i/>
          <w:sz w:val="20"/>
        </w:rPr>
        <w:t>exposure under other laws which could have a material adverse effect on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business could be negatively impacted by environmental, social and corporate governance (ESG) matters or our reporting of such matters.</w:t>
      </w:r>
    </w:p>
    <w:p>
      <w:pPr>
        <w:pStyle w:val="TextBody"/>
        <w:bidi w:val="0"/>
        <w:spacing w:before="120" w:after="0"/>
        <w:jc w:val="left"/>
        <w:rPr>
          <w:rFonts w:ascii="Times New Roman" w:hAnsi="Times New Roman"/>
          <w:sz w:val="20"/>
        </w:rPr>
      </w:pPr>
      <w:r>
        <w:rPr>
          <w:rFonts w:ascii="Times New Roman;serif" w:hAnsi="Times New Roman;serif"/>
          <w:b w:val="false"/>
          <w:sz w:val="20"/>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portfolio of investment securities may require us to register with the SEC as an “investment company” in accordance with the Investment Company Act of 1940 (“‘40 Act”).</w:t>
      </w:r>
    </w:p>
    <w:p>
      <w:pPr>
        <w:pStyle w:val="TextBody"/>
        <w:bidi w:val="0"/>
        <w:spacing w:before="120" w:after="0"/>
        <w:jc w:val="left"/>
        <w:rPr>
          <w:rFonts w:ascii="Times New Roman" w:hAnsi="Times New Roman"/>
          <w:sz w:val="20"/>
        </w:rPr>
      </w:pPr>
      <w:r>
        <w:rPr>
          <w:rFonts w:ascii="Times New Roman;serif" w:hAnsi="Times New Roman;serif"/>
          <w:b w:val="false"/>
          <w:sz w:val="20"/>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are unable to protect our proprietary rights, we may not be able to compete effectively, or operate profitably.</w:t>
      </w:r>
    </w:p>
    <w:p>
      <w:pPr>
        <w:pStyle w:val="TextBody"/>
        <w:bidi w:val="0"/>
        <w:spacing w:before="120" w:after="0"/>
        <w:jc w:val="left"/>
        <w:rPr>
          <w:rFonts w:ascii="Times New Roman" w:hAnsi="Times New Roman"/>
          <w:sz w:val="20"/>
        </w:rPr>
      </w:pPr>
      <w:r>
        <w:rPr>
          <w:rFonts w:ascii="Times New Roman;serif" w:hAnsi="Times New Roman;serif"/>
          <w:b w:val="false"/>
          <w:sz w:val="20"/>
        </w:rPr>
        <w:t>Our commercial success depends, in large part, on our ability to obtain and maintain intellectual property protection for our technology. Our ability to do so will depend on, among other things, complex legal and factual questions, and it should be noted that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or developments. If securities analysts or investors perceive these results to be negative, the market price of our common stock and other securities may decline.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may not obtain trademark registrations for our potential trade names.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spacing w:before="360" w:after="0"/>
        <w:jc w:val="left"/>
        <w:rPr>
          <w:rFonts w:ascii="Times New Roman;serif" w:hAnsi="Times New Roman;serif"/>
          <w:b/>
          <w:sz w:val="20"/>
        </w:rPr>
      </w:pPr>
      <w:r>
        <w:rPr>
          <w:rFonts w:ascii="Times New Roman;serif" w:hAnsi="Times New Roman;serif"/>
          <w:b/>
          <w:sz w:val="20"/>
        </w:rPr>
        <w:t>RISKS RELATED TO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stock price is volatile.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marketing approval for our products outside of the United States and to find collaboration partners for the commercialization of our products in foreign jurisdictions;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estimates of product sales, royalties, prescriptions or other operating metrics;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commercialize other products based on our Technosphere drug delivery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progress and results of preclinical and clinical studies of our product candidates and of post-approval studies of approved products that are required by the FDA;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economic, political or stock market conditions, especially for emerging growth and pharmaceutical market sectors;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geopolitical events, such as the current Russia-Ukraine conflict;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legislative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disruptions caused by man-made or natural disasters or public health pandemics or epidemics or other business interruptions;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structure of the healthcare payment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by us, our collaborators, or our competitors concerning clinical study results, acquisitions, strategic alliances, technological innovations, newly approved commercial products, product discontinuations, or other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of critical materials used in developing and manufacturing our products and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our relationship with any of our current or future collaborators or third 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our patents or proprietary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expense and time associated with, and the extent of our ultimate success in, securing regulatory approvals;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announcements by us concerning our financial condition or operating performance;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securities analysts’ estimates of our financial condition or operating performance;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large blocks of our common stock, including sales by our executive officers, directors and significant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trades of short sellers;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status of any legal proceedings or regulatory matters against or involving us or any of our executive officers and directors;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of these risks, as well as other factors, could cause the market value of our common stock and other securities to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fail to continue to meet all applicable listing requirements, our common stock may be delisted from the Nasdaq Global Market, which could have an adverse impact on the liquidity and market price of our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0"/>
        <w:jc w:val="left"/>
        <w:rPr>
          <w:rFonts w:ascii="Times New Roman" w:hAnsi="Times New Roman"/>
          <w:sz w:val="20"/>
        </w:rPr>
      </w:pPr>
      <w:r>
        <w:rPr>
          <w:rFonts w:ascii="Times New Roman;serif" w:hAnsi="Times New Roman;serif"/>
          <w:b w:val="false"/>
          <w:sz w:val="20"/>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action or proceeding asserting a breach of fiduciary duty owed by any of our current or former directors, officers or other employees to us or our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action or proceeding to interpret, apply, enforce or determine the validity of our amended and restated certificate of incorporation or our amended and restated bylaws;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action or proceeding as to which the Delaware General Corporation Law confers jurisdiction to the Court of Chancery of the State of Delaware;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action asserting a claim against us or any of our directors, officers or other employees that is governed by the internal affairs doctrine.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Because we do not expect to pay dividends in the foreseeable future, you must rely on stock appreciation for any return on any investment in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pStyle w:val="TextBody"/>
        <w:bidi w:val="0"/>
        <w:spacing w:before="240" w:after="0"/>
        <w:jc w:val="left"/>
        <w:rPr>
          <w:rFonts w:ascii="Times New Roman" w:hAnsi="Times New Roman"/>
          <w:sz w:val="20"/>
        </w:rPr>
      </w:pPr>
      <w:r>
        <w:rPr>
          <w:rFonts w:ascii="Times New Roman;serif" w:hAnsi="Times New Roman;serif"/>
          <w:b/>
          <w:i/>
          <w:sz w:val="20"/>
        </w:rPr>
        <w:t>Future sales of shares of our common stock in the public market, or the perception that such sales may occur, may depress our stock price and adversely impact the market price of our common stock and other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Likewise, the issuance of additional shares of our common stock upon the exchange or conversion of the Mann Group convertible note, or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a substantial number of shares of our common stock is reserved for issuance upon the exercise of stock options, the vesting of restricted stock unit awards and purchases under our employee stock purchase program. The issuance or sale of substantial amounts of common stock, or the perception that such issuances or sales may occur, could adversely affect the market price of our common stock and other securities.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Unstable market, economic and geopolitical conditions may have serious adverse consequences on our business, financial condition and stock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April 2023, we elected to pay quarterly interest under the Mann Group convertible note of approximately $0.1 million by issuing the Mann Group 13,192 shares of common stock. See Note 9 – </w:t>
      </w:r>
      <w:r>
        <w:rPr>
          <w:rFonts w:ascii="Times New Roman;serif" w:hAnsi="Times New Roman;serif"/>
          <w:b w:val="false"/>
          <w:i/>
          <w:sz w:val="20"/>
        </w:rPr>
        <w:t>Borrowings</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relied on an exemption from registration provided by Section 3(a)(9) or 4(a)(2) of the Securities Act of 1933, as amended, for the issuance of the shares described above.</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sz w:val="20"/>
        </w:rPr>
        <w:t>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During the three months ended June 30, 2023, one of our executive officers adopted a written trading plan for the orderly disposition of the Company’s securities as set forth in the table below:</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934"/>
        <w:gridCol w:w="146"/>
        <w:gridCol w:w="886"/>
        <w:gridCol w:w="146"/>
        <w:gridCol w:w="829"/>
        <w:gridCol w:w="146"/>
        <w:gridCol w:w="1022"/>
        <w:gridCol w:w="197"/>
        <w:gridCol w:w="272"/>
        <w:gridCol w:w="647"/>
        <w:gridCol w:w="146"/>
        <w:gridCol w:w="146"/>
        <w:gridCol w:w="333"/>
        <w:gridCol w:w="1783"/>
        <w:gridCol w:w="146"/>
        <w:gridCol w:w="146"/>
        <w:gridCol w:w="1280"/>
      </w:tblGrid>
      <w:tr>
        <w:trPr/>
        <w:tc>
          <w:tcPr>
            <w:tcW w:w="1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9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8"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Trading Arrangement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0" w:type="dxa"/>
            <w:tcBorders/>
            <w:vAlign w:val="center"/>
          </w:tcPr>
          <w:p>
            <w:pPr>
              <w:pStyle w:val="TableContents"/>
              <w:bidi w:val="0"/>
              <w:spacing w:before="0" w:after="0"/>
              <w:ind w:left="0" w:right="0" w:hanging="0"/>
              <w:jc w:val="left"/>
              <w:rPr/>
            </w:pPr>
            <w:r>
              <w:rPr/>
              <w:t> </w:t>
            </w:r>
          </w:p>
        </w:tc>
      </w:tr>
      <w:tr>
        <w:trPr/>
        <w:tc>
          <w:tcPr>
            <w:tcW w:w="1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Name and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Rule </w:t>
              <w:br/>
              <w:t>10b5-1</w:t>
            </w:r>
            <w:r>
              <w:rPr>
                <w:rFonts w:ascii="Times New Roman;serif" w:hAnsi="Times New Roman;serif"/>
                <w:b/>
                <w:sz w:val="13"/>
              </w:rPr>
              <w:t>(1)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Non-Rule </w:t>
              <w:br/>
              <w:t>10b5-1</w:t>
            </w:r>
            <w:r>
              <w:rPr>
                <w:rFonts w:ascii="Times New Roman;serif" w:hAnsi="Times New Roman;serif"/>
                <w:b/>
                <w:sz w:val="13"/>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Shares of Common Stock to be Sold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Expiration Date</w:t>
            </w:r>
          </w:p>
        </w:tc>
      </w:tr>
      <w:tr>
        <w:trPr/>
        <w:tc>
          <w:tcPr>
            <w:tcW w:w="193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Stuart A. Tross, EVP</w:t>
              <w:br/>
            </w:r>
            <w:r>
              <w:rPr>
                <w:rFonts w:ascii="Times New Roman;serif" w:hAnsi="Times New Roman;serif"/>
                <w:b w:val="false"/>
                <w:i/>
                <w:sz w:val="20"/>
              </w:rPr>
              <w:t>Chief People and Workplace Officer</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Adoption</w:t>
            </w:r>
          </w:p>
        </w:tc>
        <w:tc>
          <w:tcPr>
            <w:tcW w:w="146"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May 24, 2023</w:t>
            </w:r>
          </w:p>
        </w:tc>
        <w:tc>
          <w:tcPr>
            <w:tcW w:w="146" w:type="dxa"/>
            <w:tcBorders/>
            <w:vAlign w:val="center"/>
          </w:tcPr>
          <w:p>
            <w:pPr>
              <w:pStyle w:val="TableContents"/>
              <w:bidi w:val="0"/>
              <w:spacing w:before="0" w:after="0"/>
              <w:ind w:left="0" w:right="0" w:hanging="0"/>
              <w:jc w:val="center"/>
              <w:rPr/>
            </w:pPr>
            <w:r>
              <w:rPr/>
              <w:t> </w:t>
            </w:r>
          </w:p>
        </w:tc>
        <w:tc>
          <w:tcPr>
            <w:tcW w:w="102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97" w:type="dxa"/>
            <w:tcBorders/>
            <w:vAlign w:val="center"/>
          </w:tcPr>
          <w:p>
            <w:pPr>
              <w:pStyle w:val="TableContents"/>
              <w:bidi w:val="0"/>
              <w:spacing w:before="0" w:after="0"/>
              <w:ind w:left="0" w:right="0" w:hanging="0"/>
              <w:jc w:val="center"/>
              <w:rPr/>
            </w:pPr>
            <w:r>
              <w:rPr/>
              <w:t> </w:t>
            </w:r>
          </w:p>
        </w:tc>
        <w:tc>
          <w:tcPr>
            <w:tcW w:w="272"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33" w:type="dxa"/>
            <w:tcBorders/>
            <w:vAlign w:val="center"/>
          </w:tcPr>
          <w:p>
            <w:pPr>
              <w:pStyle w:val="TableContents"/>
              <w:bidi w:val="0"/>
              <w:spacing w:before="0" w:after="0"/>
              <w:ind w:left="0" w:right="0" w:hanging="0"/>
              <w:jc w:val="left"/>
              <w:rPr/>
            </w:pPr>
            <w:r>
              <w:rPr/>
              <w:t> </w:t>
            </w:r>
          </w:p>
        </w:tc>
        <w:tc>
          <w:tcPr>
            <w:tcW w:w="17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8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May 24, 2024</w:t>
            </w:r>
          </w:p>
        </w:tc>
      </w:tr>
    </w:tbl>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_________________________</w:t>
      </w:r>
    </w:p>
    <w:p>
      <w:pPr>
        <w:pStyle w:val="TextBody"/>
        <w:bidi w:val="0"/>
        <w:spacing w:before="0" w:after="0"/>
        <w:jc w:val="left"/>
        <w:rPr>
          <w:rFonts w:ascii="Times New Roman" w:hAnsi="Times New Roman"/>
          <w:b w:val="false"/>
          <w:sz w:val="14"/>
        </w:rPr>
      </w:pPr>
      <w:r>
        <w:rPr>
          <w:rFonts w:ascii="Times New Roman" w:hAnsi="Times New Roman"/>
          <w:b w:val="false"/>
          <w:sz w:val="14"/>
        </w:rPr>
        <w:t>(1)</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Contract, instruction or written plan intended to satisfy the affirmative defense conditions of Rule 10b5-1(c) under the Exchange Act.</w:t>
      </w:r>
    </w:p>
    <w:p>
      <w:pPr>
        <w:pStyle w:val="TextBody"/>
        <w:bidi w:val="0"/>
        <w:spacing w:before="0" w:after="0"/>
        <w:jc w:val="left"/>
        <w:rPr>
          <w:rFonts w:ascii="Times New Roman" w:hAnsi="Times New Roman"/>
          <w:b w:val="false"/>
          <w:sz w:val="14"/>
        </w:rPr>
      </w:pPr>
      <w:r>
        <w:rPr>
          <w:rFonts w:ascii="Times New Roman" w:hAnsi="Times New Roman"/>
          <w:b w:val="false"/>
          <w:sz w:val="14"/>
        </w:rPr>
        <w:t>(2)</w:t>
      </w:r>
    </w:p>
    <w:p>
      <w:pPr>
        <w:pStyle w:val="TextBody"/>
        <w:bidi w:val="0"/>
        <w:jc w:val="left"/>
        <w:rPr>
          <w:rFonts w:ascii="Times New Roman;serif" w:hAnsi="Times New Roman;serif"/>
          <w:b w:val="false"/>
          <w:sz w:val="18"/>
        </w:rPr>
      </w:pPr>
      <w:r>
        <w:rPr>
          <w:rFonts w:ascii="Times New Roman;serif" w:hAnsi="Times New Roman;serif"/>
          <w:b w:val="false"/>
          <w:sz w:val="18"/>
        </w:rPr>
        <w:t>"Non-Rule 10b5-1 trading arrangement" as defined in Item 408(c) of Regulation S-K under the Exchange Act.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20" w:name="item_6_exhibits"/>
      <w:bookmarkEnd w:id="20"/>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146"/>
        <w:gridCol w:w="9335"/>
      </w:tblGrid>
      <w:tr>
        <w:trPr/>
        <w:tc>
          <w:tcPr>
            <w:tcW w:w="7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35" w:type="dxa"/>
            <w:tcBorders/>
            <w:shd w:fill="FFFFFF" w:val="clear"/>
            <w:vAlign w:val="center"/>
          </w:tcPr>
          <w:p>
            <w:pPr>
              <w:pStyle w:val="TableContents"/>
              <w:bidi w:val="0"/>
              <w:spacing w:before="0" w:after="283"/>
              <w:jc w:val="left"/>
              <w:rPr>
                <w:sz w:val="4"/>
                <w:szCs w:val="4"/>
              </w:rPr>
            </w:pPr>
            <w:r>
              <w:rPr>
                <w:sz w:val="4"/>
                <w:szCs w:val="4"/>
              </w:rPr>
            </w:r>
          </w:p>
        </w:tc>
      </w:tr>
      <w:tr>
        <w:trPr/>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Description of Document</w:t>
            </w:r>
            <w:r>
              <w:rPr>
                <w:rFonts w:ascii="Times New Roman" w:hAnsi="Times New Roman"/>
                <w:sz w:val="16"/>
              </w:rPr>
              <w:t xml:space="preserve"> </w:t>
            </w:r>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(incorporated by reference to Exhibit 3.1 to MannKind’s Quarterly Report on Form 10-Q (File No. 000-50865), filed with the SEC on August 9, 2016).</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3.4</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3.5</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Amended and Restated Bylaws (incorporated by reference to Exhibit 3.2 to MannKind’s Current Report on Form 8-K (File No. 000-50865), filed with the SEC on May 27, 2020).</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r>
              <w:rPr>
                <w:rFonts w:ascii="Times New Roman;serif" w:hAnsi="Times New Roman;serif"/>
                <w:b w:val="false"/>
                <w:sz w:val="20"/>
              </w:rPr>
              <w:t xml:space="preserve">Reference is made to Exhibits </w:t>
            </w:r>
            <w:hyperlink r:id="rId8">
              <w:r>
                <w:rPr>
                  <w:rStyle w:val="InternetLink"/>
                  <w:rFonts w:ascii="Times New Roman;serif" w:hAnsi="Times New Roman;serif"/>
                  <w:b w:val="false"/>
                  <w:sz w:val="20"/>
                  <w:u w:val="single"/>
                </w:rPr>
                <w:t>3.1</w:t>
              </w:r>
            </w:hyperlink>
            <w:r>
              <w:rPr>
                <w:rFonts w:ascii="Times New Roman;serif" w:hAnsi="Times New Roman;serif"/>
                <w:b w:val="false"/>
                <w:sz w:val="20"/>
              </w:rPr>
              <w:t xml:space="preserve">, </w:t>
            </w:r>
            <w:hyperlink r:id="rId9">
              <w:r>
                <w:rPr>
                  <w:rStyle w:val="InternetLink"/>
                  <w:rFonts w:ascii="Times New Roman;serif" w:hAnsi="Times New Roman;serif"/>
                  <w:b w:val="false"/>
                  <w:sz w:val="20"/>
                  <w:u w:val="single"/>
                </w:rPr>
                <w:t>3.2</w:t>
              </w:r>
            </w:hyperlink>
            <w:r>
              <w:rPr>
                <w:rFonts w:ascii="Times New Roman;serif" w:hAnsi="Times New Roman;serif"/>
                <w:b w:val="false"/>
                <w:sz w:val="20"/>
              </w:rPr>
              <w:t xml:space="preserve">, </w:t>
            </w:r>
            <w:hyperlink r:id="rId10">
              <w:r>
                <w:rPr>
                  <w:rStyle w:val="InternetLink"/>
                  <w:rFonts w:ascii="Times New Roman;serif" w:hAnsi="Times New Roman;serif"/>
                  <w:b w:val="false"/>
                  <w:sz w:val="20"/>
                  <w:u w:val="single"/>
                </w:rPr>
                <w:t>3.3</w:t>
              </w:r>
            </w:hyperlink>
            <w:r>
              <w:rPr>
                <w:rFonts w:ascii="Times New Roman;serif" w:hAnsi="Times New Roman;serif"/>
                <w:b w:val="false"/>
                <w:sz w:val="20"/>
              </w:rPr>
              <w:t xml:space="preserve">, </w:t>
            </w:r>
            <w:hyperlink r:id="rId11">
              <w:r>
                <w:rPr>
                  <w:rStyle w:val="InternetLink"/>
                  <w:rFonts w:ascii="Times New Roman;serif" w:hAnsi="Times New Roman;serif"/>
                  <w:b w:val="false"/>
                  <w:sz w:val="20"/>
                  <w:u w:val="single"/>
                </w:rPr>
                <w:t>3.4</w:t>
              </w:r>
            </w:hyperlink>
            <w:r>
              <w:rPr>
                <w:rFonts w:ascii="Times New Roman;serif" w:hAnsi="Times New Roman;serif"/>
                <w:b w:val="false"/>
                <w:sz w:val="20"/>
              </w:rPr>
              <w:t xml:space="preserve">, </w:t>
            </w:r>
            <w:hyperlink r:id="rId12">
              <w:r>
                <w:rPr>
                  <w:rStyle w:val="InternetLink"/>
                  <w:rFonts w:ascii="Times New Roman;serif" w:hAnsi="Times New Roman;serif"/>
                  <w:b w:val="false"/>
                  <w:sz w:val="20"/>
                  <w:u w:val="single"/>
                </w:rPr>
                <w:t>3.5</w:t>
              </w:r>
            </w:hyperlink>
            <w:r>
              <w:rPr>
                <w:rFonts w:ascii="Times New Roman" w:hAnsi="Times New Roman"/>
                <w:sz w:val="20"/>
              </w:rPr>
              <w:t> </w:t>
            </w:r>
            <w:r>
              <w:rPr>
                <w:rFonts w:ascii="Times New Roman;serif" w:hAnsi="Times New Roman;serif"/>
                <w:b w:val="false"/>
                <w:sz w:val="20"/>
              </w:rPr>
              <w:t xml:space="preserve">and </w:t>
            </w:r>
            <w:hyperlink r:id="rId13">
              <w:r>
                <w:rPr>
                  <w:rStyle w:val="InternetLink"/>
                  <w:rFonts w:ascii="Times New Roman;serif" w:hAnsi="Times New Roman;serif"/>
                  <w:b w:val="false"/>
                  <w:sz w:val="20"/>
                  <w:u w:val="single"/>
                </w:rPr>
                <w:t>3.6</w:t>
              </w:r>
            </w:hyperlink>
            <w:r>
              <w:rPr>
                <w:rFonts w:ascii="Times New Roman;serif" w:hAnsi="Times New Roman;serif"/>
                <w:b w:val="false"/>
                <w:sz w:val="20"/>
              </w:rPr>
              <w:t>.</w:t>
            </w:r>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14">
              <w:r>
                <w:rPr>
                  <w:rStyle w:val="InternetLink"/>
                  <w:rFonts w:ascii="Times New Roman;serif" w:hAnsi="Times New Roman;serif"/>
                  <w:b w:val="false"/>
                  <w:sz w:val="20"/>
                  <w:u w:val="single"/>
                </w:rPr>
                <w:t>Form of common stock certificate (incorporated by reference to Exhibit 4.2 to MannKind’s Annual Report on Form 10-K (File No. 000-50865), filed with the SEC on March 16, 2017).</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9335" w:type="dxa"/>
            <w:tcBorders/>
            <w:vAlign w:val="center"/>
          </w:tcPr>
          <w:p>
            <w:pPr>
              <w:pStyle w:val="TableContents"/>
              <w:bidi w:val="0"/>
              <w:spacing w:before="0" w:after="0"/>
              <w:ind w:left="0" w:right="0" w:hanging="0"/>
              <w:jc w:val="left"/>
              <w:rPr/>
            </w:pPr>
            <w:hyperlink r:id="rId15">
              <w:r>
                <w:rPr>
                  <w:rStyle w:val="InternetLink"/>
                  <w:rFonts w:ascii="Times New Roman;serif" w:hAnsi="Times New Roman;serif"/>
                  <w:b w:val="false"/>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4.4</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16">
              <w:r>
                <w:rPr>
                  <w:rStyle w:val="InternetLink"/>
                  <w:rFonts w:ascii="Times New Roman;serif" w:hAnsi="Times New Roman;serif"/>
                  <w:b w:val="false"/>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4.5</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17">
              <w:r>
                <w:rPr>
                  <w:rStyle w:val="InternetLink"/>
                  <w:rFonts w:ascii="Times New Roman;serif" w:hAnsi="Times New Roman;serif"/>
                  <w:b w:val="false"/>
                  <w:sz w:val="20"/>
                  <w:u w:val="single"/>
                </w:rPr>
                <w:t>Convertible Promissory Note made by MannKind Corporation in favor of The Mann Group LLC, dated August 6, 2019 (incorporated by reference to Exhibit 4.6 to MannKind’s Current Report on Form 8-K (File No. 000-50865), filed with the SEC on August 7, 2019).</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4.6</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18">
              <w:r>
                <w:rPr>
                  <w:rStyle w:val="InternetLink"/>
                  <w:rFonts w:ascii="Times New Roman;serif" w:hAnsi="Times New Roman;serif"/>
                  <w:b w:val="false"/>
                  <w:sz w:val="20"/>
                  <w:u w:val="single"/>
                </w:rPr>
                <w:t>Amendment No. 1 to Convertible Promissory Note, dated April 22, 2021, by and between MannKind Corporation and The Mann Group LLC (incorporated by reference to Exhibit 99.2 to MannKind’s Current Report on Form 8-K (File No. 000-50865), filed with the SEC on April 26, 2021).</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4.7</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19">
              <w:r>
                <w:rPr>
                  <w:rStyle w:val="InternetLink"/>
                  <w:rFonts w:ascii="Times New Roman;serif" w:hAnsi="Times New Roman;serif"/>
                  <w:b w:val="false"/>
                  <w:sz w:val="20"/>
                  <w:u w:val="single"/>
                </w:rPr>
                <w:t>Promissory Note made by MannKind Corporation in favor of The Mann Group LLC, dated August 6, 2019 (incorporated by reference to Exhibit 4.7 to MannKind’s Current Report on Form 8-K (File No. 000-50865), filed with the SEC on August 7, 2019).</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4.8</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20">
              <w:r>
                <w:rPr>
                  <w:rStyle w:val="InternetLink"/>
                  <w:rFonts w:ascii="Times New Roman;serif" w:hAnsi="Times New Roman;serif"/>
                  <w:b w:val="false"/>
                  <w:sz w:val="20"/>
                  <w:u w:val="single"/>
                </w:rPr>
                <w:t>Indenture, dated as of March 4, 2021, by and between MannKind Corporation and U.S. Bank National Association, as Trustee (incorporated by reference to Exhibit 4.1 to MannKind’s Current Report on Form 8-K (File No. 000-50865), filed with the SEC on March 5, 2021).</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4.9</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fldChar w:fldCharType="begin"/>
            </w:r>
            <w:r>
              <w:rPr>
                <w:rStyle w:val="InternetLink"/>
                <w:sz w:val="20"/>
                <w:u w:val="single"/>
                <w:b w:val="false"/>
                <w:rFonts w:ascii="Times New Roman;serif" w:hAnsi="Times New Roman;serif"/>
              </w:rPr>
              <w:instrText xml:space="preserve"> HYPERLINK "https://www.sec.gov/Archives/edgar/data/899460/000119312521070265/d45565dex41.htm" \l "exa"</w:instrText>
            </w:r>
            <w:r>
              <w:rPr>
                <w:rStyle w:val="InternetLink"/>
                <w:sz w:val="20"/>
                <w:u w:val="single"/>
                <w:b w:val="false"/>
                <w:rFonts w:ascii="Times New Roman;serif" w:hAnsi="Times New Roman;serif"/>
              </w:rPr>
              <w:fldChar w:fldCharType="separate"/>
            </w:r>
            <w:r>
              <w:rPr>
                <w:rStyle w:val="InternetLink"/>
                <w:rFonts w:ascii="Times New Roman;serif" w:hAnsi="Times New Roman;serif"/>
                <w:b w:val="false"/>
                <w:sz w:val="20"/>
                <w:u w:val="single"/>
              </w:rPr>
              <w:t>Form of Global Note, representing MannKind Corporation’s 2.50% Convertible Senior Notes due 2026 (included as Exhibit A to the Indenture filed as Exhibit 4.15) (incorporated by reference to Exhibit 4.2 to MannKind’s Current Report on Form 8-K (File No. 000-50865), filed with the SEC on March 5, 2021).</w:t>
            </w:r>
            <w:r>
              <w:rPr>
                <w:rStyle w:val="InternetLink"/>
                <w:sz w:val="20"/>
                <w:u w:val="single"/>
                <w:b w:val="false"/>
                <w:rFonts w:ascii="Times New Roman;serif" w:hAnsi="Times New Roman;serif"/>
              </w:rPr>
              <w:fldChar w:fldCharType="end"/>
            </w:r>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10.1</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21">
              <w:r>
                <w:rPr>
                  <w:rStyle w:val="InternetLink"/>
                  <w:rFonts w:ascii="Times New Roman;serif" w:hAnsi="Times New Roman;serif"/>
                  <w:b w:val="false"/>
                  <w:sz w:val="20"/>
                  <w:u w:val="single"/>
                </w:rPr>
                <w:t>MannKind Corporation 2018 Equity Incentive Plan, as amended.</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10.2</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r:id="rId22">
              <w:r>
                <w:rPr>
                  <w:rStyle w:val="InternetLink"/>
                  <w:rFonts w:ascii="Times New Roman;serif" w:hAnsi="Times New Roman;serif"/>
                  <w:b w:val="false"/>
                  <w:sz w:val="20"/>
                  <w:u w:val="single"/>
                </w:rPr>
                <w:t>MannKind Corporation 2004 Employee Stock Purchase Plan, as amended.</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31.1</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w:anchor="mnkd-ex31_1.htm">
              <w:r>
                <w:rPr>
                  <w:rStyle w:val="InternetLink"/>
                  <w:rFonts w:ascii="Times New Roman;serif" w:hAnsi="Times New Roman;serif"/>
                  <w:b w:val="false"/>
                  <w:sz w:val="20"/>
                  <w:u w:val="single"/>
                </w:rPr>
                <w:t>Certification of the Chief Executive Officer pursuant to Rules 13a-14(a) and 15d-14(a) of the Securities Exchange Act of 1934, as amended.</w:t>
              </w:r>
            </w:hyperlink>
          </w:p>
        </w:tc>
      </w:tr>
      <w:tr>
        <w:trPr/>
        <w:tc>
          <w:tcPr>
            <w:tcW w:w="724"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r>
              <w:rPr/>
              <w:t> </w:t>
            </w:r>
          </w:p>
        </w:tc>
      </w:tr>
      <w:tr>
        <w:trPr/>
        <w:tc>
          <w:tcPr>
            <w:tcW w:w="724"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31.2</w:t>
            </w:r>
          </w:p>
        </w:tc>
        <w:tc>
          <w:tcPr>
            <w:tcW w:w="146" w:type="dxa"/>
            <w:tcBorders/>
            <w:vAlign w:val="center"/>
          </w:tcPr>
          <w:p>
            <w:pPr>
              <w:pStyle w:val="TableContents"/>
              <w:bidi w:val="0"/>
              <w:spacing w:before="0" w:after="0"/>
              <w:ind w:left="108" w:right="0" w:hanging="0"/>
              <w:jc w:val="left"/>
              <w:rPr/>
            </w:pPr>
            <w:r>
              <w:rPr/>
              <w:t> </w:t>
            </w:r>
          </w:p>
        </w:tc>
        <w:tc>
          <w:tcPr>
            <w:tcW w:w="9335" w:type="dxa"/>
            <w:tcBorders/>
            <w:vAlign w:val="center"/>
          </w:tcPr>
          <w:p>
            <w:pPr>
              <w:pStyle w:val="TableContents"/>
              <w:bidi w:val="0"/>
              <w:spacing w:before="0" w:after="0"/>
              <w:ind w:left="0" w:right="0" w:hanging="0"/>
              <w:jc w:val="left"/>
              <w:rPr/>
            </w:pPr>
            <w:hyperlink w:anchor="mnkd-ex31_2.htm">
              <w:r>
                <w:rPr>
                  <w:rStyle w:val="InternetLink"/>
                  <w:rFonts w:ascii="Times New Roman;serif" w:hAnsi="Times New Roman;serif"/>
                  <w:b w:val="false"/>
                  <w:sz w:val="20"/>
                  <w:u w:val="single"/>
                </w:rPr>
                <w:t>Certification of the Chief Financial Officer pursuant to Rules 13a-14(a) and 15d-14(a) of the Securities Exchange Act of 1934, as amended.</w:t>
              </w:r>
            </w:hyperlink>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09"/>
        <w:gridCol w:w="146"/>
        <w:gridCol w:w="9350"/>
      </w:tblGrid>
      <w:tr>
        <w:trPr/>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0" w:type="dxa"/>
            <w:tcBorders/>
            <w:shd w:fill="FFFFFF" w:val="clear"/>
            <w:vAlign w:val="center"/>
          </w:tcPr>
          <w:p>
            <w:pPr>
              <w:pStyle w:val="TableContents"/>
              <w:bidi w:val="0"/>
              <w:spacing w:before="0" w:after="283"/>
              <w:jc w:val="left"/>
              <w:rPr>
                <w:sz w:val="4"/>
                <w:szCs w:val="4"/>
              </w:rPr>
            </w:pPr>
            <w:r>
              <w:rPr>
                <w:sz w:val="4"/>
                <w:szCs w:val="4"/>
              </w:rPr>
            </w:r>
          </w:p>
        </w:tc>
      </w:tr>
      <w:tr>
        <w:trPr/>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Description of Document</w:t>
            </w:r>
            <w:r>
              <w:rPr>
                <w:rFonts w:ascii="Times New Roman" w:hAnsi="Times New Roman"/>
                <w:sz w:val="16"/>
              </w:rPr>
              <w:t xml:space="preserve"> </w:t>
            </w:r>
          </w:p>
        </w:tc>
      </w:tr>
      <w:tr>
        <w:trPr/>
        <w:tc>
          <w:tcPr>
            <w:tcW w:w="709"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709"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32.1</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pPr>
            <w:hyperlink w:anchor="mnkd-ex32_1.htm">
              <w:r>
                <w:rPr>
                  <w:rStyle w:val="InternetLink"/>
                  <w:rFonts w:ascii="Times New Roman;serif" w:hAnsi="Times New Roman;serif"/>
                  <w:b w:val="false"/>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709"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709"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32.2</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pPr>
            <w:hyperlink w:anchor="mnkd-ex32_2.htm">
              <w:r>
                <w:rPr>
                  <w:rStyle w:val="InternetLink"/>
                  <w:rFonts w:ascii="Times New Roman;serif" w:hAnsi="Times New Roman;serif"/>
                  <w:b w:val="false"/>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709"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709"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101</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Interactive Data Files pursuant to Rule 405 of Regulation S-T.</w:t>
            </w:r>
          </w:p>
        </w:tc>
      </w:tr>
      <w:tr>
        <w:trPr/>
        <w:tc>
          <w:tcPr>
            <w:tcW w:w="709" w:type="dxa"/>
            <w:tcBorders/>
            <w:vAlign w:val="center"/>
          </w:tcPr>
          <w:p>
            <w:pPr>
              <w:pStyle w:val="TableContents"/>
              <w:bidi w:val="0"/>
              <w:spacing w:before="0" w:after="0"/>
              <w:ind w:left="0" w:right="0" w:firstLine="108"/>
              <w:jc w:val="left"/>
              <w:rPr/>
            </w:pPr>
            <w:r>
              <w:rPr/>
              <w:t> </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709" w:type="dxa"/>
            <w:tcBorders/>
            <w:vAlign w:val="center"/>
          </w:tcPr>
          <w:p>
            <w:pPr>
              <w:pStyle w:val="TableContents"/>
              <w:bidi w:val="0"/>
              <w:spacing w:before="0" w:after="0"/>
              <w:ind w:left="0" w:right="0" w:firstLine="108"/>
              <w:jc w:val="left"/>
              <w:rPr/>
            </w:pPr>
            <w:r>
              <w:rPr/>
              <w:t>  </w:t>
            </w:r>
            <w:r>
              <w:rPr>
                <w:rFonts w:ascii="Times New Roman;serif" w:hAnsi="Times New Roman;serif"/>
                <w:b w:val="false"/>
                <w:sz w:val="20"/>
              </w:rPr>
              <w:t>104</w:t>
            </w:r>
          </w:p>
        </w:tc>
        <w:tc>
          <w:tcPr>
            <w:tcW w:w="146" w:type="dxa"/>
            <w:tcBorders/>
            <w:vAlign w:val="center"/>
          </w:tcPr>
          <w:p>
            <w:pPr>
              <w:pStyle w:val="TableContents"/>
              <w:bidi w:val="0"/>
              <w:spacing w:before="0" w:after="0"/>
              <w:ind w:left="108" w:right="0" w:hanging="0"/>
              <w:jc w:val="left"/>
              <w:rPr/>
            </w:pPr>
            <w:r>
              <w:rPr/>
              <w:t> </w:t>
            </w:r>
          </w:p>
        </w:tc>
        <w:tc>
          <w:tcPr>
            <w:tcW w:w="9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has been formatted in Inline XBRL.</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bookmarkStart w:id="21" w:name="signature"/>
      <w:bookmarkEnd w:id="21"/>
      <w:r>
        <w:rPr>
          <w:rFonts w:ascii="Times New Roman;serif" w:hAnsi="Times New Roman;serif"/>
          <w:b/>
          <w:sz w:val="20"/>
        </w:rPr>
        <w:t>SIGNATURE</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1951"/>
        <w:gridCol w:w="406"/>
        <w:gridCol w:w="640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7, 2023</w:t>
            </w:r>
          </w:p>
        </w:tc>
        <w:tc>
          <w:tcPr>
            <w:tcW w:w="6812"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MANNKIND CORPORATION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406" w:type="dxa"/>
            <w:tcBorders/>
            <w:vAlign w:val="center"/>
          </w:tcPr>
          <w:p>
            <w:pPr>
              <w:pStyle w:val="TableContents"/>
              <w:bidi w:val="0"/>
              <w:spacing w:before="0" w:after="0"/>
              <w:ind w:left="0" w:right="0" w:hanging="0"/>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E. CASTAGNA</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E. Castagna</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(on behalf of the registrant and as the registrant’s 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406" w:type="dxa"/>
            <w:tcBorders/>
            <w:vAlign w:val="center"/>
          </w:tcPr>
          <w:p>
            <w:pPr>
              <w:pStyle w:val="TableContents"/>
              <w:bidi w:val="0"/>
              <w:spacing w:before="0" w:after="0"/>
              <w:ind w:left="0" w:right="0" w:hanging="0"/>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STEVEN B. BINDER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Steven B. Binder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serif" w:hAnsi="Times New Roman;serif"/>
          <w:b/>
          <w:sz w:val="24"/>
        </w:rPr>
      </w:pPr>
      <w:bookmarkStart w:id="22" w:name="mnkd-ex10_1.htm"/>
      <w:bookmarkStart w:id="23" w:name="ksmnkdex10_1"/>
      <w:bookmarkEnd w:id="22"/>
      <w:bookmarkEnd w:id="23"/>
      <w:r>
        <w:rPr>
          <w:rFonts w:ascii="Times New Roman;serif" w:hAnsi="Times New Roman;serif"/>
          <w:b/>
          <w:sz w:val="24"/>
        </w:rPr>
        <w:t>Exhibit 10.1</w:t>
      </w:r>
      <w:r>
        <w:br w:type="page"/>
      </w:r>
    </w:p>
    <w:p>
      <w:pPr>
        <w:pStyle w:val="TextBody"/>
        <w:bidi w:val="0"/>
        <w:spacing w:before="0" w:after="240"/>
        <w:jc w:val="center"/>
        <w:rPr>
          <w:rFonts w:ascii="Times New Roman;serif" w:hAnsi="Times New Roman;serif"/>
          <w:b/>
          <w:smallCaps/>
          <w:sz w:val="28"/>
        </w:rPr>
      </w:pPr>
      <w:r>
        <w:rPr>
          <w:rFonts w:ascii="Times New Roman;serif" w:hAnsi="Times New Roman;serif"/>
          <w:b/>
          <w:smallCaps/>
          <w:sz w:val="28"/>
        </w:rPr>
        <w:t>MannKind Corporation</w:t>
      </w:r>
    </w:p>
    <w:p>
      <w:pPr>
        <w:pStyle w:val="TextBody"/>
        <w:bidi w:val="0"/>
        <w:spacing w:before="0" w:after="240"/>
        <w:jc w:val="center"/>
        <w:rPr>
          <w:rFonts w:ascii="Times New Roman;serif" w:hAnsi="Times New Roman;serif"/>
          <w:b/>
          <w:smallCaps/>
          <w:sz w:val="28"/>
        </w:rPr>
      </w:pPr>
      <w:r>
        <w:rPr>
          <w:rFonts w:ascii="Times New Roman;serif" w:hAnsi="Times New Roman;serif"/>
          <w:b/>
          <w:smallCaps/>
          <w:sz w:val="28"/>
        </w:rPr>
        <w:t>2018 Equity Incentive Plan</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Adopted by the Board of Directors: February 21, 2018</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Approved by the Stockholders: May 16, 2018</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Amended by the Board of Directors: March 23, 2020</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Amendment Approved by the Stockholders: May 21, 2020</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Amended by the Board of Directors: March 17, 2023</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Amendment Approved by the Stockholders: [May 25, 2023]</w:t>
      </w:r>
    </w:p>
    <w:p>
      <w:pPr>
        <w:pStyle w:val="TextBody"/>
        <w:bidi w:val="0"/>
        <w:spacing w:before="0" w:after="240"/>
        <w:jc w:val="center"/>
        <w:rPr/>
      </w:pPr>
      <w:r>
        <w:rPr/>
        <w:t> </w:t>
      </w:r>
    </w:p>
    <w:p>
      <w:pPr>
        <w:pStyle w:val="TextBody"/>
        <w:bidi w:val="0"/>
        <w:spacing w:before="0" w:after="240"/>
        <w:jc w:val="both"/>
        <w:rPr>
          <w:rFonts w:ascii="Times New Roman" w:hAnsi="Times New Roman"/>
          <w:b/>
          <w:sz w:val="24"/>
        </w:rPr>
      </w:pPr>
      <w:r>
        <w:rPr>
          <w:rFonts w:ascii="Times New Roman" w:hAnsi="Times New Roman"/>
          <w:b/>
          <w:sz w:val="24"/>
        </w:rPr>
        <w:t>1.</w:t>
      </w:r>
    </w:p>
    <w:p>
      <w:pPr>
        <w:pStyle w:val="TextBody"/>
        <w:bidi w:val="0"/>
        <w:spacing w:before="0" w:after="240"/>
        <w:jc w:val="both"/>
        <w:rPr/>
      </w:pPr>
      <w:r>
        <w:rPr>
          <w:rFonts w:ascii="Times New Roman;serif" w:hAnsi="Times New Roman;serif"/>
          <w:b/>
          <w:smallCaps/>
          <w:sz w:val="24"/>
        </w:rPr>
        <w:t>General</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Successor to and Continuation of Prior Plans.</w:t>
      </w:r>
      <w:r>
        <w:rPr/>
        <w:t xml:space="preserve"> </w:t>
      </w:r>
      <w:r>
        <w:rPr>
          <w:rFonts w:ascii="Times New Roman;serif" w:hAnsi="Times New Roman;serif"/>
          <w:b w:val="false"/>
          <w:sz w:val="24"/>
        </w:rPr>
        <w:t>The Plan is intended as the successor to and continuation of the MannKind Corporation 2013 Equity Incentive Plan (the “</w:t>
      </w:r>
      <w:r>
        <w:rPr>
          <w:rFonts w:ascii="Times New Roman;serif" w:hAnsi="Times New Roman;serif"/>
          <w:b/>
          <w:i/>
          <w:sz w:val="24"/>
        </w:rPr>
        <w:t>2013 Plan</w:t>
      </w:r>
      <w:r>
        <w:rPr/>
        <w:t>”</w:t>
      </w:r>
      <w:r>
        <w:rPr>
          <w:rFonts w:ascii="Times New Roman;serif" w:hAnsi="Times New Roman;serif"/>
          <w:b w:val="false"/>
          <w:sz w:val="24"/>
        </w:rPr>
        <w:t>) and the MannKind Corporation 2004 Equity Incentive Plan (the “</w:t>
      </w:r>
      <w:r>
        <w:rPr>
          <w:rFonts w:ascii="Times New Roman;serif" w:hAnsi="Times New Roman;serif"/>
          <w:b/>
          <w:i/>
          <w:sz w:val="24"/>
        </w:rPr>
        <w:t>2004 Plan</w:t>
      </w:r>
      <w:r>
        <w:rPr/>
        <w:t>”</w:t>
      </w:r>
      <w:r>
        <w:rPr>
          <w:rFonts w:ascii="Times New Roman;serif" w:hAnsi="Times New Roman;serif"/>
          <w:b w:val="false"/>
          <w:sz w:val="24"/>
        </w:rPr>
        <w:t>, and together with the 2013 Plan, the “</w:t>
      </w:r>
      <w:r>
        <w:rPr>
          <w:rFonts w:ascii="Times New Roman;serif" w:hAnsi="Times New Roman;serif"/>
          <w:b/>
          <w:i/>
          <w:sz w:val="24"/>
        </w:rPr>
        <w:t>Prior Plans</w:t>
      </w:r>
      <w:r>
        <w:rPr/>
        <w:t>”</w:t>
      </w:r>
      <w:r>
        <w:rPr>
          <w:rFonts w:ascii="Times New Roman;serif" w:hAnsi="Times New Roman;serif"/>
          <w:b w:val="false"/>
          <w:sz w:val="24"/>
        </w:rPr>
        <w:t>). Following the Effective Date, no additional stock awards may be granted under the Prior Plans. Any unallocated shares remaining available for grant under the Prior Plans as of 12:01 a.m., Pacific Time on the Effective Date (the “</w:t>
      </w:r>
      <w:r>
        <w:rPr>
          <w:rFonts w:ascii="Times New Roman;serif" w:hAnsi="Times New Roman;serif"/>
          <w:b/>
          <w:i/>
          <w:sz w:val="24"/>
        </w:rPr>
        <w:t>Prior Plans’ Available Reserve</w:t>
      </w:r>
      <w:r>
        <w:rPr/>
        <w:t>”</w:t>
      </w:r>
      <w:r>
        <w:rPr>
          <w:rFonts w:ascii="Times New Roman;serif" w:hAnsi="Times New Roman;serif"/>
          <w:b w:val="false"/>
          <w:sz w:val="24"/>
        </w:rPr>
        <w:t>) will cease to be available under such Prior Plans at such time and will be added to the Share Reserve (as further described in Section 3(a) below) and be then immediately available for grant and issuance pursuant to Stock Awards granted under the Plan. In addition, from and after 12:01 a.m., Pacific Time</w:t>
      </w:r>
      <w:r>
        <w:rPr/>
        <w:t xml:space="preserve"> </w:t>
      </w:r>
      <w:r>
        <w:rPr>
          <w:rFonts w:ascii="Times New Roman;serif" w:hAnsi="Times New Roman;serif"/>
          <w:b w:val="false"/>
          <w:sz w:val="24"/>
        </w:rPr>
        <w:t xml:space="preserve">on the Effective Date, all outstanding stock awards granted under the Prior Plans will remain subject to the terms of such Prior Plans, as applicable; </w:t>
      </w:r>
      <w:r>
        <w:rPr>
          <w:rFonts w:ascii="Times New Roman;serif" w:hAnsi="Times New Roman;serif"/>
          <w:b w:val="false"/>
          <w:i/>
          <w:sz w:val="24"/>
        </w:rPr>
        <w:t>provided, however</w:t>
      </w:r>
      <w:r>
        <w:rPr>
          <w:rFonts w:ascii="Times New Roman;serif" w:hAnsi="Times New Roman;serif"/>
          <w:b w:val="false"/>
          <w:sz w:val="24"/>
        </w:rPr>
        <w:t>, that any shares subject to outstanding stock awards granted under the Prior Plans that (i) expire or terminate for any reason prior to exercise or settlement, (ii) are forfeited, cancelled or otherwise returned to the Company because of the failure to meet a contingency or condition required for the vesting of such shares, or (iii) other than with respect to outstanding options and stock appreciation rights granted under the Prior Plans, with respect to which the exercise or strike price is at least one hundred percent (100%) of the Fair Market Value of the Common Stock subject to the option or stock appreciation right on the date of grant (the “</w:t>
      </w:r>
      <w:r>
        <w:rPr>
          <w:rFonts w:ascii="Times New Roman;serif" w:hAnsi="Times New Roman;serif"/>
          <w:b/>
          <w:i/>
          <w:sz w:val="24"/>
        </w:rPr>
        <w:t>Prior Plans’ Appreciation Awards</w:t>
      </w:r>
      <w:r>
        <w:rPr/>
        <w:t>”</w:t>
      </w:r>
      <w:r>
        <w:rPr>
          <w:rFonts w:ascii="Times New Roman;serif" w:hAnsi="Times New Roman;serif"/>
          <w:b w:val="false"/>
          <w:sz w:val="24"/>
        </w:rPr>
        <w:t>), are reacquired or withheld (or not issued) by the Company to satisfy a tax withholding obligation in connection with a stock award (collectively, the “</w:t>
      </w:r>
      <w:r>
        <w:rPr>
          <w:rFonts w:ascii="Times New Roman;serif" w:hAnsi="Times New Roman;serif"/>
          <w:b/>
          <w:i/>
          <w:sz w:val="24"/>
        </w:rPr>
        <w:t>Prior Plans’ Returning Shares</w:t>
      </w:r>
      <w:r>
        <w:rPr/>
        <w:t>”</w:t>
      </w:r>
      <w:r>
        <w:rPr>
          <w:rFonts w:ascii="Times New Roman;serif" w:hAnsi="Times New Roman;serif"/>
          <w:b w:val="false"/>
          <w:sz w:val="24"/>
        </w:rPr>
        <w:t>) will immediately be added to the Share Reserve (as further described in Section 3(a) below) as and when such shares become Prior Plans’ Returning Shares and become available for issuance pursuant to Awards granted hereunder. All Stock Awards granted on or after 12:01 a.m., Pacific Time on the Effective Date will be subject to the terms of this Plan.</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Eligible Award Recipients.</w:t>
      </w:r>
      <w:r>
        <w:rPr/>
        <w:t xml:space="preserve"> </w:t>
      </w:r>
      <w:r>
        <w:rPr>
          <w:rFonts w:ascii="Times New Roman;serif" w:hAnsi="Times New Roman;serif"/>
          <w:b w:val="false"/>
          <w:sz w:val="24"/>
        </w:rPr>
        <w:t>Employees, Directors and Consultants are eligible to receive Stock Awards.</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Available Stock Awards.</w:t>
      </w:r>
      <w:r>
        <w:rPr/>
        <w:t xml:space="preserve"> </w:t>
      </w:r>
      <w:r>
        <w:rPr>
          <w:rFonts w:ascii="Times New Roman;serif" w:hAnsi="Times New Roman;serif"/>
          <w:b w:val="false"/>
          <w:sz w:val="24"/>
        </w:rPr>
        <w:t>The Plan provides for the grant of the following types of Stock Awards: (i) Incentive Stock Options, (ii) Nonstatutory Stock Options, (iii) Stock Appreciation Rights, (iv) Restricted Stock Awards, (v) Restricted Stock Unit Awards, (vi) Performance Stock Awards, and (vii) Other Stock Awards.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Purpose.</w:t>
      </w:r>
      <w:r>
        <w:rPr/>
        <w:t xml:space="preserve"> </w:t>
      </w:r>
      <w:r>
        <w:rPr>
          <w:rFonts w:ascii="Times New Roman;serif" w:hAnsi="Times New Roman;serif"/>
          <w:b w:val="false"/>
          <w:sz w:val="24"/>
        </w:rPr>
        <w:t>The Plan, through the granting of Stock Awards, is intended to help the Company and any Affiliate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pStyle w:val="TextBody"/>
        <w:bidi w:val="0"/>
        <w:spacing w:before="0" w:after="240"/>
        <w:jc w:val="both"/>
        <w:rPr>
          <w:rFonts w:ascii="Times New Roman" w:hAnsi="Times New Roman"/>
          <w:b/>
          <w:sz w:val="24"/>
        </w:rPr>
      </w:pPr>
      <w:r>
        <w:rPr>
          <w:rFonts w:ascii="Times New Roman" w:hAnsi="Times New Roman"/>
          <w:b/>
          <w:sz w:val="24"/>
        </w:rPr>
        <w:t>2.</w:t>
      </w:r>
    </w:p>
    <w:p>
      <w:pPr>
        <w:pStyle w:val="TextBody"/>
        <w:bidi w:val="0"/>
        <w:spacing w:before="0" w:after="240"/>
        <w:jc w:val="both"/>
        <w:rPr/>
      </w:pPr>
      <w:r>
        <w:rPr>
          <w:rFonts w:ascii="Times New Roman;serif" w:hAnsi="Times New Roman;serif"/>
          <w:b/>
          <w:smallCaps/>
          <w:sz w:val="24"/>
        </w:rPr>
        <w:t>Administration</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Administration by Board.</w:t>
      </w:r>
      <w:r>
        <w:rPr/>
        <w:t xml:space="preserve"> </w:t>
      </w:r>
      <w:r>
        <w:rPr>
          <w:rFonts w:ascii="Times New Roman;serif" w:hAnsi="Times New Roman;serif"/>
          <w:b w:val="false"/>
          <w:sz w:val="24"/>
        </w:rPr>
        <w:t>The Board will administer the Plan. The Board may delegate administration of the Plan to a Committee or Committees, as provided in Section 2(c).</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Powers of Board.</w:t>
      </w:r>
      <w:r>
        <w:rPr/>
        <w:t xml:space="preserve"> </w:t>
      </w:r>
      <w:r>
        <w:rPr>
          <w:rFonts w:ascii="Times New Roman;serif" w:hAnsi="Times New Roman;serif"/>
          <w:b w:val="false"/>
          <w:sz w:val="24"/>
        </w:rPr>
        <w:t>The Board will have the power, subject to, and within the limitations of, the express provisions of the Plan:</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settle all controversies regarding the Plan and Stock Awards granted under it.</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accelerate, in whole or in part, the time at which a Stock Award may be exercised or vest (or the time at which cash or shares of Common Stock may be issued in settlement thereof).</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suspend or terminate the Plan at any time. Except as otherwise provided in the Plan or a Stock Award Agreement, suspension or termination of the Plan will not materially impair a Participant’s rights under his or her then-outstanding Stock Award without his or her written consent except as provided in subsection (viii) below.</w:t>
      </w:r>
    </w:p>
    <w:p>
      <w:pPr>
        <w:pStyle w:val="TextBody"/>
        <w:bidi w:val="0"/>
        <w:spacing w:before="0" w:after="240"/>
        <w:jc w:val="both"/>
        <w:rPr>
          <w:rFonts w:ascii="Times New Roman" w:hAnsi="Times New Roman"/>
          <w:b/>
          <w:sz w:val="24"/>
        </w:rPr>
      </w:pPr>
      <w:r>
        <w:rPr>
          <w:rFonts w:ascii="Times New Roman" w:hAnsi="Times New Roman"/>
          <w:b/>
          <w:sz w:val="24"/>
        </w:rPr>
        <w:t>(vi)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To amend the Plan in any respect the Board deems necessary or advisable, including, without limitation, by adopting amendments relating to Incentive Stock Options and certain nonqualified deferred compensation under Section 409A of the Code and/or to make the Plan or Stock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receive Stock Awards under the Plan, (C) materially increases the benefits accruing to Participants under the Plan, (D) materially reduces the price at which shares of Common Stock may be issued or purchased under the Plan, or (E) materially expands the types of Stock Awards available for issuance under the Plan. Except as provided in the Plan (including Section 2(b)(viii)) or a Stock Award Agreement, no amendment of the Plan will materially impair a Participant’s rights under an outstanding Stock Award without the Participant’s written consent.</w:t>
      </w:r>
    </w:p>
    <w:p>
      <w:pPr>
        <w:pStyle w:val="TextBody"/>
        <w:bidi w:val="0"/>
        <w:spacing w:before="0" w:after="240"/>
        <w:jc w:val="both"/>
        <w:rPr>
          <w:rFonts w:ascii="Times New Roman" w:hAnsi="Times New Roman"/>
          <w:b/>
          <w:sz w:val="24"/>
        </w:rPr>
      </w:pPr>
      <w:r>
        <w:rPr>
          <w:rFonts w:ascii="Times New Roman" w:hAnsi="Times New Roman"/>
          <w:b/>
          <w:sz w:val="24"/>
        </w:rPr>
        <w:t>(vii)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submit any amendment to the Plan for stockholder approval, including, but not limited to, amendments to the Plan intended to satisfy the requirements of (A) Section 422 of the Code regarding incentive stock options or (B) Rule 16b-3.</w:t>
      </w:r>
    </w:p>
    <w:p>
      <w:pPr>
        <w:pStyle w:val="TextBody"/>
        <w:bidi w:val="0"/>
        <w:spacing w:before="0" w:after="240"/>
        <w:jc w:val="both"/>
        <w:rPr>
          <w:rFonts w:ascii="Times New Roman" w:hAnsi="Times New Roman"/>
          <w:b/>
          <w:sz w:val="24"/>
        </w:rPr>
      </w:pPr>
      <w:r>
        <w:rPr>
          <w:rFonts w:ascii="Times New Roman" w:hAnsi="Times New Roman"/>
          <w:b/>
          <w:sz w:val="24"/>
        </w:rPr>
        <w:t>(viii)</w:t>
      </w:r>
    </w:p>
    <w:p>
      <w:pPr>
        <w:pStyle w:val="TextBody"/>
        <w:bidi w:val="0"/>
        <w:spacing w:before="0" w:after="240"/>
        <w:jc w:val="both"/>
        <w:rPr/>
      </w:pPr>
      <w:r>
        <w:rPr>
          <w:rFonts w:ascii="Times New Roman;serif" w:hAnsi="Times New Roman;serif"/>
          <w:b w:val="false"/>
          <w:sz w:val="24"/>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Times New Roman;serif" w:hAnsi="Times New Roman;serif"/>
          <w:b w:val="false"/>
          <w:i/>
          <w:sz w:val="24"/>
        </w:rPr>
        <w:t>provided, however,</w:t>
      </w:r>
      <w:r>
        <w:rPr/>
        <w:t xml:space="preserve"> </w:t>
      </w:r>
      <w:r>
        <w:rPr>
          <w:rFonts w:ascii="Times New Roman;serif" w:hAnsi="Times New Roman;serif"/>
          <w:b w:val="false"/>
          <w:sz w:val="24"/>
        </w:rPr>
        <w:t>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 or listing requirements.</w:t>
      </w:r>
    </w:p>
    <w:p>
      <w:pPr>
        <w:pStyle w:val="TextBody"/>
        <w:bidi w:val="0"/>
        <w:spacing w:before="0" w:after="240"/>
        <w:jc w:val="both"/>
        <w:rPr>
          <w:rFonts w:ascii="Times New Roman" w:hAnsi="Times New Roman"/>
          <w:b/>
          <w:sz w:val="24"/>
        </w:rPr>
      </w:pPr>
      <w:r>
        <w:rPr>
          <w:rFonts w:ascii="Times New Roman" w:hAnsi="Times New Roman"/>
          <w:b/>
          <w:sz w:val="24"/>
        </w:rPr>
        <w:t>(ix)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Generally, to exercise such powers and to perform such acts as the Board deems necessary or expedient to promote the best interests of the Company and that are not in conflict with the provisions of the Plan or Stock Awards.</w:t>
      </w:r>
    </w:p>
    <w:p>
      <w:pPr>
        <w:pStyle w:val="TextBody"/>
        <w:bidi w:val="0"/>
        <w:spacing w:before="0" w:after="240"/>
        <w:jc w:val="both"/>
        <w:rPr>
          <w:rFonts w:ascii="Times New Roman" w:hAnsi="Times New Roman"/>
          <w:b/>
          <w:sz w:val="24"/>
        </w:rPr>
      </w:pPr>
      <w:r>
        <w:rPr>
          <w:rFonts w:ascii="Times New Roman" w:hAnsi="Times New Roman"/>
          <w:b/>
          <w:sz w:val="24"/>
        </w:rPr>
        <w:t>(x)</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Delegation to Committee.</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General.</w:t>
      </w:r>
      <w:r>
        <w:rPr/>
        <w:t xml:space="preserve"> </w:t>
      </w:r>
      <w:r>
        <w:rPr>
          <w:rFonts w:ascii="Times New Roman;serif" w:hAnsi="Times New Roman;serif"/>
          <w:b w:val="false"/>
          <w:sz w:val="24"/>
        </w:rPr>
        <w:t xml:space="preserve">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rFonts w:ascii="Times New Roman;serif" w:hAnsi="Times New Roman;serif"/>
          <w:b/>
          <w:sz w:val="24"/>
        </w:rPr>
        <w:t>Rule 16b-3 Compliance.</w:t>
      </w:r>
      <w:r>
        <w:rPr/>
        <w:t xml:space="preserve"> </w:t>
      </w:r>
      <w:r>
        <w:rPr>
          <w:rFonts w:ascii="Times New Roman;serif" w:hAnsi="Times New Roman;serif"/>
          <w:b w:val="false"/>
          <w:sz w:val="24"/>
        </w:rPr>
        <w:t>The Committee may consist solely of two or more Non-Employee Directors, in accordance with Rule 16b-3.</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Delegation to an Officer.</w:t>
      </w:r>
      <w:r>
        <w:rPr/>
        <w:t xml:space="preserve"> </w:t>
      </w:r>
      <w:r>
        <w:rPr>
          <w:rFonts w:ascii="Times New Roman;serif" w:hAnsi="Times New Roman;serif"/>
          <w:b w:val="false"/>
          <w:sz w:val="24"/>
        </w:rPr>
        <w:t xml:space="preserve">The Board may delegate to one or more Officers the authority to do one or both of the following (i) 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Times New Roman;serif" w:hAnsi="Times New Roman;serif"/>
          <w:b w:val="false"/>
          <w:i/>
          <w:sz w:val="24"/>
        </w:rPr>
        <w:t>provided, however</w:t>
      </w:r>
      <w:r>
        <w:rPr>
          <w:rFonts w:ascii="Times New Roman;serif" w:hAnsi="Times New Roman;serif"/>
          <w:b w:val="false"/>
          <w:sz w:val="24"/>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13(t)(iii) below.</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rFonts w:ascii="Times New Roman;serif" w:hAnsi="Times New Roman;serif"/>
          <w:b/>
          <w:sz w:val="24"/>
        </w:rPr>
        <w:t>Effect of Board’s Decision.</w:t>
      </w:r>
      <w:r>
        <w:rPr/>
        <w:t xml:space="preserve"> </w:t>
      </w:r>
      <w:r>
        <w:rPr>
          <w:rFonts w:ascii="Times New Roman;serif" w:hAnsi="Times New Roman;serif"/>
          <w:b w:val="false"/>
          <w:sz w:val="24"/>
        </w:rPr>
        <w:t>All determinations, interpretations and constructions made by the Board in good faith will not be subject to review by any person and will be final, binding and conclusive on all persons.</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rFonts w:ascii="Times New Roman;serif" w:hAnsi="Times New Roman;serif"/>
          <w:b/>
          <w:sz w:val="24"/>
        </w:rPr>
        <w:t>Repricing; Cancellation and Re-Grant of Stock Awards.</w:t>
      </w:r>
      <w:r>
        <w:rPr/>
        <w:t xml:space="preserve"> </w:t>
      </w:r>
      <w:r>
        <w:rPr>
          <w:rFonts w:ascii="Times New Roman;serif" w:hAnsi="Times New Roman;serif"/>
          <w:b w:val="false"/>
          <w:sz w:val="24"/>
        </w:rPr>
        <w:t>Neither the Board nor any Committee will have the authority to (i) reduce the exercise, purchase or strike price of any outstanding Option or SAR under the Plan, or (ii) cancel any outstanding Option or SAR that has an exercise price or strike price greater than the then-current Fair Market Value of the Common Stock in exchange for cash or other Stock Awards under the Plan, unless the stockholders of the Company have approved such an action within 12 months prior to such an event.</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rFonts w:ascii="Times New Roman;serif" w:hAnsi="Times New Roman;serif"/>
          <w:b/>
          <w:sz w:val="24"/>
        </w:rPr>
        <w:t xml:space="preserve">Dividends and Dividend Equivalents. </w:t>
      </w:r>
      <w:r>
        <w:rPr>
          <w:rFonts w:ascii="Times New Roman;serif" w:hAnsi="Times New Roman;serif"/>
          <w:b w:val="false"/>
          <w:sz w:val="24"/>
        </w:rPr>
        <w:t xml:space="preserve">Dividends or dividend equivalents may be paid or credited, as applicable, with respect to any shares of Common Stock subject to a Stock Award, as determined by the Board and contained in the applicable Stock Award Agreement; </w:t>
      </w:r>
      <w:r>
        <w:rPr>
          <w:rFonts w:ascii="Times New Roman;serif" w:hAnsi="Times New Roman;serif"/>
          <w:b w:val="false"/>
          <w:i/>
          <w:sz w:val="24"/>
        </w:rPr>
        <w:t>provided, however</w:t>
      </w:r>
      <w:r>
        <w:rPr>
          <w:rFonts w:ascii="Times New Roman;serif" w:hAnsi="Times New Roman;serif"/>
          <w:b w:val="false"/>
          <w:sz w:val="24"/>
        </w:rPr>
        <w:t>, that (i) no dividends or dividend equivalents may be paid with respect to any such shares before the date such shares have vested under the terms of such Stock Award Agreement, (ii) any dividends or dividend equivalents that are credited with respect to any such shares will be subject to all of the terms and conditions applicable to such shares under the terms of such Stock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Stock Award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3.</w:t>
      </w:r>
    </w:p>
    <w:p>
      <w:pPr>
        <w:pStyle w:val="TextBody"/>
        <w:bidi w:val="0"/>
        <w:spacing w:before="0" w:after="240"/>
        <w:jc w:val="both"/>
        <w:rPr/>
      </w:pPr>
      <w:r>
        <w:rPr>
          <w:rFonts w:ascii="Times New Roman;serif" w:hAnsi="Times New Roman;serif"/>
          <w:b/>
          <w:smallCaps/>
          <w:sz w:val="24"/>
        </w:rPr>
        <w:t>Shares Subject to the Plan</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Share Reserve.</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val="false"/>
          <w:sz w:val="24"/>
        </w:rPr>
        <w:t xml:space="preserve">Subject to Section 9(a) relating to Capitalization Adjustments, the aggregate number of shares of Common Stock that may be issued pursuant to Stock Awards from and after the Effective Date will not exceed (A) 50,729,678 shares (which number is the sum of (i) the number of shares (1,229,678) subject to the Prior Plans’ Available Reserve, (ii) an additional 12,000,000 shares approved by the shareholders in 2018, (iii) an additional 12,500,000 shares approved by the shareholders in 2020 and (iv) an additional 25,000,000 shares approved by the shareholders in 2023), </w:t>
      </w:r>
      <w:r>
        <w:rPr>
          <w:rFonts w:ascii="Times New Roman;serif" w:hAnsi="Times New Roman;serif"/>
          <w:b w:val="false"/>
          <w:i/>
          <w:sz w:val="24"/>
        </w:rPr>
        <w:t>plus</w:t>
      </w:r>
      <w:r>
        <w:rPr/>
        <w:t xml:space="preserve"> </w:t>
      </w:r>
      <w:r>
        <w:rPr>
          <w:rFonts w:ascii="Times New Roman;serif" w:hAnsi="Times New Roman;serif"/>
          <w:b w:val="false"/>
          <w:sz w:val="24"/>
        </w:rPr>
        <w:t>(B) the Prior Plans’ Returning Shares, if any, which become available for grant under this Plan from time to time (such aggregate number of shares described in (A) and (B) above, the “</w:t>
      </w:r>
      <w:r>
        <w:rPr>
          <w:rFonts w:ascii="Times New Roman;serif" w:hAnsi="Times New Roman;serif"/>
          <w:b/>
          <w:i/>
          <w:sz w:val="24"/>
        </w:rPr>
        <w:t>Share Reserve</w:t>
      </w:r>
      <w:r>
        <w:rPr/>
        <w:t>”</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Subject to Section 3(b), the number of shares of Common Stock available for issuance under the Plan will be reduced by: (A) one share for each share of Common Stock issued pursuant to an Option or SAR with respect to which the exercise or strike price is at least 100% of the Fair Market Value of the Common Stock subject to the Option or SAR on the date of grant; and (B) one and one tenths (1.1) shares for each share of Common Stock issued pursuant to a Full Value Award.</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Reversion of Shares to the Share Reserve.</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 xml:space="preserve">Shares Available For Subsequent Issuance. </w:t>
      </w:r>
      <w:r>
        <w:rPr>
          <w:rFonts w:ascii="Times New Roman;serif" w:hAnsi="Times New Roman;serif"/>
          <w:b w:val="false"/>
          <w:sz w:val="24"/>
        </w:rPr>
        <w:t>If (A) any shares of Common Stock subject to a Stock Award are not issued because such Stock Award or any portion thereof expires or otherwise terminates without all of the shares covered by such Stock Award having been issued or is settled in cash (</w:t>
      </w:r>
      <w:r>
        <w:rPr>
          <w:rFonts w:ascii="Times New Roman;serif" w:hAnsi="Times New Roman;serif"/>
          <w:b w:val="false"/>
          <w:i/>
          <w:sz w:val="24"/>
        </w:rPr>
        <w:t>i.e.</w:t>
      </w:r>
      <w:r>
        <w:rPr>
          <w:rFonts w:ascii="Times New Roman;serif" w:hAnsi="Times New Roman;serif"/>
          <w:b w:val="false"/>
          <w:sz w:val="24"/>
        </w:rPr>
        <w:t>, the Participant receives cash rather than stock), (B) any shares of Common Stock issued pursuant to a Stock Award are forfeited back to or repurchased by the Company because of the failure to meet a contingency or condition required for the vesting of such shares, or (C) with respect to a Full Value Award, any shares of Common Stock are reacquired or withheld (or not issued) by the Company to satisfy a tax withholding obligation in connection with such Full Value Award, such shares will again become available for issuance under the Plan (collectively, the “</w:t>
      </w:r>
      <w:r>
        <w:rPr>
          <w:rFonts w:ascii="Times New Roman;serif" w:hAnsi="Times New Roman;serif"/>
          <w:b/>
          <w:i/>
          <w:sz w:val="24"/>
        </w:rPr>
        <w:t>2018 Plan Returning Shares</w:t>
      </w:r>
      <w:r>
        <w:rPr/>
        <w:t>”</w:t>
      </w:r>
      <w:r>
        <w:rPr>
          <w:rFonts w:ascii="Times New Roman;serif" w:hAnsi="Times New Roman;serif"/>
          <w:b w:val="false"/>
          <w:sz w:val="24"/>
        </w:rPr>
        <w:t>). For each (1) 2018 Plan Returning Share subject to a Full Value Award or (2) Prior Plans’ Returning Share subject to a stock award other than a Prior Plans’ Appreciation Award, the number of shares of Common Stock available for issuance under the Plan will increase by one and one tenths (1.1) shares.</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rFonts w:ascii="Times New Roman;serif" w:hAnsi="Times New Roman;serif"/>
          <w:b/>
          <w:sz w:val="24"/>
        </w:rPr>
        <w:t xml:space="preserve">Shares Not Available For Subsequent Issuance. </w:t>
      </w:r>
      <w:r>
        <w:rPr>
          <w:rFonts w:ascii="Times New Roman;serif" w:hAnsi="Times New Roman;serif"/>
          <w:b w:val="false"/>
          <w:sz w:val="24"/>
        </w:rPr>
        <w:t xml:space="preserve">Any shares of Common Stock reacquired or withheld (or not issued) by the Company to satisfy the exercise or purchase price of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a Stock Award will no longer be available for issuance under the Plan, including any shares subject to a Stock Award that are not delivered to a Participant because such Stock Award is exercised through a reduction of shares subject to such Stock Award (</w:t>
      </w:r>
      <w:r>
        <w:rPr>
          <w:rFonts w:ascii="Times New Roman;serif" w:hAnsi="Times New Roman;serif"/>
          <w:b w:val="false"/>
          <w:i/>
          <w:sz w:val="24"/>
        </w:rPr>
        <w:t>i.e</w:t>
      </w:r>
      <w:r>
        <w:rPr>
          <w:rFonts w:ascii="Times New Roman;serif" w:hAnsi="Times New Roman;serif"/>
          <w:b w:val="false"/>
          <w:sz w:val="24"/>
        </w:rPr>
        <w:t>., “net exercised”). In addition, any shares reacquired or withheld (or not issued) by the Company to satisfy a tax withholding obligation in connection with an Option or Stock Appreciation Right or a Prior Plans’ Appreciation Award, or any shares repurchased by the Company on the open market with the proceeds of the exercise or strike price of an Option or Stock Appreciation Right or a Prior Plans’ Appreciation Award will no longer be available for issuance under the Plan.</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 xml:space="preserve">Incentive Stock Option Limit. </w:t>
      </w:r>
      <w:r>
        <w:rPr>
          <w:rFonts w:ascii="Times New Roman;serif" w:hAnsi="Times New Roman;serif"/>
          <w:b w:val="false"/>
          <w:sz w:val="24"/>
        </w:rPr>
        <w:t>Subject to the Share Reserve and Section 9(a) relating to Capitalization Adjustments, the aggregate maximum number of shares of Common Stock that may be issued pursuant to the exercise of Incentive Stock Options will be 9,000,000 shares of Common Stock.</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Source of Shares.</w:t>
      </w:r>
      <w:r>
        <w:rPr/>
        <w:t xml:space="preserve"> </w:t>
      </w:r>
      <w:r>
        <w:rPr>
          <w:rFonts w:ascii="Times New Roman;serif" w:hAnsi="Times New Roman;serif"/>
          <w:b w:val="false"/>
          <w:sz w:val="24"/>
        </w:rPr>
        <w:t>The stock issuable under the Plan will be shares of authorized but unissued or reacquired Common Stock, including shares repurchased by the Company on the open market or otherwise.</w:t>
      </w:r>
    </w:p>
    <w:p>
      <w:pPr>
        <w:pStyle w:val="TextBody"/>
        <w:bidi w:val="0"/>
        <w:spacing w:before="0" w:after="240"/>
        <w:jc w:val="both"/>
        <w:rPr>
          <w:rFonts w:ascii="Times New Roman" w:hAnsi="Times New Roman"/>
          <w:b/>
          <w:sz w:val="24"/>
        </w:rPr>
      </w:pPr>
      <w:r>
        <w:rPr>
          <w:rFonts w:ascii="Times New Roman" w:hAnsi="Times New Roman"/>
          <w:b/>
          <w:sz w:val="24"/>
        </w:rPr>
        <w:t>4.</w:t>
      </w:r>
    </w:p>
    <w:p>
      <w:pPr>
        <w:pStyle w:val="TextBody"/>
        <w:bidi w:val="0"/>
        <w:spacing w:before="0" w:after="240"/>
        <w:jc w:val="both"/>
        <w:rPr/>
      </w:pPr>
      <w:r>
        <w:rPr>
          <w:rFonts w:ascii="Times New Roman;serif" w:hAnsi="Times New Roman;serif"/>
          <w:b/>
          <w:smallCaps/>
          <w:sz w:val="24"/>
        </w:rPr>
        <w:t>Eligibility</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Eligibility for Specific Stock Awards.</w:t>
      </w:r>
      <w:r>
        <w:rPr/>
        <w:t xml:space="preserve"> </w:t>
      </w:r>
      <w:r>
        <w:rPr>
          <w:rFonts w:ascii="Times New Roman;serif" w:hAnsi="Times New Roman;serif"/>
          <w:b w:val="false"/>
          <w:sz w:val="24"/>
        </w:rPr>
        <w:t>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pStyle w:val="TextBody"/>
        <w:bidi w:val="0"/>
        <w:spacing w:before="0" w:after="240"/>
        <w:jc w:val="both"/>
        <w:rPr>
          <w:rFonts w:ascii="Times New Roman" w:hAnsi="Times New Roman"/>
          <w:sz w:val="20"/>
        </w:rPr>
      </w:pPr>
      <w:r>
        <w:rPr>
          <w:rFonts w:ascii="Times New Roman;serif" w:hAnsi="Times New Roman;serif"/>
          <w:b/>
          <w:sz w:val="24"/>
        </w:rPr>
        <w:t>(b) Ten Percent Stockholders.</w:t>
      </w:r>
      <w:r>
        <w:rPr>
          <w:rFonts w:ascii="Times New Roman" w:hAnsi="Times New Roman"/>
          <w:sz w:val="20"/>
        </w:rPr>
        <w:t xml:space="preserve"> </w:t>
      </w:r>
      <w:r>
        <w:rPr>
          <w:rFonts w:ascii="Times New Roman;serif" w:hAnsi="Times New Roman;serif"/>
          <w:b w:val="false"/>
          <w:sz w:val="24"/>
        </w:rPr>
        <w:t>A Ten Percent Stockholder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Limitation on Grants to Non-Employee Directors.</w:t>
      </w:r>
      <w:r>
        <w:rPr/>
        <w:t xml:space="preserve"> </w:t>
      </w:r>
      <w:r>
        <w:rPr>
          <w:rFonts w:ascii="Times New Roman;serif" w:hAnsi="Times New Roman;serif"/>
          <w:b w:val="false"/>
          <w:sz w:val="24"/>
        </w:rPr>
        <w:t>The maximum number of shares of Common Stock subject to Stock Awards granted under the Plan or otherwise during any one calendar year to any Non-Employee Director, taken together with any cash fees paid by the Company to such Non-Employee Director during such calendar year for service on the Board, will not exceed $500,000 in total value (calculating the value of any such Stock Awards based on the grant date fair value of such Stock Awards for financial reporting purposes).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5.</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Provisions Relating to Options and Stock Appreciation Rights.</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serif" w:hAnsi="Times New Roman;serif"/>
          <w:b w:val="false"/>
          <w:i/>
          <w:sz w:val="24"/>
        </w:rPr>
        <w:t>provided, however</w:t>
      </w:r>
      <w:r>
        <w:rPr>
          <w:rFonts w:ascii="Times New Roman;serif" w:hAnsi="Times New Roman;serif"/>
          <w:b w:val="false"/>
          <w:sz w:val="24"/>
        </w:rPr>
        <w:t>, that each Stock Award Agreement will conform to (through incorporation of provisions hereof by reference in the applicable Stock Award Agreement or otherwise) the substance of each of the following provisions:</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Term.</w:t>
      </w:r>
      <w:r>
        <w:rPr/>
        <w:t xml:space="preserve"> </w:t>
      </w:r>
      <w:r>
        <w:rPr>
          <w:rFonts w:ascii="Times New Roman;serif" w:hAnsi="Times New Roman;serif"/>
          <w:b w:val="false"/>
          <w:sz w:val="24"/>
        </w:rPr>
        <w:t>Subject to the provisions of Section 4(b) regarding Ten Percent Stockholders, no Option or SAR will be exercisable after the expiration of ten years from the date of its grant or such shorter period specified in the Stock Award Agreement.</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Exercise Price.</w:t>
      </w:r>
      <w:r>
        <w:rPr/>
        <w:t xml:space="preserve"> </w:t>
      </w:r>
      <w:r>
        <w:rPr>
          <w:rFonts w:ascii="Times New Roman;serif" w:hAnsi="Times New Roman;serif"/>
          <w:b w:val="false"/>
          <w:sz w:val="24"/>
        </w:rPr>
        <w:t>Subject to the provisions of Section 4(b) regarding Ten Percent Stockholders, the exercise or strike price of each Option or 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Purchase Price for Options.</w:t>
      </w:r>
      <w:r>
        <w:rPr/>
        <w:t xml:space="preserve"> </w:t>
      </w:r>
      <w:r>
        <w:rPr>
          <w:rFonts w:ascii="Times New Roman;serif" w:hAnsi="Times New Roman;serif"/>
          <w:b w:val="false"/>
          <w:sz w:val="24"/>
        </w:rPr>
        <w:t>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cash, check, bank draft or money order payable to the Company;</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delivery to the Company (either by actual delivery or attestation) of shares of Common Stock;</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pPr>
      <w:r>
        <w:rPr>
          <w:rFonts w:ascii="Times New Roman;serif" w:hAnsi="Times New Roman;serif"/>
          <w:b w:val="false"/>
          <w:sz w:val="24"/>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serif" w:hAnsi="Times New Roman;serif"/>
          <w:b w:val="false"/>
          <w:i/>
          <w:sz w:val="24"/>
        </w:rPr>
        <w:t>provided, however</w:t>
      </w:r>
      <w:r>
        <w:rPr>
          <w:rFonts w:ascii="Times New Roman;serif" w:hAnsi="Times New Roman;serif"/>
          <w:b w:val="false"/>
          <w:sz w:val="24"/>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any other form of legal consideration that may be acceptable to the Board and specified in the applicable Stock Award Agreement.</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Exercise and Payment of a SAR.</w:t>
      </w:r>
      <w:r>
        <w:rPr/>
        <w:t xml:space="preserve"> </w:t>
      </w:r>
      <w:r>
        <w:rPr>
          <w:rFonts w:ascii="Times New Roman;serif" w:hAnsi="Times New Roman;serif"/>
          <w:b w:val="false"/>
          <w:sz w:val="24"/>
        </w:rPr>
        <w:t>To exercise any outstanding SAR, the Participant must provide written notice of exercise to the Company in 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rFonts w:ascii="Times New Roman;serif" w:hAnsi="Times New Roman;serif"/>
          <w:b/>
          <w:sz w:val="24"/>
        </w:rPr>
        <w:t>Transferability of Options and SARs.</w:t>
      </w:r>
      <w:r>
        <w:rPr/>
        <w:t xml:space="preserve"> </w:t>
      </w:r>
      <w:r>
        <w:rPr>
          <w:rFonts w:ascii="Times New Roman;serif" w:hAnsi="Times New Roman;serif"/>
          <w:b w:val="false"/>
          <w:sz w:val="24"/>
        </w:rPr>
        <w:t>The Board may, in its sole discretion, impose such limitations on the transferability of Options and SARs as the Board will determine. In the absence of such a determination by the Board to the contrary, the restrictions set forth in this Section 5(e) on the transferability of Options and SARs will apply. Notwithstanding the foregoing or anything in the Plan or a Stock Award Agreement to the contrary, no Option or SAR may be transferred to any financial institution without prior stockholder approval.</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Restrictions on Transfer.</w:t>
      </w:r>
      <w:r>
        <w:rPr/>
        <w:t xml:space="preserve"> </w:t>
      </w:r>
      <w:r>
        <w:rPr>
          <w:rFonts w:ascii="Times New Roman;serif" w:hAnsi="Times New Roman;serif"/>
          <w:b w:val="false"/>
          <w:sz w:val="24"/>
        </w:rPr>
        <w:t>An Option or SAR will not be transferable except by will or by the laws of descent and distribution (and 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rFonts w:ascii="Times New Roman;serif" w:hAnsi="Times New Roman;serif"/>
          <w:b/>
          <w:sz w:val="24"/>
        </w:rPr>
        <w:t>Domestic Relations Orders.</w:t>
      </w:r>
      <w:r>
        <w:rPr/>
        <w:t xml:space="preserve"> </w:t>
      </w:r>
      <w:r>
        <w:rPr>
          <w:rFonts w:ascii="Times New Roman;serif" w:hAnsi="Times New Roman;serif"/>
          <w:b w:val="false"/>
          <w:sz w:val="24"/>
        </w:rPr>
        <w:t>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pPr>
      <w:r>
        <w:rPr>
          <w:rFonts w:ascii="Times New Roman;serif" w:hAnsi="Times New Roman;serif"/>
          <w:b/>
          <w:sz w:val="24"/>
        </w:rPr>
        <w:t>Beneficiary Designation.</w:t>
      </w:r>
      <w:r>
        <w:rPr/>
        <w:t xml:space="preserve"> </w:t>
      </w:r>
      <w:r>
        <w:rPr>
          <w:rFonts w:ascii="Times New Roman;serif" w:hAnsi="Times New Roman;serif"/>
          <w:b w:val="false"/>
          <w:sz w:val="24"/>
        </w:rPr>
        <w:t>Subject to the approval of the Board or a duly authorized Officer,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rFonts w:ascii="Times New Roman;serif" w:hAnsi="Times New Roman;serif"/>
          <w:b/>
          <w:sz w:val="24"/>
        </w:rPr>
        <w:t>Vesting Generally.</w:t>
      </w:r>
      <w:r>
        <w:rPr/>
        <w:t xml:space="preserve"> </w:t>
      </w:r>
      <w:r>
        <w:rPr>
          <w:rFonts w:ascii="Times New Roman;serif" w:hAnsi="Times New Roman;serif"/>
          <w:b w:val="false"/>
          <w:sz w:val="24"/>
        </w:rPr>
        <w:t>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rFonts w:ascii="Times New Roman;serif" w:hAnsi="Times New Roman;serif"/>
          <w:b/>
          <w:sz w:val="24"/>
        </w:rPr>
        <w:t>Termination of Continuous Service.</w:t>
      </w:r>
      <w:r>
        <w:rPr/>
        <w:t xml:space="preserve"> </w:t>
      </w:r>
      <w:r>
        <w:rPr>
          <w:rFonts w:ascii="Times New Roman;serif" w:hAnsi="Times New Roman;serif"/>
          <w:b w:val="false"/>
          <w:sz w:val="24"/>
        </w:rPr>
        <w:t>Except as otherwise provided in the applicable Stock Award Agreement or other agreement between 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pStyle w:val="TextBody"/>
        <w:bidi w:val="0"/>
        <w:spacing w:before="0" w:after="240"/>
        <w:jc w:val="both"/>
        <w:rPr>
          <w:rFonts w:ascii="Times New Roman" w:hAnsi="Times New Roman"/>
          <w:b/>
          <w:sz w:val="24"/>
        </w:rPr>
      </w:pPr>
      <w:r>
        <w:rPr>
          <w:rFonts w:ascii="Times New Roman" w:hAnsi="Times New Roman"/>
          <w:b/>
          <w:sz w:val="24"/>
        </w:rPr>
        <w:t>(h)</w:t>
      </w:r>
    </w:p>
    <w:p>
      <w:pPr>
        <w:pStyle w:val="TextBody"/>
        <w:bidi w:val="0"/>
        <w:spacing w:before="0" w:after="240"/>
        <w:jc w:val="both"/>
        <w:rPr/>
      </w:pPr>
      <w:r>
        <w:rPr>
          <w:rFonts w:ascii="Times New Roman;serif" w:hAnsi="Times New Roman;serif"/>
          <w:b/>
          <w:sz w:val="24"/>
        </w:rPr>
        <w:t>Extension of Termination Date.</w:t>
      </w:r>
      <w:r>
        <w:rPr/>
        <w:t xml:space="preserve"> </w:t>
      </w:r>
      <w:r>
        <w:rPr>
          <w:rFonts w:ascii="Times New Roman;serif" w:hAnsi="Times New Roman;serif"/>
          <w:b w:val="false"/>
          <w:sz w:val="24"/>
        </w:rPr>
        <w:t>Except as otherwise provided in the applicable Stock Award Agreement or other agreement between the Participant and the Company or an Affiliate,</w:t>
      </w:r>
      <w:r>
        <w:rPr/>
        <w:t xml:space="preserve"> </w:t>
      </w:r>
      <w:r>
        <w:rPr>
          <w:rFonts w:ascii="Times New Roman;serif" w:hAnsi="Times New Roman;serif"/>
          <w:b w:val="false"/>
          <w:sz w:val="24"/>
        </w:rPr>
        <w:t xml:space="preserve">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Disability of Participant.</w:t>
      </w:r>
      <w:r>
        <w:rPr/>
        <w:t xml:space="preserve"> </w:t>
      </w:r>
      <w:r>
        <w:rPr>
          <w:rFonts w:ascii="Times New Roman;serif" w:hAnsi="Times New Roman;serif"/>
          <w:b w:val="false"/>
          <w:sz w:val="24"/>
        </w:rPr>
        <w:t>Except as otherwise provided in the applicable Stock Award Agreement or other agreement between the 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pStyle w:val="TextBody"/>
        <w:bidi w:val="0"/>
        <w:spacing w:before="0" w:after="240"/>
        <w:jc w:val="both"/>
        <w:rPr>
          <w:rFonts w:ascii="Times New Roman" w:hAnsi="Times New Roman"/>
          <w:b/>
          <w:sz w:val="24"/>
        </w:rPr>
      </w:pPr>
      <w:r>
        <w:rPr>
          <w:rFonts w:ascii="Times New Roman" w:hAnsi="Times New Roman"/>
          <w:b/>
          <w:sz w:val="24"/>
        </w:rPr>
        <w:t>(j)</w:t>
      </w:r>
    </w:p>
    <w:p>
      <w:pPr>
        <w:pStyle w:val="TextBody"/>
        <w:bidi w:val="0"/>
        <w:spacing w:before="0" w:after="240"/>
        <w:jc w:val="both"/>
        <w:rPr/>
      </w:pPr>
      <w:r>
        <w:rPr>
          <w:rFonts w:ascii="Times New Roman;serif" w:hAnsi="Times New Roman;serif"/>
          <w:b/>
          <w:sz w:val="24"/>
        </w:rPr>
        <w:t>Death of Participant.</w:t>
      </w:r>
      <w:r>
        <w:rPr/>
        <w:t xml:space="preserve"> </w:t>
      </w:r>
      <w:r>
        <w:rPr>
          <w:rFonts w:ascii="Times New Roman;serif" w:hAnsi="Times New Roman;serif"/>
          <w:b w:val="false"/>
          <w:sz w:val="24"/>
        </w:rPr>
        <w:t>Except as otherwise provided in the applicable Stock Award Agreement or other agreement between the Participant and the Company or an Affiliate,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18 months following the date of death (or such longer or shorter period specified in the Stock Award Agreement), and (ii) the expiration of the term of such Option or SAR as set forth in the Stock Award Agreement. If, after the Participant’s death, the Option or SAR (as applicable) is not exercised within the applicable time frame, the Option or SAR (as applicable) will terminate.</w:t>
      </w:r>
    </w:p>
    <w:p>
      <w:pPr>
        <w:pStyle w:val="TextBody"/>
        <w:bidi w:val="0"/>
        <w:spacing w:before="0" w:after="240"/>
        <w:jc w:val="both"/>
        <w:rPr>
          <w:rFonts w:ascii="Times New Roman" w:hAnsi="Times New Roman"/>
          <w:b/>
          <w:sz w:val="24"/>
        </w:rPr>
      </w:pPr>
      <w:r>
        <w:rPr>
          <w:rFonts w:ascii="Times New Roman" w:hAnsi="Times New Roman"/>
          <w:b/>
          <w:sz w:val="24"/>
        </w:rPr>
        <w:t>(k)</w:t>
      </w:r>
    </w:p>
    <w:p>
      <w:pPr>
        <w:pStyle w:val="TextBody"/>
        <w:bidi w:val="0"/>
        <w:spacing w:before="0" w:after="240"/>
        <w:jc w:val="both"/>
        <w:rPr/>
      </w:pPr>
      <w:r>
        <w:rPr>
          <w:rFonts w:ascii="Times New Roman;serif" w:hAnsi="Times New Roman;serif"/>
          <w:b/>
          <w:sz w:val="24"/>
        </w:rPr>
        <w:t>Termination due to Retirement.</w:t>
      </w:r>
      <w:r>
        <w:rPr/>
        <w:t xml:space="preserve"> </w:t>
      </w:r>
      <w:r>
        <w:rPr>
          <w:rFonts w:ascii="Times New Roman;serif" w:hAnsi="Times New Roman;serif"/>
          <w:b w:val="false"/>
          <w:sz w:val="24"/>
        </w:rPr>
        <w:t>Except as otherwise provided in the applicable Award Agreement or other agreement between the Participant and the Company, if a Participant’s Continuous Service terminates as a result of the Participant’s Retirement, the Participant may exercise his or her Option or SAR (to the extent that the Participant was entitled to exercise such Option or SAR as of the date of termination of Continuous Service), but only within such period of time ending on the earlier of (i) the date twenty-four (24)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before="0" w:after="240"/>
        <w:jc w:val="both"/>
        <w:rPr>
          <w:rFonts w:ascii="Times New Roman" w:hAnsi="Times New Roman"/>
          <w:b/>
          <w:sz w:val="24"/>
        </w:rPr>
      </w:pPr>
      <w:r>
        <w:rPr>
          <w:rFonts w:ascii="Times New Roman" w:hAnsi="Times New Roman"/>
          <w:b/>
          <w:sz w:val="24"/>
        </w:rPr>
        <w:t>(l)</w:t>
      </w:r>
    </w:p>
    <w:p>
      <w:pPr>
        <w:pStyle w:val="TextBody"/>
        <w:bidi w:val="0"/>
        <w:spacing w:before="0" w:after="240"/>
        <w:jc w:val="both"/>
        <w:rPr/>
      </w:pPr>
      <w:r>
        <w:rPr>
          <w:rFonts w:ascii="Times New Roman;serif" w:hAnsi="Times New Roman;serif"/>
          <w:b/>
          <w:sz w:val="24"/>
        </w:rPr>
        <w:t>Termination for Cause.</w:t>
      </w:r>
      <w:r>
        <w:rPr/>
        <w:t xml:space="preserve"> </w:t>
      </w:r>
      <w:r>
        <w:rPr>
          <w:rFonts w:ascii="Times New Roman;serif" w:hAnsi="Times New Roman;serif"/>
          <w:b w:val="false"/>
          <w:sz w:val="24"/>
        </w:rPr>
        <w:t xml:space="preserve">Except as explicitly provided otherwise in a Participant’s Stock Award Agreement or other individual written agreement between the Participant and the Company or an Affiliate, if a Participant’s Continuous Service is terminated for Cause, the Participant’s Option or SAR will terminate immediately upon such termination of Continuous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Service, and the Participant will be prohibited from exercising his or her Option or SAR from and after the time of such termination of Continuous Service.</w:t>
      </w:r>
    </w:p>
    <w:p>
      <w:pPr>
        <w:pStyle w:val="TextBody"/>
        <w:bidi w:val="0"/>
        <w:spacing w:before="0" w:after="240"/>
        <w:jc w:val="both"/>
        <w:rPr>
          <w:rFonts w:ascii="Times New Roman" w:hAnsi="Times New Roman"/>
          <w:b/>
          <w:sz w:val="24"/>
        </w:rPr>
      </w:pPr>
      <w:r>
        <w:rPr>
          <w:rFonts w:ascii="Times New Roman" w:hAnsi="Times New Roman"/>
          <w:b/>
          <w:sz w:val="24"/>
        </w:rPr>
        <w:t>(m)</w:t>
      </w:r>
    </w:p>
    <w:p>
      <w:pPr>
        <w:pStyle w:val="TextBody"/>
        <w:bidi w:val="0"/>
        <w:spacing w:before="0" w:after="240"/>
        <w:jc w:val="both"/>
        <w:rPr/>
      </w:pPr>
      <w:r>
        <w:rPr>
          <w:rFonts w:ascii="Times New Roman;serif" w:hAnsi="Times New Roman;serif"/>
          <w:b/>
          <w:sz w:val="24"/>
        </w:rPr>
        <w:t>Non-Exempt Employees.</w:t>
      </w:r>
      <w:r>
        <w:rPr/>
        <w:t xml:space="preserve"> </w:t>
      </w:r>
      <w:r>
        <w:rPr>
          <w:rFonts w:ascii="Times New Roman;serif" w:hAnsi="Times New Roman;serif"/>
          <w:b w:val="false"/>
          <w:sz w:val="24"/>
        </w:rPr>
        <w:t>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before="0" w:after="240"/>
        <w:jc w:val="both"/>
        <w:rPr>
          <w:rFonts w:ascii="Times New Roman" w:hAnsi="Times New Roman"/>
          <w:b/>
          <w:sz w:val="24"/>
        </w:rPr>
      </w:pPr>
      <w:r>
        <w:rPr>
          <w:rFonts w:ascii="Times New Roman" w:hAnsi="Times New Roman"/>
          <w:b/>
          <w:sz w:val="24"/>
        </w:rPr>
        <w:t>6.</w:t>
      </w:r>
    </w:p>
    <w:p>
      <w:pPr>
        <w:pStyle w:val="TextBody"/>
        <w:bidi w:val="0"/>
        <w:spacing w:before="0" w:after="240"/>
        <w:jc w:val="both"/>
        <w:rPr/>
      </w:pPr>
      <w:r>
        <w:rPr>
          <w:rFonts w:ascii="Times New Roman;serif" w:hAnsi="Times New Roman;serif"/>
          <w:b/>
          <w:smallCaps/>
          <w:sz w:val="24"/>
        </w:rPr>
        <w:t>Provisions of Stock Awards Other than Options and SARs</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Restricted Stock Awards.</w:t>
      </w:r>
      <w:r>
        <w:rPr/>
        <w:t xml:space="preserve"> </w:t>
      </w:r>
      <w:r>
        <w:rPr>
          <w:rFonts w:ascii="Times New Roman;serif" w:hAnsi="Times New Roman;serif"/>
          <w:b w:val="false"/>
          <w:sz w:val="24"/>
        </w:rPr>
        <w:t>Each Restricted Stock Award Agreement will be in such form and will contain such 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Consideration.</w:t>
      </w:r>
      <w:r>
        <w:rPr/>
        <w:t xml:space="preserve"> </w:t>
      </w:r>
      <w:r>
        <w:rPr>
          <w:rFonts w:ascii="Times New Roman;serif" w:hAnsi="Times New Roman;serif"/>
          <w:b w:val="false"/>
          <w:sz w:val="24"/>
        </w:rPr>
        <w:t>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rFonts w:ascii="Times New Roman;serif" w:hAnsi="Times New Roman;serif"/>
          <w:b/>
          <w:sz w:val="24"/>
        </w:rPr>
        <w:t>Vesting</w:t>
      </w:r>
      <w:r>
        <w:rPr>
          <w:rFonts w:ascii="Times New Roman;serif" w:hAnsi="Times New Roman;serif"/>
          <w:b w:val="false"/>
          <w:sz w:val="24"/>
        </w:rPr>
        <w:t>. Shares of Common Stock awarded under the Restricted Stock Award Agreement may be subject to forfeiture to the Company in accordance with a vesting schedule to be determined by the Board.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pPr>
      <w:r>
        <w:rPr>
          <w:rFonts w:ascii="Times New Roman;serif" w:hAnsi="Times New Roman;serif"/>
          <w:b/>
          <w:sz w:val="24"/>
        </w:rPr>
        <w:t>Termination of Participant’s Continuous Service.</w:t>
      </w:r>
      <w:r>
        <w:rPr/>
        <w:t xml:space="preserve"> </w:t>
      </w:r>
      <w:r>
        <w:rPr>
          <w:rFonts w:ascii="Times New Roman;serif" w:hAnsi="Times New Roman;serif"/>
          <w:b w:val="false"/>
          <w:sz w:val="24"/>
        </w:rPr>
        <w:t>If a Participant’s Continuous Service terminates, the Company may receive through a forfeiture condition or a repurchase right any or all of the shares of Common Stock held by the Participant as of the date of termination of Continuous Service under the terms of the Restricted Stock Award Agreement.</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pPr>
      <w:r>
        <w:rPr>
          <w:rFonts w:ascii="Times New Roman;serif" w:hAnsi="Times New Roman;serif"/>
          <w:b/>
          <w:sz w:val="24"/>
        </w:rPr>
        <w:t>Transferability.</w:t>
      </w:r>
      <w:r>
        <w:rPr/>
        <w:t xml:space="preserve"> </w:t>
      </w:r>
      <w:r>
        <w:rPr>
          <w:rFonts w:ascii="Times New Roman;serif" w:hAnsi="Times New Roman;serif"/>
          <w:b w:val="false"/>
          <w:sz w:val="24"/>
        </w:rPr>
        <w:t>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 xml:space="preserve">Restricted Stock Unit Awards. </w:t>
      </w:r>
      <w:r>
        <w:rPr>
          <w:rFonts w:ascii="Times New Roman;serif" w:hAnsi="Times New Roman;serif"/>
          <w:b w:val="false"/>
          <w:sz w:val="24"/>
        </w:rPr>
        <w:t>Each Restricted Stock Unit Award Agreement will be in such form and will contain such 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Consideration.</w:t>
      </w:r>
      <w:r>
        <w:rPr/>
        <w:t xml:space="preserve"> </w:t>
      </w:r>
      <w:r>
        <w:rPr>
          <w:rFonts w:ascii="Times New Roman;serif" w:hAnsi="Times New Roman;serif"/>
          <w:b w:val="false"/>
          <w:sz w:val="24"/>
        </w:rPr>
        <w:t>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rFonts w:ascii="Times New Roman;serif" w:hAnsi="Times New Roman;serif"/>
          <w:b/>
          <w:sz w:val="24"/>
        </w:rPr>
        <w:t xml:space="preserve">Vesting. </w:t>
      </w:r>
      <w:r>
        <w:rPr>
          <w:rFonts w:ascii="Times New Roman;serif" w:hAnsi="Times New Roman;serif"/>
          <w:b w:val="false"/>
          <w:sz w:val="24"/>
        </w:rPr>
        <w:t>At the time of the grant of a Restricted Stock Unit Award, the Board may impose such restrictions on or conditions to the vesting of the Restricted Stock Unit Award as it, in its sole discretion, deems appropriate.</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pPr>
      <w:r>
        <w:rPr>
          <w:rFonts w:ascii="Times New Roman;serif" w:hAnsi="Times New Roman;serif"/>
          <w:b/>
          <w:sz w:val="24"/>
        </w:rPr>
        <w:t>Payment.</w:t>
      </w:r>
      <w:r>
        <w:rPr/>
        <w:t xml:space="preserve"> </w:t>
      </w:r>
      <w:r>
        <w:rPr>
          <w:rFonts w:ascii="Times New Roman;serif" w:hAnsi="Times New Roman;serif"/>
          <w:b w:val="false"/>
          <w:sz w:val="24"/>
        </w:rPr>
        <w:t>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pPr>
      <w:r>
        <w:rPr>
          <w:rFonts w:ascii="Times New Roman;serif" w:hAnsi="Times New Roman;serif"/>
          <w:b/>
          <w:sz w:val="24"/>
        </w:rPr>
        <w:t xml:space="preserve">Additional Restrictions. </w:t>
      </w:r>
      <w:r>
        <w:rPr>
          <w:rFonts w:ascii="Times New Roman;serif" w:hAnsi="Times New Roman;serif"/>
          <w:b w:val="false"/>
          <w:sz w:val="24"/>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pPr>
      <w:r>
        <w:rPr>
          <w:rFonts w:ascii="Times New Roman;serif" w:hAnsi="Times New Roman;serif"/>
          <w:b/>
          <w:sz w:val="24"/>
        </w:rPr>
        <w:t xml:space="preserve">Termination of Participant’s Continuous Service. </w:t>
      </w:r>
      <w:r>
        <w:rPr>
          <w:rFonts w:ascii="Times New Roman;serif" w:hAnsi="Times New Roman;serif"/>
          <w:b w:val="false"/>
          <w:sz w:val="24"/>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Performance Stock Awards.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Performance Stock Awards.</w:t>
      </w:r>
      <w:r>
        <w:rPr/>
        <w:t xml:space="preserve"> </w:t>
      </w:r>
      <w:r>
        <w:rPr>
          <w:rFonts w:ascii="Times New Roman;serif" w:hAnsi="Times New Roman;serif"/>
          <w:b w:val="false"/>
          <w:sz w:val="24"/>
        </w:rPr>
        <w:t>A Performance Stock Award is a Stock Award that is payable (including that may be 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Stock Award Agreement, the Board may determine that cash may be used in payment of Performance Stock Awards.</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rFonts w:ascii="Times New Roman;serif" w:hAnsi="Times New Roman;serif"/>
          <w:b/>
          <w:sz w:val="24"/>
        </w:rPr>
        <w:t>Discretion.</w:t>
      </w:r>
      <w:r>
        <w:rPr/>
        <w:t xml:space="preserve"> </w:t>
      </w:r>
      <w:r>
        <w:rPr>
          <w:rFonts w:ascii="Times New Roman;serif" w:hAnsi="Times New Roman;serif"/>
          <w:b w:val="false"/>
          <w:sz w:val="24"/>
        </w:rPr>
        <w:t>The Board retains the discretion to reduce or eliminate the compensation or economic benefit due upon the attainment of any Performance Goals and to define the manner of calculating the Performance Criteria it selects to use for a Performance Period.</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Other Stock Awards.</w:t>
      </w:r>
      <w:r>
        <w:rPr/>
        <w:t xml:space="preserve"> </w:t>
      </w:r>
      <w:r>
        <w:rPr>
          <w:rFonts w:ascii="Times New Roman;serif" w:hAnsi="Times New Roman;serif"/>
          <w:b w:val="false"/>
          <w:sz w:val="24"/>
        </w:rPr>
        <w:t>Other forms of Stock Awards valued in whole or in part by reference to, or otherwise based on, Common Stock, including the appreciation in value thereof (</w:t>
      </w:r>
      <w:r>
        <w:rPr>
          <w:rFonts w:ascii="Times New Roman;serif" w:hAnsi="Times New Roman;serif"/>
          <w:b w:val="false"/>
          <w:i/>
          <w:sz w:val="24"/>
        </w:rPr>
        <w:t>e.g</w:t>
      </w:r>
      <w:r>
        <w:rPr>
          <w:rFonts w:ascii="Times New Roman;serif" w:hAnsi="Times New Roman;serif"/>
          <w:b w:val="false"/>
          <w:sz w:val="24"/>
        </w:rPr>
        <w:t>., options or stock appreciation rights with an exercise price or strike price less than 100% of the Fair Market Value of the Common Stock at the time of grant) may be granted either alone or in addition to Stock Awards granted under Section 5 and this Section 6. Subject to the provisions of the Plan (including, but not limited to, Section 2(g)),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before="0" w:after="240"/>
        <w:jc w:val="both"/>
        <w:rPr>
          <w:rFonts w:ascii="Times New Roman" w:hAnsi="Times New Roman"/>
          <w:b/>
          <w:sz w:val="24"/>
        </w:rPr>
      </w:pPr>
      <w:r>
        <w:rPr>
          <w:rFonts w:ascii="Times New Roman" w:hAnsi="Times New Roman"/>
          <w:b/>
          <w:sz w:val="24"/>
        </w:rPr>
        <w:t>7.</w:t>
      </w:r>
    </w:p>
    <w:p>
      <w:pPr>
        <w:pStyle w:val="TextBody"/>
        <w:bidi w:val="0"/>
        <w:spacing w:before="0" w:after="240"/>
        <w:jc w:val="both"/>
        <w:rPr/>
      </w:pPr>
      <w:r>
        <w:rPr>
          <w:rFonts w:ascii="Times New Roman;serif" w:hAnsi="Times New Roman;serif"/>
          <w:b/>
          <w:smallCaps/>
          <w:sz w:val="24"/>
        </w:rPr>
        <w:t>Covenants of the Company</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Availability of Shares.</w:t>
      </w:r>
      <w:r>
        <w:rPr/>
        <w:t xml:space="preserve"> </w:t>
      </w:r>
      <w:r>
        <w:rPr>
          <w:rFonts w:ascii="Times New Roman;serif" w:hAnsi="Times New Roman;serif"/>
          <w:b w:val="false"/>
          <w:sz w:val="24"/>
        </w:rPr>
        <w:t>The Company will keep available at all times the number of shares of Common Stock reasonably required to satisfy then-outstanding Stock Awards.</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Securities Law Compliance.</w:t>
      </w:r>
      <w:r>
        <w:rPr/>
        <w:t xml:space="preserve"> </w:t>
      </w:r>
      <w:r>
        <w:rPr>
          <w:rFonts w:ascii="Times New Roman;serif" w:hAnsi="Times New Roman;serif"/>
          <w:b w:val="false"/>
          <w:sz w:val="24"/>
        </w:rPr>
        <w:t xml:space="preserve">The Company will seek to obtain from each regulatory commission or agency having jurisdiction over the Plan the authority required to grant Stock Awards and to issue and sell shares of Common Stock upon exercise of the Stock Awards; </w:t>
      </w:r>
      <w:r>
        <w:rPr>
          <w:rFonts w:ascii="Times New Roman;serif" w:hAnsi="Times New Roman;serif"/>
          <w:b w:val="false"/>
          <w:i/>
          <w:sz w:val="24"/>
        </w:rPr>
        <w:t>provided, however</w:t>
      </w:r>
      <w:r>
        <w:rPr>
          <w:rFonts w:ascii="Times New Roman;serif" w:hAnsi="Times New Roman;serif"/>
          <w:b w:val="false"/>
          <w:sz w:val="24"/>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 xml:space="preserve">No Obligation to Notify or Minimize Taxes. </w:t>
      </w:r>
      <w:r>
        <w:rPr>
          <w:rFonts w:ascii="Times New Roman;serif" w:hAnsi="Times New Roman;serif"/>
          <w:b w:val="false"/>
          <w:sz w:val="24"/>
        </w:rPr>
        <w:t>The Company will have no duty or obligation to any Participant to advise such holder as to the time or manner of exercising a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pStyle w:val="TextBody"/>
        <w:bidi w:val="0"/>
        <w:spacing w:before="0" w:after="240"/>
        <w:jc w:val="both"/>
        <w:rPr>
          <w:rFonts w:ascii="Times New Roman" w:hAnsi="Times New Roman"/>
          <w:b/>
          <w:sz w:val="24"/>
        </w:rPr>
      </w:pPr>
      <w:r>
        <w:rPr>
          <w:rFonts w:ascii="Times New Roman" w:hAnsi="Times New Roman"/>
          <w:b/>
          <w:sz w:val="24"/>
        </w:rPr>
        <w:t>8.</w:t>
      </w:r>
    </w:p>
    <w:p>
      <w:pPr>
        <w:pStyle w:val="TextBody"/>
        <w:bidi w:val="0"/>
        <w:spacing w:before="0" w:after="240"/>
        <w:jc w:val="both"/>
        <w:rPr/>
      </w:pPr>
      <w:r>
        <w:rPr>
          <w:rFonts w:ascii="Times New Roman;serif" w:hAnsi="Times New Roman;serif"/>
          <w:b/>
          <w:smallCaps/>
          <w:sz w:val="24"/>
        </w:rPr>
        <w:t>Miscellaneous</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 xml:space="preserve">Use of Proceeds from Sales of Common Stock. </w:t>
      </w:r>
      <w:r>
        <w:rPr>
          <w:rFonts w:ascii="Times New Roman;serif" w:hAnsi="Times New Roman;serif"/>
          <w:b w:val="false"/>
          <w:sz w:val="24"/>
        </w:rPr>
        <w:t>Proceeds from the sale of shares of Common Stock issued pursuant to Stock Awards will constitute general funds of the Company.</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Corporate Action Constituting Grant of Stock Awards.</w:t>
      </w:r>
      <w:r>
        <w:rPr/>
        <w:t xml:space="preserve"> </w:t>
      </w:r>
      <w:r>
        <w:rPr>
          <w:rFonts w:ascii="Times New Roman;serif" w:hAnsi="Times New Roman;serif"/>
          <w:b w:val="false"/>
          <w:sz w:val="24"/>
        </w:rPr>
        <w:t>Corporate action constituting a grant by the Company of a Stock Award to any 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w:t>
      </w:r>
      <w:r>
        <w:rPr>
          <w:rFonts w:ascii="Times New Roman;serif" w:hAnsi="Times New Roman;serif"/>
          <w:b w:val="false"/>
          <w:i/>
          <w:sz w:val="24"/>
        </w:rPr>
        <w:t>e.g</w:t>
      </w:r>
      <w:r>
        <w:rPr>
          <w:rFonts w:ascii="Times New Roman;serif" w:hAnsi="Times New Roman;serif"/>
          <w:b w:val="false"/>
          <w:sz w:val="24"/>
        </w:rPr>
        <w:t>., Board consents, resolutions or minutes) documenting the corporate action constituting the grant contain terms (</w:t>
      </w:r>
      <w:r>
        <w:rPr>
          <w:rFonts w:ascii="Times New Roman;serif" w:hAnsi="Times New Roman;serif"/>
          <w:b w:val="false"/>
          <w:i/>
          <w:sz w:val="24"/>
        </w:rPr>
        <w:t>e.g</w:t>
      </w:r>
      <w:r>
        <w:rPr>
          <w:rFonts w:ascii="Times New Roman;serif" w:hAnsi="Times New Roman;serif"/>
          <w:b w:val="false"/>
          <w:sz w:val="24"/>
        </w:rPr>
        <w:t>.,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terms in the Stock Award Agreement or related grant documents.</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Stockholder Rights.</w:t>
      </w:r>
      <w:r>
        <w:rPr/>
        <w:t xml:space="preserve"> </w:t>
      </w:r>
      <w:r>
        <w:rPr>
          <w:rFonts w:ascii="Times New Roman;serif" w:hAnsi="Times New Roman;serif"/>
          <w:b w:val="false"/>
          <w:sz w:val="24"/>
        </w:rPr>
        <w:t>No Participant will be deemed to be the holder of, or to have any of the rights of a holder with respect to, any 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No Employment or Other Service Rights.</w:t>
      </w:r>
      <w:r>
        <w:rPr/>
        <w:t xml:space="preserve"> </w:t>
      </w:r>
      <w:r>
        <w:rPr>
          <w:rFonts w:ascii="Times New Roman;serif" w:hAnsi="Times New Roman;serif"/>
          <w:b w:val="false"/>
          <w:sz w:val="24"/>
        </w:rPr>
        <w:t>Nothing in the Plan, any Stock Award Agreement or any other instrument executed thereunder 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rFonts w:ascii="Times New Roman;serif" w:hAnsi="Times New Roman;serif"/>
          <w:b/>
          <w:sz w:val="24"/>
        </w:rPr>
        <w:t>Change in Time Commitment.</w:t>
      </w:r>
      <w:r>
        <w:rPr/>
        <w:t xml:space="preserve"> </w:t>
      </w:r>
      <w:r>
        <w:rPr>
          <w:rFonts w:ascii="Times New Roman;serif" w:hAnsi="Times New Roman;serif"/>
          <w:b w:val="false"/>
          <w:sz w:val="24"/>
        </w:rPr>
        <w:t xml:space="preserve">In the event a Participant’s regular level of time commitment in the performance of his or her services for the Company or any Affiliate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rFonts w:ascii="Times New Roman;serif" w:hAnsi="Times New Roman;serif"/>
          <w:b/>
          <w:sz w:val="24"/>
        </w:rPr>
        <w:t>Incentive Stock Option Limitations.</w:t>
      </w:r>
      <w:r>
        <w:rPr/>
        <w:t xml:space="preserve"> </w:t>
      </w:r>
      <w:r>
        <w:rPr>
          <w:rFonts w:ascii="Times New Roman;serif" w:hAnsi="Times New Roman;serif"/>
          <w:b w:val="false"/>
          <w:sz w:val="24"/>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rFonts w:ascii="Times New Roman;serif" w:hAnsi="Times New Roman;serif"/>
          <w:b/>
          <w:sz w:val="24"/>
        </w:rPr>
        <w:t>Investment Assurances.</w:t>
      </w:r>
      <w:r>
        <w:rPr/>
        <w:t xml:space="preserve"> </w:t>
      </w:r>
      <w:r>
        <w:rPr>
          <w:rFonts w:ascii="Times New Roman;serif" w:hAnsi="Times New Roman;serif"/>
          <w:b w:val="false"/>
          <w:sz w:val="24"/>
        </w:rPr>
        <w:t>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240"/>
        <w:jc w:val="both"/>
        <w:rPr>
          <w:rFonts w:ascii="Times New Roman" w:hAnsi="Times New Roman"/>
          <w:b/>
          <w:sz w:val="24"/>
        </w:rPr>
      </w:pPr>
      <w:r>
        <w:rPr>
          <w:rFonts w:ascii="Times New Roman" w:hAnsi="Times New Roman"/>
          <w:b/>
          <w:sz w:val="24"/>
        </w:rPr>
        <w:t>(h)</w:t>
      </w:r>
    </w:p>
    <w:p>
      <w:pPr>
        <w:pStyle w:val="TextBody"/>
        <w:bidi w:val="0"/>
        <w:spacing w:before="0" w:after="240"/>
        <w:jc w:val="both"/>
        <w:rPr/>
      </w:pPr>
      <w:r>
        <w:rPr>
          <w:rFonts w:ascii="Times New Roman;serif" w:hAnsi="Times New Roman;serif"/>
          <w:b/>
          <w:sz w:val="24"/>
        </w:rPr>
        <w:t>Withholding Obligations.</w:t>
      </w:r>
      <w:r>
        <w:rPr/>
        <w:t xml:space="preserve"> </w:t>
      </w:r>
      <w:r>
        <w:rPr>
          <w:rFonts w:ascii="Times New Roman;serif" w:hAnsi="Times New Roman;serif"/>
          <w:b w:val="false"/>
          <w:sz w:val="24"/>
        </w:rPr>
        <w:t xml:space="preserve">Unless prohibited by the terms of a Stock Award Agreement, the Company may, in its sole discretion, satisfy 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serif" w:hAnsi="Times New Roman;serif"/>
          <w:b w:val="false"/>
          <w:i/>
          <w:sz w:val="24"/>
        </w:rPr>
        <w:t xml:space="preserve">provided, however, </w:t>
      </w:r>
      <w:r>
        <w:rPr>
          <w:rFonts w:ascii="Times New Roman;serif" w:hAnsi="Times New Roman;serif"/>
          <w:b w:val="false"/>
          <w:sz w:val="24"/>
        </w:rPr>
        <w:t>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rFonts w:ascii="Times New Roman;serif" w:hAnsi="Times New Roman;serif"/>
          <w:b/>
          <w:sz w:val="24"/>
        </w:rPr>
        <w:t>Electronic Delivery.</w:t>
      </w:r>
      <w:r>
        <w:rPr/>
        <w:t xml:space="preserve"> </w:t>
      </w:r>
      <w:r>
        <w:rPr>
          <w:rFonts w:ascii="Times New Roman;serif" w:hAnsi="Times New Roman;serif"/>
          <w:b w:val="false"/>
          <w:sz w:val="24"/>
        </w:rPr>
        <w:t>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pStyle w:val="TextBody"/>
        <w:bidi w:val="0"/>
        <w:spacing w:before="0" w:after="240"/>
        <w:jc w:val="both"/>
        <w:rPr>
          <w:rFonts w:ascii="Times New Roman" w:hAnsi="Times New Roman"/>
          <w:b/>
          <w:sz w:val="24"/>
        </w:rPr>
      </w:pPr>
      <w:r>
        <w:rPr>
          <w:rFonts w:ascii="Times New Roman" w:hAnsi="Times New Roman"/>
          <w:b/>
          <w:sz w:val="24"/>
        </w:rPr>
        <w:t>(j)</w:t>
      </w:r>
    </w:p>
    <w:p>
      <w:pPr>
        <w:pStyle w:val="TextBody"/>
        <w:bidi w:val="0"/>
        <w:spacing w:before="0" w:after="240"/>
        <w:jc w:val="both"/>
        <w:rPr/>
      </w:pPr>
      <w:r>
        <w:rPr>
          <w:rFonts w:ascii="Times New Roman;serif" w:hAnsi="Times New Roman;serif"/>
          <w:b/>
          <w:sz w:val="24"/>
        </w:rPr>
        <w:t>Deferrals.</w:t>
      </w:r>
      <w:r>
        <w:rPr/>
        <w:t xml:space="preserve"> </w:t>
      </w:r>
      <w:r>
        <w:rPr>
          <w:rFonts w:ascii="Times New Roman;serif" w:hAnsi="Times New Roman;serif"/>
          <w:b w:val="false"/>
          <w:sz w:val="24"/>
        </w:rPr>
        <w:t>To the extent permitted by applicable law, the Board, in its sole discretion, may determine that the delivery of 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0" w:after="240"/>
        <w:jc w:val="both"/>
        <w:rPr>
          <w:rFonts w:ascii="Times New Roman" w:hAnsi="Times New Roman"/>
          <w:b/>
          <w:sz w:val="24"/>
        </w:rPr>
      </w:pPr>
      <w:r>
        <w:rPr>
          <w:rFonts w:ascii="Times New Roman" w:hAnsi="Times New Roman"/>
          <w:b/>
          <w:sz w:val="24"/>
        </w:rPr>
        <w:t>(k)</w:t>
      </w:r>
    </w:p>
    <w:p>
      <w:pPr>
        <w:pStyle w:val="TextBody"/>
        <w:bidi w:val="0"/>
        <w:spacing w:before="0" w:after="240"/>
        <w:jc w:val="both"/>
        <w:rPr/>
      </w:pPr>
      <w:r>
        <w:rPr>
          <w:rFonts w:ascii="Times New Roman;serif" w:hAnsi="Times New Roman;serif"/>
          <w:b/>
          <w:sz w:val="24"/>
        </w:rPr>
        <w:t xml:space="preserve">Compliance with Section 409A of the Code. </w:t>
      </w:r>
      <w:r>
        <w:rPr>
          <w:rFonts w:ascii="Times New Roman;serif" w:hAnsi="Times New Roman;serif"/>
          <w:b w:val="false"/>
          <w:sz w:val="24"/>
        </w:rPr>
        <w:t>Unless otherwise expressly provided for in a Stock Award Agreement, the Plan and Stock Award Agreements will be interpreted to the greatest extent possible in a manner that makes the Plan and the Stock Awards granted hereunder exempt from Section 409A of the Code, and, to the extent not so exempt, in compliance with Section 409A of the Code. To the extent that the Board determines that any Stock Award granted hereunder is not exempt from and is therefore subject to Section 409A of the Code, the Stock Award Agreement evidencing such Stock Award will incorporate the terms and conditions necessary to avoid the consequences specified in Section 409A(a)(1) of the Code, and, to the extent applicable, the Plan and Stock Award Agreements will be interpreted in accordance with the requirements of Section 409A of the Code. Notwithstanding anything to the contrary in this Plan (and unless the Stock Award Agreement specifically provides otherwise), if the shares of Common Stock are publicly traded and a Participant holding a Stock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w:t>
      </w:r>
    </w:p>
    <w:p>
      <w:pPr>
        <w:pStyle w:val="TextBody"/>
        <w:bidi w:val="0"/>
        <w:spacing w:before="0" w:after="240"/>
        <w:jc w:val="both"/>
        <w:rPr>
          <w:rFonts w:ascii="Times New Roman" w:hAnsi="Times New Roman"/>
          <w:b/>
          <w:sz w:val="24"/>
        </w:rPr>
      </w:pPr>
      <w:r>
        <w:rPr>
          <w:rFonts w:ascii="Times New Roman" w:hAnsi="Times New Roman"/>
          <w:b/>
          <w:sz w:val="24"/>
        </w:rPr>
        <w:t>(l)</w:t>
      </w:r>
    </w:p>
    <w:p>
      <w:pPr>
        <w:pStyle w:val="TextBody"/>
        <w:bidi w:val="0"/>
        <w:spacing w:before="0" w:after="240"/>
        <w:jc w:val="both"/>
        <w:rPr/>
      </w:pPr>
      <w:r>
        <w:rPr>
          <w:rFonts w:ascii="Times New Roman;serif" w:hAnsi="Times New Roman;serif"/>
          <w:b/>
          <w:sz w:val="24"/>
        </w:rPr>
        <w:t>Clawback/Recovery.</w:t>
      </w:r>
      <w:r>
        <w:rPr/>
        <w:t xml:space="preserve"> </w:t>
      </w:r>
      <w:r>
        <w:rPr>
          <w:rFonts w:ascii="Times New Roman;serif" w:hAnsi="Times New Roman;serif"/>
          <w:b w:val="false"/>
          <w:sz w:val="24"/>
        </w:rPr>
        <w:t>All Stock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 Stock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9.</w:t>
      </w:r>
    </w:p>
    <w:p>
      <w:pPr>
        <w:pStyle w:val="TextBody"/>
        <w:bidi w:val="0"/>
        <w:spacing w:before="0" w:after="240"/>
        <w:jc w:val="both"/>
        <w:rPr/>
      </w:pPr>
      <w:r>
        <w:rPr>
          <w:rFonts w:ascii="Times New Roman;serif" w:hAnsi="Times New Roman;serif"/>
          <w:b/>
          <w:smallCaps/>
          <w:sz w:val="24"/>
        </w:rPr>
        <w:t>Adjustments upon Changes in Common Stock; Other Corporate Events</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Capitalization Adjustments.</w:t>
      </w:r>
      <w:r>
        <w:rPr/>
        <w:t xml:space="preserve"> </w:t>
      </w:r>
      <w:r>
        <w:rPr>
          <w:rFonts w:ascii="Times New Roman;serif" w:hAnsi="Times New Roman;serif"/>
          <w:b w:val="false"/>
          <w:sz w:val="24"/>
        </w:rPr>
        <w:t>In the event of a Capitalization Adjustment,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Dissolution or Liquidation.</w:t>
      </w:r>
      <w:r>
        <w:rPr/>
        <w:t xml:space="preserve"> </w:t>
      </w:r>
      <w:r>
        <w:rPr>
          <w:rFonts w:ascii="Times New Roman;serif" w:hAnsi="Times New Roman;serif"/>
          <w:b w:val="false"/>
          <w:sz w:val="24"/>
        </w:rPr>
        <w:t xml:space="preserve">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serif" w:hAnsi="Times New Roman;serif"/>
          <w:b w:val="false"/>
          <w:i/>
          <w:sz w:val="24"/>
        </w:rPr>
        <w:t>provided, however</w:t>
      </w:r>
      <w:r>
        <w:rPr>
          <w:rFonts w:ascii="Times New Roman;serif" w:hAnsi="Times New Roman;serif"/>
          <w:b w:val="false"/>
          <w:sz w:val="24"/>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Corporate Transactions.</w:t>
      </w:r>
      <w:r>
        <w:rPr/>
        <w:t xml:space="preserve"> </w:t>
      </w:r>
      <w:r>
        <w:rPr>
          <w:rFonts w:ascii="Times New Roman;serif" w:hAnsi="Times New Roman;serif"/>
          <w:b w:val="false"/>
          <w:sz w:val="24"/>
        </w:rPr>
        <w:t>The following provisions will apply to Stock Awards in the event of a Transaction unless otherwise provided in the Stock 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pPr>
      <w:r>
        <w:rPr>
          <w:rFonts w:ascii="Times New Roman;serif" w:hAnsi="Times New Roman;serif"/>
          <w:b w:val="false"/>
          <w:sz w:val="24"/>
        </w:rPr>
        <w:t xml:space="preserve">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 </w:t>
      </w:r>
      <w:r>
        <w:rPr>
          <w:rFonts w:ascii="Times New Roman;serif" w:hAnsi="Times New Roman;serif"/>
          <w:b w:val="false"/>
          <w:i/>
          <w:sz w:val="24"/>
        </w:rPr>
        <w:t>provided, however</w:t>
      </w:r>
      <w:r>
        <w:rPr>
          <w:rFonts w:ascii="Times New Roman;serif" w:hAnsi="Times New Roman;serif"/>
          <w:b w:val="false"/>
          <w:sz w:val="24"/>
        </w:rPr>
        <w:t>, that the Board may require Participants to complete and deliver to the Company a notice of exercise before the effective date of a Transaction, which exercise is contingent upon the effectiveness of such Transaction;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arrange for the lapse, in whole or in part, of any reacquisition or repurchase rights held by the Company with respect to the Stock Award;</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pStyle w:val="TextBody"/>
        <w:bidi w:val="0"/>
        <w:spacing w:before="0" w:after="240"/>
        <w:jc w:val="both"/>
        <w:rPr>
          <w:rFonts w:ascii="Times New Roman" w:hAnsi="Times New Roman"/>
          <w:b/>
          <w:sz w:val="24"/>
        </w:rPr>
      </w:pPr>
      <w:r>
        <w:rPr>
          <w:rFonts w:ascii="Times New Roman" w:hAnsi="Times New Roman"/>
          <w:b/>
          <w:sz w:val="24"/>
        </w:rPr>
        <w:t>(vi)</w:t>
      </w:r>
    </w:p>
    <w:p>
      <w:pPr>
        <w:pStyle w:val="TextBody"/>
        <w:bidi w:val="0"/>
        <w:spacing w:before="0" w:after="240"/>
        <w:jc w:val="both"/>
        <w:rPr/>
      </w:pPr>
      <w:r>
        <w:rPr>
          <w:rFonts w:ascii="Times New Roman;serif" w:hAnsi="Times New Roman;serif"/>
          <w:b w:val="false"/>
          <w:sz w:val="24"/>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w:t>
      </w:r>
      <w:r>
        <w:rPr/>
        <w:t xml:space="preserve"> </w:t>
      </w:r>
      <w:r>
        <w:rPr>
          <w:rFonts w:ascii="Times New Roman;serif" w:hAnsi="Times New Roman;serif"/>
          <w:b w:val="false"/>
          <w:sz w:val="24"/>
        </w:rPr>
        <w:t>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need not take the same action or actions with respect to all Stock Awards or portions thereof or with respect to all Participants. The Board may take different actions with respect to the vested and unvested portions of a Stock Award.</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Change in Control.</w:t>
      </w:r>
      <w:r>
        <w:rPr/>
        <w:t xml:space="preserve"> </w:t>
      </w:r>
      <w:r>
        <w:rPr>
          <w:rFonts w:ascii="Times New Roman;serif" w:hAnsi="Times New Roman;serif"/>
          <w:b w:val="false"/>
          <w:sz w:val="24"/>
        </w:rPr>
        <w:t>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pStyle w:val="TextBody"/>
        <w:bidi w:val="0"/>
        <w:spacing w:before="0" w:after="240"/>
        <w:jc w:val="both"/>
        <w:rPr>
          <w:rFonts w:ascii="Times New Roman" w:hAnsi="Times New Roman"/>
          <w:b/>
          <w:sz w:val="24"/>
        </w:rPr>
      </w:pPr>
      <w:r>
        <w:rPr>
          <w:rFonts w:ascii="Times New Roman" w:hAnsi="Times New Roman"/>
          <w:b/>
          <w:sz w:val="24"/>
        </w:rPr>
        <w:t>10.</w:t>
      </w:r>
    </w:p>
    <w:p>
      <w:pPr>
        <w:pStyle w:val="TextBody"/>
        <w:bidi w:val="0"/>
        <w:spacing w:before="0" w:after="240"/>
        <w:jc w:val="both"/>
        <w:rPr/>
      </w:pPr>
      <w:r>
        <w:rPr>
          <w:rFonts w:ascii="Times New Roman;serif" w:hAnsi="Times New Roman;serif"/>
          <w:b/>
          <w:smallCaps/>
          <w:sz w:val="24"/>
        </w:rPr>
        <w:t>Termination or Suspension of the Plan</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val="false"/>
          <w:sz w:val="24"/>
        </w:rPr>
        <w:t>The Board may suspend or terminate the Plan at any time. No Incentive Stock Option will be granted after</w:t>
      </w:r>
      <w:r>
        <w:rPr/>
        <w:t xml:space="preserve"> </w:t>
      </w:r>
      <w:r>
        <w:rPr>
          <w:rFonts w:ascii="Times New Roman;serif" w:hAnsi="Times New Roman;serif"/>
          <w:b w:val="false"/>
          <w:sz w:val="24"/>
        </w:rPr>
        <w:t>the tenth anniversary of the earlier of (i) the date the Plan is adopted by the Board, or (ii) the date the Plan is approved by the stockholders of the Company. No Stock Awards may be granted under the Plan while the Plan is suspended or after it is terminated.</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 xml:space="preserve">No Impairment of Rights. </w:t>
      </w:r>
      <w:r>
        <w:rPr>
          <w:rFonts w:ascii="Times New Roman;serif" w:hAnsi="Times New Roman;serif"/>
          <w:b w:val="false"/>
          <w:sz w:val="24"/>
        </w:rPr>
        <w:t>Suspension or termination of the Plan will not materially impair rights and obligations under any Stock Award granted while the Plan is in effect except with the written consent of the affected Participant or as otherwise permitted in the Plan.</w:t>
      </w:r>
    </w:p>
    <w:p>
      <w:pPr>
        <w:pStyle w:val="TextBody"/>
        <w:bidi w:val="0"/>
        <w:spacing w:before="0" w:after="240"/>
        <w:jc w:val="both"/>
        <w:rPr>
          <w:rFonts w:ascii="Times New Roman" w:hAnsi="Times New Roman"/>
          <w:b/>
          <w:sz w:val="24"/>
        </w:rPr>
      </w:pPr>
      <w:r>
        <w:rPr>
          <w:rFonts w:ascii="Times New Roman" w:hAnsi="Times New Roman"/>
          <w:b/>
          <w:sz w:val="24"/>
        </w:rPr>
        <w:t>11.</w:t>
      </w:r>
    </w:p>
    <w:p>
      <w:pPr>
        <w:pStyle w:val="TextBody"/>
        <w:bidi w:val="0"/>
        <w:spacing w:before="0" w:after="240"/>
        <w:jc w:val="both"/>
        <w:rPr/>
      </w:pPr>
      <w:r>
        <w:rPr>
          <w:rFonts w:ascii="Times New Roman;serif" w:hAnsi="Times New Roman;serif"/>
          <w:b/>
          <w:smallCaps/>
          <w:sz w:val="24"/>
        </w:rPr>
        <w:t>Effective Date of Plan</w:t>
      </w:r>
      <w:r>
        <w:rPr>
          <w:rFonts w:ascii="Times New Roman;serif" w:hAnsi="Times New Roman;serif"/>
          <w:b w:val="false"/>
          <w:sz w:val="24"/>
        </w:rPr>
        <w: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Plan will become effective on the Effective Date.</w:t>
      </w:r>
    </w:p>
    <w:p>
      <w:pPr>
        <w:pStyle w:val="TextBody"/>
        <w:bidi w:val="0"/>
        <w:spacing w:before="0" w:after="240"/>
        <w:jc w:val="both"/>
        <w:rPr>
          <w:rFonts w:ascii="Times New Roman" w:hAnsi="Times New Roman"/>
          <w:b/>
          <w:sz w:val="24"/>
        </w:rPr>
      </w:pPr>
      <w:r>
        <w:rPr>
          <w:rFonts w:ascii="Times New Roman" w:hAnsi="Times New Roman"/>
          <w:b/>
          <w:sz w:val="24"/>
        </w:rPr>
        <w:t>12.</w:t>
      </w:r>
    </w:p>
    <w:p>
      <w:pPr>
        <w:pStyle w:val="TextBody"/>
        <w:bidi w:val="0"/>
        <w:spacing w:before="0" w:after="240"/>
        <w:jc w:val="both"/>
        <w:rPr/>
      </w:pPr>
      <w:r>
        <w:rPr>
          <w:rFonts w:ascii="Times New Roman;serif" w:hAnsi="Times New Roman;serif"/>
          <w:b/>
          <w:smallCaps/>
          <w:sz w:val="24"/>
        </w:rPr>
        <w:t>Choice of Law</w:t>
      </w:r>
      <w:r>
        <w:rPr>
          <w:rFonts w:ascii="Times New Roman;serif" w:hAnsi="Times New Roman;serif"/>
          <w:b w:val="false"/>
          <w:sz w:val="24"/>
        </w:rPr>
        <w: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laws of the State of Delaware will govern all questions concerning the construction, validity and interpretation of this Plan, without regard to that state’s conflict of laws rules.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13.</w:t>
      </w:r>
    </w:p>
    <w:p>
      <w:pPr>
        <w:pStyle w:val="TextBody"/>
        <w:bidi w:val="0"/>
        <w:spacing w:before="0" w:after="240"/>
        <w:jc w:val="both"/>
        <w:rPr/>
      </w:pPr>
      <w:r>
        <w:rPr>
          <w:rFonts w:ascii="Times New Roman;serif" w:hAnsi="Times New Roman;serif"/>
          <w:b/>
          <w:smallCaps/>
          <w:sz w:val="24"/>
        </w:rPr>
        <w:t xml:space="preserve">Definitions. </w:t>
      </w:r>
      <w:r>
        <w:rPr>
          <w:rFonts w:ascii="Times New Roman;serif" w:hAnsi="Times New Roman;serif"/>
          <w:b w:val="false"/>
          <w:sz w:val="24"/>
        </w:rPr>
        <w:t>As used in the Plan, the following definitions will apply to the capitalized terms indicated below:</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t>“</w:t>
      </w:r>
      <w:r>
        <w:rPr>
          <w:rFonts w:ascii="Times New Roman;serif" w:hAnsi="Times New Roman;serif"/>
          <w:b/>
          <w:i/>
          <w:sz w:val="24"/>
        </w:rPr>
        <w:t>Affiliate</w:t>
      </w:r>
      <w:r>
        <w:rPr/>
        <w:t xml:space="preserve">” </w:t>
      </w:r>
      <w:r>
        <w:rPr>
          <w:rFonts w:ascii="Times New Roman;serif" w:hAnsi="Times New Roman;serif"/>
          <w:b w:val="false"/>
          <w:sz w:val="24"/>
        </w:rPr>
        <w:t>means, at the time of determination, any “parent” or “subsidiary” of the Company as such terms are defined in Rule 405. The Board will have the authority to determine the time or times at which “parent” or “subsidiary” status is determined within the foregoing definition.</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t>“</w:t>
      </w:r>
      <w:r>
        <w:rPr>
          <w:rFonts w:ascii="Times New Roman;serif" w:hAnsi="Times New Roman;serif"/>
          <w:b/>
          <w:i/>
          <w:sz w:val="24"/>
        </w:rPr>
        <w:t>Board</w:t>
      </w:r>
      <w:r>
        <w:rPr/>
        <w:t xml:space="preserve">” </w:t>
      </w:r>
      <w:r>
        <w:rPr>
          <w:rFonts w:ascii="Times New Roman;serif" w:hAnsi="Times New Roman;serif"/>
          <w:b w:val="false"/>
          <w:sz w:val="24"/>
        </w:rPr>
        <w:t>means the Board of Directors of the Company.</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t>“</w:t>
      </w:r>
      <w:r>
        <w:rPr>
          <w:rFonts w:ascii="Times New Roman;serif" w:hAnsi="Times New Roman;serif"/>
          <w:b/>
          <w:i/>
          <w:sz w:val="24"/>
        </w:rPr>
        <w:t>Capitalization Adjustment</w:t>
      </w:r>
      <w:r>
        <w:rPr/>
        <w:t xml:space="preserve">” </w:t>
      </w:r>
      <w:r>
        <w:rPr>
          <w:rFonts w:ascii="Times New Roman;serif" w:hAnsi="Times New Roman;serif"/>
          <w:b w:val="false"/>
          <w:sz w:val="24"/>
        </w:rPr>
        <w:t>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t>“</w:t>
      </w:r>
      <w:r>
        <w:rPr>
          <w:rFonts w:ascii="Times New Roman;serif" w:hAnsi="Times New Roman;serif"/>
          <w:b/>
          <w:i/>
          <w:sz w:val="24"/>
        </w:rPr>
        <w:t>Cause</w:t>
      </w:r>
      <w:r>
        <w:rPr/>
        <w:t xml:space="preserve">” </w:t>
      </w:r>
      <w:r>
        <w:rPr>
          <w:rFonts w:ascii="Times New Roman;serif" w:hAnsi="Times New Roman;serif"/>
          <w:b w:val="false"/>
          <w:sz w:val="24"/>
        </w:rPr>
        <w:t>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t>“</w:t>
      </w:r>
      <w:r>
        <w:rPr>
          <w:rFonts w:ascii="Times New Roman;serif" w:hAnsi="Times New Roman;serif"/>
          <w:b/>
          <w:i/>
          <w:sz w:val="24"/>
        </w:rPr>
        <w:t>Change in Control</w:t>
      </w:r>
      <w:r>
        <w:rPr/>
        <w:t xml:space="preserve">” </w:t>
      </w:r>
      <w:r>
        <w:rPr>
          <w:rFonts w:ascii="Times New Roman;serif" w:hAnsi="Times New Roman;serif"/>
          <w:b w:val="false"/>
          <w:sz w:val="24"/>
        </w:rPr>
        <w:t>means the occurrence, in a single transaction or in a series of related transactions, of any one or more of the following events: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sz w:val="24"/>
        </w:rPr>
        <w:t>Subject Person</w:t>
      </w:r>
      <w:r>
        <w:rPr/>
        <w:t>”</w:t>
      </w:r>
      <w:r>
        <w:rPr>
          <w:rFonts w:ascii="Times New Roman;serif" w:hAnsi="Times New Roman;serif"/>
          <w:b w:val="false"/>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stockholders of the Company approve or the Board approves a plan of complete dissolution or liquidation of the Company, or a complete dissolution or liquidation of the Company will otherwise occur, except for a liquidation into a parent corporation;</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pPr>
      <w:r>
        <w:rPr>
          <w:rFonts w:ascii="Times New Roman;serif" w:hAnsi="Times New Roman;serif"/>
          <w:b w:val="false"/>
          <w:sz w:val="24"/>
        </w:rPr>
        <w:t>individuals who, on the date the Plan is adopted by the Board, are members of the Board (the “</w:t>
      </w:r>
      <w:r>
        <w:rPr>
          <w:rFonts w:ascii="Times New Roman;serif" w:hAnsi="Times New Roman;serif"/>
          <w:b/>
          <w:i/>
          <w:sz w:val="24"/>
        </w:rPr>
        <w:t>Incumbent Board</w:t>
      </w:r>
      <w:r>
        <w:rPr/>
        <w:t>”</w:t>
      </w:r>
      <w:r>
        <w:rPr>
          <w:rFonts w:ascii="Times New Roman;serif" w:hAnsi="Times New Roman;serif"/>
          <w:b w:val="false"/>
          <w:sz w:val="24"/>
        </w:rPr>
        <w:t xml:space="preserve">) cease for any reason to constitute at least a majority of the members of the Board; </w:t>
      </w:r>
      <w:r>
        <w:rPr>
          <w:rFonts w:ascii="Times New Roman;serif" w:hAnsi="Times New Roman;serif"/>
          <w:b w:val="false"/>
          <w:i/>
          <w:sz w:val="24"/>
        </w:rPr>
        <w:t>provided, however</w:t>
      </w:r>
      <w:r>
        <w:rPr>
          <w:rFonts w:ascii="Times New Roman;serif" w:hAnsi="Times New Roman;serif"/>
          <w:b w:val="false"/>
          <w:sz w:val="24"/>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serif" w:hAnsi="Times New Roman;serif"/>
          <w:b w:val="false"/>
          <w:i/>
          <w:sz w:val="24"/>
        </w:rPr>
        <w:t>provided, however</w:t>
      </w:r>
      <w:r>
        <w:rPr>
          <w:rFonts w:ascii="Times New Roman;serif" w:hAnsi="Times New Roman;serif"/>
          <w:b w:val="false"/>
          <w:sz w:val="24"/>
        </w:rPr>
        <w:t>, that if no definition of Change in Control or any analogous term is set forth in such an individual written agreement, the foregoing definition will apply.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t>“</w:t>
      </w:r>
      <w:r>
        <w:rPr>
          <w:rFonts w:ascii="Times New Roman;serif" w:hAnsi="Times New Roman;serif"/>
          <w:b/>
          <w:i/>
          <w:sz w:val="24"/>
        </w:rPr>
        <w:t>Code</w:t>
      </w:r>
      <w:r>
        <w:rPr/>
        <w:t xml:space="preserve">” </w:t>
      </w:r>
      <w:r>
        <w:rPr>
          <w:rFonts w:ascii="Times New Roman;serif" w:hAnsi="Times New Roman;serif"/>
          <w:b w:val="false"/>
          <w:sz w:val="24"/>
        </w:rPr>
        <w:t>means the Internal Revenue Code of 1986, as amended, including any applicable regulations and guidance thereunder.</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t>“</w:t>
      </w:r>
      <w:r>
        <w:rPr>
          <w:rFonts w:ascii="Times New Roman;serif" w:hAnsi="Times New Roman;serif"/>
          <w:b/>
          <w:i/>
          <w:sz w:val="24"/>
        </w:rPr>
        <w:t>Committee</w:t>
      </w:r>
      <w:r>
        <w:rPr/>
        <w:t xml:space="preserve">” </w:t>
      </w:r>
      <w:r>
        <w:rPr>
          <w:rFonts w:ascii="Times New Roman;serif" w:hAnsi="Times New Roman;serif"/>
          <w:b w:val="false"/>
          <w:sz w:val="24"/>
        </w:rPr>
        <w:t>means a committee of one or more Directors to whom authority has been delegated by the Board in accordance with Section 2(c).</w:t>
      </w:r>
    </w:p>
    <w:p>
      <w:pPr>
        <w:pStyle w:val="TextBody"/>
        <w:bidi w:val="0"/>
        <w:spacing w:before="0" w:after="240"/>
        <w:jc w:val="both"/>
        <w:rPr>
          <w:rFonts w:ascii="Times New Roman" w:hAnsi="Times New Roman"/>
          <w:b/>
          <w:sz w:val="24"/>
        </w:rPr>
      </w:pPr>
      <w:r>
        <w:rPr>
          <w:rFonts w:ascii="Times New Roman" w:hAnsi="Times New Roman"/>
          <w:b/>
          <w:sz w:val="24"/>
        </w:rPr>
        <w:t>(h)</w:t>
      </w:r>
    </w:p>
    <w:p>
      <w:pPr>
        <w:pStyle w:val="TextBody"/>
        <w:bidi w:val="0"/>
        <w:spacing w:before="0" w:after="240"/>
        <w:jc w:val="both"/>
        <w:rPr/>
      </w:pPr>
      <w:r>
        <w:rPr/>
        <w:t>“</w:t>
      </w:r>
      <w:r>
        <w:rPr>
          <w:rFonts w:ascii="Times New Roman;serif" w:hAnsi="Times New Roman;serif"/>
          <w:b/>
          <w:i/>
          <w:sz w:val="24"/>
        </w:rPr>
        <w:t>Common Stock</w:t>
      </w:r>
      <w:r>
        <w:rPr/>
        <w:t xml:space="preserve">” </w:t>
      </w:r>
      <w:r>
        <w:rPr>
          <w:rFonts w:ascii="Times New Roman;serif" w:hAnsi="Times New Roman;serif"/>
          <w:b w:val="false"/>
          <w:sz w:val="24"/>
        </w:rPr>
        <w:t>means the common stock of the Company.</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t>“</w:t>
      </w:r>
      <w:r>
        <w:rPr>
          <w:rFonts w:ascii="Times New Roman;serif" w:hAnsi="Times New Roman;serif"/>
          <w:b/>
          <w:i/>
          <w:sz w:val="24"/>
        </w:rPr>
        <w:t>Company</w:t>
      </w:r>
      <w:r>
        <w:rPr/>
        <w:t xml:space="preserve">” </w:t>
      </w:r>
      <w:r>
        <w:rPr>
          <w:rFonts w:ascii="Times New Roman;serif" w:hAnsi="Times New Roman;serif"/>
          <w:b w:val="false"/>
          <w:sz w:val="24"/>
        </w:rPr>
        <w:t>means MannKind Corporation, a Delaware corporation.</w:t>
      </w:r>
    </w:p>
    <w:p>
      <w:pPr>
        <w:pStyle w:val="TextBody"/>
        <w:bidi w:val="0"/>
        <w:spacing w:before="0" w:after="240"/>
        <w:jc w:val="both"/>
        <w:rPr>
          <w:rFonts w:ascii="Times New Roman" w:hAnsi="Times New Roman"/>
          <w:b/>
          <w:sz w:val="24"/>
        </w:rPr>
      </w:pPr>
      <w:r>
        <w:rPr>
          <w:rFonts w:ascii="Times New Roman" w:hAnsi="Times New Roman"/>
          <w:b/>
          <w:sz w:val="24"/>
        </w:rPr>
        <w:t>(j)</w:t>
      </w:r>
    </w:p>
    <w:p>
      <w:pPr>
        <w:pStyle w:val="TextBody"/>
        <w:bidi w:val="0"/>
        <w:spacing w:before="0" w:after="240"/>
        <w:jc w:val="both"/>
        <w:rPr/>
      </w:pPr>
      <w:r>
        <w:rPr/>
        <w:t>“</w:t>
      </w:r>
      <w:r>
        <w:rPr>
          <w:rFonts w:ascii="Times New Roman;serif" w:hAnsi="Times New Roman;serif"/>
          <w:b/>
          <w:i/>
          <w:sz w:val="24"/>
        </w:rPr>
        <w:t>Consultant</w:t>
      </w:r>
      <w:r>
        <w:rPr/>
        <w:t xml:space="preserve">” </w:t>
      </w:r>
      <w:r>
        <w:rPr>
          <w:rFonts w:ascii="Times New Roman;serif" w:hAnsi="Times New Roman;serif"/>
          <w:b w:val="false"/>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r>
        <w:rPr/>
        <w:t xml:space="preserve"> </w:t>
      </w:r>
      <w:r>
        <w:rPr>
          <w:rFonts w:ascii="Times New Roman;serif" w:hAnsi="Times New Roman;serif"/>
          <w:b w:val="false"/>
          <w:sz w:val="24"/>
        </w:rPr>
        <w:t>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240"/>
        <w:jc w:val="both"/>
        <w:rPr>
          <w:rFonts w:ascii="Times New Roman" w:hAnsi="Times New Roman"/>
          <w:b/>
          <w:sz w:val="24"/>
        </w:rPr>
      </w:pPr>
      <w:r>
        <w:rPr>
          <w:rFonts w:ascii="Times New Roman" w:hAnsi="Times New Roman"/>
          <w:b/>
          <w:sz w:val="24"/>
        </w:rPr>
        <w:t>(k)</w:t>
      </w:r>
    </w:p>
    <w:p>
      <w:pPr>
        <w:pStyle w:val="TextBody"/>
        <w:bidi w:val="0"/>
        <w:spacing w:before="0" w:after="240"/>
        <w:jc w:val="both"/>
        <w:rPr/>
      </w:pPr>
      <w:r>
        <w:rPr/>
        <w:t>“</w:t>
      </w:r>
      <w:r>
        <w:rPr>
          <w:rFonts w:ascii="Times New Roman;serif" w:hAnsi="Times New Roman;serif"/>
          <w:b/>
          <w:i/>
          <w:sz w:val="24"/>
        </w:rPr>
        <w:t>Continuous Service</w:t>
      </w:r>
      <w:r>
        <w:rPr/>
        <w:t xml:space="preserve">” </w:t>
      </w:r>
      <w:r>
        <w:rPr>
          <w:rFonts w:ascii="Times New Roman;serif" w:hAnsi="Times New Roman;serif"/>
          <w:b w:val="false"/>
          <w:sz w:val="24"/>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serif" w:hAnsi="Times New Roman;serif"/>
          <w:b w:val="false"/>
          <w:i/>
          <w:sz w:val="24"/>
        </w:rPr>
        <w:t>provided, however,</w:t>
      </w:r>
      <w:r>
        <w:rPr/>
        <w:t xml:space="preserve"> </w:t>
      </w:r>
      <w:r>
        <w:rPr>
          <w:rFonts w:ascii="Times New Roman;serif" w:hAnsi="Times New Roman;serif"/>
          <w:b w:val="false"/>
          <w:sz w:val="24"/>
        </w:rPr>
        <w:t>that</w:t>
      </w:r>
      <w:r>
        <w:rPr/>
        <w:t xml:space="preserve"> </w:t>
      </w:r>
      <w:r>
        <w:rPr>
          <w:rFonts w:ascii="Times New Roman;serif" w:hAnsi="Times New Roman;serif"/>
          <w:b w:val="false"/>
          <w:sz w:val="24"/>
        </w:rPr>
        <w:t>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pStyle w:val="TextBody"/>
        <w:bidi w:val="0"/>
        <w:spacing w:before="0" w:after="240"/>
        <w:jc w:val="both"/>
        <w:rPr>
          <w:rFonts w:ascii="Times New Roman" w:hAnsi="Times New Roman"/>
          <w:b/>
          <w:sz w:val="24"/>
        </w:rPr>
      </w:pPr>
      <w:r>
        <w:rPr>
          <w:rFonts w:ascii="Times New Roman" w:hAnsi="Times New Roman"/>
          <w:b/>
          <w:sz w:val="24"/>
        </w:rPr>
        <w:t>(l)</w:t>
      </w:r>
    </w:p>
    <w:p>
      <w:pPr>
        <w:pStyle w:val="TextBody"/>
        <w:bidi w:val="0"/>
        <w:spacing w:before="0" w:after="240"/>
        <w:jc w:val="both"/>
        <w:rPr/>
      </w:pPr>
      <w:r>
        <w:rPr/>
        <w:t>“</w:t>
      </w:r>
      <w:r>
        <w:rPr>
          <w:rFonts w:ascii="Times New Roman;serif" w:hAnsi="Times New Roman;serif"/>
          <w:b/>
          <w:i/>
          <w:sz w:val="24"/>
        </w:rPr>
        <w:t>Corporate Transaction</w:t>
      </w:r>
      <w:r>
        <w:rPr/>
        <w:t xml:space="preserve">” </w:t>
      </w:r>
      <w:r>
        <w:rPr>
          <w:rFonts w:ascii="Times New Roman;serif" w:hAnsi="Times New Roman;serif"/>
          <w:b w:val="false"/>
          <w:sz w:val="24"/>
        </w:rPr>
        <w:t>means the consummation, in a single transaction or in a series of related transactions, of any one or more of the following events:</w:t>
      </w:r>
    </w:p>
    <w:p>
      <w:pPr>
        <w:pStyle w:val="TextBody"/>
        <w:bidi w:val="0"/>
        <w:spacing w:before="0" w:after="240"/>
        <w:jc w:val="both"/>
        <w:rPr>
          <w:rFonts w:ascii="Times New Roman" w:hAnsi="Times New Roman"/>
          <w:sz w:val="20"/>
        </w:rPr>
      </w:pPr>
      <w:r>
        <w:rPr>
          <w:rFonts w:ascii="Times New Roman;serif" w:hAnsi="Times New Roman;serif"/>
          <w:b/>
          <w:sz w:val="24"/>
        </w:rPr>
        <w:t xml:space="preserve">(i) </w:t>
      </w:r>
      <w:r>
        <w:rPr>
          <w:rFonts w:ascii="Times New Roman;serif" w:hAnsi="Times New Roman;serif"/>
          <w:b w:val="false"/>
          <w:sz w:val="24"/>
        </w:rPr>
        <w:t>a sale, lease or other disposition of all or substantially all of the assets of the Company;</w:t>
      </w:r>
    </w:p>
    <w:p>
      <w:pPr>
        <w:pStyle w:val="TextBody"/>
        <w:bidi w:val="0"/>
        <w:spacing w:before="0" w:after="240"/>
        <w:jc w:val="both"/>
        <w:rPr>
          <w:rFonts w:ascii="Times New Roman" w:hAnsi="Times New Roman"/>
          <w:sz w:val="20"/>
        </w:rPr>
      </w:pPr>
      <w:r>
        <w:rPr>
          <w:rFonts w:ascii="Times New Roman;serif" w:hAnsi="Times New Roman;serif"/>
          <w:b/>
          <w:sz w:val="24"/>
        </w:rPr>
        <w:t xml:space="preserve">(ii) </w:t>
      </w:r>
      <w:r>
        <w:rPr>
          <w:rFonts w:ascii="Times New Roman;serif" w:hAnsi="Times New Roman;serif"/>
          <w:b w:val="false"/>
          <w:sz w:val="24"/>
        </w:rPr>
        <w:t>a sale or other disposition of at least ninety percent (90%) of the outstanding securities of the Company;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z w:val="24"/>
        </w:rPr>
        <w:t xml:space="preserve">(iii) </w:t>
      </w:r>
      <w:r>
        <w:rPr>
          <w:rFonts w:ascii="Times New Roman;serif" w:hAnsi="Times New Roman;serif"/>
          <w:b w:val="false"/>
          <w:sz w:val="24"/>
        </w:rPr>
        <w:t>a merger, consolidation or similar transaction in which the Company is not the surviving corporation; or</w:t>
      </w:r>
    </w:p>
    <w:p>
      <w:pPr>
        <w:pStyle w:val="TextBody"/>
        <w:bidi w:val="0"/>
        <w:spacing w:before="0" w:after="240"/>
        <w:jc w:val="both"/>
        <w:rPr>
          <w:rFonts w:ascii="Times New Roman" w:hAnsi="Times New Roman"/>
          <w:sz w:val="20"/>
        </w:rPr>
      </w:pPr>
      <w:r>
        <w:rPr>
          <w:rFonts w:ascii="Times New Roman;serif" w:hAnsi="Times New Roman;serif"/>
          <w:b/>
          <w:sz w:val="24"/>
        </w:rPr>
        <w:t xml:space="preserve">(iv) </w:t>
      </w:r>
      <w:r>
        <w:rPr>
          <w:rFonts w:ascii="Times New Roman;serif" w:hAnsi="Times New Roman;serif"/>
          <w:b w:val="false"/>
          <w:sz w:val="24"/>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Notwithstanding the foregoing definition or any other provision of this Plan, the term Corporate Transaction will not include a sale of assets, merger or other transaction effected exclusively for the purpose of changing the domicile of the Company.</w:t>
      </w:r>
    </w:p>
    <w:p>
      <w:pPr>
        <w:pStyle w:val="TextBody"/>
        <w:bidi w:val="0"/>
        <w:spacing w:before="0" w:after="240"/>
        <w:jc w:val="both"/>
        <w:rPr>
          <w:rFonts w:ascii="Times New Roman" w:hAnsi="Times New Roman"/>
          <w:b/>
          <w:sz w:val="24"/>
        </w:rPr>
      </w:pPr>
      <w:r>
        <w:rPr>
          <w:rFonts w:ascii="Times New Roman" w:hAnsi="Times New Roman"/>
          <w:b/>
          <w:sz w:val="24"/>
        </w:rPr>
        <w:t>(m)</w:t>
      </w:r>
    </w:p>
    <w:p>
      <w:pPr>
        <w:pStyle w:val="TextBody"/>
        <w:bidi w:val="0"/>
        <w:spacing w:before="0" w:after="240"/>
        <w:jc w:val="both"/>
        <w:rPr/>
      </w:pPr>
      <w:r>
        <w:rPr/>
        <w:t>“</w:t>
      </w:r>
      <w:r>
        <w:rPr>
          <w:rFonts w:ascii="Times New Roman;serif" w:hAnsi="Times New Roman;serif"/>
          <w:b/>
          <w:i/>
          <w:sz w:val="24"/>
        </w:rPr>
        <w:t>Director</w:t>
      </w:r>
      <w:r>
        <w:rPr/>
        <w:t xml:space="preserve">” </w:t>
      </w:r>
      <w:r>
        <w:rPr>
          <w:rFonts w:ascii="Times New Roman;serif" w:hAnsi="Times New Roman;serif"/>
          <w:b w:val="false"/>
          <w:sz w:val="24"/>
        </w:rPr>
        <w:t>means a member of the Board.</w:t>
      </w:r>
    </w:p>
    <w:p>
      <w:pPr>
        <w:pStyle w:val="TextBody"/>
        <w:bidi w:val="0"/>
        <w:spacing w:before="0" w:after="240"/>
        <w:jc w:val="both"/>
        <w:rPr>
          <w:rFonts w:ascii="Times New Roman" w:hAnsi="Times New Roman"/>
          <w:b/>
          <w:sz w:val="24"/>
        </w:rPr>
      </w:pPr>
      <w:r>
        <w:rPr>
          <w:rFonts w:ascii="Times New Roman" w:hAnsi="Times New Roman"/>
          <w:b/>
          <w:sz w:val="24"/>
        </w:rPr>
        <w:t>(n)</w:t>
      </w:r>
    </w:p>
    <w:p>
      <w:pPr>
        <w:pStyle w:val="TextBody"/>
        <w:bidi w:val="0"/>
        <w:spacing w:before="0" w:after="240"/>
        <w:jc w:val="both"/>
        <w:rPr/>
      </w:pPr>
      <w:r>
        <w:rPr/>
        <w:t>“</w:t>
      </w:r>
      <w:r>
        <w:rPr>
          <w:rFonts w:ascii="Times New Roman;serif" w:hAnsi="Times New Roman;serif"/>
          <w:b/>
          <w:i/>
          <w:sz w:val="24"/>
        </w:rPr>
        <w:t>Disability</w:t>
      </w:r>
      <w:r>
        <w:rPr/>
        <w:t xml:space="preserve">” </w:t>
      </w:r>
      <w:r>
        <w:rPr>
          <w:rFonts w:ascii="Times New Roman;serif" w:hAnsi="Times New Roman;serif"/>
          <w:b w:val="false"/>
          <w:sz w:val="24"/>
        </w:rPr>
        <w:t>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before="0" w:after="240"/>
        <w:jc w:val="both"/>
        <w:rPr>
          <w:rFonts w:ascii="Times New Roman" w:hAnsi="Times New Roman"/>
          <w:b/>
          <w:sz w:val="24"/>
        </w:rPr>
      </w:pPr>
      <w:r>
        <w:rPr>
          <w:rFonts w:ascii="Times New Roman" w:hAnsi="Times New Roman"/>
          <w:b/>
          <w:sz w:val="24"/>
        </w:rPr>
        <w:t>(o)</w:t>
      </w:r>
    </w:p>
    <w:p>
      <w:pPr>
        <w:pStyle w:val="TextBody"/>
        <w:bidi w:val="0"/>
        <w:spacing w:before="0" w:after="240"/>
        <w:jc w:val="both"/>
        <w:rPr/>
      </w:pPr>
      <w:r>
        <w:rPr/>
        <w:t>“</w:t>
      </w:r>
      <w:r>
        <w:rPr>
          <w:rFonts w:ascii="Times New Roman;serif" w:hAnsi="Times New Roman;serif"/>
          <w:b/>
          <w:i/>
          <w:sz w:val="24"/>
        </w:rPr>
        <w:t>Effective Date</w:t>
      </w:r>
      <w:r>
        <w:rPr/>
        <w:t xml:space="preserve">” </w:t>
      </w:r>
      <w:r>
        <w:rPr>
          <w:rFonts w:ascii="Times New Roman;serif" w:hAnsi="Times New Roman;serif"/>
          <w:b w:val="false"/>
          <w:sz w:val="24"/>
        </w:rPr>
        <w:t>means the effective date of this Plan document, which is the date of the annual meeting of stockholders of the Company held in 2018, provided this Plan is approved by the Company’s stockholders at such meeting.</w:t>
      </w:r>
    </w:p>
    <w:p>
      <w:pPr>
        <w:pStyle w:val="TextBody"/>
        <w:bidi w:val="0"/>
        <w:spacing w:before="0" w:after="240"/>
        <w:jc w:val="both"/>
        <w:rPr>
          <w:rFonts w:ascii="Times New Roman" w:hAnsi="Times New Roman"/>
          <w:b/>
          <w:sz w:val="24"/>
        </w:rPr>
      </w:pPr>
      <w:r>
        <w:rPr>
          <w:rFonts w:ascii="Times New Roman" w:hAnsi="Times New Roman"/>
          <w:b/>
          <w:sz w:val="24"/>
        </w:rPr>
        <w:t>(p)</w:t>
      </w:r>
    </w:p>
    <w:p>
      <w:pPr>
        <w:pStyle w:val="TextBody"/>
        <w:bidi w:val="0"/>
        <w:spacing w:before="0" w:after="240"/>
        <w:jc w:val="both"/>
        <w:rPr/>
      </w:pPr>
      <w:r>
        <w:rPr/>
        <w:t>“</w:t>
      </w:r>
      <w:r>
        <w:rPr>
          <w:rFonts w:ascii="Times New Roman;serif" w:hAnsi="Times New Roman;serif"/>
          <w:b/>
          <w:i/>
          <w:sz w:val="24"/>
        </w:rPr>
        <w:t>Employee</w:t>
      </w:r>
      <w:r>
        <w:rPr/>
        <w:t xml:space="preserve">” </w:t>
      </w:r>
      <w:r>
        <w:rPr>
          <w:rFonts w:ascii="Times New Roman;serif" w:hAnsi="Times New Roman;serif"/>
          <w:b w:val="false"/>
          <w:sz w:val="24"/>
        </w:rPr>
        <w:t>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jc w:val="both"/>
        <w:rPr>
          <w:rFonts w:ascii="Times New Roman" w:hAnsi="Times New Roman"/>
          <w:b/>
          <w:sz w:val="24"/>
        </w:rPr>
      </w:pPr>
      <w:r>
        <w:rPr>
          <w:rFonts w:ascii="Times New Roman" w:hAnsi="Times New Roman"/>
          <w:b/>
          <w:sz w:val="24"/>
        </w:rPr>
        <w:t>(q)</w:t>
      </w:r>
    </w:p>
    <w:p>
      <w:pPr>
        <w:pStyle w:val="TextBody"/>
        <w:bidi w:val="0"/>
        <w:spacing w:before="0" w:after="240"/>
        <w:jc w:val="both"/>
        <w:rPr/>
      </w:pPr>
      <w:r>
        <w:rPr/>
        <w:t>“</w:t>
      </w:r>
      <w:r>
        <w:rPr>
          <w:rFonts w:ascii="Times New Roman;serif" w:hAnsi="Times New Roman;serif"/>
          <w:b/>
          <w:i/>
          <w:sz w:val="24"/>
        </w:rPr>
        <w:t>Entity</w:t>
      </w:r>
      <w:r>
        <w:rPr/>
        <w:t xml:space="preserve">” </w:t>
      </w:r>
      <w:r>
        <w:rPr>
          <w:rFonts w:ascii="Times New Roman;serif" w:hAnsi="Times New Roman;serif"/>
          <w:b w:val="false"/>
          <w:sz w:val="24"/>
        </w:rPr>
        <w:t>means a corporation, partnership, limited liability company or other entity.</w:t>
      </w:r>
    </w:p>
    <w:p>
      <w:pPr>
        <w:pStyle w:val="TextBody"/>
        <w:bidi w:val="0"/>
        <w:spacing w:before="0" w:after="240"/>
        <w:jc w:val="both"/>
        <w:rPr>
          <w:rFonts w:ascii="Times New Roman" w:hAnsi="Times New Roman"/>
          <w:b/>
          <w:sz w:val="24"/>
        </w:rPr>
      </w:pPr>
      <w:r>
        <w:rPr>
          <w:rFonts w:ascii="Times New Roman" w:hAnsi="Times New Roman"/>
          <w:b/>
          <w:sz w:val="24"/>
        </w:rPr>
        <w:t>(r)</w:t>
      </w:r>
    </w:p>
    <w:p>
      <w:pPr>
        <w:pStyle w:val="TextBody"/>
        <w:bidi w:val="0"/>
        <w:spacing w:before="0" w:after="240"/>
        <w:jc w:val="both"/>
        <w:rPr/>
      </w:pPr>
      <w:r>
        <w:rPr/>
        <w:t>“</w:t>
      </w:r>
      <w:r>
        <w:rPr>
          <w:rFonts w:ascii="Times New Roman;serif" w:hAnsi="Times New Roman;serif"/>
          <w:b/>
          <w:i/>
          <w:sz w:val="24"/>
        </w:rPr>
        <w:t>Exchange Act</w:t>
      </w:r>
      <w:r>
        <w:rPr/>
        <w:t xml:space="preserve">” </w:t>
      </w:r>
      <w:r>
        <w:rPr>
          <w:rFonts w:ascii="Times New Roman;serif" w:hAnsi="Times New Roman;serif"/>
          <w:b w:val="false"/>
          <w:sz w:val="24"/>
        </w:rPr>
        <w:t>means the Securities Exchange Act of 1934, as amended, and the rules and regulations promulgated thereunder.</w:t>
      </w:r>
    </w:p>
    <w:p>
      <w:pPr>
        <w:pStyle w:val="TextBody"/>
        <w:bidi w:val="0"/>
        <w:spacing w:before="0" w:after="240"/>
        <w:jc w:val="both"/>
        <w:rPr>
          <w:rFonts w:ascii="Times New Roman" w:hAnsi="Times New Roman"/>
          <w:b/>
          <w:sz w:val="24"/>
        </w:rPr>
      </w:pPr>
      <w:r>
        <w:rPr>
          <w:rFonts w:ascii="Times New Roman" w:hAnsi="Times New Roman"/>
          <w:b/>
          <w:sz w:val="24"/>
        </w:rPr>
        <w:t>(s)</w:t>
      </w:r>
    </w:p>
    <w:p>
      <w:pPr>
        <w:pStyle w:val="TextBody"/>
        <w:bidi w:val="0"/>
        <w:spacing w:before="0" w:after="240"/>
        <w:jc w:val="both"/>
        <w:rPr/>
      </w:pPr>
      <w:r>
        <w:rPr/>
        <w:t>“</w:t>
      </w:r>
      <w:r>
        <w:rPr>
          <w:rFonts w:ascii="Times New Roman;serif" w:hAnsi="Times New Roman;serif"/>
          <w:b/>
          <w:i/>
          <w:sz w:val="24"/>
        </w:rPr>
        <w:t>Exchange Act Person</w:t>
      </w:r>
      <w:r>
        <w:rPr/>
        <w:t xml:space="preserve">” </w:t>
      </w:r>
      <w:r>
        <w:rPr>
          <w:rFonts w:ascii="Times New Roman;serif" w:hAnsi="Times New Roman;serif"/>
          <w:b w:val="false"/>
          <w:sz w:val="24"/>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(t)</w:t>
      </w:r>
    </w:p>
    <w:p>
      <w:pPr>
        <w:pStyle w:val="TextBody"/>
        <w:bidi w:val="0"/>
        <w:spacing w:before="0" w:after="240"/>
        <w:jc w:val="both"/>
        <w:rPr/>
      </w:pPr>
      <w:r>
        <w:rPr/>
        <w:t>“</w:t>
      </w:r>
      <w:r>
        <w:rPr>
          <w:rFonts w:ascii="Times New Roman;serif" w:hAnsi="Times New Roman;serif"/>
          <w:b/>
          <w:i/>
          <w:sz w:val="24"/>
        </w:rPr>
        <w:t>Fair Market Value</w:t>
      </w:r>
      <w:r>
        <w:rPr/>
        <w:t xml:space="preserve">” </w:t>
      </w:r>
      <w:r>
        <w:rPr>
          <w:rFonts w:ascii="Times New Roman;serif" w:hAnsi="Times New Roman;serif"/>
          <w:b w:val="false"/>
          <w:sz w:val="24"/>
        </w:rPr>
        <w:t>means, as of any date, the value of the Common Stock determined as follows: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the absence of such markets for the Common Stock, the Fair Market Value will be determined by the Board in good faith and in a manner that complies with Sections 409A and 422 of the Code.</w:t>
      </w:r>
    </w:p>
    <w:p>
      <w:pPr>
        <w:pStyle w:val="TextBody"/>
        <w:bidi w:val="0"/>
        <w:spacing w:before="0" w:after="240"/>
        <w:jc w:val="both"/>
        <w:rPr>
          <w:rFonts w:ascii="Times New Roman" w:hAnsi="Times New Roman"/>
          <w:b/>
          <w:sz w:val="24"/>
        </w:rPr>
      </w:pPr>
      <w:r>
        <w:rPr>
          <w:rFonts w:ascii="Times New Roman" w:hAnsi="Times New Roman"/>
          <w:b/>
          <w:sz w:val="24"/>
        </w:rPr>
        <w:t>(u)</w:t>
      </w:r>
    </w:p>
    <w:p>
      <w:pPr>
        <w:pStyle w:val="TextBody"/>
        <w:bidi w:val="0"/>
        <w:spacing w:before="0" w:after="240"/>
        <w:jc w:val="both"/>
        <w:rPr/>
      </w:pPr>
      <w:r>
        <w:rPr/>
        <w:t>“</w:t>
      </w:r>
      <w:r>
        <w:rPr>
          <w:rFonts w:ascii="Times New Roman;serif" w:hAnsi="Times New Roman;serif"/>
          <w:b/>
          <w:i/>
          <w:sz w:val="24"/>
        </w:rPr>
        <w:t>Full Value Award</w:t>
      </w:r>
      <w:r>
        <w:rPr/>
        <w:t xml:space="preserve">” </w:t>
      </w:r>
      <w:r>
        <w:rPr>
          <w:rFonts w:ascii="Times New Roman;serif" w:hAnsi="Times New Roman;serif"/>
          <w:b w:val="false"/>
          <w:sz w:val="24"/>
        </w:rPr>
        <w:t>means a Stock Award that is not an Option or SAR with respect to which the exercise or strike price is at least 100% of the Fair Market Value of the Common Stock subject to the Option or SAR on the date of grant.</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pPr>
      <w:r>
        <w:rPr/>
        <w:t>“</w:t>
      </w:r>
      <w:r>
        <w:rPr>
          <w:rFonts w:ascii="Times New Roman;serif" w:hAnsi="Times New Roman;serif"/>
          <w:b/>
          <w:i/>
          <w:sz w:val="24"/>
        </w:rPr>
        <w:t>Incentive Stock Option</w:t>
      </w:r>
      <w:r>
        <w:rPr/>
        <w:t xml:space="preserve">” </w:t>
      </w:r>
      <w:r>
        <w:rPr>
          <w:rFonts w:ascii="Times New Roman;serif" w:hAnsi="Times New Roman;serif"/>
          <w:b w:val="false"/>
          <w:sz w:val="24"/>
        </w:rPr>
        <w:t>means an option granted pursuant to Section 5 that is intended to be, and that qualifies as, an “incentive stock option” within the meaning of Section 422 of the Code.</w:t>
      </w:r>
    </w:p>
    <w:p>
      <w:pPr>
        <w:pStyle w:val="TextBody"/>
        <w:bidi w:val="0"/>
        <w:spacing w:before="0" w:after="240"/>
        <w:jc w:val="both"/>
        <w:rPr>
          <w:rFonts w:ascii="Times New Roman" w:hAnsi="Times New Roman"/>
          <w:b/>
          <w:sz w:val="24"/>
        </w:rPr>
      </w:pPr>
      <w:r>
        <w:rPr>
          <w:rFonts w:ascii="Times New Roman" w:hAnsi="Times New Roman"/>
          <w:b/>
          <w:sz w:val="24"/>
        </w:rPr>
        <w:t>(w)</w:t>
      </w:r>
    </w:p>
    <w:p>
      <w:pPr>
        <w:pStyle w:val="TextBody"/>
        <w:bidi w:val="0"/>
        <w:spacing w:before="0" w:after="240"/>
        <w:jc w:val="both"/>
        <w:rPr/>
      </w:pPr>
      <w:r>
        <w:rPr/>
        <w:t>“</w:t>
      </w:r>
      <w:r>
        <w:rPr>
          <w:rFonts w:ascii="Times New Roman;serif" w:hAnsi="Times New Roman;serif"/>
          <w:b/>
          <w:i/>
          <w:sz w:val="24"/>
        </w:rPr>
        <w:t>Non-Employee Director</w:t>
      </w:r>
      <w:r>
        <w:rPr/>
        <w:t xml:space="preserve">” </w:t>
      </w:r>
      <w:r>
        <w:rPr>
          <w:rFonts w:ascii="Times New Roman;serif" w:hAnsi="Times New Roman;serif"/>
          <w:b w:val="false"/>
          <w:sz w:val="24"/>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i/>
          <w:sz w:val="24"/>
        </w:rPr>
        <w:t>Regulation S-K</w:t>
      </w:r>
      <w:r>
        <w:rPr/>
        <w:t>”</w:t>
      </w:r>
      <w:r>
        <w:rPr>
          <w:rFonts w:ascii="Times New Roman;serif" w:hAnsi="Times New Roman;serif"/>
          <w:b w:val="false"/>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240"/>
        <w:jc w:val="both"/>
        <w:rPr>
          <w:rFonts w:ascii="Times New Roman" w:hAnsi="Times New Roman"/>
          <w:b/>
          <w:sz w:val="24"/>
        </w:rPr>
      </w:pPr>
      <w:r>
        <w:rPr>
          <w:rFonts w:ascii="Times New Roman" w:hAnsi="Times New Roman"/>
          <w:b/>
          <w:sz w:val="24"/>
        </w:rPr>
        <w:t>(x)</w:t>
      </w:r>
    </w:p>
    <w:p>
      <w:pPr>
        <w:pStyle w:val="TextBody"/>
        <w:bidi w:val="0"/>
        <w:spacing w:before="0" w:after="240"/>
        <w:jc w:val="both"/>
        <w:rPr/>
      </w:pPr>
      <w:r>
        <w:rPr/>
        <w:t>“</w:t>
      </w:r>
      <w:r>
        <w:rPr>
          <w:rFonts w:ascii="Times New Roman;serif" w:hAnsi="Times New Roman;serif"/>
          <w:b/>
          <w:i/>
          <w:sz w:val="24"/>
        </w:rPr>
        <w:t>Nonstatutory Stock Option</w:t>
      </w:r>
      <w:r>
        <w:rPr/>
        <w:t xml:space="preserve">” </w:t>
      </w:r>
      <w:r>
        <w:rPr>
          <w:rFonts w:ascii="Times New Roman;serif" w:hAnsi="Times New Roman;serif"/>
          <w:b w:val="false"/>
          <w:sz w:val="24"/>
        </w:rPr>
        <w:t>means any option granted pursuant to Section 5 that does not qualify as an Incentive Stock Option.</w:t>
      </w:r>
    </w:p>
    <w:p>
      <w:pPr>
        <w:pStyle w:val="TextBody"/>
        <w:bidi w:val="0"/>
        <w:spacing w:before="0" w:after="240"/>
        <w:jc w:val="both"/>
        <w:rPr>
          <w:rFonts w:ascii="Times New Roman" w:hAnsi="Times New Roman"/>
          <w:b/>
          <w:sz w:val="24"/>
        </w:rPr>
      </w:pPr>
      <w:r>
        <w:rPr>
          <w:rFonts w:ascii="Times New Roman" w:hAnsi="Times New Roman"/>
          <w:b/>
          <w:sz w:val="24"/>
        </w:rPr>
        <w:t>(y)</w:t>
      </w:r>
    </w:p>
    <w:p>
      <w:pPr>
        <w:pStyle w:val="TextBody"/>
        <w:bidi w:val="0"/>
        <w:spacing w:before="0" w:after="240"/>
        <w:jc w:val="both"/>
        <w:rPr/>
      </w:pPr>
      <w:r>
        <w:rPr/>
        <w:t>“</w:t>
      </w:r>
      <w:r>
        <w:rPr>
          <w:rFonts w:ascii="Times New Roman;serif" w:hAnsi="Times New Roman;serif"/>
          <w:b/>
          <w:i/>
          <w:sz w:val="24"/>
        </w:rPr>
        <w:t>Officer</w:t>
      </w:r>
      <w:r>
        <w:rPr/>
        <w:t xml:space="preserve">” </w:t>
      </w:r>
      <w:r>
        <w:rPr>
          <w:rFonts w:ascii="Times New Roman;serif" w:hAnsi="Times New Roman;serif"/>
          <w:b w:val="false"/>
          <w:sz w:val="24"/>
        </w:rPr>
        <w:t>means a person who is an officer of the Company within the meaning of Section 16 of the Exchange Act.</w:t>
      </w:r>
    </w:p>
    <w:p>
      <w:pPr>
        <w:pStyle w:val="TextBody"/>
        <w:bidi w:val="0"/>
        <w:spacing w:before="0" w:after="240"/>
        <w:jc w:val="both"/>
        <w:rPr>
          <w:rFonts w:ascii="Times New Roman" w:hAnsi="Times New Roman"/>
          <w:b/>
          <w:sz w:val="24"/>
        </w:rPr>
      </w:pPr>
      <w:r>
        <w:rPr>
          <w:rFonts w:ascii="Times New Roman" w:hAnsi="Times New Roman"/>
          <w:b/>
          <w:sz w:val="24"/>
        </w:rPr>
        <w:t>(z)</w:t>
      </w:r>
    </w:p>
    <w:p>
      <w:pPr>
        <w:pStyle w:val="TextBody"/>
        <w:bidi w:val="0"/>
        <w:spacing w:before="0" w:after="240"/>
        <w:jc w:val="both"/>
        <w:rPr/>
      </w:pPr>
      <w:r>
        <w:rPr/>
        <w:t>“</w:t>
      </w:r>
      <w:r>
        <w:rPr>
          <w:rFonts w:ascii="Times New Roman;serif" w:hAnsi="Times New Roman;serif"/>
          <w:b/>
          <w:i/>
          <w:sz w:val="24"/>
        </w:rPr>
        <w:t>Option</w:t>
      </w:r>
      <w:r>
        <w:rPr/>
        <w:t xml:space="preserve">” </w:t>
      </w:r>
      <w:r>
        <w:rPr>
          <w:rFonts w:ascii="Times New Roman;serif" w:hAnsi="Times New Roman;serif"/>
          <w:b w:val="false"/>
          <w:sz w:val="24"/>
        </w:rPr>
        <w:t>means an Incentive Stock Option or a Nonstatutory Stock Option to purchase shares of Common Stock granted pursuant to the Plan.</w:t>
      </w:r>
    </w:p>
    <w:p>
      <w:pPr>
        <w:pStyle w:val="TextBody"/>
        <w:bidi w:val="0"/>
        <w:spacing w:before="0" w:after="240"/>
        <w:jc w:val="both"/>
        <w:rPr>
          <w:rFonts w:ascii="Times New Roman" w:hAnsi="Times New Roman"/>
          <w:b/>
          <w:sz w:val="24"/>
        </w:rPr>
      </w:pPr>
      <w:r>
        <w:rPr>
          <w:rFonts w:ascii="Times New Roman" w:hAnsi="Times New Roman"/>
          <w:b/>
          <w:sz w:val="24"/>
        </w:rPr>
        <w:t>(aa)</w:t>
      </w:r>
    </w:p>
    <w:p>
      <w:pPr>
        <w:pStyle w:val="TextBody"/>
        <w:bidi w:val="0"/>
        <w:spacing w:before="0" w:after="240"/>
        <w:jc w:val="both"/>
        <w:rPr/>
      </w:pPr>
      <w:r>
        <w:rPr/>
        <w:t>“</w:t>
      </w:r>
      <w:r>
        <w:rPr>
          <w:rFonts w:ascii="Times New Roman;serif" w:hAnsi="Times New Roman;serif"/>
          <w:b/>
          <w:i/>
          <w:sz w:val="24"/>
        </w:rPr>
        <w:t>Option Agreement</w:t>
      </w:r>
      <w:r>
        <w:rPr/>
        <w:t xml:space="preserve">” </w:t>
      </w:r>
      <w:r>
        <w:rPr>
          <w:rFonts w:ascii="Times New Roman;serif" w:hAnsi="Times New Roman;serif"/>
          <w:b w:val="false"/>
          <w:sz w:val="24"/>
        </w:rPr>
        <w:t>means a written agreement between the Company and an Optionholder evidencing the terms and conditions of an Option grant. Each Option Agreement will be subject to the terms and conditions of the Plan.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(bb)</w:t>
      </w:r>
    </w:p>
    <w:p>
      <w:pPr>
        <w:pStyle w:val="TextBody"/>
        <w:bidi w:val="0"/>
        <w:spacing w:before="0" w:after="240"/>
        <w:jc w:val="both"/>
        <w:rPr/>
      </w:pPr>
      <w:r>
        <w:rPr/>
        <w:t>“</w:t>
      </w:r>
      <w:r>
        <w:rPr>
          <w:rFonts w:ascii="Times New Roman;serif" w:hAnsi="Times New Roman;serif"/>
          <w:b/>
          <w:i/>
          <w:sz w:val="24"/>
        </w:rPr>
        <w:t>Optionholder</w:t>
      </w:r>
      <w:r>
        <w:rPr/>
        <w:t xml:space="preserve">” </w:t>
      </w:r>
      <w:r>
        <w:rPr>
          <w:rFonts w:ascii="Times New Roman;serif" w:hAnsi="Times New Roman;serif"/>
          <w:b w:val="false"/>
          <w:sz w:val="24"/>
        </w:rPr>
        <w:t>means a person to whom an Option is granted pursuant to the Plan or, if applicable, such other person who holds an outstanding Option.</w:t>
      </w:r>
    </w:p>
    <w:p>
      <w:pPr>
        <w:pStyle w:val="TextBody"/>
        <w:bidi w:val="0"/>
        <w:spacing w:before="0" w:after="240"/>
        <w:jc w:val="both"/>
        <w:rPr>
          <w:rFonts w:ascii="Times New Roman" w:hAnsi="Times New Roman"/>
          <w:b/>
          <w:sz w:val="24"/>
        </w:rPr>
      </w:pPr>
      <w:r>
        <w:rPr>
          <w:rFonts w:ascii="Times New Roman" w:hAnsi="Times New Roman"/>
          <w:b/>
          <w:sz w:val="24"/>
        </w:rPr>
        <w:t>(cc)</w:t>
      </w:r>
    </w:p>
    <w:p>
      <w:pPr>
        <w:pStyle w:val="TextBody"/>
        <w:bidi w:val="0"/>
        <w:spacing w:before="0" w:after="240"/>
        <w:jc w:val="both"/>
        <w:rPr/>
      </w:pPr>
      <w:r>
        <w:rPr/>
        <w:t>“</w:t>
      </w:r>
      <w:r>
        <w:rPr>
          <w:rFonts w:ascii="Times New Roman;serif" w:hAnsi="Times New Roman;serif"/>
          <w:b/>
          <w:i/>
          <w:sz w:val="24"/>
        </w:rPr>
        <w:t>Other Stock Award</w:t>
      </w:r>
      <w:r>
        <w:rPr/>
        <w:t xml:space="preserve">” </w:t>
      </w:r>
      <w:r>
        <w:rPr>
          <w:rFonts w:ascii="Times New Roman;serif" w:hAnsi="Times New Roman;serif"/>
          <w:b w:val="false"/>
          <w:sz w:val="24"/>
        </w:rPr>
        <w:t>means an award based in whole or in part by reference to the Common Stock which is granted pursuant to the terms and conditions of Section 6(d).</w:t>
      </w:r>
    </w:p>
    <w:p>
      <w:pPr>
        <w:pStyle w:val="TextBody"/>
        <w:bidi w:val="0"/>
        <w:spacing w:before="0" w:after="240"/>
        <w:jc w:val="both"/>
        <w:rPr>
          <w:rFonts w:ascii="Times New Roman" w:hAnsi="Times New Roman"/>
          <w:b/>
          <w:sz w:val="24"/>
        </w:rPr>
      </w:pPr>
      <w:r>
        <w:rPr>
          <w:rFonts w:ascii="Times New Roman" w:hAnsi="Times New Roman"/>
          <w:b/>
          <w:sz w:val="24"/>
        </w:rPr>
        <w:t>(dd)</w:t>
      </w:r>
    </w:p>
    <w:p>
      <w:pPr>
        <w:pStyle w:val="TextBody"/>
        <w:bidi w:val="0"/>
        <w:spacing w:before="0" w:after="240"/>
        <w:jc w:val="both"/>
        <w:rPr/>
      </w:pPr>
      <w:r>
        <w:rPr/>
        <w:t>“</w:t>
      </w:r>
      <w:r>
        <w:rPr>
          <w:rFonts w:ascii="Times New Roman;serif" w:hAnsi="Times New Roman;serif"/>
          <w:b/>
          <w:i/>
          <w:sz w:val="24"/>
        </w:rPr>
        <w:t>Other Stock Award Agreement</w:t>
      </w:r>
      <w:r>
        <w:rPr/>
        <w:t xml:space="preserve">” </w:t>
      </w:r>
      <w:r>
        <w:rPr>
          <w:rFonts w:ascii="Times New Roman;serif" w:hAnsi="Times New Roman;serif"/>
          <w:b w:val="false"/>
          <w:sz w:val="24"/>
        </w:rPr>
        <w:t>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before="0" w:after="240"/>
        <w:jc w:val="both"/>
        <w:rPr>
          <w:rFonts w:ascii="Times New Roman" w:hAnsi="Times New Roman"/>
          <w:b/>
          <w:sz w:val="24"/>
        </w:rPr>
      </w:pPr>
      <w:r>
        <w:rPr>
          <w:rFonts w:ascii="Times New Roman" w:hAnsi="Times New Roman"/>
          <w:b/>
          <w:sz w:val="24"/>
        </w:rPr>
        <w:t>(ee)</w:t>
      </w:r>
    </w:p>
    <w:p>
      <w:pPr>
        <w:pStyle w:val="TextBody"/>
        <w:bidi w:val="0"/>
        <w:spacing w:before="0" w:after="240"/>
        <w:jc w:val="both"/>
        <w:rPr/>
      </w:pPr>
      <w:r>
        <w:rPr/>
        <w:t>“</w:t>
      </w:r>
      <w:r>
        <w:rPr>
          <w:rFonts w:ascii="Times New Roman;serif" w:hAnsi="Times New Roman;serif"/>
          <w:b/>
          <w:i/>
          <w:sz w:val="24"/>
        </w:rPr>
        <w:t>Own,</w:t>
      </w:r>
      <w:r>
        <w:rPr/>
        <w:t>” “</w:t>
      </w:r>
      <w:r>
        <w:rPr>
          <w:rFonts w:ascii="Times New Roman;serif" w:hAnsi="Times New Roman;serif"/>
          <w:b/>
          <w:i/>
          <w:sz w:val="24"/>
        </w:rPr>
        <w:t>Owned,</w:t>
      </w:r>
      <w:r>
        <w:rPr/>
        <w:t>” “</w:t>
      </w:r>
      <w:r>
        <w:rPr>
          <w:rFonts w:ascii="Times New Roman;serif" w:hAnsi="Times New Roman;serif"/>
          <w:b/>
          <w:i/>
          <w:sz w:val="24"/>
        </w:rPr>
        <w:t>Owner,</w:t>
      </w:r>
      <w:r>
        <w:rPr/>
        <w:t>” “</w:t>
      </w:r>
      <w:r>
        <w:rPr>
          <w:rFonts w:ascii="Times New Roman;serif" w:hAnsi="Times New Roman;serif"/>
          <w:b/>
          <w:i/>
          <w:sz w:val="24"/>
        </w:rPr>
        <w:t>Ownership</w:t>
      </w:r>
      <w:r>
        <w:rPr/>
        <w:t xml:space="preserve">” </w:t>
      </w:r>
      <w:r>
        <w:rPr>
          <w:rFonts w:ascii="Times New Roman;serif" w:hAnsi="Times New Roman;serif"/>
          <w:b w:val="false"/>
          <w:sz w:val="24"/>
        </w:rPr>
        <w:t>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240"/>
        <w:jc w:val="both"/>
        <w:rPr>
          <w:rFonts w:ascii="Times New Roman" w:hAnsi="Times New Roman"/>
          <w:b/>
          <w:sz w:val="24"/>
        </w:rPr>
      </w:pPr>
      <w:r>
        <w:rPr>
          <w:rFonts w:ascii="Times New Roman" w:hAnsi="Times New Roman"/>
          <w:b/>
          <w:sz w:val="24"/>
        </w:rPr>
        <w:t>(ff)</w:t>
      </w:r>
    </w:p>
    <w:p>
      <w:pPr>
        <w:pStyle w:val="TextBody"/>
        <w:bidi w:val="0"/>
        <w:spacing w:before="0" w:after="240"/>
        <w:jc w:val="both"/>
        <w:rPr/>
      </w:pPr>
      <w:r>
        <w:rPr/>
        <w:t>“</w:t>
      </w:r>
      <w:r>
        <w:rPr>
          <w:rFonts w:ascii="Times New Roman;serif" w:hAnsi="Times New Roman;serif"/>
          <w:b/>
          <w:i/>
          <w:sz w:val="24"/>
        </w:rPr>
        <w:t>Participant</w:t>
      </w:r>
      <w:r>
        <w:rPr/>
        <w:t xml:space="preserve">” </w:t>
      </w:r>
      <w:r>
        <w:rPr>
          <w:rFonts w:ascii="Times New Roman;serif" w:hAnsi="Times New Roman;serif"/>
          <w:b w:val="false"/>
          <w:sz w:val="24"/>
        </w:rPr>
        <w:t>means a person to whom a Stock Award is granted pursuant to the Plan or, if applicable, such other person who holds an outstanding Stock Award.</w:t>
      </w:r>
    </w:p>
    <w:p>
      <w:pPr>
        <w:pStyle w:val="TextBody"/>
        <w:bidi w:val="0"/>
        <w:spacing w:before="0" w:after="240"/>
        <w:jc w:val="both"/>
        <w:rPr>
          <w:rFonts w:ascii="Times New Roman" w:hAnsi="Times New Roman"/>
          <w:b/>
          <w:sz w:val="24"/>
        </w:rPr>
      </w:pPr>
      <w:r>
        <w:rPr>
          <w:rFonts w:ascii="Times New Roman" w:hAnsi="Times New Roman"/>
          <w:b/>
          <w:sz w:val="24"/>
        </w:rPr>
        <w:t>(gg)</w:t>
      </w:r>
    </w:p>
    <w:p>
      <w:pPr>
        <w:pStyle w:val="TextBody"/>
        <w:bidi w:val="0"/>
        <w:spacing w:before="0" w:after="240"/>
        <w:jc w:val="both"/>
        <w:rPr/>
      </w:pPr>
      <w:r>
        <w:rPr/>
        <w:t>“</w:t>
      </w:r>
      <w:r>
        <w:rPr>
          <w:rFonts w:ascii="Times New Roman;serif" w:hAnsi="Times New Roman;serif"/>
          <w:b/>
          <w:i/>
          <w:sz w:val="24"/>
        </w:rPr>
        <w:t>Performance Criteria</w:t>
      </w:r>
      <w:r>
        <w:rPr/>
        <w:t xml:space="preserve">” </w:t>
      </w:r>
      <w:r>
        <w:rPr>
          <w:rFonts w:ascii="Times New Roman;serif" w:hAnsi="Times New Roman;serif"/>
          <w:b w:val="false"/>
          <w:sz w:val="24"/>
        </w:rPr>
        <w:t>means the one or more criteria that the Board shall select for purposes of establishing the Performance Goals for a Performance Period. The Performance Criteria that shall be used to establish such Performance Goals may be based on any one of, or combination of, the following: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(xxiii) debt levels; (xxix) operating profit or net operating profit; (xxx) workforce diversity; (xxxi) growth of net income or operating income; (xxxii) billings; and (xxxiv) other measures of performance selected by the Board. Partial achievement of the specified criteria may result in the payment or vesting corresponding to the degree of achievement as specified in the Stock Award Agreement. The Board shall, in its sole discretion, define the manner of calculating the Performance Criteria it selects to use for such Performance Period.</w:t>
      </w:r>
    </w:p>
    <w:p>
      <w:pPr>
        <w:pStyle w:val="TextBody"/>
        <w:bidi w:val="0"/>
        <w:spacing w:before="0" w:after="240"/>
        <w:jc w:val="both"/>
        <w:rPr>
          <w:rFonts w:ascii="Times New Roman" w:hAnsi="Times New Roman"/>
          <w:b/>
          <w:sz w:val="24"/>
        </w:rPr>
      </w:pPr>
      <w:r>
        <w:rPr>
          <w:rFonts w:ascii="Times New Roman" w:hAnsi="Times New Roman"/>
          <w:b/>
          <w:sz w:val="24"/>
        </w:rPr>
        <w:t>(hh)</w:t>
      </w:r>
    </w:p>
    <w:p>
      <w:pPr>
        <w:pStyle w:val="TextBody"/>
        <w:bidi w:val="0"/>
        <w:spacing w:before="0" w:after="240"/>
        <w:jc w:val="both"/>
        <w:rPr/>
      </w:pPr>
      <w:r>
        <w:rPr/>
        <w:t>“</w:t>
      </w:r>
      <w:r>
        <w:rPr>
          <w:rFonts w:ascii="Times New Roman;serif" w:hAnsi="Times New Roman;serif"/>
          <w:b/>
          <w:i/>
          <w:sz w:val="24"/>
        </w:rPr>
        <w:t>Performance Goals</w:t>
      </w:r>
      <w:r>
        <w:rPr/>
        <w:t xml:space="preserve">” </w:t>
      </w:r>
      <w:r>
        <w:rPr>
          <w:rFonts w:ascii="Times New Roman;serif" w:hAnsi="Times New Roman;serif"/>
          <w:b w:val="false"/>
          <w:sz w:val="24"/>
        </w:rPr>
        <w:t xml:space="preserve">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at any time in its sole discretion, to adjust or modify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Board’s assessment of the business strategy of the Company,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pPr>
      <w:r>
        <w:rPr/>
        <w:t>“</w:t>
      </w:r>
      <w:r>
        <w:rPr>
          <w:rFonts w:ascii="Times New Roman;serif" w:hAnsi="Times New Roman;serif"/>
          <w:b/>
          <w:i/>
          <w:sz w:val="24"/>
        </w:rPr>
        <w:t>Performance Period</w:t>
      </w:r>
      <w:r>
        <w:rPr/>
        <w:t xml:space="preserve">” </w:t>
      </w:r>
      <w:r>
        <w:rPr>
          <w:rFonts w:ascii="Times New Roman;serif" w:hAnsi="Times New Roman;serif"/>
          <w:b w:val="false"/>
          <w:sz w:val="24"/>
        </w:rPr>
        <w:t>means the period of time selected by the Board over which the attainment of one or more Performance Goals will be measured for the purpose of determining a Participant’s right to and the payment of a Performance Stock Award. Performance Periods may be of varying and overlapping duration, at the sole discretion of the Board.</w:t>
      </w:r>
    </w:p>
    <w:p>
      <w:pPr>
        <w:pStyle w:val="TextBody"/>
        <w:bidi w:val="0"/>
        <w:spacing w:before="0" w:after="240"/>
        <w:jc w:val="both"/>
        <w:rPr>
          <w:rFonts w:ascii="Times New Roman" w:hAnsi="Times New Roman"/>
          <w:b/>
          <w:sz w:val="24"/>
        </w:rPr>
      </w:pPr>
      <w:r>
        <w:rPr>
          <w:rFonts w:ascii="Times New Roman" w:hAnsi="Times New Roman"/>
          <w:b/>
          <w:sz w:val="24"/>
        </w:rPr>
        <w:t>(jj)</w:t>
      </w:r>
    </w:p>
    <w:p>
      <w:pPr>
        <w:pStyle w:val="TextBody"/>
        <w:bidi w:val="0"/>
        <w:spacing w:before="0" w:after="240"/>
        <w:jc w:val="both"/>
        <w:rPr/>
      </w:pPr>
      <w:r>
        <w:rPr/>
        <w:t>“</w:t>
      </w:r>
      <w:r>
        <w:rPr>
          <w:rFonts w:ascii="Times New Roman;serif" w:hAnsi="Times New Roman;serif"/>
          <w:b/>
          <w:i/>
          <w:sz w:val="24"/>
        </w:rPr>
        <w:t>Performance Stock Award</w:t>
      </w:r>
      <w:r>
        <w:rPr/>
        <w:t xml:space="preserve">” </w:t>
      </w:r>
      <w:r>
        <w:rPr>
          <w:rFonts w:ascii="Times New Roman;serif" w:hAnsi="Times New Roman;serif"/>
          <w:b w:val="false"/>
          <w:sz w:val="24"/>
        </w:rPr>
        <w:t>means a Stock Award granted under the terms and conditions of Section 6(c)(i).</w:t>
      </w:r>
    </w:p>
    <w:p>
      <w:pPr>
        <w:pStyle w:val="TextBody"/>
        <w:bidi w:val="0"/>
        <w:spacing w:before="0" w:after="240"/>
        <w:jc w:val="both"/>
        <w:rPr>
          <w:rFonts w:ascii="Times New Roman" w:hAnsi="Times New Roman"/>
          <w:b/>
          <w:sz w:val="24"/>
        </w:rPr>
      </w:pPr>
      <w:r>
        <w:rPr>
          <w:rFonts w:ascii="Times New Roman" w:hAnsi="Times New Roman"/>
          <w:b/>
          <w:sz w:val="24"/>
        </w:rPr>
        <w:t>(kk)</w:t>
      </w:r>
    </w:p>
    <w:p>
      <w:pPr>
        <w:pStyle w:val="TextBody"/>
        <w:bidi w:val="0"/>
        <w:spacing w:before="0" w:after="240"/>
        <w:jc w:val="both"/>
        <w:rPr/>
      </w:pPr>
      <w:r>
        <w:rPr/>
        <w:t>“</w:t>
      </w:r>
      <w:r>
        <w:rPr>
          <w:rFonts w:ascii="Times New Roman;serif" w:hAnsi="Times New Roman;serif"/>
          <w:b/>
          <w:i/>
          <w:sz w:val="24"/>
        </w:rPr>
        <w:t>Plan</w:t>
      </w:r>
      <w:r>
        <w:rPr/>
        <w:t xml:space="preserve">” </w:t>
      </w:r>
      <w:r>
        <w:rPr>
          <w:rFonts w:ascii="Times New Roman;serif" w:hAnsi="Times New Roman;serif"/>
          <w:b w:val="false"/>
          <w:sz w:val="24"/>
        </w:rPr>
        <w:t>means this MannKind Corporation 2018 Equity Incentive Plan.</w:t>
      </w:r>
    </w:p>
    <w:p>
      <w:pPr>
        <w:pStyle w:val="TextBody"/>
        <w:bidi w:val="0"/>
        <w:spacing w:before="0" w:after="240"/>
        <w:jc w:val="both"/>
        <w:rPr>
          <w:rFonts w:ascii="Times New Roman" w:hAnsi="Times New Roman"/>
          <w:b/>
          <w:sz w:val="24"/>
        </w:rPr>
      </w:pPr>
      <w:r>
        <w:rPr>
          <w:rFonts w:ascii="Times New Roman" w:hAnsi="Times New Roman"/>
          <w:b/>
          <w:sz w:val="24"/>
        </w:rPr>
        <w:t>(ll)</w:t>
      </w:r>
    </w:p>
    <w:p>
      <w:pPr>
        <w:pStyle w:val="TextBody"/>
        <w:bidi w:val="0"/>
        <w:spacing w:before="0" w:after="240"/>
        <w:jc w:val="both"/>
        <w:rPr/>
      </w:pPr>
      <w:r>
        <w:rPr/>
        <w:t>“</w:t>
      </w:r>
      <w:r>
        <w:rPr>
          <w:rFonts w:ascii="Times New Roman;serif" w:hAnsi="Times New Roman;serif"/>
          <w:b/>
          <w:i/>
          <w:sz w:val="24"/>
        </w:rPr>
        <w:t>Restricted Stock Award</w:t>
      </w:r>
      <w:r>
        <w:rPr/>
        <w:t xml:space="preserve">” </w:t>
      </w:r>
      <w:r>
        <w:rPr>
          <w:rFonts w:ascii="Times New Roman;serif" w:hAnsi="Times New Roman;serif"/>
          <w:b w:val="false"/>
          <w:sz w:val="24"/>
        </w:rPr>
        <w:t>means an award of shares of Common Stock which is granted pursuant to the terms and conditions of Section 6(a).</w:t>
      </w:r>
    </w:p>
    <w:p>
      <w:pPr>
        <w:pStyle w:val="TextBody"/>
        <w:bidi w:val="0"/>
        <w:spacing w:before="0" w:after="240"/>
        <w:jc w:val="both"/>
        <w:rPr>
          <w:rFonts w:ascii="Times New Roman" w:hAnsi="Times New Roman"/>
          <w:b/>
          <w:sz w:val="24"/>
        </w:rPr>
      </w:pPr>
      <w:r>
        <w:rPr>
          <w:rFonts w:ascii="Times New Roman" w:hAnsi="Times New Roman"/>
          <w:b/>
          <w:sz w:val="24"/>
        </w:rPr>
        <w:t>(mm)</w:t>
      </w:r>
    </w:p>
    <w:p>
      <w:pPr>
        <w:pStyle w:val="TextBody"/>
        <w:bidi w:val="0"/>
        <w:spacing w:before="0" w:after="240"/>
        <w:jc w:val="both"/>
        <w:rPr/>
      </w:pPr>
      <w:r>
        <w:rPr/>
        <w:t>“</w:t>
      </w:r>
      <w:r>
        <w:rPr>
          <w:rFonts w:ascii="Times New Roman;serif" w:hAnsi="Times New Roman;serif"/>
          <w:b/>
          <w:i/>
          <w:sz w:val="24"/>
        </w:rPr>
        <w:t>Restricted Stock Award Agreement</w:t>
      </w:r>
      <w:r>
        <w:rPr/>
        <w:t xml:space="preserve">” </w:t>
      </w:r>
      <w:r>
        <w:rPr>
          <w:rFonts w:ascii="Times New Roman;serif" w:hAnsi="Times New Roman;serif"/>
          <w:b w:val="false"/>
          <w:sz w:val="24"/>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before="0" w:after="240"/>
        <w:jc w:val="both"/>
        <w:rPr>
          <w:rFonts w:ascii="Times New Roman" w:hAnsi="Times New Roman"/>
          <w:b/>
          <w:sz w:val="24"/>
        </w:rPr>
      </w:pPr>
      <w:r>
        <w:rPr>
          <w:rFonts w:ascii="Times New Roman" w:hAnsi="Times New Roman"/>
          <w:b/>
          <w:sz w:val="24"/>
        </w:rPr>
        <w:t>(nn)</w:t>
      </w:r>
    </w:p>
    <w:p>
      <w:pPr>
        <w:pStyle w:val="TextBody"/>
        <w:bidi w:val="0"/>
        <w:spacing w:before="0" w:after="240"/>
        <w:jc w:val="both"/>
        <w:rPr/>
      </w:pPr>
      <w:r>
        <w:rPr/>
        <w:t>“</w:t>
      </w:r>
      <w:r>
        <w:rPr>
          <w:rFonts w:ascii="Times New Roman;serif" w:hAnsi="Times New Roman;serif"/>
          <w:b/>
          <w:i/>
          <w:sz w:val="24"/>
        </w:rPr>
        <w:t>Restricted Stock Unit Award</w:t>
      </w:r>
      <w:r>
        <w:rPr/>
        <w:t xml:space="preserve">” </w:t>
      </w:r>
      <w:r>
        <w:rPr>
          <w:rFonts w:ascii="Times New Roman;serif" w:hAnsi="Times New Roman;serif"/>
          <w:b w:val="false"/>
          <w:sz w:val="24"/>
        </w:rPr>
        <w:t>means a right to receive shares of Common Stock which is granted pursuant to the terms and conditions of Section 6(b).</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(oo)</w:t>
      </w:r>
    </w:p>
    <w:p>
      <w:pPr>
        <w:pStyle w:val="TextBody"/>
        <w:bidi w:val="0"/>
        <w:spacing w:before="0" w:after="240"/>
        <w:jc w:val="both"/>
        <w:rPr/>
      </w:pPr>
      <w:r>
        <w:rPr/>
        <w:t>“</w:t>
      </w:r>
      <w:r>
        <w:rPr>
          <w:rFonts w:ascii="Times New Roman;serif" w:hAnsi="Times New Roman;serif"/>
          <w:b/>
          <w:i/>
          <w:sz w:val="24"/>
        </w:rPr>
        <w:t>Restricted Stock Unit Award Agreement</w:t>
      </w:r>
      <w:r>
        <w:rPr/>
        <w:t xml:space="preserve">” </w:t>
      </w:r>
      <w:r>
        <w:rPr>
          <w:rFonts w:ascii="Times New Roman;serif" w:hAnsi="Times New Roman;serif"/>
          <w:b w:val="false"/>
          <w:sz w:val="24"/>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before="0" w:after="240"/>
        <w:jc w:val="both"/>
        <w:rPr>
          <w:rFonts w:ascii="Times New Roman" w:hAnsi="Times New Roman"/>
          <w:b/>
          <w:sz w:val="24"/>
        </w:rPr>
      </w:pPr>
      <w:r>
        <w:rPr>
          <w:rFonts w:ascii="Times New Roman" w:hAnsi="Times New Roman"/>
          <w:b/>
          <w:sz w:val="24"/>
        </w:rPr>
        <w:t>(pp)</w:t>
      </w:r>
    </w:p>
    <w:p>
      <w:pPr>
        <w:pStyle w:val="TextBody"/>
        <w:bidi w:val="0"/>
        <w:spacing w:before="0" w:after="240"/>
        <w:jc w:val="both"/>
        <w:rPr/>
      </w:pPr>
      <w:r>
        <w:rPr/>
        <w:t>“</w:t>
      </w:r>
      <w:r>
        <w:rPr>
          <w:rFonts w:ascii="Times New Roman;serif" w:hAnsi="Times New Roman;serif"/>
          <w:b/>
          <w:i/>
          <w:sz w:val="24"/>
        </w:rPr>
        <w:t xml:space="preserve">Retirement” </w:t>
      </w:r>
      <w:r>
        <w:rPr>
          <w:rFonts w:ascii="Times New Roman;serif" w:hAnsi="Times New Roman;serif"/>
          <w:b w:val="false"/>
          <w:sz w:val="24"/>
        </w:rPr>
        <w:t>means a Participant’s voluntary termination of Continuous Service after the Participant attains age fifty-five (55).</w:t>
      </w:r>
    </w:p>
    <w:p>
      <w:pPr>
        <w:pStyle w:val="TextBody"/>
        <w:bidi w:val="0"/>
        <w:spacing w:before="0" w:after="240"/>
        <w:jc w:val="both"/>
        <w:rPr>
          <w:rFonts w:ascii="Times New Roman" w:hAnsi="Times New Roman"/>
          <w:b/>
          <w:sz w:val="24"/>
        </w:rPr>
      </w:pPr>
      <w:r>
        <w:rPr>
          <w:rFonts w:ascii="Times New Roman" w:hAnsi="Times New Roman"/>
          <w:b/>
          <w:sz w:val="24"/>
        </w:rPr>
        <w:t>(qq)</w:t>
      </w:r>
    </w:p>
    <w:p>
      <w:pPr>
        <w:pStyle w:val="TextBody"/>
        <w:bidi w:val="0"/>
        <w:spacing w:before="0" w:after="240"/>
        <w:jc w:val="both"/>
        <w:rPr/>
      </w:pPr>
      <w:r>
        <w:rPr/>
        <w:t>“</w:t>
      </w:r>
      <w:r>
        <w:rPr>
          <w:rFonts w:ascii="Times New Roman;serif" w:hAnsi="Times New Roman;serif"/>
          <w:b/>
          <w:i/>
          <w:sz w:val="24"/>
        </w:rPr>
        <w:t>Rule 16b-3</w:t>
      </w:r>
      <w:r>
        <w:rPr/>
        <w:t xml:space="preserve">” </w:t>
      </w:r>
      <w:r>
        <w:rPr>
          <w:rFonts w:ascii="Times New Roman;serif" w:hAnsi="Times New Roman;serif"/>
          <w:b w:val="false"/>
          <w:sz w:val="24"/>
        </w:rPr>
        <w:t>means Rule 16b-3 promulgated under the Exchange Act or any successor to Rule 16b-3, as in effect from time to time.</w:t>
      </w:r>
    </w:p>
    <w:p>
      <w:pPr>
        <w:pStyle w:val="TextBody"/>
        <w:bidi w:val="0"/>
        <w:spacing w:before="0" w:after="240"/>
        <w:jc w:val="both"/>
        <w:rPr>
          <w:rFonts w:ascii="Times New Roman" w:hAnsi="Times New Roman"/>
          <w:b/>
          <w:sz w:val="24"/>
        </w:rPr>
      </w:pPr>
      <w:r>
        <w:rPr>
          <w:rFonts w:ascii="Times New Roman" w:hAnsi="Times New Roman"/>
          <w:b/>
          <w:sz w:val="24"/>
        </w:rPr>
        <w:t>(rr)</w:t>
      </w:r>
    </w:p>
    <w:p>
      <w:pPr>
        <w:pStyle w:val="TextBody"/>
        <w:bidi w:val="0"/>
        <w:spacing w:before="0" w:after="240"/>
        <w:jc w:val="both"/>
        <w:rPr/>
      </w:pPr>
      <w:r>
        <w:rPr/>
        <w:t>“</w:t>
      </w:r>
      <w:r>
        <w:rPr>
          <w:rFonts w:ascii="Times New Roman;serif" w:hAnsi="Times New Roman;serif"/>
          <w:b/>
          <w:i/>
          <w:sz w:val="24"/>
        </w:rPr>
        <w:t>Rule 405</w:t>
      </w:r>
      <w:r>
        <w:rPr/>
        <w:t xml:space="preserve">” </w:t>
      </w:r>
      <w:r>
        <w:rPr>
          <w:rFonts w:ascii="Times New Roman;serif" w:hAnsi="Times New Roman;serif"/>
          <w:b w:val="false"/>
          <w:sz w:val="24"/>
        </w:rPr>
        <w:t>means Rule 405 promulgated under the Securities Act.</w:t>
      </w:r>
    </w:p>
    <w:p>
      <w:pPr>
        <w:pStyle w:val="TextBody"/>
        <w:bidi w:val="0"/>
        <w:spacing w:before="0" w:after="240"/>
        <w:jc w:val="both"/>
        <w:rPr>
          <w:rFonts w:ascii="Times New Roman" w:hAnsi="Times New Roman"/>
          <w:b/>
          <w:sz w:val="24"/>
        </w:rPr>
      </w:pPr>
      <w:r>
        <w:rPr>
          <w:rFonts w:ascii="Times New Roman" w:hAnsi="Times New Roman"/>
          <w:b/>
          <w:sz w:val="24"/>
        </w:rPr>
        <w:t>(ss)</w:t>
      </w:r>
    </w:p>
    <w:p>
      <w:pPr>
        <w:pStyle w:val="TextBody"/>
        <w:bidi w:val="0"/>
        <w:spacing w:before="0" w:after="240"/>
        <w:jc w:val="both"/>
        <w:rPr/>
      </w:pPr>
      <w:r>
        <w:rPr/>
        <w:t>“</w:t>
      </w:r>
      <w:r>
        <w:rPr>
          <w:rFonts w:ascii="Times New Roman;serif" w:hAnsi="Times New Roman;serif"/>
          <w:b/>
          <w:i/>
          <w:sz w:val="24"/>
        </w:rPr>
        <w:t>Securities Act</w:t>
      </w:r>
      <w:r>
        <w:rPr/>
        <w:t xml:space="preserve">” </w:t>
      </w:r>
      <w:r>
        <w:rPr>
          <w:rFonts w:ascii="Times New Roman;serif" w:hAnsi="Times New Roman;serif"/>
          <w:b w:val="false"/>
          <w:sz w:val="24"/>
        </w:rPr>
        <w:t>means the Securities Act of 1933, as amended.</w:t>
      </w:r>
    </w:p>
    <w:p>
      <w:pPr>
        <w:pStyle w:val="TextBody"/>
        <w:bidi w:val="0"/>
        <w:spacing w:before="0" w:after="240"/>
        <w:jc w:val="both"/>
        <w:rPr>
          <w:rFonts w:ascii="Times New Roman" w:hAnsi="Times New Roman"/>
          <w:b/>
          <w:sz w:val="24"/>
        </w:rPr>
      </w:pPr>
      <w:r>
        <w:rPr>
          <w:rFonts w:ascii="Times New Roman" w:hAnsi="Times New Roman"/>
          <w:b/>
          <w:sz w:val="24"/>
        </w:rPr>
        <w:t>(tt)</w:t>
      </w:r>
    </w:p>
    <w:p>
      <w:pPr>
        <w:pStyle w:val="TextBody"/>
        <w:bidi w:val="0"/>
        <w:spacing w:before="0" w:after="240"/>
        <w:jc w:val="both"/>
        <w:rPr/>
      </w:pPr>
      <w:r>
        <w:rPr/>
        <w:t>“</w:t>
      </w:r>
      <w:r>
        <w:rPr>
          <w:rFonts w:ascii="Times New Roman;serif" w:hAnsi="Times New Roman;serif"/>
          <w:b/>
          <w:i/>
          <w:sz w:val="24"/>
        </w:rPr>
        <w:t>Stock Appreciation Right</w:t>
      </w:r>
      <w:r>
        <w:rPr/>
        <w:t xml:space="preserve">” </w:t>
      </w:r>
      <w:r>
        <w:rPr>
          <w:rFonts w:ascii="Times New Roman;serif" w:hAnsi="Times New Roman;serif"/>
          <w:b w:val="false"/>
          <w:sz w:val="24"/>
        </w:rPr>
        <w:t>or “</w:t>
      </w:r>
      <w:r>
        <w:rPr>
          <w:rFonts w:ascii="Times New Roman;serif" w:hAnsi="Times New Roman;serif"/>
          <w:b/>
          <w:i/>
          <w:sz w:val="24"/>
        </w:rPr>
        <w:t>SAR</w:t>
      </w:r>
      <w:r>
        <w:rPr/>
        <w:t xml:space="preserve">” </w:t>
      </w:r>
      <w:r>
        <w:rPr>
          <w:rFonts w:ascii="Times New Roman;serif" w:hAnsi="Times New Roman;serif"/>
          <w:b w:val="false"/>
          <w:sz w:val="24"/>
        </w:rPr>
        <w:t>means a right to receive the appreciation on Common Stock that is granted pursuant to the terms and conditions of Section 5.</w:t>
      </w:r>
    </w:p>
    <w:p>
      <w:pPr>
        <w:pStyle w:val="TextBody"/>
        <w:bidi w:val="0"/>
        <w:spacing w:before="0" w:after="240"/>
        <w:jc w:val="both"/>
        <w:rPr>
          <w:rFonts w:ascii="Times New Roman" w:hAnsi="Times New Roman"/>
          <w:b/>
          <w:sz w:val="24"/>
        </w:rPr>
      </w:pPr>
      <w:r>
        <w:rPr>
          <w:rFonts w:ascii="Times New Roman" w:hAnsi="Times New Roman"/>
          <w:b/>
          <w:sz w:val="24"/>
        </w:rPr>
        <w:t>(uu)</w:t>
      </w:r>
    </w:p>
    <w:p>
      <w:pPr>
        <w:pStyle w:val="TextBody"/>
        <w:bidi w:val="0"/>
        <w:spacing w:before="0" w:after="240"/>
        <w:jc w:val="both"/>
        <w:rPr/>
      </w:pPr>
      <w:r>
        <w:rPr/>
        <w:t>“</w:t>
      </w:r>
      <w:r>
        <w:rPr>
          <w:rFonts w:ascii="Times New Roman;serif" w:hAnsi="Times New Roman;serif"/>
          <w:b/>
          <w:i/>
          <w:sz w:val="24"/>
        </w:rPr>
        <w:t>Stock Appreciation Right Agreement</w:t>
      </w:r>
      <w:r>
        <w:rPr/>
        <w:t xml:space="preserve">” </w:t>
      </w:r>
      <w:r>
        <w:rPr>
          <w:rFonts w:ascii="Times New Roman;serif" w:hAnsi="Times New Roman;serif"/>
          <w:b w:val="false"/>
          <w:sz w:val="24"/>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before="0" w:after="240"/>
        <w:jc w:val="both"/>
        <w:rPr>
          <w:rFonts w:ascii="Times New Roman" w:hAnsi="Times New Roman"/>
          <w:b/>
          <w:sz w:val="24"/>
        </w:rPr>
      </w:pPr>
      <w:r>
        <w:rPr>
          <w:rFonts w:ascii="Times New Roman" w:hAnsi="Times New Roman"/>
          <w:b/>
          <w:sz w:val="24"/>
        </w:rPr>
        <w:t>(vv)</w:t>
      </w:r>
    </w:p>
    <w:p>
      <w:pPr>
        <w:pStyle w:val="TextBody"/>
        <w:bidi w:val="0"/>
        <w:spacing w:before="0" w:after="240"/>
        <w:jc w:val="both"/>
        <w:rPr/>
      </w:pPr>
      <w:r>
        <w:rPr/>
        <w:t>“</w:t>
      </w:r>
      <w:r>
        <w:rPr>
          <w:rFonts w:ascii="Times New Roman;serif" w:hAnsi="Times New Roman;serif"/>
          <w:b/>
          <w:i/>
          <w:sz w:val="24"/>
        </w:rPr>
        <w:t>Stock Award</w:t>
      </w:r>
      <w:r>
        <w:rPr/>
        <w:t xml:space="preserve">” </w:t>
      </w:r>
      <w:r>
        <w:rPr>
          <w:rFonts w:ascii="Times New Roman;serif" w:hAnsi="Times New Roman;serif"/>
          <w:b w:val="false"/>
          <w:sz w:val="24"/>
        </w:rPr>
        <w:t>means any right to receive Common Stock granted under the Plan, including an Incentive Stock Option, a Nonstatutory Stock Option, a Stock Appreciation Right, a Restricted Stock Award, a Restricted Stock Unit Award, a Performance Stock Award or any Other Stock Award.</w:t>
      </w:r>
    </w:p>
    <w:p>
      <w:pPr>
        <w:pStyle w:val="TextBody"/>
        <w:bidi w:val="0"/>
        <w:spacing w:before="0" w:after="240"/>
        <w:jc w:val="both"/>
        <w:rPr>
          <w:rFonts w:ascii="Times New Roman" w:hAnsi="Times New Roman"/>
          <w:b/>
          <w:sz w:val="24"/>
        </w:rPr>
      </w:pPr>
      <w:r>
        <w:rPr>
          <w:rFonts w:ascii="Times New Roman" w:hAnsi="Times New Roman"/>
          <w:b/>
          <w:sz w:val="24"/>
        </w:rPr>
        <w:t>(ww)</w:t>
      </w:r>
    </w:p>
    <w:p>
      <w:pPr>
        <w:pStyle w:val="TextBody"/>
        <w:bidi w:val="0"/>
        <w:spacing w:before="0" w:after="240"/>
        <w:jc w:val="both"/>
        <w:rPr/>
      </w:pPr>
      <w:r>
        <w:rPr/>
        <w:t>“</w:t>
      </w:r>
      <w:r>
        <w:rPr>
          <w:rFonts w:ascii="Times New Roman;serif" w:hAnsi="Times New Roman;serif"/>
          <w:b/>
          <w:i/>
          <w:sz w:val="24"/>
        </w:rPr>
        <w:t>Stock Award Agreement</w:t>
      </w:r>
      <w:r>
        <w:rPr/>
        <w:t xml:space="preserve">” </w:t>
      </w:r>
      <w:r>
        <w:rPr>
          <w:rFonts w:ascii="Times New Roman;serif" w:hAnsi="Times New Roman;serif"/>
          <w:b w:val="false"/>
          <w:sz w:val="24"/>
        </w:rPr>
        <w:t>means a written agreement between the Company and a Participant evidencing the terms and conditions of a Stock Award grant. Each Stock Award Agreement will be subject to the terms and conditions of the Plan.</w:t>
      </w:r>
    </w:p>
    <w:p>
      <w:pPr>
        <w:pStyle w:val="TextBody"/>
        <w:bidi w:val="0"/>
        <w:spacing w:before="0" w:after="240"/>
        <w:jc w:val="both"/>
        <w:rPr>
          <w:rFonts w:ascii="Times New Roman" w:hAnsi="Times New Roman"/>
          <w:b/>
          <w:sz w:val="24"/>
        </w:rPr>
      </w:pPr>
      <w:r>
        <w:rPr>
          <w:rFonts w:ascii="Times New Roman" w:hAnsi="Times New Roman"/>
          <w:b/>
          <w:sz w:val="24"/>
        </w:rPr>
        <w:t>(xx)</w:t>
      </w:r>
    </w:p>
    <w:p>
      <w:pPr>
        <w:pStyle w:val="TextBody"/>
        <w:bidi w:val="0"/>
        <w:spacing w:before="0" w:after="240"/>
        <w:jc w:val="both"/>
        <w:rPr/>
      </w:pPr>
      <w:r>
        <w:rPr/>
        <w:t>“</w:t>
      </w:r>
      <w:r>
        <w:rPr>
          <w:rFonts w:ascii="Times New Roman;serif" w:hAnsi="Times New Roman;serif"/>
          <w:b/>
          <w:i/>
          <w:sz w:val="24"/>
        </w:rPr>
        <w:t>Subsidiary</w:t>
      </w:r>
      <w:r>
        <w:rPr/>
        <w:t xml:space="preserve">” </w:t>
      </w:r>
      <w:r>
        <w:rPr>
          <w:rFonts w:ascii="Times New Roman;serif" w:hAnsi="Times New Roman;serif"/>
          <w:b w:val="false"/>
          <w:sz w:val="24"/>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240"/>
        <w:jc w:val="both"/>
        <w:rPr>
          <w:rFonts w:ascii="Times New Roman" w:hAnsi="Times New Roman"/>
          <w:b/>
          <w:sz w:val="24"/>
        </w:rPr>
      </w:pPr>
      <w:r>
        <w:rPr>
          <w:rFonts w:ascii="Times New Roman" w:hAnsi="Times New Roman"/>
          <w:b/>
          <w:sz w:val="24"/>
        </w:rPr>
        <w:t>(yy)</w:t>
      </w:r>
    </w:p>
    <w:p>
      <w:pPr>
        <w:pStyle w:val="TextBody"/>
        <w:bidi w:val="0"/>
        <w:spacing w:before="0" w:after="240"/>
        <w:jc w:val="both"/>
        <w:rPr/>
      </w:pPr>
      <w:r>
        <w:rPr/>
        <w:t>“</w:t>
      </w:r>
      <w:r>
        <w:rPr>
          <w:rFonts w:ascii="Times New Roman;serif" w:hAnsi="Times New Roman;serif"/>
          <w:b/>
          <w:i/>
          <w:sz w:val="24"/>
        </w:rPr>
        <w:t>Ten Percent Stockholder</w:t>
      </w:r>
      <w:r>
        <w:rPr/>
        <w:t xml:space="preserve">” </w:t>
      </w:r>
      <w:r>
        <w:rPr>
          <w:rFonts w:ascii="Times New Roman;serif" w:hAnsi="Times New Roman;serif"/>
          <w:b w:val="false"/>
          <w:sz w:val="24"/>
        </w:rPr>
        <w:t>means a person who Owns (or is deemed to Own pursuant to Section 424(d) of the Code) stock possessing more than 10% of the total combined voting power of all classes of stock of the Company or any Affiliate.</w:t>
      </w:r>
    </w:p>
    <w:p>
      <w:pPr>
        <w:pStyle w:val="TextBody"/>
        <w:bidi w:val="0"/>
        <w:spacing w:before="0" w:after="240"/>
        <w:jc w:val="both"/>
        <w:rPr>
          <w:rFonts w:ascii="Times New Roman" w:hAnsi="Times New Roman"/>
          <w:b/>
          <w:sz w:val="24"/>
        </w:rPr>
      </w:pPr>
      <w:r>
        <w:rPr>
          <w:rFonts w:ascii="Times New Roman" w:hAnsi="Times New Roman"/>
          <w:b/>
          <w:sz w:val="24"/>
        </w:rPr>
        <w:t>(zz)</w:t>
      </w:r>
    </w:p>
    <w:p>
      <w:pPr>
        <w:pStyle w:val="TextBody"/>
        <w:bidi w:val="0"/>
        <w:spacing w:before="0" w:after="240"/>
        <w:jc w:val="both"/>
        <w:rPr/>
      </w:pPr>
      <w:r>
        <w:rPr/>
        <w:t>“</w:t>
      </w:r>
      <w:r>
        <w:rPr>
          <w:rFonts w:ascii="Times New Roman;serif" w:hAnsi="Times New Roman;serif"/>
          <w:b/>
          <w:i/>
          <w:sz w:val="24"/>
        </w:rPr>
        <w:t>Transaction</w:t>
      </w:r>
      <w:r>
        <w:rPr/>
        <w:t xml:space="preserve">” </w:t>
      </w:r>
      <w:r>
        <w:rPr>
          <w:rFonts w:ascii="Times New Roman;serif" w:hAnsi="Times New Roman;serif"/>
          <w:b w:val="false"/>
          <w:sz w:val="24"/>
        </w:rPr>
        <w:t>means a Corporate Transaction or a Change in Control.</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serif" w:hAnsi="Times New Roman;serif"/>
          <w:b/>
          <w:sz w:val="24"/>
        </w:rPr>
      </w:pPr>
      <w:bookmarkStart w:id="24" w:name="mnkd-ex10_2.htm"/>
      <w:bookmarkStart w:id="25" w:name="ksmnkdex10_2"/>
      <w:bookmarkEnd w:id="24"/>
      <w:bookmarkEnd w:id="25"/>
      <w:r>
        <w:rPr>
          <w:rFonts w:ascii="Times New Roman;serif" w:hAnsi="Times New Roman;serif"/>
          <w:b/>
          <w:sz w:val="24"/>
        </w:rPr>
        <w:t>Exhibit 10.2</w:t>
      </w:r>
      <w:r>
        <w:br w:type="page"/>
      </w:r>
    </w:p>
    <w:p>
      <w:pPr>
        <w:pStyle w:val="TextBody"/>
        <w:bidi w:val="0"/>
        <w:spacing w:before="0" w:after="0"/>
        <w:jc w:val="left"/>
        <w:rPr/>
      </w:pPr>
      <w:r>
        <w:rPr/>
        <w:t> </w:t>
      </w:r>
    </w:p>
    <w:p>
      <w:pPr>
        <w:pStyle w:val="TextBody"/>
        <w:bidi w:val="0"/>
        <w:spacing w:before="0" w:after="240"/>
        <w:jc w:val="center"/>
        <w:rPr>
          <w:rFonts w:ascii="Times New Roman;serif" w:hAnsi="Times New Roman;serif"/>
          <w:b/>
          <w:smallCaps/>
          <w:sz w:val="28"/>
        </w:rPr>
      </w:pPr>
      <w:r>
        <w:rPr>
          <w:rFonts w:ascii="Times New Roman;serif" w:hAnsi="Times New Roman;serif"/>
          <w:b/>
          <w:smallCaps/>
          <w:sz w:val="28"/>
        </w:rPr>
        <w:t>MannKind Corporation</w:t>
      </w:r>
    </w:p>
    <w:p>
      <w:pPr>
        <w:pStyle w:val="TextBody"/>
        <w:bidi w:val="0"/>
        <w:spacing w:before="0" w:after="240"/>
        <w:jc w:val="center"/>
        <w:rPr>
          <w:rFonts w:ascii="Times New Roman;serif" w:hAnsi="Times New Roman;serif"/>
          <w:b/>
          <w:smallCaps/>
          <w:sz w:val="28"/>
        </w:rPr>
      </w:pPr>
      <w:r>
        <w:rPr>
          <w:rFonts w:ascii="Times New Roman;serif" w:hAnsi="Times New Roman;serif"/>
          <w:b/>
          <w:smallCaps/>
          <w:sz w:val="28"/>
        </w:rPr>
        <w:t>2004 Employee Stock Purchase Plan</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Adopted by the Board of Directors March 23, 2004</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Approved by Stockholders March 23, 2004</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Amended by the Board of Directors February 21, 2018</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Amended Plan Approved by the Stockholders May 16, 2018</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Amended by the Board of Directors March 17, 2023</w:t>
      </w:r>
    </w:p>
    <w:p>
      <w:pPr>
        <w:pStyle w:val="TextBody"/>
        <w:bidi w:val="0"/>
        <w:spacing w:before="0" w:after="240"/>
        <w:jc w:val="center"/>
        <w:rPr>
          <w:rFonts w:ascii="Times New Roman;serif" w:hAnsi="Times New Roman;serif"/>
          <w:b/>
          <w:smallCaps/>
          <w:sz w:val="24"/>
        </w:rPr>
      </w:pPr>
      <w:r>
        <w:rPr>
          <w:rFonts w:ascii="Times New Roman;serif" w:hAnsi="Times New Roman;serif"/>
          <w:b/>
          <w:smallCaps/>
          <w:sz w:val="24"/>
        </w:rPr>
        <w:t>Amended Plan Approved by the Stockholders May 25, 2023</w:t>
      </w:r>
    </w:p>
    <w:p>
      <w:pPr>
        <w:pStyle w:val="TextBody"/>
        <w:bidi w:val="0"/>
        <w:spacing w:before="0" w:after="240"/>
        <w:jc w:val="center"/>
        <w:rPr/>
      </w:pPr>
      <w:r>
        <w:rPr/>
        <w:t> </w:t>
      </w:r>
    </w:p>
    <w:p>
      <w:pPr>
        <w:pStyle w:val="TextBody"/>
        <w:bidi w:val="0"/>
        <w:spacing w:before="0" w:after="240"/>
        <w:jc w:val="both"/>
        <w:rPr>
          <w:rFonts w:ascii="Times New Roman" w:hAnsi="Times New Roman"/>
          <w:b/>
          <w:smallCaps/>
          <w:sz w:val="24"/>
        </w:rPr>
      </w:pPr>
      <w:r>
        <w:rPr>
          <w:rFonts w:ascii="Times New Roman" w:hAnsi="Times New Roman"/>
          <w:b/>
          <w:smallCaps/>
          <w:sz w:val="24"/>
        </w:rPr>
        <w:t>1.</w:t>
      </w:r>
    </w:p>
    <w:p>
      <w:pPr>
        <w:pStyle w:val="TextBody"/>
        <w:bidi w:val="0"/>
        <w:spacing w:before="0" w:after="240"/>
        <w:jc w:val="both"/>
        <w:rPr/>
      </w:pPr>
      <w:r>
        <w:rPr>
          <w:rFonts w:ascii="Times New Roman;serif" w:hAnsi="Times New Roman;serif"/>
          <w:b/>
          <w:smallCaps/>
          <w:sz w:val="24"/>
        </w:rPr>
        <w:t>Purpose</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purpose of the Plan is to provide a means by which Employees of the Company and certain designated Related Corporations may be given an opportunity to purchase shares of the Common Stock of the Company.</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intends that the Purchase Rights be considered options issued under an Employee Stock Purchase Plan.</w:t>
      </w:r>
    </w:p>
    <w:p>
      <w:pPr>
        <w:pStyle w:val="TextBody"/>
        <w:bidi w:val="0"/>
        <w:spacing w:before="0" w:after="240"/>
        <w:jc w:val="both"/>
        <w:rPr>
          <w:rFonts w:ascii="Times New Roman" w:hAnsi="Times New Roman"/>
          <w:b/>
          <w:smallCaps/>
          <w:sz w:val="24"/>
        </w:rPr>
      </w:pPr>
      <w:r>
        <w:rPr>
          <w:rFonts w:ascii="Times New Roman" w:hAnsi="Times New Roman"/>
          <w:b/>
          <w:smallCaps/>
          <w:sz w:val="24"/>
        </w:rPr>
        <w:t>2.</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Definitions.</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As used in the Plan and any Offering, unless otherwise specified, the following terms have the meanings set forth below:</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t>“</w:t>
      </w:r>
      <w:r>
        <w:rPr>
          <w:rFonts w:ascii="Times New Roman;serif" w:hAnsi="Times New Roman;serif"/>
          <w:b/>
          <w:i/>
          <w:sz w:val="24"/>
        </w:rPr>
        <w:t>Board”</w:t>
      </w:r>
      <w:r>
        <w:rPr/>
        <w:t xml:space="preserve"> </w:t>
      </w:r>
      <w:r>
        <w:rPr>
          <w:rFonts w:ascii="Times New Roman;serif" w:hAnsi="Times New Roman;serif"/>
          <w:b w:val="false"/>
          <w:sz w:val="24"/>
        </w:rPr>
        <w:t>means the Board of Directors of the Company.</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t>“</w:t>
      </w:r>
      <w:r>
        <w:rPr>
          <w:rFonts w:ascii="Times New Roman;serif" w:hAnsi="Times New Roman;serif"/>
          <w:b/>
          <w:i/>
          <w:sz w:val="24"/>
        </w:rPr>
        <w:t>Code”</w:t>
      </w:r>
      <w:r>
        <w:rPr/>
        <w:t xml:space="preserve"> </w:t>
      </w:r>
      <w:r>
        <w:rPr>
          <w:rFonts w:ascii="Times New Roman;serif" w:hAnsi="Times New Roman;serif"/>
          <w:b w:val="false"/>
          <w:sz w:val="24"/>
        </w:rPr>
        <w:t>means the Internal Revenue Code of 1986, as amended</w:t>
      </w:r>
      <w:r>
        <w:rPr>
          <w:rFonts w:ascii="Times New Roman;serif" w:hAnsi="Times New Roman;serif"/>
          <w:b w:val="false"/>
          <w:i/>
          <w:sz w:val="24"/>
        </w:rPr>
        <w:t>.</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t>“</w:t>
      </w:r>
      <w:r>
        <w:rPr>
          <w:rFonts w:ascii="Times New Roman;serif" w:hAnsi="Times New Roman;serif"/>
          <w:b/>
          <w:i/>
          <w:sz w:val="24"/>
        </w:rPr>
        <w:t>Committee”</w:t>
      </w:r>
      <w:r>
        <w:rPr/>
        <w:t xml:space="preserve"> </w:t>
      </w:r>
      <w:r>
        <w:rPr>
          <w:rFonts w:ascii="Times New Roman;serif" w:hAnsi="Times New Roman;serif"/>
          <w:b w:val="false"/>
          <w:sz w:val="24"/>
        </w:rPr>
        <w:t>means a committee appointed by the Board in accordance with Section 3(c) of the Plan.</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t>“</w:t>
      </w:r>
      <w:r>
        <w:rPr>
          <w:rFonts w:ascii="Times New Roman;serif" w:hAnsi="Times New Roman;serif"/>
          <w:b/>
          <w:i/>
          <w:sz w:val="24"/>
        </w:rPr>
        <w:t>Common Stock”</w:t>
      </w:r>
      <w:r>
        <w:rPr/>
        <w:t xml:space="preserve"> </w:t>
      </w:r>
      <w:r>
        <w:rPr>
          <w:rFonts w:ascii="Times New Roman;serif" w:hAnsi="Times New Roman;serif"/>
          <w:b w:val="false"/>
          <w:sz w:val="24"/>
        </w:rPr>
        <w:t>means the common stock of the Company.</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t>“</w:t>
      </w:r>
      <w:r>
        <w:rPr>
          <w:rFonts w:ascii="Times New Roman;serif" w:hAnsi="Times New Roman;serif"/>
          <w:b/>
          <w:i/>
          <w:sz w:val="24"/>
        </w:rPr>
        <w:t>Company”</w:t>
      </w:r>
      <w:r>
        <w:rPr/>
        <w:t xml:space="preserve"> </w:t>
      </w:r>
      <w:r>
        <w:rPr>
          <w:rFonts w:ascii="Times New Roman;serif" w:hAnsi="Times New Roman;serif"/>
          <w:b w:val="false"/>
          <w:sz w:val="24"/>
        </w:rPr>
        <w:t>means MannKind Corporation, a Delaware corporation.</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t>“</w:t>
      </w:r>
      <w:r>
        <w:rPr>
          <w:rFonts w:ascii="Times New Roman;serif" w:hAnsi="Times New Roman;serif"/>
          <w:b/>
          <w:i/>
          <w:sz w:val="24"/>
        </w:rPr>
        <w:t>Contributions”</w:t>
      </w:r>
      <w:r>
        <w:rPr/>
        <w:t xml:space="preserve"> </w:t>
      </w:r>
      <w:r>
        <w:rPr>
          <w:rFonts w:ascii="Times New Roman;serif" w:hAnsi="Times New Roman;serif"/>
          <w:b w:val="false"/>
          <w:sz w:val="24"/>
        </w:rPr>
        <w:t>means the payroll deductions and other additional payments that a Participant contributes to fund the exercise of a Purchase Right. A Participant may make payments not through payroll deductions only if specifically provided for in the Offering, and then only if the Participant has not already had the maximum permitted amount withheld through payroll deductions during the Offering.</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t>“</w:t>
      </w:r>
      <w:r>
        <w:rPr>
          <w:rFonts w:ascii="Times New Roman;serif" w:hAnsi="Times New Roman;serif"/>
          <w:b/>
          <w:i/>
          <w:sz w:val="24"/>
        </w:rPr>
        <w:t>Corporate Transaction”</w:t>
      </w:r>
      <w:r>
        <w:rPr/>
        <w:t xml:space="preserve"> </w:t>
      </w:r>
      <w:r>
        <w:rPr>
          <w:rFonts w:ascii="Times New Roman;serif" w:hAnsi="Times New Roman;serif"/>
          <w:b w:val="false"/>
          <w:sz w:val="24"/>
        </w:rPr>
        <w:t>means the occurrence, in a single transaction or in a series of related transactions, of any one or more of the following events:</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sale, lease, license or other disposition of all or substantially all of the consolidated assets of the Company;</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sale or other disposition of at least fifty percent (50%) of the outstanding securities of the Company;</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merger, consolidation or similar transaction following which the Company is not the surviving corporation; or</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b/>
          <w:sz w:val="24"/>
        </w:rPr>
      </w:pPr>
      <w:r>
        <w:rPr>
          <w:rFonts w:ascii="Times New Roman" w:hAnsi="Times New Roman"/>
          <w:b/>
          <w:sz w:val="24"/>
        </w:rPr>
        <w:t>(h)</w:t>
      </w:r>
    </w:p>
    <w:p>
      <w:pPr>
        <w:pStyle w:val="TextBody"/>
        <w:bidi w:val="0"/>
        <w:spacing w:before="0" w:after="240"/>
        <w:jc w:val="both"/>
        <w:rPr/>
      </w:pPr>
      <w:r>
        <w:rPr/>
        <w:t>“</w:t>
      </w:r>
      <w:r>
        <w:rPr>
          <w:rFonts w:ascii="Times New Roman;serif" w:hAnsi="Times New Roman;serif"/>
          <w:b/>
          <w:i/>
          <w:sz w:val="24"/>
        </w:rPr>
        <w:t>Director”</w:t>
      </w:r>
      <w:r>
        <w:rPr/>
        <w:t xml:space="preserve"> </w:t>
      </w:r>
      <w:r>
        <w:rPr>
          <w:rFonts w:ascii="Times New Roman;serif" w:hAnsi="Times New Roman;serif"/>
          <w:b w:val="false"/>
          <w:sz w:val="24"/>
        </w:rPr>
        <w:t>means a member of the Board.</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pPr>
      <w:r>
        <w:rPr/>
        <w:t>“</w:t>
      </w:r>
      <w:r>
        <w:rPr>
          <w:rFonts w:ascii="Times New Roman;serif" w:hAnsi="Times New Roman;serif"/>
          <w:b/>
          <w:i/>
          <w:sz w:val="24"/>
        </w:rPr>
        <w:t>Eligible Employee”</w:t>
      </w:r>
      <w:r>
        <w:rPr/>
        <w:t xml:space="preserve"> </w:t>
      </w:r>
      <w:r>
        <w:rPr>
          <w:rFonts w:ascii="Times New Roman;serif" w:hAnsi="Times New Roman;serif"/>
          <w:b w:val="false"/>
          <w:sz w:val="24"/>
        </w:rPr>
        <w:t>means an Employee who meets the requirements set forth in the Offering for eligibility to participate in the Offering, provided that such Employee also meets the requirements for eligibility to participate set forth in the Plan.</w:t>
      </w:r>
    </w:p>
    <w:p>
      <w:pPr>
        <w:pStyle w:val="TextBody"/>
        <w:bidi w:val="0"/>
        <w:spacing w:before="0" w:after="240"/>
        <w:jc w:val="both"/>
        <w:rPr>
          <w:rFonts w:ascii="Times New Roman" w:hAnsi="Times New Roman"/>
          <w:b/>
          <w:sz w:val="24"/>
        </w:rPr>
      </w:pPr>
      <w:r>
        <w:rPr>
          <w:rFonts w:ascii="Times New Roman" w:hAnsi="Times New Roman"/>
          <w:b/>
          <w:sz w:val="24"/>
        </w:rPr>
        <w:t>(j)</w:t>
      </w:r>
    </w:p>
    <w:p>
      <w:pPr>
        <w:pStyle w:val="TextBody"/>
        <w:bidi w:val="0"/>
        <w:spacing w:before="0" w:after="240"/>
        <w:jc w:val="both"/>
        <w:rPr/>
      </w:pPr>
      <w:r>
        <w:rPr/>
        <w:t>“</w:t>
      </w:r>
      <w:r>
        <w:rPr>
          <w:rFonts w:ascii="Times New Roman;serif" w:hAnsi="Times New Roman;serif"/>
          <w:b/>
          <w:i/>
          <w:sz w:val="24"/>
        </w:rPr>
        <w:t>Employee”</w:t>
      </w:r>
      <w:r>
        <w:rPr/>
        <w:t xml:space="preserve"> </w:t>
      </w:r>
      <w:r>
        <w:rPr>
          <w:rFonts w:ascii="Times New Roman;serif" w:hAnsi="Times New Roman;serif"/>
          <w:b w:val="false"/>
          <w:sz w:val="24"/>
        </w:rPr>
        <w:t>means any person, including Officers and Directors, who is employed for purposes of Section 423(b)(4) of the Code by the Company or a Related Corporation. Neither service as a Director nor payment of a director’s fee shall be sufficient to make an individual an Employee of the Company or a Related Corporation.</w:t>
      </w:r>
    </w:p>
    <w:p>
      <w:pPr>
        <w:pStyle w:val="TextBody"/>
        <w:bidi w:val="0"/>
        <w:spacing w:before="0" w:after="240"/>
        <w:jc w:val="both"/>
        <w:rPr>
          <w:rFonts w:ascii="Times New Roman" w:hAnsi="Times New Roman"/>
          <w:b/>
          <w:sz w:val="24"/>
        </w:rPr>
      </w:pPr>
      <w:r>
        <w:rPr>
          <w:rFonts w:ascii="Times New Roman" w:hAnsi="Times New Roman"/>
          <w:b/>
          <w:sz w:val="24"/>
        </w:rPr>
        <w:t>(k)</w:t>
      </w:r>
    </w:p>
    <w:p>
      <w:pPr>
        <w:pStyle w:val="TextBody"/>
        <w:bidi w:val="0"/>
        <w:spacing w:before="0" w:after="240"/>
        <w:jc w:val="both"/>
        <w:rPr/>
      </w:pPr>
      <w:r>
        <w:rPr/>
        <w:t>“</w:t>
      </w:r>
      <w:r>
        <w:rPr>
          <w:rFonts w:ascii="Times New Roman;serif" w:hAnsi="Times New Roman;serif"/>
          <w:b/>
          <w:i/>
          <w:sz w:val="24"/>
        </w:rPr>
        <w:t>Employee Stock Purchase Plan”</w:t>
      </w:r>
      <w:r>
        <w:rPr/>
        <w:t xml:space="preserve"> </w:t>
      </w:r>
      <w:r>
        <w:rPr>
          <w:rFonts w:ascii="Times New Roman;serif" w:hAnsi="Times New Roman;serif"/>
          <w:b w:val="false"/>
          <w:sz w:val="24"/>
        </w:rPr>
        <w:t>means a plan that grants Purchase Rights intended to be options issued under an “employee stock purchase plan,” as that term is defined in Section 423(b) of the Code.</w:t>
      </w:r>
    </w:p>
    <w:p>
      <w:pPr>
        <w:pStyle w:val="TextBody"/>
        <w:bidi w:val="0"/>
        <w:spacing w:before="0" w:after="240"/>
        <w:jc w:val="both"/>
        <w:rPr>
          <w:rFonts w:ascii="Times New Roman" w:hAnsi="Times New Roman"/>
          <w:b/>
          <w:sz w:val="24"/>
        </w:rPr>
      </w:pPr>
      <w:r>
        <w:rPr>
          <w:rFonts w:ascii="Times New Roman" w:hAnsi="Times New Roman"/>
          <w:b/>
          <w:sz w:val="24"/>
        </w:rPr>
        <w:t>(l)</w:t>
      </w:r>
    </w:p>
    <w:p>
      <w:pPr>
        <w:pStyle w:val="TextBody"/>
        <w:bidi w:val="0"/>
        <w:spacing w:before="0" w:after="240"/>
        <w:jc w:val="both"/>
        <w:rPr/>
      </w:pPr>
      <w:r>
        <w:rPr/>
        <w:t>“</w:t>
      </w:r>
      <w:r>
        <w:rPr>
          <w:rFonts w:ascii="Times New Roman;serif" w:hAnsi="Times New Roman;serif"/>
          <w:b/>
          <w:i/>
          <w:sz w:val="24"/>
        </w:rPr>
        <w:t>Exchange Act”</w:t>
      </w:r>
      <w:r>
        <w:rPr/>
        <w:t xml:space="preserve"> </w:t>
      </w:r>
      <w:r>
        <w:rPr>
          <w:rFonts w:ascii="Times New Roman;serif" w:hAnsi="Times New Roman;serif"/>
          <w:b w:val="false"/>
          <w:sz w:val="24"/>
        </w:rPr>
        <w:t>means the Securities Exchange Act of 1934, as amended.</w:t>
      </w:r>
    </w:p>
    <w:p>
      <w:pPr>
        <w:pStyle w:val="TextBody"/>
        <w:bidi w:val="0"/>
        <w:spacing w:before="0" w:after="240"/>
        <w:jc w:val="both"/>
        <w:rPr>
          <w:rFonts w:ascii="Times New Roman" w:hAnsi="Times New Roman"/>
          <w:b/>
          <w:sz w:val="24"/>
        </w:rPr>
      </w:pPr>
      <w:r>
        <w:rPr>
          <w:rFonts w:ascii="Times New Roman" w:hAnsi="Times New Roman"/>
          <w:b/>
          <w:sz w:val="24"/>
        </w:rPr>
        <w:t>(m)</w:t>
      </w:r>
    </w:p>
    <w:p>
      <w:pPr>
        <w:pStyle w:val="TextBody"/>
        <w:bidi w:val="0"/>
        <w:spacing w:before="0" w:after="240"/>
        <w:jc w:val="both"/>
        <w:rPr/>
      </w:pPr>
      <w:r>
        <w:rPr/>
        <w:t>“</w:t>
      </w:r>
      <w:r>
        <w:rPr>
          <w:rFonts w:ascii="Times New Roman;serif" w:hAnsi="Times New Roman;serif"/>
          <w:b/>
          <w:i/>
          <w:sz w:val="24"/>
        </w:rPr>
        <w:t>Fair Market Value”</w:t>
      </w:r>
      <w:r>
        <w:rPr/>
        <w:t xml:space="preserve"> </w:t>
      </w:r>
      <w:r>
        <w:rPr>
          <w:rFonts w:ascii="Times New Roman;serif" w:hAnsi="Times New Roman;serif"/>
          <w:b w:val="false"/>
          <w:sz w:val="24"/>
        </w:rPr>
        <w:t>means the value of a security, as determined in good faith by the Board. If the security is listed on any established stock exchange or traded on the Nasdaq National Market or the Nasdaq SmallCap Market, the Fair Market Value of the security, unless otherwise determined by the Board,</w:t>
      </w:r>
      <w:r>
        <w:rPr/>
        <w:t xml:space="preserve"> </w:t>
      </w:r>
      <w:r>
        <w:rPr>
          <w:rFonts w:ascii="Times New Roman;serif" w:hAnsi="Times New Roman;serif"/>
          <w:b w:val="false"/>
          <w:sz w:val="24"/>
        </w:rPr>
        <w:t xml:space="preserve">shall be the closing sales price (rounded up where necessary to the nearest whole cent) for such security (or the closing bid, if no sales were reported) as quoted on such exchange or market (or the exchange or market with the greatest volume of trading in the relevant security of the Company) on the Trading Day prior to the relevant determination date, as reported in </w:t>
      </w:r>
      <w:r>
        <w:rPr>
          <w:rFonts w:ascii="Times New Roman;serif" w:hAnsi="Times New Roman;serif"/>
          <w:b w:val="false"/>
          <w:i/>
          <w:sz w:val="24"/>
        </w:rPr>
        <w:t>The Wall Street Journal</w:t>
      </w:r>
      <w:r>
        <w:rPr/>
        <w:t xml:space="preserve"> </w:t>
      </w:r>
      <w:r>
        <w:rPr>
          <w:rFonts w:ascii="Times New Roman;serif" w:hAnsi="Times New Roman;serif"/>
          <w:b w:val="false"/>
          <w:sz w:val="24"/>
        </w:rPr>
        <w:t>or such other source as the Board deems reliable.</w:t>
      </w:r>
    </w:p>
    <w:p>
      <w:pPr>
        <w:pStyle w:val="TextBody"/>
        <w:bidi w:val="0"/>
        <w:spacing w:before="0" w:after="240"/>
        <w:jc w:val="both"/>
        <w:rPr>
          <w:rFonts w:ascii="Times New Roman" w:hAnsi="Times New Roman"/>
          <w:b/>
          <w:sz w:val="24"/>
        </w:rPr>
      </w:pPr>
      <w:r>
        <w:rPr>
          <w:rFonts w:ascii="Times New Roman" w:hAnsi="Times New Roman"/>
          <w:b/>
          <w:sz w:val="24"/>
        </w:rPr>
        <w:t>(n)</w:t>
      </w:r>
    </w:p>
    <w:p>
      <w:pPr>
        <w:pStyle w:val="TextBody"/>
        <w:bidi w:val="0"/>
        <w:spacing w:before="0" w:after="240"/>
        <w:jc w:val="both"/>
        <w:rPr/>
      </w:pPr>
      <w:r>
        <w:rPr/>
        <w:t>“</w:t>
      </w:r>
      <w:r>
        <w:rPr>
          <w:rFonts w:ascii="Times New Roman;serif" w:hAnsi="Times New Roman;serif"/>
          <w:b/>
          <w:i/>
          <w:sz w:val="24"/>
        </w:rPr>
        <w:t>Offering”</w:t>
      </w:r>
      <w:r>
        <w:rPr/>
        <w:t xml:space="preserve"> </w:t>
      </w:r>
      <w:r>
        <w:rPr>
          <w:rFonts w:ascii="Times New Roman;serif" w:hAnsi="Times New Roman;serif"/>
          <w:b w:val="false"/>
          <w:sz w:val="24"/>
        </w:rPr>
        <w:t>means the grant of Purchase Rights to purchase shares of Common Stock under the Plan to Eligible Employees.</w:t>
      </w:r>
    </w:p>
    <w:p>
      <w:pPr>
        <w:pStyle w:val="TextBody"/>
        <w:bidi w:val="0"/>
        <w:spacing w:before="0" w:after="240"/>
        <w:jc w:val="both"/>
        <w:rPr>
          <w:rFonts w:ascii="Times New Roman" w:hAnsi="Times New Roman"/>
          <w:b/>
          <w:sz w:val="24"/>
        </w:rPr>
      </w:pPr>
      <w:r>
        <w:rPr>
          <w:rFonts w:ascii="Times New Roman" w:hAnsi="Times New Roman"/>
          <w:b/>
          <w:sz w:val="24"/>
        </w:rPr>
        <w:t>(o)</w:t>
      </w:r>
    </w:p>
    <w:p>
      <w:pPr>
        <w:pStyle w:val="TextBody"/>
        <w:bidi w:val="0"/>
        <w:spacing w:before="0" w:after="240"/>
        <w:jc w:val="both"/>
        <w:rPr/>
      </w:pPr>
      <w:r>
        <w:rPr/>
        <w:t>“</w:t>
      </w:r>
      <w:r>
        <w:rPr>
          <w:rFonts w:ascii="Times New Roman;serif" w:hAnsi="Times New Roman;serif"/>
          <w:b/>
          <w:i/>
          <w:sz w:val="24"/>
        </w:rPr>
        <w:t>Offering Date”</w:t>
      </w:r>
      <w:r>
        <w:rPr/>
        <w:t xml:space="preserve"> </w:t>
      </w:r>
      <w:r>
        <w:rPr>
          <w:rFonts w:ascii="Times New Roman;serif" w:hAnsi="Times New Roman;serif"/>
          <w:b w:val="false"/>
          <w:sz w:val="24"/>
        </w:rPr>
        <w:t>means a date selected by the Board for an Offering to commence.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(p)</w:t>
      </w:r>
    </w:p>
    <w:p>
      <w:pPr>
        <w:pStyle w:val="TextBody"/>
        <w:bidi w:val="0"/>
        <w:spacing w:before="0" w:after="240"/>
        <w:jc w:val="both"/>
        <w:rPr/>
      </w:pPr>
      <w:r>
        <w:rPr/>
        <w:t>“</w:t>
      </w:r>
      <w:r>
        <w:rPr>
          <w:rFonts w:ascii="Times New Roman;serif" w:hAnsi="Times New Roman;serif"/>
          <w:b/>
          <w:i/>
          <w:sz w:val="24"/>
        </w:rPr>
        <w:t>Officer</w:t>
      </w:r>
      <w:r>
        <w:rPr/>
        <w:t xml:space="preserve">” </w:t>
      </w:r>
      <w:r>
        <w:rPr>
          <w:rFonts w:ascii="Times New Roman;serif" w:hAnsi="Times New Roman;serif"/>
          <w:b w:val="false"/>
          <w:sz w:val="24"/>
        </w:rPr>
        <w:t>means</w:t>
      </w:r>
      <w:r>
        <w:rPr/>
        <w:t xml:space="preserve"> </w:t>
      </w:r>
      <w:r>
        <w:rPr>
          <w:rFonts w:ascii="Times New Roman;serif" w:hAnsi="Times New Roman;serif"/>
          <w:b w:val="false"/>
          <w:sz w:val="24"/>
        </w:rPr>
        <w:t>a person who is an officer of the Company within the meaning of Section 16 of the Exchange Act and the rules and regulations promulgated thereunder.</w:t>
      </w:r>
    </w:p>
    <w:p>
      <w:pPr>
        <w:pStyle w:val="TextBody"/>
        <w:bidi w:val="0"/>
        <w:spacing w:before="0" w:after="240"/>
        <w:jc w:val="both"/>
        <w:rPr>
          <w:rFonts w:ascii="Times New Roman" w:hAnsi="Times New Roman"/>
          <w:b/>
          <w:sz w:val="24"/>
        </w:rPr>
      </w:pPr>
      <w:r>
        <w:rPr>
          <w:rFonts w:ascii="Times New Roman" w:hAnsi="Times New Roman"/>
          <w:b/>
          <w:sz w:val="24"/>
        </w:rPr>
        <w:t>(q)</w:t>
      </w:r>
    </w:p>
    <w:p>
      <w:pPr>
        <w:pStyle w:val="TextBody"/>
        <w:bidi w:val="0"/>
        <w:spacing w:before="0" w:after="240"/>
        <w:jc w:val="both"/>
        <w:rPr/>
      </w:pPr>
      <w:r>
        <w:rPr/>
        <w:t>“</w:t>
      </w:r>
      <w:r>
        <w:rPr>
          <w:rFonts w:ascii="Times New Roman;serif" w:hAnsi="Times New Roman;serif"/>
          <w:b/>
          <w:i/>
          <w:sz w:val="24"/>
        </w:rPr>
        <w:t>Participant”</w:t>
      </w:r>
      <w:r>
        <w:rPr/>
        <w:t xml:space="preserve"> </w:t>
      </w:r>
      <w:r>
        <w:rPr>
          <w:rFonts w:ascii="Times New Roman;serif" w:hAnsi="Times New Roman;serif"/>
          <w:b w:val="false"/>
          <w:sz w:val="24"/>
        </w:rPr>
        <w:t>means an Eligible Employee who holds an outstanding Purchase Right granted pursuant to the Plan.</w:t>
      </w:r>
    </w:p>
    <w:p>
      <w:pPr>
        <w:pStyle w:val="TextBody"/>
        <w:bidi w:val="0"/>
        <w:spacing w:before="0" w:after="240"/>
        <w:jc w:val="both"/>
        <w:rPr>
          <w:rFonts w:ascii="Times New Roman" w:hAnsi="Times New Roman"/>
          <w:b/>
          <w:sz w:val="24"/>
        </w:rPr>
      </w:pPr>
      <w:r>
        <w:rPr>
          <w:rFonts w:ascii="Times New Roman" w:hAnsi="Times New Roman"/>
          <w:b/>
          <w:sz w:val="24"/>
        </w:rPr>
        <w:t>(r)</w:t>
      </w:r>
    </w:p>
    <w:p>
      <w:pPr>
        <w:pStyle w:val="TextBody"/>
        <w:bidi w:val="0"/>
        <w:spacing w:before="0" w:after="240"/>
        <w:jc w:val="both"/>
        <w:rPr/>
      </w:pPr>
      <w:r>
        <w:rPr/>
        <w:t>“</w:t>
      </w:r>
      <w:r>
        <w:rPr>
          <w:rFonts w:ascii="Times New Roman;serif" w:hAnsi="Times New Roman;serif"/>
          <w:b/>
          <w:i/>
          <w:sz w:val="24"/>
        </w:rPr>
        <w:t>Plan”</w:t>
      </w:r>
      <w:r>
        <w:rPr/>
        <w:t xml:space="preserve"> </w:t>
      </w:r>
      <w:r>
        <w:rPr>
          <w:rFonts w:ascii="Times New Roman;serif" w:hAnsi="Times New Roman;serif"/>
          <w:b w:val="false"/>
          <w:sz w:val="24"/>
        </w:rPr>
        <w:t>means this MannKind Corporation 2004 Employee Stock Purchase Plan.</w:t>
      </w:r>
    </w:p>
    <w:p>
      <w:pPr>
        <w:pStyle w:val="TextBody"/>
        <w:bidi w:val="0"/>
        <w:spacing w:before="0" w:after="240"/>
        <w:jc w:val="both"/>
        <w:rPr>
          <w:rFonts w:ascii="Times New Roman" w:hAnsi="Times New Roman"/>
          <w:b/>
          <w:sz w:val="24"/>
        </w:rPr>
      </w:pPr>
      <w:r>
        <w:rPr>
          <w:rFonts w:ascii="Times New Roman" w:hAnsi="Times New Roman"/>
          <w:b/>
          <w:sz w:val="24"/>
        </w:rPr>
        <w:t>(s)</w:t>
      </w:r>
    </w:p>
    <w:p>
      <w:pPr>
        <w:pStyle w:val="TextBody"/>
        <w:bidi w:val="0"/>
        <w:spacing w:before="0" w:after="240"/>
        <w:jc w:val="both"/>
        <w:rPr/>
      </w:pPr>
      <w:r>
        <w:rPr/>
        <w:t>“</w:t>
      </w:r>
      <w:r>
        <w:rPr>
          <w:rFonts w:ascii="Times New Roman;serif" w:hAnsi="Times New Roman;serif"/>
          <w:b/>
          <w:i/>
          <w:sz w:val="24"/>
        </w:rPr>
        <w:t>Purchase Date”</w:t>
      </w:r>
      <w:r>
        <w:rPr/>
        <w:t xml:space="preserve"> </w:t>
      </w:r>
      <w:r>
        <w:rPr>
          <w:rFonts w:ascii="Times New Roman;serif" w:hAnsi="Times New Roman;serif"/>
          <w:b w:val="false"/>
          <w:sz w:val="24"/>
        </w:rPr>
        <w:t>means one or more dates during an Offering established by the Board on which Purchase Rights shall be exercised and as of which purchases of shares of Common Stock shall be carried out in accordance with such Offering.</w:t>
      </w:r>
    </w:p>
    <w:p>
      <w:pPr>
        <w:pStyle w:val="TextBody"/>
        <w:bidi w:val="0"/>
        <w:spacing w:before="0" w:after="240"/>
        <w:jc w:val="both"/>
        <w:rPr>
          <w:rFonts w:ascii="Times New Roman" w:hAnsi="Times New Roman"/>
          <w:b/>
          <w:sz w:val="24"/>
        </w:rPr>
      </w:pPr>
      <w:r>
        <w:rPr>
          <w:rFonts w:ascii="Times New Roman" w:hAnsi="Times New Roman"/>
          <w:b/>
          <w:sz w:val="24"/>
        </w:rPr>
        <w:t>(t)</w:t>
      </w:r>
    </w:p>
    <w:p>
      <w:pPr>
        <w:pStyle w:val="TextBody"/>
        <w:bidi w:val="0"/>
        <w:spacing w:before="0" w:after="240"/>
        <w:jc w:val="both"/>
        <w:rPr/>
      </w:pPr>
      <w:r>
        <w:rPr/>
        <w:t>“</w:t>
      </w:r>
      <w:r>
        <w:rPr>
          <w:rFonts w:ascii="Times New Roman;serif" w:hAnsi="Times New Roman;serif"/>
          <w:b/>
          <w:i/>
          <w:sz w:val="24"/>
        </w:rPr>
        <w:t>Purchase Period”</w:t>
      </w:r>
      <w:r>
        <w:rPr/>
        <w:t xml:space="preserve"> </w:t>
      </w:r>
      <w:r>
        <w:rPr>
          <w:rFonts w:ascii="Times New Roman;serif" w:hAnsi="Times New Roman;serif"/>
          <w:b w:val="false"/>
          <w:sz w:val="24"/>
        </w:rPr>
        <w:t>means a period of time specified within an Offering beginning on the Offering Date or on the next day following a Purchase Date within an Offering and ending on a Purchase Date. An Offering may consist of one or more Purchase Periods.</w:t>
      </w:r>
    </w:p>
    <w:p>
      <w:pPr>
        <w:pStyle w:val="TextBody"/>
        <w:bidi w:val="0"/>
        <w:spacing w:before="0" w:after="240"/>
        <w:jc w:val="both"/>
        <w:rPr>
          <w:rFonts w:ascii="Times New Roman" w:hAnsi="Times New Roman"/>
          <w:b/>
          <w:sz w:val="24"/>
        </w:rPr>
      </w:pPr>
      <w:r>
        <w:rPr>
          <w:rFonts w:ascii="Times New Roman" w:hAnsi="Times New Roman"/>
          <w:b/>
          <w:sz w:val="24"/>
        </w:rPr>
        <w:t>(u)</w:t>
      </w:r>
    </w:p>
    <w:p>
      <w:pPr>
        <w:pStyle w:val="TextBody"/>
        <w:bidi w:val="0"/>
        <w:spacing w:before="0" w:after="240"/>
        <w:jc w:val="both"/>
        <w:rPr/>
      </w:pPr>
      <w:r>
        <w:rPr/>
        <w:t>“</w:t>
      </w:r>
      <w:r>
        <w:rPr>
          <w:rFonts w:ascii="Times New Roman;serif" w:hAnsi="Times New Roman;serif"/>
          <w:b/>
          <w:i/>
          <w:sz w:val="24"/>
        </w:rPr>
        <w:t>Purchase Right”</w:t>
      </w:r>
      <w:r>
        <w:rPr/>
        <w:t xml:space="preserve"> </w:t>
      </w:r>
      <w:r>
        <w:rPr>
          <w:rFonts w:ascii="Times New Roman;serif" w:hAnsi="Times New Roman;serif"/>
          <w:b w:val="false"/>
          <w:sz w:val="24"/>
        </w:rPr>
        <w:t>means an option to purchase shares of Common Stock granted pursuant to the Plan.</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pPr>
      <w:r>
        <w:rPr/>
        <w:t>“</w:t>
      </w:r>
      <w:r>
        <w:rPr>
          <w:rFonts w:ascii="Times New Roman;serif" w:hAnsi="Times New Roman;serif"/>
          <w:b/>
          <w:i/>
          <w:sz w:val="24"/>
        </w:rPr>
        <w:t>Related Corporation”</w:t>
      </w:r>
      <w:r>
        <w:rPr/>
        <w:t xml:space="preserve"> </w:t>
      </w:r>
      <w:r>
        <w:rPr>
          <w:rFonts w:ascii="Times New Roman;serif" w:hAnsi="Times New Roman;serif"/>
          <w:b w:val="false"/>
          <w:sz w:val="24"/>
        </w:rPr>
        <w:t>means any parent corporation or subsidiary corporation, whether now or hereafter existing, as those terms are defined in Sections 424(e) and (f), respectively, of the Code.</w:t>
      </w:r>
    </w:p>
    <w:p>
      <w:pPr>
        <w:pStyle w:val="TextBody"/>
        <w:bidi w:val="0"/>
        <w:spacing w:before="0" w:after="240"/>
        <w:jc w:val="both"/>
        <w:rPr>
          <w:rFonts w:ascii="Times New Roman" w:hAnsi="Times New Roman"/>
          <w:b/>
          <w:sz w:val="24"/>
        </w:rPr>
      </w:pPr>
      <w:r>
        <w:rPr>
          <w:rFonts w:ascii="Times New Roman" w:hAnsi="Times New Roman"/>
          <w:b/>
          <w:sz w:val="24"/>
        </w:rPr>
        <w:t>(w)</w:t>
      </w:r>
    </w:p>
    <w:p>
      <w:pPr>
        <w:pStyle w:val="TextBody"/>
        <w:bidi w:val="0"/>
        <w:spacing w:before="0" w:after="240"/>
        <w:jc w:val="both"/>
        <w:rPr/>
      </w:pPr>
      <w:r>
        <w:rPr/>
        <w:t>“</w:t>
      </w:r>
      <w:r>
        <w:rPr>
          <w:rFonts w:ascii="Times New Roman;serif" w:hAnsi="Times New Roman;serif"/>
          <w:b/>
          <w:i/>
          <w:sz w:val="24"/>
        </w:rPr>
        <w:t>Securities Act”</w:t>
      </w:r>
      <w:r>
        <w:rPr/>
        <w:t xml:space="preserve"> </w:t>
      </w:r>
      <w:r>
        <w:rPr>
          <w:rFonts w:ascii="Times New Roman;serif" w:hAnsi="Times New Roman;serif"/>
          <w:b w:val="false"/>
          <w:sz w:val="24"/>
        </w:rPr>
        <w:t>means the Securities Act of 1933, as amended.</w:t>
      </w:r>
    </w:p>
    <w:p>
      <w:pPr>
        <w:pStyle w:val="TextBody"/>
        <w:bidi w:val="0"/>
        <w:spacing w:before="0" w:after="240"/>
        <w:jc w:val="both"/>
        <w:rPr>
          <w:rFonts w:ascii="Times New Roman" w:hAnsi="Times New Roman"/>
          <w:b/>
          <w:sz w:val="24"/>
        </w:rPr>
      </w:pPr>
      <w:r>
        <w:rPr>
          <w:rFonts w:ascii="Times New Roman" w:hAnsi="Times New Roman"/>
          <w:b/>
          <w:sz w:val="24"/>
        </w:rPr>
        <w:t>(x)</w:t>
      </w:r>
    </w:p>
    <w:p>
      <w:pPr>
        <w:pStyle w:val="TextBody"/>
        <w:bidi w:val="0"/>
        <w:spacing w:before="0" w:after="240"/>
        <w:jc w:val="both"/>
        <w:rPr/>
      </w:pPr>
      <w:r>
        <w:rPr/>
        <w:t>“</w:t>
      </w:r>
      <w:r>
        <w:rPr>
          <w:rFonts w:ascii="Times New Roman;serif" w:hAnsi="Times New Roman;serif"/>
          <w:b/>
          <w:i/>
          <w:sz w:val="24"/>
        </w:rPr>
        <w:t>Trading Day</w:t>
      </w:r>
      <w:r>
        <w:rPr/>
        <w:t xml:space="preserve">” </w:t>
      </w:r>
      <w:r>
        <w:rPr>
          <w:rFonts w:ascii="Times New Roman;serif" w:hAnsi="Times New Roman;serif"/>
          <w:b w:val="false"/>
          <w:sz w:val="24"/>
        </w:rPr>
        <w:t>means any day on which the exchange(s) or market(s) on which shares of Common Stock are listed, whether it be an established stock exchange, the Nasdaq National Market, the Nasdaq SmallCap Market or otherwise, is open for trading.</w:t>
      </w:r>
    </w:p>
    <w:p>
      <w:pPr>
        <w:pStyle w:val="TextBody"/>
        <w:bidi w:val="0"/>
        <w:spacing w:before="0" w:after="240"/>
        <w:jc w:val="both"/>
        <w:rPr>
          <w:rFonts w:ascii="Times New Roman" w:hAnsi="Times New Roman"/>
          <w:b/>
          <w:smallCaps/>
          <w:sz w:val="24"/>
        </w:rPr>
      </w:pPr>
      <w:r>
        <w:rPr>
          <w:rFonts w:ascii="Times New Roman" w:hAnsi="Times New Roman"/>
          <w:b/>
          <w:smallCaps/>
          <w:sz w:val="24"/>
        </w:rPr>
        <w:t>3.</w:t>
      </w:r>
    </w:p>
    <w:p>
      <w:pPr>
        <w:pStyle w:val="TextBody"/>
        <w:bidi w:val="0"/>
        <w:spacing w:before="0" w:after="240"/>
        <w:jc w:val="both"/>
        <w:rPr/>
      </w:pPr>
      <w:r>
        <w:rPr>
          <w:rFonts w:ascii="Times New Roman;serif" w:hAnsi="Times New Roman;serif"/>
          <w:b/>
          <w:smallCaps/>
          <w:sz w:val="24"/>
        </w:rPr>
        <w:t>Administration</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shall administer the Plan unless and until the Board delegates administration to a Committee, as provided in Section 3(c). Whether or not the Board has delegated administration, the Board shall have the final power to determine all questions of policy and expediency that may arise in the administration of the Plan.</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(or the Committee) shall have the power, subject to, and within the limitations of, the express provisions of the Plan:</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determine when and how Purchase Rights to purchase shares of Common Stock shall be granted and the provisions of each Offering of such Purchase Rights (which need not be identical).</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designate from time to time which Related Corporations of the Company shall be eligible to participate in the Plan.</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To construe and interpret the Plan and Purchase Rights, and to establish, amend and revoke rules and regulations for the administration of the Plan. The Board, in the exercise of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power, may correct any defect, omission or inconsistency in the Plan, in a manner and to the extent it shall deem necessary or expedient to make the Plan fully effective.</w:t>
      </w:r>
    </w:p>
    <w:p>
      <w:pPr>
        <w:pStyle w:val="TextBody"/>
        <w:bidi w:val="0"/>
        <w:spacing w:before="0" w:after="240"/>
        <w:jc w:val="both"/>
        <w:rPr>
          <w:rFonts w:ascii="Times New Roman" w:hAnsi="Times New Roman"/>
          <w:b/>
          <w:sz w:val="24"/>
        </w:rPr>
      </w:pPr>
      <w:r>
        <w:rPr>
          <w:rFonts w:ascii="Times New Roman" w:hAnsi="Times New Roman"/>
          <w:b/>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amend the Plan as provided in Section 15.</w:t>
      </w:r>
    </w:p>
    <w:p>
      <w:pPr>
        <w:pStyle w:val="TextBody"/>
        <w:bidi w:val="0"/>
        <w:spacing w:before="0" w:after="240"/>
        <w:jc w:val="both"/>
        <w:rPr>
          <w:rFonts w:ascii="Times New Roman" w:hAnsi="Times New Roman"/>
          <w:b/>
          <w:sz w:val="24"/>
        </w:rPr>
      </w:pPr>
      <w:r>
        <w:rPr>
          <w:rFonts w:ascii="Times New Roman" w:hAnsi="Times New Roman"/>
          <w:b/>
          <w:sz w:val="24"/>
        </w:rPr>
        <w:t>(v)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pStyle w:val="TextBody"/>
        <w:bidi w:val="0"/>
        <w:spacing w:before="0" w:after="240"/>
        <w:jc w:val="both"/>
        <w:rPr>
          <w:rFonts w:ascii="Times New Roman" w:hAnsi="Times New Roman"/>
          <w:b/>
          <w:sz w:val="24"/>
        </w:rPr>
      </w:pPr>
      <w:r>
        <w:rPr>
          <w:rFonts w:ascii="Times New Roman" w:hAnsi="Times New Roman"/>
          <w:b/>
          <w:sz w:val="24"/>
        </w:rPr>
        <w:t>(vi)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To adopt such procedures and sub-plans as are necessary or appropriate to permit participation in the Plan by Employees who are foreign nationals or employed outside the United States.</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may delegate administration of the Plan to a Committee of the Board composed of one (1) or more members of the Board. If administration is delegated to a Committee, the Committee shall have, in connection with the administration of the Plan, the powers theretofore possessed by the Board, subject, however, to such resolutions, not inconsistent with the provisions of the Plan, as may be adopted from time to time by the Board. The Board may abolish the Committee at any time and revest in the Board the administration of the Plan. If administration is delegated to a Committee, references to the Board in this Plan and in the Offering document shall thereafter be deemed to be to the Board or the Committee, as the case may be.</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All determinations, interpretations and constructions made by the Board in good faith shall not be subject to review by any person and shall be final, binding and conclusive on all persons.</w:t>
      </w:r>
    </w:p>
    <w:p>
      <w:pPr>
        <w:pStyle w:val="TextBody"/>
        <w:bidi w:val="0"/>
        <w:spacing w:before="0" w:after="240"/>
        <w:jc w:val="both"/>
        <w:rPr>
          <w:rFonts w:ascii="Times New Roman" w:hAnsi="Times New Roman"/>
          <w:b/>
          <w:smallCaps/>
          <w:sz w:val="24"/>
        </w:rPr>
      </w:pPr>
      <w:r>
        <w:rPr>
          <w:rFonts w:ascii="Times New Roman" w:hAnsi="Times New Roman"/>
          <w:b/>
          <w:smallCaps/>
          <w:sz w:val="24"/>
        </w:rPr>
        <w:t>4.</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Shares of Common Stock Subject to the Plan.</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Subject to the provisions of Section 14(a) relating to adjustments upon changes in Common Stock, the stock that may be sold pursuant to Purchase Rights granted under the Plan shall not exceed in the aggregate seven million six hundred eighty-six thousand one hundred forty (7,686,140) shares of Common Stock.</w:t>
      </w:r>
    </w:p>
    <w:p>
      <w:pPr>
        <w:pStyle w:val="TextBody"/>
        <w:bidi w:val="0"/>
        <w:spacing w:before="0" w:after="240"/>
        <w:jc w:val="both"/>
        <w:rPr>
          <w:rFonts w:ascii="Times New Roman" w:hAnsi="Times New Roman"/>
          <w:b/>
          <w:smallCaps/>
          <w:sz w:val="24"/>
        </w:rPr>
      </w:pPr>
      <w:r>
        <w:rPr>
          <w:rFonts w:ascii="Times New Roman" w:hAnsi="Times New Roman"/>
          <w:b/>
          <w:smallCaps/>
          <w:sz w:val="24"/>
        </w:rPr>
        <w:t>5.</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Grant of Purchase Rights; Offering.</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may from time to time grant or provide for the grant of Purchase Rights to purchase shares of Common Stock under the Plan to Eligible Employees in an Offering (consisting of one or more Purchase Periods) on an Offering Date or Offering Dates selected by the Board. Each Offering shall be in such form and shall contain such terms and conditions as the Board shall deem appropriate, which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6 through 9, inclusive.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a Participant has more than one Purchase Right outstanding under the Plan, unless he or she otherwise indicates in agreements or notices delivered hereunder: (i) each agreement or notice delivered 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pStyle w:val="TextBody"/>
        <w:bidi w:val="0"/>
        <w:spacing w:before="0" w:after="240"/>
        <w:jc w:val="both"/>
        <w:rPr>
          <w:rFonts w:ascii="Times New Roman" w:hAnsi="Times New Roman"/>
          <w:b/>
          <w:smallCaps/>
          <w:sz w:val="24"/>
        </w:rPr>
      </w:pPr>
      <w:r>
        <w:rPr>
          <w:rFonts w:ascii="Times New Roman" w:hAnsi="Times New Roman"/>
          <w:b/>
          <w:smallCaps/>
          <w:sz w:val="24"/>
        </w:rPr>
        <w:t>6.</w:t>
      </w:r>
    </w:p>
    <w:p>
      <w:pPr>
        <w:pStyle w:val="TextBody"/>
        <w:bidi w:val="0"/>
        <w:spacing w:before="0" w:after="240"/>
        <w:jc w:val="both"/>
        <w:rPr/>
      </w:pPr>
      <w:r>
        <w:rPr>
          <w:rFonts w:ascii="Times New Roman;serif" w:hAnsi="Times New Roman;serif"/>
          <w:b/>
          <w:smallCaps/>
          <w:sz w:val="24"/>
        </w:rPr>
        <w:t>Eligibility</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Purchase Rights may be granted only to Employees of the Company or, as the Board may designate as provided in Section 3(b), to Employees of a Related Corporation. Except as provided in Section 6(b), an Employee shall not be eligible to be granted Purchase Rights under the Plan unless, on the Offering Date, such Employee has been in the employ of the Company or the Related Corporation,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is more than twenty (20) hours per week and/or more than five (5) months per calendar year.</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date on which such Purchase Right is granted shall be the “Offering Date” of such Purchase Right for all purposes, including determination of the exercise price of such Purchase Right;</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period of the Offering with respect to such Purchase Right shall begin on its Offering Date and end coincident with the end of such Offering; and</w:t>
      </w:r>
    </w:p>
    <w:p>
      <w:pPr>
        <w:pStyle w:val="TextBody"/>
        <w:bidi w:val="0"/>
        <w:spacing w:before="0" w:after="240"/>
        <w:jc w:val="both"/>
        <w:rPr>
          <w:rFonts w:ascii="Times New Roman" w:hAnsi="Times New Roman"/>
          <w:b/>
          <w:sz w:val="24"/>
        </w:rPr>
      </w:pPr>
      <w:r>
        <w:rPr>
          <w:rFonts w:ascii="Times New Roman" w:hAnsi="Times New Roman"/>
          <w:b/>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may provide that if such person first becomes an Eligible Employee within a specified period of time before the end of the Offering, he or she shall not receive any Purchase Right under that Offering.</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Employee shall be eligible for the grant of any Purchase Rights under the Plan if, immediately after any such Purchase Rights are granted, such Employee owns stock possessing five percent (5%) or more of the total combined voting power or value of all classes of stock of the Company or of any Related Corporation. For purposes of this Section 6(c), the rules of Section 424(d) of the Code shall apply in determining the stock ownership of any Employee, and stock which such Employee may purchase under all outstanding Purchase Rights and options shall be treated as stock owned by such Employee.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twenty five thousand dollars ($25,000) of Fair Market Value of such stock (determined at the time such rights are granted, and which, with respect to the Plan, shall be determined as of their respective Offering Dates) for each calendar year in which such rights are outstanding at any time.</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Officers of the Company and any designated Related Corporation,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pStyle w:val="TextBody"/>
        <w:bidi w:val="0"/>
        <w:spacing w:before="0" w:after="240"/>
        <w:jc w:val="both"/>
        <w:rPr>
          <w:rFonts w:ascii="Times New Roman" w:hAnsi="Times New Roman"/>
          <w:b/>
          <w:smallCaps/>
          <w:sz w:val="24"/>
        </w:rPr>
      </w:pPr>
      <w:r>
        <w:rPr>
          <w:rFonts w:ascii="Times New Roman" w:hAnsi="Times New Roman"/>
          <w:b/>
          <w:smallCaps/>
          <w:sz w:val="24"/>
        </w:rPr>
        <w:t>7.</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Purchase Rights; Purchase Price.</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On each Offering Date, each Eligible Employee, pursuant to an Offering made under the Plan, shall be granted a Purchase Right to purchase up to that number of shares of Common Stock purchasable either with a percentage or with a maximum dollar amount, as designated by the Board, but in either case not exceeding twenty percent (20%),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shall establish one (1) or more Purchase Dates during an Offering as of which Purchase Rights granted pursuant to that Offering shall be exercised and purchases of shares of Common Stock shall be carried out in accordance with such Offering.</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connection with each Offering made under the Plan, the Board may specify a maximum number of shares of Common Stock that may be purchased by any Participant on any Purchase Date during such Offering. In connection with each Offering made under the Plan, the Board may specify a maximum aggregate number of shares of Common Stock that may be purchased by all Participants pursuant to such Offering. In addition, in connection with each Offering that contains more than one Purchase Date, the Board may specify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allocation of the shares of Common Stock available shall be made in as nearly a uniform manner as shall be practicable and equitable.</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purchase price of shares of Common Stock acquired pursuant to Purchase Rights shall be not less than the lesser of:</w:t>
      </w:r>
    </w:p>
    <w:p>
      <w:pPr>
        <w:pStyle w:val="TextBody"/>
        <w:bidi w:val="0"/>
        <w:spacing w:before="0" w:after="240"/>
        <w:jc w:val="both"/>
        <w:rPr>
          <w:rFonts w:ascii="Times New Roman" w:hAnsi="Times New Roman"/>
          <w:b/>
          <w:sz w:val="24"/>
        </w:rPr>
      </w:pPr>
      <w:r>
        <w:rPr>
          <w:rFonts w:ascii="Times New Roman" w:hAnsi="Times New Roman"/>
          <w:b/>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 amount equal to eighty-five percent (85%) of the Fair Market Value of the shares of Common Stock on the Offering Date; or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 amount equal to eighty-five percent (85%) of the Fair Market Value of the shares of Common Stock on the applicable Purchase Date.</w:t>
      </w:r>
    </w:p>
    <w:p>
      <w:pPr>
        <w:pStyle w:val="TextBody"/>
        <w:bidi w:val="0"/>
        <w:spacing w:before="0" w:after="240"/>
        <w:jc w:val="both"/>
        <w:rPr>
          <w:rFonts w:ascii="Times New Roman" w:hAnsi="Times New Roman"/>
          <w:b/>
          <w:smallCaps/>
          <w:sz w:val="24"/>
        </w:rPr>
      </w:pPr>
      <w:r>
        <w:rPr>
          <w:rFonts w:ascii="Times New Roman" w:hAnsi="Times New Roman"/>
          <w:b/>
          <w:smallCaps/>
          <w:sz w:val="24"/>
        </w:rPr>
        <w:t>8.</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Participation; Withdrawal; Termination.</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Participant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remain the property of the Participant at all times prior to the purchase of Common Stock, but such Contributions may be commingled with the assets of the Company and used for general corporate purposes except where applicable law requires that Contributions be deposited with an independent third party. To the extent provided in the Offering, a Participant may begin making Contributions after the beginning of the Offering. To the extent provided in the Offering, a Participant may thereafter reduce (including to zero) or increase his or her Contributions. To the extent specifically provided in the Offering, in addition to making Contributions by payroll deductions, a Participant may make Contributions through the payment by cash or check prior to each Purchase Date of the Offering.</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shares of Common Stock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Purchase Rights granted pursuant to any Offering under the Plan shall terminate immediately upon a Participant ceasing to be an Employee for any reason or for no reason (subject to any post-employment participation period required by law) or other lack of eligibility. The Company shall distribute to such terminated or otherwise ineligible Employee all of his or her accumulated Contributions (reduced to the extent, if any, such Contributions have been used to acquire shares of Common Stock for the terminated or otherwise ineligible Employee) under the Offering.</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Purchase Rights shall not be transferable by a Participant otherwise than by will, the laws of descent and distribution, or a beneficiary designation as provided in Section 13. During a Participant’s lifetime, Purchase Rights shall be exercisable only by such Participant.</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Unless otherwise specified in an Offering, the Company shall have no obligation to pay interest on Contributions.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mallCaps/>
          <w:sz w:val="24"/>
        </w:rPr>
      </w:pPr>
      <w:r>
        <w:rPr>
          <w:rFonts w:ascii="Times New Roman" w:hAnsi="Times New Roman"/>
          <w:b/>
          <w:smallCaps/>
          <w:sz w:val="24"/>
        </w:rPr>
        <w:t>9.</w:t>
      </w:r>
    </w:p>
    <w:p>
      <w:pPr>
        <w:pStyle w:val="TextBody"/>
        <w:bidi w:val="0"/>
        <w:spacing w:before="0" w:after="240"/>
        <w:jc w:val="both"/>
        <w:rPr/>
      </w:pPr>
      <w:r>
        <w:rPr>
          <w:rFonts w:ascii="Times New Roman;serif" w:hAnsi="Times New Roman;serif"/>
          <w:b/>
          <w:smallCaps/>
          <w:sz w:val="24"/>
        </w:rPr>
        <w:t>Exercise</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On each Purchase Date during an Offering, each Participant’s accumulated Contributions shall be applied to the purchase of shares of Common Stock up to the maximum number of shares of Common Stock permitted pursuant to the terms of the Plan and the applicable Offering, at the purchase price specified in the Offering. No fractional shares shall be issued upon the exercise of Purchase Rights unless specifically provided for in the Offering.</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shall be held in such Participant’s account for the purchase of shares of Common Stock under the next Offering under the Plan, unless such Participant withdraws from such next Offering, as provided in Section 8(b), or is not eligible to participate in such Offering, as provided in Section 6, in which case such amount shall be distributed to such Participant after the final Purchase Date, without interest. If the amount of Contributions remaining in a Participant’s account after the purchase of shares of Common Stock is at least equal to the amount required to purchase one (1) whole share of Common Stock on the final Purchase Date of the Offering, then such remaining amount shall be distributed in full to such Participant at the end of the Offering.</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 Purchase Rights may be exercised to any extent unless the shares of Common Stock to be issued upon such exercise under the Plan are covered by an effective registration statement pursuant to the Securities Act and the Plan is in material compliance with all laws applicable to the Plan. If on a Purchase Date during any Offering hereunder the shares of Common Stock are not so registered or the Plan is not in such compliance, no Purchase Rights or any Offering shall be exercised on such Purchase Date, and the Purchase Date shall be delayed until the shares of Common Stock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shares of Common Stock are not registered and the Plan is not in such compliance, no Purchase Rights or any Offering shall be exercised and all Contributions accumulated during the Offering (reduced to the extent, if any, such Contributions have been used to acquire shares of Common Stock) shall be distributed to the Participants.</w:t>
      </w:r>
    </w:p>
    <w:p>
      <w:pPr>
        <w:pStyle w:val="TextBody"/>
        <w:bidi w:val="0"/>
        <w:spacing w:before="0" w:after="240"/>
        <w:jc w:val="both"/>
        <w:rPr>
          <w:rFonts w:ascii="Times New Roman" w:hAnsi="Times New Roman"/>
          <w:b/>
          <w:smallCaps/>
          <w:sz w:val="24"/>
        </w:rPr>
      </w:pPr>
      <w:r>
        <w:rPr>
          <w:rFonts w:ascii="Times New Roman" w:hAnsi="Times New Roman"/>
          <w:b/>
          <w:smallCaps/>
          <w:sz w:val="24"/>
        </w:rPr>
        <w:t>10.</w:t>
      </w:r>
    </w:p>
    <w:p>
      <w:pPr>
        <w:pStyle w:val="TextBody"/>
        <w:bidi w:val="0"/>
        <w:spacing w:before="0" w:after="240"/>
        <w:jc w:val="both"/>
        <w:rPr/>
      </w:pPr>
      <w:r>
        <w:rPr>
          <w:rFonts w:ascii="Times New Roman;serif" w:hAnsi="Times New Roman;serif"/>
          <w:b/>
          <w:smallCaps/>
          <w:sz w:val="24"/>
        </w:rPr>
        <w:t>Covenants of the Company</w:t>
      </w:r>
      <w:r>
        <w:rPr>
          <w:rFonts w:ascii="Times New Roman;serif" w:hAnsi="Times New Roman;serif"/>
          <w:b w:val="false"/>
          <w:sz w:val="24"/>
        </w:rPr>
        <w: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shall seek to obtain from each federal, state, foreign or other regulatory commission or agency having jurisdiction over the Plan such authority as may be required to issue and sell shares of Common Stock upon exercise of the Purchase Rights. If, after commercially reasonable efforts, the Company is unable to obtain from any such regulatory commission or agency the authority that counsel for the Company deems necessary for the lawful issuance and sale of shares of Common Stock under the Plan, the Company shall be relieved from any liability for failure to issue and sell shares of Common Stock upon exercise of such Purchase Rights unless and until such authority is obtained.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mallCaps/>
          <w:sz w:val="24"/>
        </w:rPr>
      </w:pPr>
      <w:r>
        <w:rPr>
          <w:rFonts w:ascii="Times New Roman" w:hAnsi="Times New Roman"/>
          <w:b/>
          <w:smallCaps/>
          <w:sz w:val="24"/>
        </w:rPr>
        <w:t>11.</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Use of Proceeds From Shares of Common Stock.</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Proceeds from the sale of shares of Common Stock pursuant to Purchase Rights shall constitute general funds of the Company.</w:t>
      </w:r>
    </w:p>
    <w:p>
      <w:pPr>
        <w:pStyle w:val="TextBody"/>
        <w:bidi w:val="0"/>
        <w:spacing w:before="0" w:after="240"/>
        <w:jc w:val="both"/>
        <w:rPr>
          <w:rFonts w:ascii="Times New Roman" w:hAnsi="Times New Roman"/>
          <w:b/>
          <w:smallCaps/>
          <w:sz w:val="24"/>
        </w:rPr>
      </w:pPr>
      <w:r>
        <w:rPr>
          <w:rFonts w:ascii="Times New Roman" w:hAnsi="Times New Roman"/>
          <w:b/>
          <w:smallCaps/>
          <w:sz w:val="24"/>
        </w:rPr>
        <w:t>12.</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Rights as a Stockholder.</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Participant shall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pStyle w:val="TextBody"/>
        <w:bidi w:val="0"/>
        <w:spacing w:before="0" w:after="240"/>
        <w:jc w:val="both"/>
        <w:rPr>
          <w:rFonts w:ascii="Times New Roman" w:hAnsi="Times New Roman"/>
          <w:b/>
          <w:smallCaps/>
          <w:sz w:val="24"/>
        </w:rPr>
      </w:pPr>
      <w:r>
        <w:rPr>
          <w:rFonts w:ascii="Times New Roman" w:hAnsi="Times New Roman"/>
          <w:b/>
          <w:smallCaps/>
          <w:sz w:val="24"/>
        </w:rPr>
        <w:t>13.</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Designation of Beneficiary.</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Participant may file a written designation of a beneficiary who is to receive any shares of Common Stock and/or cash, if any, from the Participant’s account under the Plan in the event of such Participant’s death subsequent to the end of an Offering but prior to delivery to the Participant of such shares of Common Stock or cash. In addition, a 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sole discretion, may deliver such shares of Common Stock and/or cash to the spouse or to any one or more dependents or relatives of the Participant, or if no spouse, dependent or relative is known to the Company, then to such other person as the Company may designate.</w:t>
      </w:r>
    </w:p>
    <w:p>
      <w:pPr>
        <w:pStyle w:val="TextBody"/>
        <w:bidi w:val="0"/>
        <w:spacing w:before="0" w:after="240"/>
        <w:jc w:val="both"/>
        <w:rPr>
          <w:rFonts w:ascii="Times New Roman" w:hAnsi="Times New Roman"/>
          <w:b/>
          <w:smallCaps/>
          <w:sz w:val="24"/>
        </w:rPr>
      </w:pPr>
      <w:r>
        <w:rPr>
          <w:rFonts w:ascii="Times New Roman" w:hAnsi="Times New Roman"/>
          <w:b/>
          <w:smallCaps/>
          <w:sz w:val="24"/>
        </w:rPr>
        <w:t>14.</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Adjustments Upon Changes in Securities; Corporate Transactions.</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If any change is made in the shares of Common Stock, subject to the Plan, or subject to any Purchase Right,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shall be appropriately adjusted in the type(s), class(es) and maximum number of shares of Common Stock subject to the Plan pursuant to Section 4(a), and the outstanding Purchase Rights shall be appropriately adjusted in the type(s), class(es), number of shares and purchase limits of such outstanding Purchase Rights. The Board shall make such adjustments, and its determination shall be final, binding and conclusive. (Notwithstanding the foregoing, the conversion of any convertible securities of the Company shall not be treated as a “transaction not involving the receipt of consideration by the Company.”)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the event of a Corporate Transaction, then: (i) any surviving or acquiring corporation may continue or assume Purchase Rights outstanding under the Plan or may substitute similar rights (including a right to acquire the same consideration paid to stockholders in the Corporate Transaction) for those outstanding under the Plan, or (ii) if any surviving or acquiring corporation does not continue or assume such Purchase Rights or does not substitute similar rights for Purchase Rights outstanding under the Plan, then, the Participants’ accumulated Contributions shall be used to purchase shares of Common Stock within ten (10) business days prior to the Corporate Transaction under the ongoing Offering, and the Participants’ Purchase Rights under the ongoing Offering shall terminate immediately after such purchase.</w:t>
      </w:r>
    </w:p>
    <w:p>
      <w:pPr>
        <w:pStyle w:val="TextBody"/>
        <w:bidi w:val="0"/>
        <w:spacing w:before="0" w:after="240"/>
        <w:jc w:val="both"/>
        <w:rPr>
          <w:rFonts w:ascii="Times New Roman" w:hAnsi="Times New Roman"/>
          <w:b/>
          <w:smallCaps/>
          <w:sz w:val="24"/>
        </w:rPr>
      </w:pPr>
      <w:r>
        <w:rPr>
          <w:rFonts w:ascii="Times New Roman" w:hAnsi="Times New Roman"/>
          <w:b/>
          <w:smallCaps/>
          <w:sz w:val="24"/>
        </w:rPr>
        <w:t>15.</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Amendment of the Plan.</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at any time, and from time to time, may amend the Plan. However, except as provided in Section 14 relating to adjustments upon changes in securities and except as to amendments solely to benefit the administration of the Plan, to take account of a change in legislation or to obtain or maintain favorable tax, exchange control or regulatory treatment for Participants or the Company or any Related Corporation, no amendment shall be effective unless approved by the stockholders of the Company to the extent stockholder approval is necessary for the Plan to satisfy the requirements of Section 423 of the Code or other applicable laws or regulations.</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It is expressly contemplated that the Board may amend the Plan in any respect the Board deems necessary or advisable to provide Employees with the maximum benefits provided or to be provided under the provisions of the Code and the regulations promulgated thereunder relating to Employee Stock Purchase Plans or to bring the Plan and/or Purchase Rights into compliance therewith.</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rights and obligations under any Purchase Rights granted before amendment of the Plan shall not be impaired by any amendment of the Plan except: (i) with the consent of the person to whom such Purchase Rights were granted, or (ii) as necessary to comply with any laws or governmental regulations (including, without limitation, the provisions of the Code and the regulations promulgated thereunder relating to Employee Stock Purchase Plans).</w:t>
      </w:r>
    </w:p>
    <w:p>
      <w:pPr>
        <w:pStyle w:val="TextBody"/>
        <w:bidi w:val="0"/>
        <w:spacing w:before="0" w:after="240"/>
        <w:jc w:val="both"/>
        <w:rPr>
          <w:rFonts w:ascii="Times New Roman" w:hAnsi="Times New Roman"/>
          <w:b/>
          <w:smallCaps/>
          <w:sz w:val="24"/>
        </w:rPr>
      </w:pPr>
      <w:r>
        <w:rPr>
          <w:rFonts w:ascii="Times New Roman" w:hAnsi="Times New Roman"/>
          <w:b/>
          <w:smallCaps/>
          <w:sz w:val="24"/>
        </w:rPr>
        <w:t>16.</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Termination or Suspension of the Plan.</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in its discretion may suspend or terminate the Plan at any time. Unless sooner terminated, the Plan shall terminate at the time that all of the shares of Common Stock reserved for issuance under the Plan, as increased and/or adjusted from time to time, have been issued under the terms of the Plan. No Purchase Rights may be granted under the Plan while the Plan is suspended or after it is terminated.</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benefits, privileges, entitlements and obligations under any Purchase Rights while the Plan is in effect shall not be impaired by suspension or termination of the Plan except (i) as expressly provided in the Plan or with the consent of the person to whom such Purchase Rights were granted, (ii) as necessary to comply with any laws, regulations, or listing requirements, or (iii) as necessary to ensure that the Plan and/or Purchase Rights comply with the requirements of Section 423 of the Code.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mallCaps/>
          <w:sz w:val="24"/>
        </w:rPr>
      </w:pPr>
      <w:r>
        <w:rPr>
          <w:rFonts w:ascii="Times New Roman" w:hAnsi="Times New Roman"/>
          <w:b/>
          <w:smallCaps/>
          <w:sz w:val="24"/>
        </w:rPr>
        <w:t>17.</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Effective Date of Plan.</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Plan shall become effective as determined by the Board, but no Purchase Rights shall be exercised unless and until the Plan has been approved by the stockholders of the Company within twelve (12) months before or after the date the Plan is adopted by the Board.</w:t>
      </w:r>
    </w:p>
    <w:p>
      <w:pPr>
        <w:pStyle w:val="TextBody"/>
        <w:bidi w:val="0"/>
        <w:spacing w:before="0" w:after="240"/>
        <w:jc w:val="both"/>
        <w:rPr>
          <w:rFonts w:ascii="Times New Roman" w:hAnsi="Times New Roman"/>
          <w:b/>
          <w:smallCaps/>
          <w:sz w:val="24"/>
        </w:rPr>
      </w:pPr>
      <w:r>
        <w:rPr>
          <w:rFonts w:ascii="Times New Roman" w:hAnsi="Times New Roman"/>
          <w:b/>
          <w:smallCaps/>
          <w:sz w:val="24"/>
        </w:rPr>
        <w:t>18.</w:t>
      </w:r>
    </w:p>
    <w:p>
      <w:pPr>
        <w:pStyle w:val="TextBody"/>
        <w:bidi w:val="0"/>
        <w:spacing w:before="0" w:after="240"/>
        <w:jc w:val="both"/>
        <w:rPr>
          <w:rFonts w:ascii="Times New Roman;serif" w:hAnsi="Times New Roman;serif"/>
          <w:b/>
          <w:smallCaps/>
          <w:sz w:val="24"/>
        </w:rPr>
      </w:pPr>
      <w:r>
        <w:rPr>
          <w:rFonts w:ascii="Times New Roman;serif" w:hAnsi="Times New Roman;serif"/>
          <w:b/>
          <w:smallCaps/>
          <w:sz w:val="24"/>
        </w:rPr>
        <w:t>Miscellaneous Provisions.</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Plan and Offering do not constitute an employment contract. Nothing in the Plan or in the Offering shall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val="false"/>
          <w:sz w:val="24"/>
        </w:rPr>
        <w:t>The provisions of the Plan shall be governed by the laws of the State of California</w:t>
      </w:r>
      <w:r>
        <w:rPr/>
        <w:t xml:space="preserve"> </w:t>
      </w:r>
      <w:r>
        <w:rPr>
          <w:rFonts w:ascii="Times New Roman;serif" w:hAnsi="Times New Roman;serif"/>
          <w:b w:val="false"/>
          <w:sz w:val="24"/>
        </w:rPr>
        <w:t>without resort to that state’s conflicts of laws rules.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mnkd-ex31_1.htm"/>
      <w:bookmarkStart w:id="27" w:name="ksmnkdex31_1"/>
      <w:bookmarkEnd w:id="26"/>
      <w:bookmarkEnd w:id="27"/>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CERTIFICATION OF CHIEF EXECUTIVE OFFICER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RULE 13a-14(a) OR 15d-14(a) OF THE SECURITIES EXCHANGE ACT OF 1934, AS AMENDED</w:t>
      </w:r>
    </w:p>
    <w:p>
      <w:pPr>
        <w:pStyle w:val="TextBody"/>
        <w:bidi w:val="0"/>
        <w:spacing w:before="240" w:after="0"/>
        <w:jc w:val="left"/>
        <w:rPr>
          <w:rFonts w:ascii="Times New Roman" w:hAnsi="Times New Roman"/>
          <w:sz w:val="20"/>
        </w:rPr>
      </w:pPr>
      <w:r>
        <w:rPr>
          <w:rFonts w:ascii="Times New Roman;serif" w:hAnsi="Times New Roman;serif"/>
          <w:b w:val="false"/>
          <w:sz w:val="20"/>
        </w:rPr>
        <w:t>I, Michael E. Castagna, certify that:</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quarterly period ended June 30, 2023 of MannKind Corporation;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Michael E. Castagna</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E. Castagna</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Executive Officer and Director</w:t>
            </w:r>
            <w:r>
              <w:rPr>
                <w:rFonts w:ascii="Times New Roman" w:hAnsi="Times New Roman"/>
                <w:sz w:val="20"/>
              </w:rPr>
              <w:t xml:space="preserve"> </w:t>
            </w:r>
          </w:p>
          <w:p>
            <w:pPr>
              <w:pStyle w:val="TableContents"/>
              <w:bidi w:val="0"/>
              <w:spacing w:before="0" w:after="2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7, 2023</w:t>
      </w:r>
    </w:p>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mnkd-ex31_2.htm"/>
      <w:bookmarkStart w:id="29" w:name="ksmnkdex31_2"/>
      <w:bookmarkEnd w:id="28"/>
      <w:bookmarkEnd w:id="29"/>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CERTIFICATION OF CHIEF FINANCIAL OFFICER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RULE 13a-14(a) OR 15d-14(a) OF THE SECURITIES EXCHANGE ACT OF 1934, AS AMENDED</w:t>
      </w:r>
    </w:p>
    <w:p>
      <w:pPr>
        <w:pStyle w:val="TextBody"/>
        <w:bidi w:val="0"/>
        <w:spacing w:before="240" w:after="0"/>
        <w:jc w:val="left"/>
        <w:rPr>
          <w:rFonts w:ascii="Times New Roman" w:hAnsi="Times New Roman"/>
          <w:sz w:val="20"/>
        </w:rPr>
      </w:pPr>
      <w:r>
        <w:rPr>
          <w:rFonts w:ascii="Times New Roman;serif" w:hAnsi="Times New Roman;serif"/>
          <w:b w:val="false"/>
          <w:sz w:val="20"/>
        </w:rPr>
        <w:t>I, Steven B. Binder, certify that:</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quarterly period ended June 30, 2023 of MannKind Corporation;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pPr>
            <w:r>
              <w:rPr/>
              <w:t> </w:t>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Steven B. Binder</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Steven B. Binder</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bidi w:val="0"/>
              <w:spacing w:before="0" w:after="2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7, 2023</w:t>
      </w:r>
    </w:p>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mnkd-ex32_1.htm"/>
      <w:bookmarkStart w:id="31" w:name="ksmnkdex32_1"/>
      <w:bookmarkEnd w:id="30"/>
      <w:bookmarkEnd w:id="31"/>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CERTIFICATION OF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RULE 13a-14(b) OR 15d-14(b) OF THE SECURITIES EXCHANGE ACT OF 1934, AS AMENDED, AND SECTION 1350 OF</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CHAPTER 63 OF TITLE 18 OF THE UNITED STATES CODE (18 U.S.C. § 1350)</w:t>
      </w:r>
      <w:r>
        <w:rPr>
          <w:rFonts w:ascii="Times New Roman;serif" w:hAnsi="Times New Roman;serif"/>
          <w:b/>
          <w:sz w:val="13"/>
        </w:rPr>
        <w:t>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filing of the quarterly report of MannKind Corporation (the “Company”) on Form 10-Q for the quarterly period ended June 30, 2023,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The Report fully complies with the requirements of Section 13(a) or Section 15(d) of the Exchange Act,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Witness Whereof, the undersigned has set his hand hereto as of the 7th day of August, 2023.</w:t>
      </w:r>
      <w:r>
        <w:rPr>
          <w:rFonts w:ascii="Times New Roman" w:hAnsi="Times New Roman"/>
          <w:sz w:val="20"/>
        </w:rPr>
        <w:t xml:space="preserve"> </w:t>
      </w:r>
    </w:p>
    <w:p>
      <w:pPr>
        <w:pStyle w:val="TextBody"/>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E. Castagna</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E. Castagna</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pBdr>
          <w:bottom w:val="single" w:sz="6" w:space="1" w:color="000000"/>
        </w:pBdr>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p>
        </w:tc>
        <w:tc>
          <w:tcPr>
            <w:tcW w:w="999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2" w:name="mnkd-ex32_2.htm"/>
      <w:bookmarkStart w:id="33" w:name="ksmnkdex32_2"/>
      <w:bookmarkEnd w:id="32"/>
      <w:bookmarkEnd w:id="33"/>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CERTIFICATION OF</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RULE 13a-14(b) OR 15d-14(b) OF THE SECURITIES EXCHANGE ACT OF 1934, AS AMENDED, AND SECTION 1350 OF</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CHAPTER 63 OF TITLE 18 OF THE UNITED STATES CODE (18 U.S.C. § 1350)</w:t>
      </w:r>
      <w:r>
        <w:rPr>
          <w:rFonts w:ascii="Times New Roman;serif" w:hAnsi="Times New Roman;serif"/>
          <w:b/>
          <w:sz w:val="13"/>
        </w:rPr>
        <w:t>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filing of the quarterly report of MannKind Corporation (the “Company”) on Form 10-Q for the quarterly period ended June 30, 2023,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The Report fully complies with the requirements of Section 13(a) or Section 15(d) of the Exchange Act,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Witness Whereof, the undersigned has set his hand hereto as of the 7th day of August, 2023.</w:t>
      </w:r>
      <w:r>
        <w:rPr>
          <w:rFonts w:ascii="Times New Roman" w:hAnsi="Times New Roman"/>
          <w:sz w:val="20"/>
        </w:rPr>
        <w:t xml:space="preserve"> </w:t>
      </w:r>
    </w:p>
    <w:p>
      <w:pPr>
        <w:pStyle w:val="TextBody"/>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Steven B. Binder</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Steven B. Binder</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pBdr>
          <w:bottom w:val="single" w:sz="6" w:space="1" w:color="000000"/>
        </w:pBdr>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p>
        </w:tc>
        <w:tc>
          <w:tcPr>
            <w:tcW w:w="999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9460/000119312516676980/d225552dex31.htm" TargetMode="External"/><Relationship Id="rId3" Type="http://schemas.openxmlformats.org/officeDocument/2006/relationships/hyperlink" Target="https://www.sec.gov/Archives/edgar/data/899460/000119312517066630/d313758dex31.htm" TargetMode="External"/><Relationship Id="rId4" Type="http://schemas.openxmlformats.org/officeDocument/2006/relationships/hyperlink" Target="https://www.sec.gov/Archives/edgar/data/899460/000119312517368329/d511527dex31.htm" TargetMode="External"/><Relationship Id="rId5" Type="http://schemas.openxmlformats.org/officeDocument/2006/relationships/hyperlink" Target="https://www.sec.gov/Archives/edgar/data/899460/000119312520153051/d936164dex31.htm" TargetMode="External"/><Relationship Id="rId6" Type="http://schemas.openxmlformats.org/officeDocument/2006/relationships/hyperlink" Target="https://www.sec.gov/Archives/edgar/data/899460/000119312523156575/d473553dex31.htm" TargetMode="External"/><Relationship Id="rId7" Type="http://schemas.openxmlformats.org/officeDocument/2006/relationships/hyperlink" Target="https://www.sec.gov/Archives/edgar/data/899460/000119312520153051/d936164dex32.htm" TargetMode="External"/><Relationship Id="rId8" Type="http://schemas.openxmlformats.org/officeDocument/2006/relationships/hyperlink" Target="https://www.sec.gov/Archives/edgar/data/899460/000119312516676980/d225552dex31.htm" TargetMode="External"/><Relationship Id="rId9" Type="http://schemas.openxmlformats.org/officeDocument/2006/relationships/hyperlink" Target="https://www.sec.gov/Archives/edgar/data/899460/000119312517066630/d313758dex31.htm" TargetMode="External"/><Relationship Id="rId10" Type="http://schemas.openxmlformats.org/officeDocument/2006/relationships/hyperlink" Target="https://www.sec.gov/Archives/edgar/data/899460/000119312517368329/d511527dex31.htm" TargetMode="External"/><Relationship Id="rId11" Type="http://schemas.openxmlformats.org/officeDocument/2006/relationships/hyperlink" Target="https://www.sec.gov/Archives/edgar/data/899460/000119312520153051/d936164dex31.htm" TargetMode="External"/><Relationship Id="rId12" Type="http://schemas.openxmlformats.org/officeDocument/2006/relationships/hyperlink" Target="https://www.sec.gov/Archives/edgar/data/899460/000119312520153051/d936164dex32.htm" TargetMode="External"/><Relationship Id="rId13" Type="http://schemas.openxmlformats.org/officeDocument/2006/relationships/hyperlink" Target="https://www.sec.gov/Archives/edgar/data/899460/000119312520153051/d936164dex32.htm" TargetMode="External"/><Relationship Id="rId14" Type="http://schemas.openxmlformats.org/officeDocument/2006/relationships/hyperlink" Target="https://www.sec.gov/Archives/edgar/data/899460/000119312517085519/d305327dex42.htm" TargetMode="External"/><Relationship Id="rId15" Type="http://schemas.openxmlformats.org/officeDocument/2006/relationships/hyperlink" Target="https://www.sec.gov/Archives/edgar/data/899460/000119312513279522/d562665dex993.htm" TargetMode="External"/><Relationship Id="rId16" Type="http://schemas.openxmlformats.org/officeDocument/2006/relationships/hyperlink" Target="https://www.sec.gov/Archives/edgar/data/899460/000119312519215305/d757696dex41.htm" TargetMode="External"/><Relationship Id="rId17" Type="http://schemas.openxmlformats.org/officeDocument/2006/relationships/hyperlink" Target="https://www.sec.gov/Archives/edgar/data/899460/000119312519215305/d757696dex46.htm" TargetMode="External"/><Relationship Id="rId18" Type="http://schemas.openxmlformats.org/officeDocument/2006/relationships/hyperlink" Target="https://www.sec.gov/Archives/edgar/data/0000899460/000119312521130221/d174090dex992.htm" TargetMode="External"/><Relationship Id="rId19" Type="http://schemas.openxmlformats.org/officeDocument/2006/relationships/hyperlink" Target="https://www.sec.gov/Archives/edgar/data/899460/000119312519215305/d757696dex47.htm" TargetMode="External"/><Relationship Id="rId20" Type="http://schemas.openxmlformats.org/officeDocument/2006/relationships/hyperlink" Target="https://www.sec.gov/Archives/edgar/data/899460/000119312521070265/d45565dex41.htm" TargetMode="External"/><Relationship Id="rId21" Type="http://schemas.openxmlformats.org/officeDocument/2006/relationships/hyperlink" Target="https://www.sec.gov/Archives/edgar/data/899460/000119312523080473/d490495dex101.htm" TargetMode="External"/><Relationship Id="rId22" Type="http://schemas.openxmlformats.org/officeDocument/2006/relationships/hyperlink" Target="https://www.sec.gov/Archives/edgar/data/899460/000119312523080473/d490495dex10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73650</Words>
  <Characters>398476</Characters>
  <CharactersWithSpaces>472762</CharactersWithSpaces>
  <Paragraphs>7949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