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32"/>
          <w:szCs w:val="32"/>
          <w:b w:val="1"/>
          <w:bCs w:val="1"/>
          <w:color w:val="auto"/>
        </w:rPr>
        <w:t>Form 10-K</w:t>
      </w:r>
    </w:p>
    <w:p>
      <w:pPr>
        <w:spacing w:after="0" w:line="5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2980" w:space="720"/>
            <w:col w:w="77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000-50865.</w:t>
      </w:r>
    </w:p>
    <w:p>
      <w:pPr>
        <w:sectPr>
          <w:pgSz w:w="11900" w:h="16838" w:orient="portrait"/>
          <w:cols w:equalWidth="0" w:num="1">
            <w:col w:w="11420"/>
          </w:cols>
          <w:pgMar w:left="240" w:top="230" w:right="239" w:bottom="1440" w:gutter="0" w:footer="0" w:header="0"/>
          <w:type w:val="continuous"/>
        </w:sectPr>
      </w:pP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MannKind Corporation</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54" w:lineRule="exact"/>
        <w:rPr>
          <w:sz w:val="24"/>
          <w:szCs w:val="24"/>
          <w:color w:val="auto"/>
        </w:rPr>
      </w:pPr>
    </w:p>
    <w:tbl>
      <w:tblPr>
        <w:tblLayout w:type="fixed"/>
        <w:tblInd w:w="240" w:type="dxa"/>
        <w:tblCellMar>
          <w:top w:w="0" w:type="dxa"/>
          <w:left w:w="0" w:type="dxa"/>
          <w:bottom w:w="0" w:type="dxa"/>
          <w:right w:w="0" w:type="dxa"/>
        </w:tblCellMar>
      </w:tblPr>
      <w:tr>
        <w:trPr>
          <w:trHeight w:val="220"/>
        </w:trPr>
        <w:tc>
          <w:tcPr>
            <w:tcW w:w="2260" w:type="dxa"/>
            <w:vAlign w:val="bottom"/>
          </w:tcPr>
          <w:p>
            <w:pPr>
              <w:spacing w:after="0"/>
              <w:rPr>
                <w:sz w:val="19"/>
                <w:szCs w:val="19"/>
                <w:color w:val="auto"/>
              </w:rPr>
            </w:pPr>
          </w:p>
        </w:tc>
        <w:tc>
          <w:tcPr>
            <w:tcW w:w="2260" w:type="dxa"/>
            <w:vAlign w:val="bottom"/>
            <w:gridSpan w:val="2"/>
          </w:tcPr>
          <w:p>
            <w:pPr>
              <w:jc w:val="center"/>
              <w:ind w:right="1332"/>
              <w:spacing w:after="0"/>
              <w:rPr>
                <w:sz w:val="20"/>
                <w:szCs w:val="20"/>
                <w:color w:val="auto"/>
              </w:rPr>
            </w:pPr>
            <w:r>
              <w:rPr>
                <w:rFonts w:ascii="Arial" w:cs="Arial" w:eastAsia="Arial" w:hAnsi="Arial"/>
                <w:sz w:val="18"/>
                <w:szCs w:val="18"/>
                <w:b w:val="1"/>
                <w:bCs w:val="1"/>
                <w:color w:val="auto"/>
                <w:w w:val="91"/>
              </w:rPr>
              <w:t>Delaware</w:t>
            </w:r>
          </w:p>
        </w:tc>
        <w:tc>
          <w:tcPr>
            <w:tcW w:w="4760" w:type="dxa"/>
            <w:vAlign w:val="bottom"/>
            <w:gridSpan w:val="4"/>
          </w:tcPr>
          <w:p>
            <w:pPr>
              <w:jc w:val="right"/>
              <w:ind w:right="272"/>
              <w:spacing w:after="0"/>
              <w:rPr>
                <w:sz w:val="20"/>
                <w:szCs w:val="20"/>
                <w:color w:val="auto"/>
              </w:rPr>
            </w:pPr>
            <w:r>
              <w:rPr>
                <w:rFonts w:ascii="Arial" w:cs="Arial" w:eastAsia="Arial" w:hAnsi="Arial"/>
                <w:sz w:val="18"/>
                <w:szCs w:val="18"/>
                <w:b w:val="1"/>
                <w:bCs w:val="1"/>
                <w:color w:val="auto"/>
              </w:rPr>
              <w:t>13-3607736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49"/>
        </w:trPr>
        <w:tc>
          <w:tcPr>
            <w:tcW w:w="4520" w:type="dxa"/>
            <w:vAlign w:val="bottom"/>
            <w:gridSpan w:val="3"/>
          </w:tcPr>
          <w:p>
            <w:pPr>
              <w:jc w:val="center"/>
              <w:ind w:left="760"/>
              <w:spacing w:after="0" w:line="149" w:lineRule="exact"/>
              <w:rPr>
                <w:sz w:val="20"/>
                <w:szCs w:val="20"/>
                <w:color w:val="auto"/>
              </w:rPr>
            </w:pPr>
            <w:r>
              <w:rPr>
                <w:rFonts w:ascii="Arial" w:cs="Arial" w:eastAsia="Arial" w:hAnsi="Arial"/>
                <w:sz w:val="14"/>
                <w:szCs w:val="14"/>
                <w:i w:val="1"/>
                <w:iCs w:val="1"/>
                <w:color w:val="auto"/>
                <w:w w:val="91"/>
              </w:rPr>
              <w:t>(State or other jurisdiction of</w:t>
            </w:r>
          </w:p>
        </w:tc>
        <w:tc>
          <w:tcPr>
            <w:tcW w:w="2480" w:type="dxa"/>
            <w:vAlign w:val="bottom"/>
          </w:tcPr>
          <w:p>
            <w:pPr>
              <w:spacing w:after="0"/>
              <w:rPr>
                <w:sz w:val="12"/>
                <w:szCs w:val="12"/>
                <w:color w:val="auto"/>
              </w:rPr>
            </w:pPr>
          </w:p>
        </w:tc>
        <w:tc>
          <w:tcPr>
            <w:tcW w:w="2280" w:type="dxa"/>
            <w:vAlign w:val="bottom"/>
            <w:gridSpan w:val="3"/>
          </w:tcPr>
          <w:p>
            <w:pPr>
              <w:jc w:val="center"/>
              <w:ind w:left="628"/>
              <w:spacing w:after="0" w:line="149" w:lineRule="exact"/>
              <w:rPr>
                <w:sz w:val="20"/>
                <w:szCs w:val="20"/>
                <w:color w:val="auto"/>
              </w:rPr>
            </w:pPr>
            <w:r>
              <w:rPr>
                <w:rFonts w:ascii="Arial" w:cs="Arial" w:eastAsia="Arial" w:hAnsi="Arial"/>
                <w:sz w:val="14"/>
                <w:szCs w:val="14"/>
                <w:i w:val="1"/>
                <w:iCs w:val="1"/>
                <w:color w:val="auto"/>
                <w:w w:val="87"/>
              </w:rPr>
              <w:t>(I.R.S. Employer</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2"/>
        </w:trPr>
        <w:tc>
          <w:tcPr>
            <w:tcW w:w="4520" w:type="dxa"/>
            <w:vAlign w:val="bottom"/>
            <w:gridSpan w:val="3"/>
          </w:tcPr>
          <w:p>
            <w:pPr>
              <w:jc w:val="center"/>
              <w:ind w:left="760"/>
              <w:spacing w:after="0"/>
              <w:rPr>
                <w:sz w:val="20"/>
                <w:szCs w:val="20"/>
                <w:color w:val="auto"/>
              </w:rPr>
            </w:pPr>
            <w:r>
              <w:rPr>
                <w:rFonts w:ascii="Arial" w:cs="Arial" w:eastAsia="Arial" w:hAnsi="Arial"/>
                <w:sz w:val="14"/>
                <w:szCs w:val="14"/>
                <w:i w:val="1"/>
                <w:iCs w:val="1"/>
                <w:color w:val="auto"/>
                <w:w w:val="92"/>
              </w:rPr>
              <w:t>incorporation or organization)</w:t>
            </w:r>
          </w:p>
        </w:tc>
        <w:tc>
          <w:tcPr>
            <w:tcW w:w="2480" w:type="dxa"/>
            <w:vAlign w:val="bottom"/>
          </w:tcPr>
          <w:p>
            <w:pPr>
              <w:spacing w:after="0"/>
              <w:rPr>
                <w:sz w:val="14"/>
                <w:szCs w:val="14"/>
                <w:color w:val="auto"/>
              </w:rPr>
            </w:pPr>
          </w:p>
        </w:tc>
        <w:tc>
          <w:tcPr>
            <w:tcW w:w="2280" w:type="dxa"/>
            <w:vAlign w:val="bottom"/>
            <w:gridSpan w:val="3"/>
          </w:tcPr>
          <w:p>
            <w:pPr>
              <w:jc w:val="center"/>
              <w:ind w:left="648"/>
              <w:spacing w:after="0"/>
              <w:rPr>
                <w:sz w:val="20"/>
                <w:szCs w:val="20"/>
                <w:color w:val="auto"/>
              </w:rPr>
            </w:pPr>
            <w:r>
              <w:rPr>
                <w:rFonts w:ascii="Arial" w:cs="Arial" w:eastAsia="Arial" w:hAnsi="Arial"/>
                <w:sz w:val="14"/>
                <w:szCs w:val="14"/>
                <w:i w:val="1"/>
                <w:iCs w:val="1"/>
                <w:color w:val="auto"/>
                <w:w w:val="91"/>
              </w:rPr>
              <w:t>Identification No.)</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10"/>
        </w:trPr>
        <w:tc>
          <w:tcPr>
            <w:tcW w:w="4520" w:type="dxa"/>
            <w:vAlign w:val="bottom"/>
            <w:gridSpan w:val="3"/>
          </w:tcPr>
          <w:p>
            <w:pPr>
              <w:jc w:val="center"/>
              <w:ind w:left="760"/>
              <w:spacing w:after="0"/>
              <w:rPr>
                <w:sz w:val="20"/>
                <w:szCs w:val="20"/>
                <w:color w:val="auto"/>
              </w:rPr>
            </w:pPr>
            <w:r>
              <w:rPr>
                <w:rFonts w:ascii="Arial" w:cs="Arial" w:eastAsia="Arial" w:hAnsi="Arial"/>
                <w:sz w:val="18"/>
                <w:szCs w:val="18"/>
                <w:b w:val="1"/>
                <w:bCs w:val="1"/>
                <w:color w:val="auto"/>
                <w:w w:val="88"/>
              </w:rPr>
              <w:t>28903 North Avenue Paine</w:t>
            </w:r>
          </w:p>
        </w:tc>
        <w:tc>
          <w:tcPr>
            <w:tcW w:w="2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3"/>
        </w:trPr>
        <w:tc>
          <w:tcPr>
            <w:tcW w:w="4520" w:type="dxa"/>
            <w:vAlign w:val="bottom"/>
            <w:gridSpan w:val="3"/>
          </w:tcPr>
          <w:p>
            <w:pPr>
              <w:jc w:val="center"/>
              <w:ind w:left="760"/>
              <w:spacing w:after="0"/>
              <w:rPr>
                <w:sz w:val="20"/>
                <w:szCs w:val="20"/>
                <w:color w:val="auto"/>
              </w:rPr>
            </w:pPr>
            <w:r>
              <w:rPr>
                <w:rFonts w:ascii="Arial" w:cs="Arial" w:eastAsia="Arial" w:hAnsi="Arial"/>
                <w:sz w:val="18"/>
                <w:szCs w:val="18"/>
                <w:b w:val="1"/>
                <w:bCs w:val="1"/>
                <w:color w:val="auto"/>
                <w:w w:val="89"/>
              </w:rPr>
              <w:t>Valencia, California</w:t>
            </w:r>
          </w:p>
        </w:tc>
        <w:tc>
          <w:tcPr>
            <w:tcW w:w="4360" w:type="dxa"/>
            <w:vAlign w:val="bottom"/>
            <w:gridSpan w:val="3"/>
          </w:tcPr>
          <w:p>
            <w:pPr>
              <w:jc w:val="right"/>
              <w:ind w:right="72"/>
              <w:spacing w:after="0"/>
              <w:rPr>
                <w:sz w:val="20"/>
                <w:szCs w:val="20"/>
                <w:color w:val="auto"/>
              </w:rPr>
            </w:pPr>
            <w:r>
              <w:rPr>
                <w:rFonts w:ascii="Arial" w:cs="Arial" w:eastAsia="Arial" w:hAnsi="Arial"/>
                <w:sz w:val="18"/>
                <w:szCs w:val="18"/>
                <w:b w:val="1"/>
                <w:bCs w:val="1"/>
                <w:color w:val="auto"/>
              </w:rPr>
              <w:t>91355</w:t>
            </w: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72"/>
        </w:trPr>
        <w:tc>
          <w:tcPr>
            <w:tcW w:w="4520" w:type="dxa"/>
            <w:vAlign w:val="bottom"/>
            <w:gridSpan w:val="3"/>
          </w:tcPr>
          <w:p>
            <w:pPr>
              <w:jc w:val="center"/>
              <w:ind w:left="760"/>
              <w:spacing w:after="0"/>
              <w:rPr>
                <w:sz w:val="20"/>
                <w:szCs w:val="20"/>
                <w:color w:val="auto"/>
              </w:rPr>
            </w:pPr>
            <w:r>
              <w:rPr>
                <w:rFonts w:ascii="Arial" w:cs="Arial" w:eastAsia="Arial" w:hAnsi="Arial"/>
                <w:sz w:val="14"/>
                <w:szCs w:val="14"/>
                <w:i w:val="1"/>
                <w:iCs w:val="1"/>
                <w:color w:val="auto"/>
                <w:w w:val="88"/>
              </w:rPr>
              <w:t>(Address of principal executive offices)</w:t>
            </w:r>
          </w:p>
        </w:tc>
        <w:tc>
          <w:tcPr>
            <w:tcW w:w="2480" w:type="dxa"/>
            <w:vAlign w:val="bottom"/>
          </w:tcPr>
          <w:p>
            <w:pPr>
              <w:spacing w:after="0"/>
              <w:rPr>
                <w:sz w:val="14"/>
                <w:szCs w:val="14"/>
                <w:color w:val="auto"/>
              </w:rPr>
            </w:pPr>
          </w:p>
        </w:tc>
        <w:tc>
          <w:tcPr>
            <w:tcW w:w="1880" w:type="dxa"/>
            <w:vAlign w:val="bottom"/>
            <w:gridSpan w:val="2"/>
          </w:tcPr>
          <w:p>
            <w:pPr>
              <w:jc w:val="center"/>
              <w:ind w:left="1048"/>
              <w:spacing w:after="0"/>
              <w:rPr>
                <w:sz w:val="20"/>
                <w:szCs w:val="20"/>
                <w:color w:val="auto"/>
              </w:rPr>
            </w:pPr>
            <w:r>
              <w:rPr>
                <w:rFonts w:ascii="Arial" w:cs="Arial" w:eastAsia="Arial" w:hAnsi="Arial"/>
                <w:sz w:val="14"/>
                <w:szCs w:val="14"/>
                <w:i w:val="1"/>
                <w:iCs w:val="1"/>
                <w:color w:val="auto"/>
                <w:w w:val="90"/>
              </w:rPr>
              <w:t>(Zip Code)</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70"/>
        </w:trPr>
        <w:tc>
          <w:tcPr>
            <w:tcW w:w="2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380" w:type="dxa"/>
            <w:vAlign w:val="bottom"/>
            <w:gridSpan w:val="3"/>
          </w:tcPr>
          <w:p>
            <w:pPr>
              <w:jc w:val="center"/>
              <w:ind w:right="428"/>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28"/>
        </w:trPr>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80" w:type="dxa"/>
            <w:vAlign w:val="bottom"/>
          </w:tcPr>
          <w:p>
            <w:pPr>
              <w:jc w:val="center"/>
              <w:ind w:right="496"/>
              <w:spacing w:after="0"/>
              <w:rPr>
                <w:sz w:val="20"/>
                <w:szCs w:val="20"/>
                <w:color w:val="auto"/>
              </w:rPr>
            </w:pPr>
            <w:r>
              <w:rPr>
                <w:rFonts w:ascii="Arial" w:cs="Arial" w:eastAsia="Arial" w:hAnsi="Arial"/>
                <w:sz w:val="18"/>
                <w:szCs w:val="18"/>
                <w:b w:val="1"/>
                <w:bCs w:val="1"/>
                <w:color w:val="auto"/>
                <w:w w:val="89"/>
              </w:rPr>
              <w:t>(661) 775-5300</w:t>
            </w:r>
          </w:p>
        </w:tc>
        <w:tc>
          <w:tcPr>
            <w:tcW w:w="1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97"/>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3"/>
          </w:tcPr>
          <w:p>
            <w:pPr>
              <w:jc w:val="center"/>
              <w:ind w:right="44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2"/>
        </w:trPr>
        <w:tc>
          <w:tcPr>
            <w:tcW w:w="2260" w:type="dxa"/>
            <w:vAlign w:val="bottom"/>
          </w:tcPr>
          <w:p>
            <w:pPr>
              <w:spacing w:after="0"/>
              <w:rPr>
                <w:sz w:val="20"/>
                <w:szCs w:val="20"/>
                <w:color w:val="auto"/>
              </w:rPr>
            </w:pPr>
          </w:p>
        </w:tc>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Class</w:t>
            </w:r>
          </w:p>
        </w:tc>
        <w:tc>
          <w:tcPr>
            <w:tcW w:w="2480" w:type="dxa"/>
            <w:vAlign w:val="bottom"/>
          </w:tcPr>
          <w:p>
            <w:pPr>
              <w:spacing w:after="0"/>
              <w:rPr>
                <w:sz w:val="20"/>
                <w:szCs w:val="20"/>
                <w:color w:val="auto"/>
              </w:rPr>
            </w:pPr>
          </w:p>
        </w:tc>
        <w:tc>
          <w:tcPr>
            <w:tcW w:w="274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260" w:type="dxa"/>
            <w:vAlign w:val="bottom"/>
          </w:tcPr>
          <w:p>
            <w:pPr>
              <w:ind w:left="1180"/>
              <w:spacing w:after="0"/>
              <w:rPr>
                <w:sz w:val="20"/>
                <w:szCs w:val="20"/>
                <w:color w:val="auto"/>
              </w:rPr>
            </w:pPr>
            <w:r>
              <w:rPr>
                <w:rFonts w:ascii="Arial" w:cs="Arial" w:eastAsia="Arial" w:hAnsi="Arial"/>
                <w:sz w:val="18"/>
                <w:szCs w:val="18"/>
                <w:color w:val="auto"/>
                <w:w w:val="82"/>
              </w:rPr>
              <w:t>Common Stock,</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par value</w:t>
            </w:r>
          </w:p>
        </w:tc>
        <w:tc>
          <w:tcPr>
            <w:tcW w:w="1480" w:type="dxa"/>
            <w:vAlign w:val="bottom"/>
          </w:tcPr>
          <w:p>
            <w:pPr>
              <w:ind w:left="20"/>
              <w:spacing w:after="0"/>
              <w:rPr>
                <w:sz w:val="20"/>
                <w:szCs w:val="20"/>
                <w:color w:val="auto"/>
              </w:rPr>
            </w:pPr>
            <w:r>
              <w:rPr>
                <w:rFonts w:ascii="Arial" w:cs="Arial" w:eastAsia="Arial" w:hAnsi="Arial"/>
                <w:sz w:val="18"/>
                <w:szCs w:val="18"/>
                <w:color w:val="auto"/>
              </w:rPr>
              <w:t>$0.01 per share</w:t>
            </w:r>
          </w:p>
        </w:tc>
        <w:tc>
          <w:tcPr>
            <w:tcW w:w="2480" w:type="dxa"/>
            <w:vAlign w:val="bottom"/>
          </w:tcPr>
          <w:p>
            <w:pPr>
              <w:spacing w:after="0"/>
              <w:rPr>
                <w:sz w:val="18"/>
                <w:szCs w:val="18"/>
                <w:color w:val="auto"/>
              </w:rPr>
            </w:pPr>
          </w:p>
        </w:tc>
        <w:tc>
          <w:tcPr>
            <w:tcW w:w="2740" w:type="dxa"/>
            <w:vAlign w:val="bottom"/>
            <w:tcBorders>
              <w:top w:val="single" w:sz="8" w:color="auto"/>
            </w:tcBorders>
            <w:gridSpan w:val="4"/>
          </w:tcPr>
          <w:p>
            <w:pPr>
              <w:jc w:val="center"/>
              <w:ind w:left="28"/>
              <w:spacing w:after="0"/>
              <w:rPr>
                <w:sz w:val="20"/>
                <w:szCs w:val="20"/>
                <w:color w:val="auto"/>
              </w:rPr>
            </w:pPr>
            <w:r>
              <w:rPr>
                <w:rFonts w:ascii="Arial" w:cs="Arial" w:eastAsia="Arial" w:hAnsi="Arial"/>
                <w:sz w:val="18"/>
                <w:szCs w:val="18"/>
                <w:color w:val="auto"/>
                <w:w w:val="92"/>
              </w:rPr>
              <w:t>The NASDAQ Global Market</w:t>
            </w:r>
          </w:p>
        </w:tc>
        <w:tc>
          <w:tcPr>
            <w:tcW w:w="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76"/>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380" w:type="dxa"/>
            <w:vAlign w:val="bottom"/>
            <w:gridSpan w:val="3"/>
          </w:tcPr>
          <w:p>
            <w:pPr>
              <w:jc w:val="center"/>
              <w:ind w:right="428"/>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00" w:type="dxa"/>
            <w:vAlign w:val="bottom"/>
            <w:gridSpan w:val="2"/>
          </w:tcPr>
          <w:p>
            <w:pPr>
              <w:jc w:val="center"/>
              <w:ind w:right="1928"/>
              <w:spacing w:after="0"/>
              <w:rPr>
                <w:sz w:val="20"/>
                <w:szCs w:val="20"/>
                <w:color w:val="auto"/>
              </w:rPr>
            </w:pPr>
            <w:r>
              <w:rPr>
                <w:rFonts w:ascii="Arial" w:cs="Arial" w:eastAsia="Arial" w:hAnsi="Arial"/>
                <w:sz w:val="18"/>
                <w:szCs w:val="18"/>
                <w:b w:val="1"/>
                <w:bCs w:val="1"/>
                <w:color w:val="auto"/>
                <w:w w:val="84"/>
              </w:rPr>
              <w:t>None</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72"/>
        </w:trPr>
        <w:tc>
          <w:tcPr>
            <w:tcW w:w="2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900" w:type="dxa"/>
            <w:vAlign w:val="bottom"/>
            <w:gridSpan w:val="2"/>
          </w:tcPr>
          <w:p>
            <w:pPr>
              <w:jc w:val="center"/>
              <w:ind w:right="1908"/>
              <w:spacing w:after="0"/>
              <w:rPr>
                <w:sz w:val="20"/>
                <w:szCs w:val="20"/>
                <w:color w:val="auto"/>
              </w:rPr>
            </w:pPr>
            <w:r>
              <w:rPr>
                <w:rFonts w:ascii="Arial" w:cs="Arial" w:eastAsia="Arial" w:hAnsi="Arial"/>
                <w:sz w:val="14"/>
                <w:szCs w:val="14"/>
                <w:i w:val="1"/>
                <w:iCs w:val="1"/>
                <w:color w:val="auto"/>
                <w:w w:val="88"/>
              </w:rPr>
              <w:t>(Title of Class)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2"/>
        </w:trPr>
        <w:tc>
          <w:tcPr>
            <w:tcW w:w="8420" w:type="dxa"/>
            <w:vAlign w:val="bottom"/>
            <w:gridSpan w:val="5"/>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460" w:type="dxa"/>
            <w:vAlign w:val="bottom"/>
          </w:tcPr>
          <w:p>
            <w:pPr>
              <w:ind w:left="40"/>
              <w:spacing w:after="0"/>
              <w:rPr>
                <w:sz w:val="20"/>
                <w:szCs w:val="20"/>
                <w:color w:val="auto"/>
              </w:rPr>
            </w:pPr>
            <w:r>
              <w:rPr>
                <w:rFonts w:ascii="Arial" w:cs="Arial" w:eastAsia="Arial" w:hAnsi="Arial"/>
                <w:sz w:val="18"/>
                <w:szCs w:val="18"/>
                <w:color w:val="auto"/>
              </w:rPr>
              <w:t>Yes</w:t>
            </w:r>
          </w:p>
        </w:tc>
        <w:tc>
          <w:tcPr>
            <w:tcW w:w="4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160"/>
              <w:spacing w:after="0"/>
              <w:rPr>
                <w:sz w:val="20"/>
                <w:szCs w:val="20"/>
                <w:color w:val="auto"/>
              </w:rPr>
            </w:pPr>
            <w:r>
              <w:rPr>
                <w:rFonts w:ascii="Arial" w:cs="Arial" w:eastAsia="Arial" w:hAnsi="Arial"/>
                <w:sz w:val="18"/>
                <w:szCs w:val="18"/>
                <w:color w:val="auto"/>
              </w:rPr>
              <w:t>No</w:t>
            </w:r>
          </w:p>
        </w:tc>
        <w:tc>
          <w:tcPr>
            <w:tcW w:w="2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r>
      <w:tr>
        <w:trPr>
          <w:trHeight w:val="297"/>
        </w:trPr>
        <w:tc>
          <w:tcPr>
            <w:tcW w:w="842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460" w:type="dxa"/>
            <w:vAlign w:val="bottom"/>
          </w:tcPr>
          <w:p>
            <w:pPr>
              <w:ind w:left="180"/>
              <w:spacing w:after="0"/>
              <w:rPr>
                <w:sz w:val="20"/>
                <w:szCs w:val="20"/>
                <w:color w:val="auto"/>
              </w:rPr>
            </w:pPr>
            <w:r>
              <w:rPr>
                <w:rFonts w:ascii="Arial" w:cs="Arial" w:eastAsia="Arial" w:hAnsi="Arial"/>
                <w:sz w:val="18"/>
                <w:szCs w:val="18"/>
                <w:color w:val="auto"/>
                <w:w w:val="83"/>
              </w:rPr>
              <w:t>Yes</w:t>
            </w:r>
          </w:p>
        </w:tc>
        <w:tc>
          <w:tcPr>
            <w:tcW w:w="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ind w:left="220"/>
              <w:spacing w:after="0"/>
              <w:rPr>
                <w:sz w:val="20"/>
                <w:szCs w:val="20"/>
                <w:color w:val="auto"/>
              </w:rPr>
            </w:pPr>
            <w:r>
              <w:rPr>
                <w:rFonts w:ascii="Arial" w:cs="Arial" w:eastAsia="Arial" w:hAnsi="Arial"/>
                <w:sz w:val="18"/>
                <w:szCs w:val="18"/>
                <w:color w:val="auto"/>
                <w:w w:val="95"/>
              </w:rPr>
              <w:t>No</w:t>
            </w:r>
          </w:p>
        </w:tc>
        <w:tc>
          <w:tcPr>
            <w:tcW w:w="220" w:type="dxa"/>
            <w:vAlign w:val="bottom"/>
            <w:gridSpan w:val="2"/>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ind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20" w:firstLine="22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00" w:firstLine="228"/>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180" w:firstLine="228"/>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spacing w:after="0" w:line="188"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385" w:lineRule="exact"/>
        <w:rPr>
          <w:sz w:val="24"/>
          <w:szCs w:val="24"/>
          <w:color w:val="auto"/>
        </w:rPr>
      </w:pPr>
    </w:p>
    <w:p>
      <w:pPr>
        <w:sectPr>
          <w:pgSz w:w="11900" w:h="16838" w:orient="portrait"/>
          <w:cols w:equalWidth="0" w:num="7">
            <w:col w:w="1580" w:space="100"/>
            <w:col w:w="400" w:space="720"/>
            <w:col w:w="1160" w:space="100"/>
            <w:col w:w="340" w:space="720"/>
            <w:col w:w="3260" w:space="420"/>
            <w:col w:w="1920" w:space="80"/>
            <w:col w:w="62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113" w:lineRule="exact"/>
        <w:rPr>
          <w:sz w:val="24"/>
          <w:szCs w:val="24"/>
          <w:color w:val="auto"/>
        </w:rPr>
      </w:pPr>
    </w:p>
    <w:p>
      <w:pPr>
        <w:sectPr>
          <w:pgSz w:w="11900" w:h="16838" w:orient="portrait"/>
          <w:cols w:equalWidth="0" w:num="3">
            <w:col w:w="7700" w:space="160"/>
            <w:col w:w="260" w:space="600"/>
            <w:col w:w="2700"/>
          </w:cols>
          <w:pgMar w:left="240" w:top="230" w:right="239" w:bottom="1440" w:gutter="0" w:footer="0" w:header="0"/>
          <w:type w:val="continuous"/>
        </w:sectPr>
      </w:pPr>
    </w:p>
    <w:p>
      <w:pPr>
        <w:ind w:right="180" w:firstLine="456"/>
        <w:spacing w:after="0" w:line="268" w:lineRule="auto"/>
        <w:rPr>
          <w:sz w:val="20"/>
          <w:szCs w:val="20"/>
          <w:color w:val="auto"/>
        </w:rPr>
      </w:pPr>
      <w:r>
        <w:rPr>
          <w:rFonts w:ascii="Arial" w:cs="Arial" w:eastAsia="Arial" w:hAnsi="Arial"/>
          <w:sz w:val="18"/>
          <w:szCs w:val="18"/>
          <w:color w:val="auto"/>
        </w:rPr>
        <w:t>As of June 29, 2012, the aggregate market value of the voting stock held by non-affiliates of the registrant, computed by reference to the last sale price of such stock as of such date on the NASDAQ Global Market, was approximately $264,556,791.</w:t>
      </w:r>
    </w:p>
    <w:p>
      <w:pPr>
        <w:spacing w:after="0" w:line="5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March 13, 2013, there were 289,350,125 shares of the registrant’s Common Stock outstanding.</w:t>
      </w:r>
    </w:p>
    <w:p>
      <w:pPr>
        <w:spacing w:after="0" w:line="8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right="80" w:firstLine="456"/>
        <w:spacing w:after="0" w:line="259" w:lineRule="auto"/>
        <w:rPr>
          <w:sz w:val="20"/>
          <w:szCs w:val="20"/>
          <w:color w:val="auto"/>
        </w:rPr>
      </w:pPr>
      <w:r>
        <w:rPr>
          <w:rFonts w:ascii="Arial" w:cs="Arial" w:eastAsia="Arial" w:hAnsi="Arial"/>
          <w:sz w:val="18"/>
          <w:szCs w:val="18"/>
          <w:color w:val="auto"/>
        </w:rPr>
        <w:t>Portions of the registrant’s definitive Proxy Statement, or the Proxy Statement, for the 2013 Annual Meeting of Stockholders to be filed with the Securities and Exchange Commission pursuant to Regulation 14A not later than 120 days after the end of the fiscal year covered by this Form 10-K,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gridSpan w:val="22"/>
          </w:tcPr>
          <w:p>
            <w:pPr>
              <w:jc w:val="center"/>
              <w:ind w:right="3860"/>
              <w:spacing w:after="0"/>
              <w:rPr>
                <w:sz w:val="20"/>
                <w:szCs w:val="20"/>
                <w:color w:val="auto"/>
              </w:rPr>
            </w:pPr>
            <w:r>
              <w:rPr>
                <w:rFonts w:ascii="Arial" w:cs="Arial" w:eastAsia="Arial" w:hAnsi="Arial"/>
                <w:sz w:val="18"/>
                <w:szCs w:val="18"/>
                <w:b w:val="1"/>
                <w:bCs w:val="1"/>
                <w:color w:val="auto"/>
                <w:w w:val="99"/>
              </w:rPr>
              <w:t>MANNKIND CORPORATION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1"/>
          </w:tcPr>
          <w:p>
            <w:pPr>
              <w:jc w:val="center"/>
              <w:ind w:right="4200"/>
              <w:spacing w:after="0"/>
              <w:rPr>
                <w:sz w:val="20"/>
                <w:szCs w:val="20"/>
                <w:color w:val="auto"/>
              </w:rPr>
            </w:pPr>
            <w:r>
              <w:rPr>
                <w:rFonts w:ascii="Arial" w:cs="Arial" w:eastAsia="Arial" w:hAnsi="Arial"/>
                <w:sz w:val="18"/>
                <w:szCs w:val="18"/>
                <w:b w:val="1"/>
                <w:bCs w:val="1"/>
                <w:color w:val="auto"/>
                <w:w w:val="91"/>
              </w:rPr>
              <w:t>Annual Report on Form 10-K</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700" w:type="dxa"/>
            <w:vAlign w:val="bottom"/>
            <w:gridSpan w:val="24"/>
          </w:tcPr>
          <w:p>
            <w:pPr>
              <w:jc w:val="center"/>
              <w:ind w:right="2960"/>
              <w:spacing w:after="0"/>
              <w:rPr>
                <w:sz w:val="20"/>
                <w:szCs w:val="20"/>
                <w:color w:val="auto"/>
              </w:rPr>
            </w:pPr>
            <w:r>
              <w:rPr>
                <w:rFonts w:ascii="Arial" w:cs="Arial" w:eastAsia="Arial" w:hAnsi="Arial"/>
                <w:sz w:val="18"/>
                <w:szCs w:val="18"/>
                <w:b w:val="1"/>
                <w:bCs w:val="1"/>
                <w:color w:val="auto"/>
                <w:w w:val="88"/>
              </w:rPr>
              <w:t>For the Fiscal Year Ended December 31, 2012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1"/>
          </w:tcPr>
          <w:p>
            <w:pPr>
              <w:jc w:val="center"/>
              <w:ind w:right="420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4"/>
            <w:vMerge w:val="restart"/>
          </w:tcPr>
          <w:p>
            <w:pPr>
              <w:jc w:val="center"/>
              <w:ind w:right="4620"/>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gridSpan w:val="14"/>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w:t>
            </w:r>
          </w:p>
        </w:tc>
        <w:tc>
          <w:tcPr>
            <w:tcW w:w="446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7"/>
                <w:szCs w:val="17"/>
                <w:color w:val="auto"/>
              </w:rPr>
            </w:pPr>
          </w:p>
        </w:tc>
        <w:tc>
          <w:tcPr>
            <w:tcW w:w="46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700" w:type="dxa"/>
            <w:vAlign w:val="bottom"/>
            <w:gridSpan w:val="3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1B.</w:t>
            </w:r>
          </w:p>
        </w:tc>
        <w:tc>
          <w:tcPr>
            <w:tcW w:w="9700" w:type="dxa"/>
            <w:vAlign w:val="bottom"/>
            <w:gridSpan w:val="3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9">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770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9700" w:type="dxa"/>
            <w:vAlign w:val="bottom"/>
            <w:gridSpan w:val="3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9700" w:type="dxa"/>
            <w:vAlign w:val="bottom"/>
            <w:gridSpan w:val="3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14"/>
          </w:tcPr>
          <w:p>
            <w:pPr>
              <w:jc w:val="center"/>
              <w:ind w:right="4640"/>
              <w:spacing w:after="0"/>
              <w:rPr>
                <w:rFonts w:ascii="Arial" w:cs="Arial" w:eastAsia="Arial" w:hAnsi="Arial"/>
                <w:sz w:val="18"/>
                <w:szCs w:val="18"/>
                <w:b w:val="1"/>
                <w:bCs w:val="1"/>
                <w:color w:val="0000EE"/>
                <w:w w:val="99"/>
              </w:rPr>
            </w:pPr>
            <w:hyperlink w:anchor="page41">
              <w:r>
                <w:rPr>
                  <w:rFonts w:ascii="Arial" w:cs="Arial" w:eastAsia="Arial" w:hAnsi="Arial"/>
                  <w:sz w:val="18"/>
                  <w:szCs w:val="18"/>
                  <w:b w:val="1"/>
                  <w:bCs w:val="1"/>
                  <w:color w:val="0000EE"/>
                  <w:w w:val="99"/>
                </w:rPr>
                <w:t>PART II</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5.</w:t>
            </w:r>
          </w:p>
        </w:tc>
        <w:tc>
          <w:tcPr>
            <w:tcW w:w="9700" w:type="dxa"/>
            <w:vAlign w:val="bottom"/>
            <w:gridSpan w:val="3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Market for the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Selected Financial Data</w:t>
              </w:r>
            </w:hyperlink>
          </w:p>
        </w:tc>
        <w:tc>
          <w:tcPr>
            <w:tcW w:w="6460" w:type="dxa"/>
            <w:vAlign w:val="bottom"/>
            <w:tcBorders>
              <w:top w:val="single" w:sz="8" w:color="0000EE"/>
            </w:tcBorders>
            <w:gridSpan w:val="26"/>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7.</w:t>
            </w:r>
          </w:p>
        </w:tc>
        <w:tc>
          <w:tcPr>
            <w:tcW w:w="9700" w:type="dxa"/>
            <w:vAlign w:val="bottom"/>
            <w:gridSpan w:val="3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13"/>
          </w:tcPr>
          <w:p>
            <w:pPr>
              <w:spacing w:after="0"/>
              <w:rPr>
                <w:sz w:val="17"/>
                <w:szCs w:val="17"/>
                <w:color w:val="auto"/>
              </w:rPr>
            </w:pPr>
          </w:p>
        </w:tc>
        <w:tc>
          <w:tcPr>
            <w:tcW w:w="34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Financial Statements and Supplementary Data</w:t>
              </w:r>
            </w:hyperlink>
          </w:p>
        </w:tc>
        <w:tc>
          <w:tcPr>
            <w:tcW w:w="644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BALANCE SHEETS</w:t>
              </w:r>
            </w:hyperlink>
          </w:p>
        </w:tc>
        <w:tc>
          <w:tcPr>
            <w:tcW w:w="40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CONSOLIDATED STATEMENTS OF OPERATIONS</w:t>
              </w:r>
            </w:hyperlink>
          </w:p>
        </w:tc>
        <w:tc>
          <w:tcPr>
            <w:tcW w:w="582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6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CONSOLIDATED STATEMENTS OF COMPREHENSIVE LOSS</w:t>
              </w:r>
            </w:hyperlink>
          </w:p>
        </w:tc>
        <w:tc>
          <w:tcPr>
            <w:tcW w:w="494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78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CONSOLIDATED STATEMENTS OF STOCKHOLDERS’ EQUITY (DEFICIT)</w:t>
              </w:r>
            </w:hyperlink>
          </w:p>
        </w:tc>
        <w:tc>
          <w:tcPr>
            <w:tcW w:w="39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9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CONSOLIDATED STATEMENTS OF CASH FLOWS</w:t>
              </w:r>
            </w:hyperlink>
          </w:p>
        </w:tc>
        <w:tc>
          <w:tcPr>
            <w:tcW w:w="57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00" w:type="dxa"/>
            <w:vAlign w:val="bottom"/>
            <w:gridSpan w:val="3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NOTES TO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Changes in and Disagreements With Accountants on Accounting and Financial Disclosure</w:t>
              </w:r>
            </w:hyperlink>
          </w:p>
        </w:tc>
        <w:tc>
          <w:tcPr>
            <w:tcW w:w="33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54">
              <w:r>
                <w:rPr>
                  <w:rFonts w:ascii="Arial" w:cs="Arial" w:eastAsia="Arial" w:hAnsi="Arial"/>
                  <w:sz w:val="18"/>
                  <w:szCs w:val="18"/>
                  <w:color w:val="0000EE"/>
                  <w:w w:val="86"/>
                </w:rPr>
                <w:t>Controls and Procedures</w:t>
              </w:r>
            </w:hyperlink>
          </w:p>
        </w:tc>
        <w:tc>
          <w:tcPr>
            <w:tcW w:w="796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9B.</w:t>
            </w:r>
          </w:p>
        </w:tc>
        <w:tc>
          <w:tcPr>
            <w:tcW w:w="9700" w:type="dxa"/>
            <w:vAlign w:val="bottom"/>
            <w:gridSpan w:val="3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III</w:t>
              </w:r>
            </w:hyperlink>
          </w:p>
        </w:tc>
        <w:tc>
          <w:tcPr>
            <w:tcW w:w="458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Directors, Executive Officers and Corporate Governance</w:t>
              </w:r>
            </w:hyperlink>
          </w:p>
        </w:tc>
        <w:tc>
          <w:tcPr>
            <w:tcW w:w="57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11.</w:t>
            </w:r>
          </w:p>
        </w:tc>
        <w:tc>
          <w:tcPr>
            <w:tcW w:w="9700" w:type="dxa"/>
            <w:vAlign w:val="bottom"/>
            <w:gridSpan w:val="3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Security Ownership of Certain Beneficial Owners and Management and Related Stockholder Matters</w:t>
              </w:r>
            </w:hyperlink>
          </w:p>
        </w:tc>
        <w:tc>
          <w:tcPr>
            <w:tcW w:w="25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13.</w:t>
            </w:r>
          </w:p>
        </w:tc>
        <w:tc>
          <w:tcPr>
            <w:tcW w:w="9700" w:type="dxa"/>
            <w:vAlign w:val="bottom"/>
            <w:gridSpan w:val="3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Principal Accounting Fees and Services</w:t>
              </w:r>
            </w:hyperlink>
          </w:p>
        </w:tc>
        <w:tc>
          <w:tcPr>
            <w:tcW w:w="43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5"/>
              </w:rPr>
            </w:pPr>
            <w:hyperlink w:anchor="page57">
              <w:r>
                <w:rPr>
                  <w:rFonts w:ascii="Arial" w:cs="Arial" w:eastAsia="Arial" w:hAnsi="Arial"/>
                  <w:sz w:val="18"/>
                  <w:szCs w:val="18"/>
                  <w:b w:val="1"/>
                  <w:bCs w:val="1"/>
                  <w:color w:val="0000EE"/>
                  <w:w w:val="95"/>
                </w:rPr>
                <w:t>PART IV</w:t>
              </w:r>
            </w:hyperlink>
          </w:p>
        </w:tc>
        <w:tc>
          <w:tcPr>
            <w:tcW w:w="460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15.</w:t>
            </w:r>
          </w:p>
        </w:tc>
        <w:tc>
          <w:tcPr>
            <w:tcW w:w="9700" w:type="dxa"/>
            <w:vAlign w:val="bottom"/>
            <w:gridSpan w:val="3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Exhibits. Financial Statement Schedules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Statements in this report that are not strictly historical in nature are forward-looking statements. These statements include, but are not limited to, statements about: the progress or success of our research, development and clinical programs, including the application for and receipt of regulatory clearances and approvals, and the timing or success of the commercialization of AFREZZA, if approved, or any other products or therapies that we may develop; our ability to market, commercialize and achieve market acceptance for AFREZZA, or any other products or therapies that we may develop; our ability to protect our intellectual property and operate our business without infringing upon the intellectual property rights of others; our estimates for future performance; our estimates regarding anticipated operating losses, future revenues, capital requirements and our needs for additional financing; and scientific studies and the conclusions we draw from them. In some cases, you can identify forward-looking statements by terms such as “anticipates,” “believes,” “could,” “estimates,” “expects,” “goal,” “intends,” “may,” “plans,” “potential,” “predicts,” “projects,” “should,” “will,” “would,” and similar expressions intended to identify forward-looking statements.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 Factors” and elsewhere in this report. Except as required by law, we undertake no obligation to publicly update or revise any forward-looking statements, whether as a result of new information, future events or otherwise.</w:t>
      </w:r>
    </w:p>
    <w:p>
      <w:pPr>
        <w:spacing w:after="0" w:line="40"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AFREZZA</w:t>
      </w:r>
      <w:r>
        <w:rPr>
          <w:rFonts w:ascii="Arial" w:cs="Arial" w:eastAsia="Arial" w:hAnsi="Arial"/>
          <w:sz w:val="11"/>
          <w:szCs w:val="11"/>
          <w:color w:val="auto"/>
        </w:rPr>
        <w:t>®</w:t>
      </w:r>
      <w:r>
        <w:rPr>
          <w:rFonts w:ascii="Arial" w:cs="Arial" w:eastAsia="Arial" w:hAnsi="Arial"/>
          <w:sz w:val="18"/>
          <w:szCs w:val="18"/>
          <w:color w:val="auto"/>
        </w:rPr>
        <w:t>, MedTone</w:t>
      </w:r>
      <w:r>
        <w:rPr>
          <w:rFonts w:ascii="Arial" w:cs="Arial" w:eastAsia="Arial" w:hAnsi="Arial"/>
          <w:sz w:val="11"/>
          <w:szCs w:val="11"/>
          <w:color w:val="auto"/>
        </w:rPr>
        <w:t>®</w:t>
      </w:r>
      <w:r>
        <w:rPr>
          <w:rFonts w:ascii="Arial" w:cs="Arial" w:eastAsia="Arial" w:hAnsi="Arial"/>
          <w:sz w:val="18"/>
          <w:szCs w:val="18"/>
          <w:color w:val="auto"/>
        </w:rPr>
        <w:t>, Dreamboat</w:t>
      </w:r>
      <w:r>
        <w:rPr>
          <w:rFonts w:ascii="Arial" w:cs="Arial" w:eastAsia="Arial" w:hAnsi="Arial"/>
          <w:sz w:val="11"/>
          <w:szCs w:val="11"/>
          <w:color w:val="auto"/>
        </w:rPr>
        <w:t>®</w:t>
      </w:r>
      <w:r>
        <w:rPr>
          <w:rFonts w:ascii="Arial" w:cs="Arial" w:eastAsia="Arial" w:hAnsi="Arial"/>
          <w:sz w:val="18"/>
          <w:szCs w:val="18"/>
          <w:color w:val="auto"/>
        </w:rPr>
        <w:t xml:space="preserve"> and Technosphere</w:t>
      </w:r>
      <w:r>
        <w:rPr>
          <w:rFonts w:ascii="Arial" w:cs="Arial" w:eastAsia="Arial" w:hAnsi="Arial"/>
          <w:sz w:val="11"/>
          <w:szCs w:val="11"/>
          <w:color w:val="auto"/>
        </w:rPr>
        <w:t>®</w:t>
      </w:r>
      <w:r>
        <w:rPr>
          <w:rFonts w:ascii="Arial" w:cs="Arial" w:eastAsia="Arial" w:hAnsi="Arial"/>
          <w:sz w:val="18"/>
          <w:szCs w:val="18"/>
          <w:color w:val="auto"/>
        </w:rPr>
        <w:t xml:space="preserve"> are our trademarks in the United States. We have also applied for or have registered company trademarks in other jurisdictions, including Europe and Japan. This document also contains trademarks and service marks of other companies that are the property of their respective owners.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6"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Unless the context requires otherwise, the words “MannKind,” “we,” “company,” “us” and “our” refer to MannKind Corporation and its subsidiaries. Unless explicitly stated otherwise, AFREZZA refers to the combination of AFREZZA inhalation powder and the AFREZZA inhaler.</w:t>
      </w:r>
    </w:p>
    <w:p>
      <w:pPr>
        <w:spacing w:after="0" w:line="85" w:lineRule="exact"/>
        <w:rPr>
          <w:sz w:val="20"/>
          <w:szCs w:val="20"/>
          <w:color w:val="auto"/>
        </w:rPr>
      </w:pPr>
    </w:p>
    <w:p>
      <w:pPr>
        <w:jc w:val="both"/>
        <w:ind w:right="240" w:firstLine="228"/>
        <w:spacing w:after="0" w:line="303" w:lineRule="auto"/>
        <w:rPr>
          <w:sz w:val="20"/>
          <w:szCs w:val="20"/>
          <w:color w:val="auto"/>
        </w:rPr>
      </w:pPr>
      <w:r>
        <w:rPr>
          <w:rFonts w:ascii="Arial" w:cs="Arial" w:eastAsia="Arial" w:hAnsi="Arial"/>
          <w:sz w:val="15"/>
          <w:szCs w:val="15"/>
          <w:color w:val="auto"/>
        </w:rPr>
        <w:t>MannKind Corporation is a biopharmaceutical company focused on the discovery, development and commercialization of therapeutic products for diseases such as diabetes. Our lead product candidate, AFREZZA (insulin human [rDNA origin]) inhalation powder, is an ultra rapid-acting insulin that is in late-stage clinical investigation for the treatment of adults with type 1 or type 2 diabetes for the control of hyperglycemia. Diabetes is a significant health concern.</w:t>
      </w:r>
    </w:p>
    <w:p>
      <w:pPr>
        <w:spacing w:after="0" w:line="1"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According to the Centers for Disease Control and Prevention, in the United States in 2011, approximately 25.8 million people had diabetes and if current trends continue, one in three adults in the United States is expected to have diabetes by 2050. The International Diabetes Federation has estimated that approximately 366 million people have diabetes today and approximately 552 million people will have diabetes by 2030.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CANDIDATES</w:t>
      </w:r>
    </w:p>
    <w:p>
      <w:pPr>
        <w:spacing w:after="0" w:line="96"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Our lead product candidate, AFREZZA, has a time-action profile unlike other insulin products. In our clinical trials to date, we have consistently observed that AFREZZA inhalation powder is rapidly absorbed into the bloodstream following inhalation, reaching peak levels within 12 to 14 minutes. In this manner, AFREZZA produces a profile of insulin levels in the bloodstream that closely approximates the early insulin secretion normally seen in healthy individuals immediately following the beginning of a meal, but which is absent in patients with diabetes.</w:t>
      </w:r>
    </w:p>
    <w:p>
      <w:pPr>
        <w:spacing w:after="0" w:line="32"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The AFREZZA inhalation powder is centered on a class of pH-sensitive organic molecules that self-assemble into small particles under acidic conditions. We refer to these particles as Technosphere particles. Certain drugs,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such as insulin, can be loaded onto these particles by combining an acidic solution of the drug with a suspension of Technosphere material, which is then dried to powder form. This powder is then filled into plastic cartridges and packaged. To administer AFREZZA inhalation powder, a patient loads a cartridge into our inhaler. By inhaling through this device, air is pulled through the cartridge, which aerosolizes the powder and pulls the particles into the air current and out through the mouthpiece. The individual particles within this aerosol are small and have aerodynamic properties that enable them to fly efficiently deep into the lungs. When the particles contact the moist lung surface with its neutral pH, the Technosphere particles dissolve immediately, releasing the insulin molecules to diffuse across a thin layer of cells into the bloodstream. We believe that the insulin absorption step is a passive process that occurs without any active assistance or enhancement and without disruption of either cell membranes or the tight junctions between cells.</w:t>
      </w:r>
    </w:p>
    <w:p>
      <w:pPr>
        <w:spacing w:after="0" w:line="37"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The AFREZZA clinical development program was designed to demonstrate that the efficacy of insulin administered as AFREZZA inhalation powder is comparable to the most effective standard of care – rapid-acting insulin analogs – as measured by the reduction in levels of glycosylated hemoglobin, or A1c, which is a measure of average blood glucose. We have also demonstrated that the comparable reductions in A1c seen with AFREZZA powder are associated with a lower risk of hypoglycemia for both subjects with type 1 and type 2 diabetes. For example:</w:t>
      </w:r>
    </w:p>
    <w:p>
      <w:pPr>
        <w:spacing w:after="0" w:line="32" w:lineRule="exact"/>
        <w:rPr>
          <w:sz w:val="20"/>
          <w:szCs w:val="20"/>
          <w:color w:val="auto"/>
        </w:rPr>
      </w:pPr>
    </w:p>
    <w:p>
      <w:pPr>
        <w:ind w:left="900" w:right="180" w:hanging="446"/>
        <w:spacing w:after="0" w:line="29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 completed Phase 3 clinical study, insulin-dependent subjects with type 2 diabetes were randomized to either injected premixed insulin or mealtime AFREZZA in combination with insulin glargine (an injected basal insulin). This study demonstrated that the reduction in A1c levels over 52 weeks of therapy with the combination of AFREZZA and insulin glargine was non-inferior to premixed insulin. Moreover, the combination of AFREZZA and insulin glargine achieved these results with significantly less hypoglycemia and weight gain than the premixed treatment group. These differences in rates of hypoglycemia and weight gain were not due to differences in glycemic control.</w:t>
      </w:r>
    </w:p>
    <w:p>
      <w:pPr>
        <w:spacing w:after="0" w:line="34" w:lineRule="exact"/>
        <w:rPr>
          <w:rFonts w:ascii="Arial" w:cs="Arial" w:eastAsia="Arial" w:hAnsi="Arial"/>
          <w:sz w:val="16"/>
          <w:szCs w:val="16"/>
          <w:color w:val="auto"/>
        </w:rPr>
      </w:pPr>
    </w:p>
    <w:p>
      <w:pPr>
        <w:ind w:left="900" w:hanging="446"/>
        <w:spacing w:after="0" w:line="29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 completed Phase 3 clinical study involving subjects with type 1 diabetes, we compared the efficacy and safety of AFREZZA in combination with insulin glargine versus insulin lispro (an injected rapid-acting analog) in combination with insulin glargine over a 16-week treatment period. The results of this study demonstrated that AFREZZA in combination with insulin glargine is non-inferior to insulin lispro in combination with insulin glargine. The subjects treated with AFREZZA in combination with insulin glargine also had significantly lower rates of total and mild or moderate hypoglycemia than the insulin lispro-treated group. This difference in the rates of hypoglycemia was not due to differences in glycemic control.</w:t>
      </w:r>
    </w:p>
    <w:p>
      <w:pPr>
        <w:spacing w:after="0" w:line="3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There are no assurances, however, that the US Food and Drug Administration, or FDA, will agree that the advantages of AFREZZA shown in these studies are sufficient to support approval or will otherwise be included in final product labeling or advertising.</w:t>
      </w:r>
    </w:p>
    <w:p>
      <w:pPr>
        <w:spacing w:after="0" w:line="51" w:lineRule="exact"/>
        <w:rPr>
          <w:sz w:val="20"/>
          <w:szCs w:val="20"/>
          <w:color w:val="auto"/>
        </w:rPr>
      </w:pPr>
    </w:p>
    <w:p>
      <w:pPr>
        <w:ind w:right="120" w:firstLine="228"/>
        <w:spacing w:after="0" w:line="298" w:lineRule="auto"/>
        <w:rPr>
          <w:sz w:val="20"/>
          <w:szCs w:val="20"/>
          <w:color w:val="auto"/>
        </w:rPr>
      </w:pPr>
      <w:r>
        <w:rPr>
          <w:rFonts w:ascii="Arial" w:cs="Arial" w:eastAsia="Arial" w:hAnsi="Arial"/>
          <w:sz w:val="16"/>
          <w:szCs w:val="16"/>
          <w:color w:val="auto"/>
        </w:rPr>
        <w:t>To date, our clinical trials have indicated that AFREZZA has a favorable safety profile. The most common adverse event associated with AFREZZA therapy was a transient, mild and non-productive cough, which occurred early in about 25-30% of subjects and diminished within the first few weeks after initiation of AFREZZA therapy. The occurrence of mild cough is well recognized with inhaled medications. In our studies, the number of subjects withdrawing due to cough was very low: 3.2% of subjects with type 1 diabetes and 2.6% of subjects with type 2 diabetes.</w:t>
      </w:r>
    </w:p>
    <w:p>
      <w:pPr>
        <w:spacing w:after="0" w:line="32"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color w:val="auto"/>
        </w:rPr>
        <w:t>After a two-year Phase 3 safety trial of AFREZZA, we determined that the use of AFREZZA in patients with diabetes was non-inferior to traditional diabetes care with respect to a decline in FEV1, a measure of lung function that assesses the volume of air that can be forcibly expired within one second. Similar results were obtained for other measures of lung function.</w:t>
      </w:r>
    </w:p>
    <w:p>
      <w:pPr>
        <w:spacing w:after="0" w:line="59"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Our clinical trials for AFREZZA have not demonstrated an increased risk of pulmonary cancer. In addition, we conducted comprehensive nonclinical studies of AFREZZA and unloaded Technosphere particles, including a two-year rat carcinogenicity study and a six-month transgenic mouse study. These studies indicated that there was no increased risk of cancer, or any other pathological effects.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Our completed Phase 3 clinical studies utilized our first-generation inhaler, known as MedTone. As part of ongoing development activities, we developed a next-generation inhaler, known as Dreamboat. Both the MedTone and Dreamboat devices are breath-powered, re-usable, high resistance inhalers that rely on air flow to empty the cartridge and deagglomerate the powder, but the Dreamboat inhalation system incorporates cosmetic improvements and removes non-essential elements. The resulting device is smaller, can be operated in fewer steps, requires only one inhalation per cartridge, and needs no cleaning because it is replaced after 15 days of use. The same AFREZZA powder is used in both the MedTone and Dreamboat inhalation systems.</w:t>
      </w:r>
    </w:p>
    <w:p>
      <w:pPr>
        <w:spacing w:after="0" w:line="35"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March 2009, we submitted a new drug application, or NDA, for AFREZZA to the FDA, in which we sought approval of the product with the MedTone inhaler. In March 2010, we received a Complete Response letter from the FDA that requested additional information about the clinical utility of AFREZZA and about the commercial version of the MedTone inhaler. After meeting with the FDA in June 2010, we determined that the best way to address the agency’s inhaler-related questions was to submit information regarding the bioequivalence of the MedTone inhaler and the Dreamboat inhaler, the latter of which had by that time become our preferred device from a clinical and commercial perspective. In June 2010, we submitted to the FDA the available bioequivalency data for the two devices along with additional evidence of efficacy of AFREZZA as part of our response to the 2010 Complete Response letter.</w:t>
      </w:r>
    </w:p>
    <w:p>
      <w:pPr>
        <w:spacing w:after="0" w:line="39"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In January 2011, we received a second Complete Response letter in which the FDA requested that we conduct two clinical studies with the Dreamboat inhaler (one in patients with type 1 diabetes and one in patients with type 2 diabetes), with at least one trial including a treatment group using the MedTone inhaler in order to obtain a head-to-head comparison of the pulmonary safety data for the two devices. Over the next eight months, we participated in a number of written and verbal exchanges with the FDA in order to clarify the FDA’s requirements for approval of AFREZZA, culminating in an in-person meeting in August 2011 in which we confirmed with the FDA the designs of the two requested studies.</w:t>
      </w:r>
    </w:p>
    <w:p>
      <w:pPr>
        <w:spacing w:after="0" w:line="35"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The study in patients with type 1 diabetes, known as study 171, is an open-label study in which all patients are first optimized on their basal insulin regimen before being randomized to one of three arms: a control arm, in which patients utilize an injected insulin analog at mealtimes; or one of two AFREZZA arms, one for our MedTone device and one for our Dreamboat device. After the mealtime insulin is titrated, there is a 12-week observation period on relatively stable doses of the mealtime insulin to assess A1c levels. The primary endpoint of study 171 is to show non-inferiority of the change in A1c levels in the Dreamboat group compared to the injected insulin analog group. The inclusion of two AFREZZA arms will permit us to perform a head-to-head comparison of the pulmonary safety data for the two devices, which we anticipate will provide a bridge to the extensive safety data that we collected in our earlier clinical studies that were conducted using the MedTone inhaler.</w:t>
      </w:r>
    </w:p>
    <w:p>
      <w:pPr>
        <w:spacing w:after="0" w:line="66"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The other requested study, known as study 175, is a placebo-controlled study in patients with type 2 diabetes who are inadequately controlled on metformin with or without a second or third oral medication. Patients are assigned to treatment with AFREZZA or placebo powder in a randomized fashion. There is a titration period followed by a 12-week observation period to assess A1c levels. The primary objective of this study is to show superiority of the AFREZZA group over the placebo group in lowering A1c levels.</w:t>
      </w:r>
    </w:p>
    <w:p>
      <w:pPr>
        <w:spacing w:after="0" w:line="62"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We are conducting these clinical studies at sites in the United States, Eastern Europe and South America. We finished recruiting patients in early October 2012 and expect to complete the studies in the second quarter of 2013. Upon completion, we expect to submit the results of these studies to the FDA as an amendment to our NDA during the fourth quarter of 2013. However, the data collected from these clinical trials may not reach statistical significance or may not otherwise be sufficient to support an amendment to our NDA, or FDA approval. Moreover, there can be no assurance that we will satisfy all of the FDA’s requirements with these two clinical studies or that the FDA will ultimately find our proposed approach to these clinical studies acceptable. The FDA could also request that we conduct additional clinical studies beyond studies 171 and 175 in order to provide sufficient data for approval of AFREZZA.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Opportunities</w:t>
      </w:r>
    </w:p>
    <w:p>
      <w:pPr>
        <w:spacing w:after="0" w:line="96"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AFREZZA utilizes our proprietary Technosphere formulation technology; however, this technology is not limited to insulin delivery. We believe it represents a versatile drug delivery platform that may allow pulmonary administration of certain drugs that currently require administration by injection. Beyond convenience, we believe the key advantage of drugs inhaled as Technosphere formulations is that they can be absorbed very rapidly into the arterial circulation, essentially mimicking intra-arterial administration. Currently, we are actively working with several parties to assess the feasibility of formulating different active ingredients on Technosphere particles. Additionally, our inhaler technology has the potential to be utilized for the administration of dry powder formulations for various other applications.</w:t>
      </w:r>
    </w:p>
    <w:p>
      <w:pPr>
        <w:spacing w:after="0" w:line="63" w:lineRule="exact"/>
        <w:rPr>
          <w:sz w:val="20"/>
          <w:szCs w:val="20"/>
          <w:color w:val="auto"/>
        </w:rPr>
      </w:pPr>
    </w:p>
    <w:p>
      <w:pPr>
        <w:ind w:right="260" w:firstLine="228"/>
        <w:spacing w:after="0" w:line="256" w:lineRule="auto"/>
        <w:rPr>
          <w:sz w:val="20"/>
          <w:szCs w:val="20"/>
          <w:color w:val="auto"/>
        </w:rPr>
      </w:pPr>
      <w:r>
        <w:rPr>
          <w:rFonts w:ascii="Arial" w:cs="Arial" w:eastAsia="Arial" w:hAnsi="Arial"/>
          <w:sz w:val="18"/>
          <w:szCs w:val="18"/>
          <w:color w:val="auto"/>
        </w:rPr>
        <w:t>Prior to the receipt of the Complete Response letters relating to AFREZZA, we had additional development programs aimed at developing products for treating different forms of cancer. During 2012, we out-licensed two of these programs and conducted only a limited amount of research with respect to a third program. Given our current resource constraints, we do not expect to allocate any significant funds to oncology product development activities for at least the next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are key elements of our strategy:</w:t>
      </w:r>
    </w:p>
    <w:p>
      <w:pPr>
        <w:spacing w:after="0" w:line="90"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i w:val="1"/>
          <w:iCs w:val="1"/>
          <w:color w:val="auto"/>
        </w:rPr>
        <w:t>Complete the requested clinical studies and gain FDA approval of AFREZZA</w:t>
      </w:r>
      <w:r>
        <w:rPr>
          <w:rFonts w:ascii="Arial" w:cs="Arial" w:eastAsia="Arial" w:hAnsi="Arial"/>
          <w:sz w:val="18"/>
          <w:szCs w:val="18"/>
          <w:color w:val="auto"/>
        </w:rPr>
        <w:t>. We finished recruiting patients in early October 2012 and expect to complete the</w:t>
      </w:r>
      <w:r>
        <w:rPr>
          <w:rFonts w:ascii="Arial" w:cs="Arial" w:eastAsia="Arial" w:hAnsi="Arial"/>
          <w:sz w:val="18"/>
          <w:szCs w:val="18"/>
          <w:i w:val="1"/>
          <w:iCs w:val="1"/>
          <w:color w:val="auto"/>
        </w:rPr>
        <w:t xml:space="preserve"> </w:t>
      </w:r>
      <w:r>
        <w:rPr>
          <w:rFonts w:ascii="Arial" w:cs="Arial" w:eastAsia="Arial" w:hAnsi="Arial"/>
          <w:sz w:val="18"/>
          <w:szCs w:val="18"/>
          <w:color w:val="auto"/>
        </w:rPr>
        <w:t>studies in the second quarter of 2013. Upon completion, we expect to submit the results to the FDA as an amendment to our NDA during the fourth quarter of 2013.</w:t>
      </w:r>
    </w:p>
    <w:p>
      <w:pPr>
        <w:spacing w:after="0" w:line="59" w:lineRule="exact"/>
        <w:rPr>
          <w:sz w:val="20"/>
          <w:szCs w:val="20"/>
          <w:color w:val="auto"/>
        </w:rPr>
      </w:pPr>
    </w:p>
    <w:p>
      <w:pPr>
        <w:ind w:right="420" w:firstLine="228"/>
        <w:spacing w:after="0" w:line="306" w:lineRule="auto"/>
        <w:rPr>
          <w:sz w:val="20"/>
          <w:szCs w:val="20"/>
          <w:color w:val="auto"/>
        </w:rPr>
      </w:pPr>
      <w:r>
        <w:rPr>
          <w:rFonts w:ascii="Arial" w:cs="Arial" w:eastAsia="Arial" w:hAnsi="Arial"/>
          <w:sz w:val="16"/>
          <w:szCs w:val="16"/>
          <w:i w:val="1"/>
          <w:iCs w:val="1"/>
          <w:color w:val="auto"/>
        </w:rPr>
        <w:t xml:space="preserve">Seek a development and commercialization partner for AFREZZA. </w:t>
      </w:r>
      <w:r>
        <w:rPr>
          <w:rFonts w:ascii="Arial" w:cs="Arial" w:eastAsia="Arial" w:hAnsi="Arial"/>
          <w:sz w:val="16"/>
          <w:szCs w:val="16"/>
          <w:color w:val="auto"/>
        </w:rPr>
        <w:t>We intend to pursue potential collaboration opportunities with large pharmaceutical</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in the United States, Europe and elsewhere in order to provide the financial and operational resources to develop, commercialize, market and sell AFREZZA. We have not yet licensed or transferred any of our rights to this product or to our platform technology.</w:t>
      </w:r>
    </w:p>
    <w:p>
      <w:pPr>
        <w:spacing w:after="0" w:line="26" w:lineRule="exact"/>
        <w:rPr>
          <w:sz w:val="20"/>
          <w:szCs w:val="20"/>
          <w:color w:val="auto"/>
        </w:rPr>
      </w:pPr>
    </w:p>
    <w:p>
      <w:pPr>
        <w:ind w:right="460" w:firstLine="228"/>
        <w:spacing w:after="0" w:line="298" w:lineRule="auto"/>
        <w:rPr>
          <w:sz w:val="20"/>
          <w:szCs w:val="20"/>
          <w:color w:val="auto"/>
        </w:rPr>
      </w:pPr>
      <w:r>
        <w:rPr>
          <w:rFonts w:ascii="Arial" w:cs="Arial" w:eastAsia="Arial" w:hAnsi="Arial"/>
          <w:sz w:val="16"/>
          <w:szCs w:val="16"/>
          <w:i w:val="1"/>
          <w:iCs w:val="1"/>
          <w:color w:val="auto"/>
        </w:rPr>
        <w:t xml:space="preserve">Capitalize on our proprietary Technosphere and inhaler technology for the delivery of active pharmaceutical ingredients. </w:t>
      </w:r>
      <w:r>
        <w:rPr>
          <w:rFonts w:ascii="Arial" w:cs="Arial" w:eastAsia="Arial" w:hAnsi="Arial"/>
          <w:sz w:val="16"/>
          <w:szCs w:val="16"/>
          <w:color w:val="auto"/>
        </w:rPr>
        <w:t>We are actively exploring</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to out-license our proprietary Technosphere formulation technology. We believe that Technosphere formulations of active pharmaceutical ingredients have the potential to demonstrate clinical advantages over existing therapeutic options in a variety of therapeutic areas. Additionally, our inhaler technology has the potential to be utilized for the administration of dry powder formulations for various other applications.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220" w:firstLine="228"/>
        <w:spacing w:after="0" w:line="256" w:lineRule="auto"/>
        <w:rPr>
          <w:sz w:val="20"/>
          <w:szCs w:val="20"/>
          <w:color w:val="auto"/>
        </w:rPr>
      </w:pPr>
      <w:r>
        <w:rPr>
          <w:rFonts w:ascii="Arial" w:cs="Arial" w:eastAsia="Arial" w:hAnsi="Arial"/>
          <w:sz w:val="18"/>
          <w:szCs w:val="18"/>
          <w:color w:val="auto"/>
        </w:rPr>
        <w:t>Our efforts to date have primarily been directed at developing pharmaceutical products for a number of different markets. We currently have no sales or distribution capabilities and have no experience as a company in marketing or selling pharmaceutical products. However, we have built a small marketing team and are engaged in the planning and market research activities that we believe would typically be undertaken to support the late-stage development of a pharmaceutical product.</w:t>
      </w:r>
    </w:p>
    <w:p>
      <w:pPr>
        <w:spacing w:after="0" w:line="62"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In order to commercially market any of our product candidates, we would either need to develop an internal sales team and continue to expand our marketing infrastructure or collaborate with third parties who have greater sales and marketing capabilities and have access to potentially large markets. Although we believe that establishing our own sales and marketing organization in North America would have substantial advantages, we recognize that this may not be practical for some of our product candidates and that collaborating with companies with established sales and marketing capabilities in a particular market or markets may be a more effective alternative for some products. To date, we have retained worldwide commercialization rights for all of our Technosphere-based product candidates, including AFREZZA. We intend to pursue potential collaboration opportunities to assist us in the commercialization of AFREZZA in the United States and other major markets.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96"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We formulate and fill the AFREZZA inhalation powder into plastic cartridges and blister package the cartridges in our Danbury, Connecticut facility. We believe that our Danbury facility has enough capacity to satisfy the initial commercial demand for AFREZZA, if approved, although the facility includes expansion space that can allow production capacity to be increased based on anticipated needs during the initial years of commercialization. The quality management systems of our facility were certified to be in conformance with the ISO 13485 and ISO 9001 standards. In addition, our facility underwent a successful pre-approval inspection by the FDA during the fall of 2009. A portion of this pre-approval inspection was related to our ability to fill and package cartridges for the MedTone inhaler. We anticipate that our facility will need to undergo another successful pre-approval inspection related to our ability to fill and package cartridges for our Dreamboat inhaler before the FDA will approve the NDA for AFREZZA.</w:t>
      </w:r>
    </w:p>
    <w:p>
      <w:pPr>
        <w:spacing w:after="0" w:line="37"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color w:val="auto"/>
        </w:rPr>
        <w:t>Currently, our insulin inventory is from two sources. Between November 2007 and July 2011, we received a quantity of insulin pursuant to an insulin supply agreement with N.V. Organon, a subsidiary of Merck &amp; Co., Inc. In June 2009, we acquired a quantity of bulk insulin from Pfizer Manufacturing Frankfurt GmbH, a subsidiary of Pfizer Inc., as well as Pfizer’s rights under a license to manufacture insulin for pulmonary delivery. In addition, we acquired an option to purchase from Pfizer additional insulin inventory, in whole or in part, at a specified price, to the extent it remains available. Once we have used our existing supply of insulin, we will need to secure additional insulin from market sources.</w:t>
      </w:r>
    </w:p>
    <w:p>
      <w:pPr>
        <w:spacing w:after="0" w:line="35"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The contract manufacturer that has been producing our clinical supplies of the Dreamboat inhaler and the corresponding cartridges is currently performing qualification of the various cartridge and inhaler molds for commercial purposes. We may also seek to qualify an additional vendor.</w:t>
      </w:r>
    </w:p>
    <w:p>
      <w:pPr>
        <w:spacing w:after="0" w:line="4"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Currently, we purchase the raw material from which we produce Technosphere particles from a major chemical manufacturer with facilities in Europe and North America. We also have the capability of manufacturing this chemical ourselves in our Danbury facility, which we intend to use as a back-up facility. Like us, our third-party manufacturers are subject to extensive governmental regulation. We rely on our manufacturers to comply with relevant regulatory requirements, including compliance with Quality System Regulations, or QSRs.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TECHNOLOGY</w:t>
      </w:r>
    </w:p>
    <w:p>
      <w:pPr>
        <w:spacing w:after="0" w:line="9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Our success will depend in large measure on our ability to obtain and enforce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w:t>
      </w:r>
    </w:p>
    <w:p>
      <w:pPr>
        <w:spacing w:after="0" w:line="35" w:lineRule="exact"/>
        <w:rPr>
          <w:sz w:val="20"/>
          <w:szCs w:val="20"/>
          <w:color w:val="auto"/>
        </w:rPr>
      </w:pPr>
    </w:p>
    <w:p>
      <w:pPr>
        <w:ind w:right="80" w:firstLine="228"/>
        <w:spacing w:after="0" w:line="252" w:lineRule="auto"/>
        <w:rPr>
          <w:sz w:val="20"/>
          <w:szCs w:val="20"/>
          <w:color w:val="auto"/>
        </w:rPr>
      </w:pPr>
      <w:r>
        <w:rPr>
          <w:rFonts w:ascii="Arial" w:cs="Arial" w:eastAsia="Arial" w:hAnsi="Arial"/>
          <w:sz w:val="18"/>
          <w:szCs w:val="18"/>
          <w:color w:val="auto"/>
        </w:rPr>
        <w:t>Our Technosphere drug delivery platform, including AFREZZA, enjoys patent protection relating to the particles, their manufacture, and their use for pulmonary delivery of drugs. We have additional patent coverage relating to the treatment of diabetes using AFREZZA. We have been granted patent coverage for our inhaler and cartridges in the form in which we expect our insulin product to be sold to the consumer, if and when approved by the FDA. We have additional pending patent applications, and expect to file further applications, relating to the drug delivery platform, methods of manufacture, the AFREZZA product and its use, and other Technosphere-based products, inhalers and inhaler cartridges. Overall, AFREZZA is protected by over 300 issued patents, and we also have over 300 pending applications in the United States and selected jurisdictions around the world related to our Technosphere platform. These include composition and method of treatment patents providing protection for AFREZZA that have terms extending into 2020 and 2031. In addition, patents providing protection for our inhaler and cartridges have terms extending into 2023 and 2030, and we have certain treatment claims that have terms extending into 2026 and 2029.</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The field of pulmonary drug delivery is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62" w:lineRule="exact"/>
        <w:rPr>
          <w:sz w:val="20"/>
          <w:szCs w:val="20"/>
          <w:color w:val="auto"/>
        </w:rPr>
      </w:pPr>
    </w:p>
    <w:p>
      <w:pPr>
        <w:ind w:right="60" w:firstLine="228"/>
        <w:spacing w:after="0" w:line="287" w:lineRule="auto"/>
        <w:rPr>
          <w:sz w:val="20"/>
          <w:szCs w:val="20"/>
          <w:color w:val="auto"/>
        </w:rPr>
      </w:pPr>
      <w:r>
        <w:rPr>
          <w:rFonts w:ascii="Arial" w:cs="Arial" w:eastAsia="Arial" w:hAnsi="Arial"/>
          <w:sz w:val="16"/>
          <w:szCs w:val="16"/>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42"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Technosphere-based investigational products, we have identified certain third-party patents having claims relating to pulmonary insulin delivery that may trigger an allegation of infringement upon the commercial manufacture and sale of AFREZZA. We believe that we are not infringing any valid claims of any patent owned by a third party. However, if a court were to determine that our inhaled insulin product was infringing any of these patent rights, we would have to establish with the court that these patents were invalid in order to avoid legal liability for infringement of these 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if the patent holder refuses to either assign or license us the infringed patents, it may be necessary to cease manufacturing the product entirely and/or design around the patents. In either event, our business would be harmed and our profitability could be materially adversely impacted. If third parties file patent applications, or are issued patents claiming technology also claimed by us in pending applications, we may be required to participate in interference proceedings in the United States Patent and Trademark Office, or USPTO, to determine priority of invention. We may be required to participate in interference proceedings involving our issued patents and pending applications.</w:t>
      </w:r>
    </w:p>
    <w:p>
      <w:pPr>
        <w:spacing w:after="0" w:line="43" w:lineRule="exact"/>
        <w:rPr>
          <w:sz w:val="20"/>
          <w:szCs w:val="20"/>
          <w:color w:val="auto"/>
        </w:rPr>
      </w:pPr>
    </w:p>
    <w:p>
      <w:pPr>
        <w:ind w:right="100" w:firstLine="228"/>
        <w:spacing w:after="0" w:line="290" w:lineRule="auto"/>
        <w:rPr>
          <w:sz w:val="20"/>
          <w:szCs w:val="20"/>
          <w:color w:val="auto"/>
        </w:rPr>
      </w:pPr>
      <w:r>
        <w:rPr>
          <w:rFonts w:ascii="Arial" w:cs="Arial" w:eastAsia="Arial" w:hAnsi="Arial"/>
          <w:sz w:val="16"/>
          <w:szCs w:val="16"/>
          <w:color w:val="auto"/>
        </w:rPr>
        <w:t>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37"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The pharmaceutical and biotechnology industries are highly competitive and characterized by rapidly evolving technology and intense research and development efforts. We expect to compete with companies, including major international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will face competition based on, among other things, product efficacy and safety, the timing and scope of regulatory approvals, product ease of use and price.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Diabetes Treatments</w:t>
      </w:r>
    </w:p>
    <w:p>
      <w:pPr>
        <w:spacing w:after="0" w:line="96"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We believe that AFREZZA has important competitive advantages in the delivery of insulin when compared with currently known alternatives. However, new drugs or further developments in alternative drug delivery methods may provide greater therapeutic benefits, or comparable benefits at lower cost, than AFREZZA. There can be no assurance that existing or new competitors will not introduce products or processes competitive with or superior to our product candidates.</w:t>
      </w:r>
    </w:p>
    <w:p>
      <w:pPr>
        <w:spacing w:after="0" w:line="62" w:lineRule="exact"/>
        <w:rPr>
          <w:sz w:val="20"/>
          <w:szCs w:val="20"/>
          <w:color w:val="auto"/>
        </w:rPr>
      </w:pPr>
    </w:p>
    <w:p>
      <w:pPr>
        <w:ind w:right="740" w:firstLine="228"/>
        <w:spacing w:after="0" w:line="391" w:lineRule="auto"/>
        <w:rPr>
          <w:sz w:val="20"/>
          <w:szCs w:val="20"/>
          <w:color w:val="auto"/>
        </w:rPr>
      </w:pPr>
      <w:r>
        <w:rPr>
          <w:rFonts w:ascii="Arial" w:cs="Arial" w:eastAsia="Arial" w:hAnsi="Arial"/>
          <w:sz w:val="18"/>
          <w:szCs w:val="18"/>
          <w:color w:val="auto"/>
        </w:rPr>
        <w:t xml:space="preserve">We have set forth below more detailed information about certain of our competitors. The following is based on information currently available to us. </w:t>
      </w:r>
      <w:r>
        <w:rPr>
          <w:rFonts w:ascii="Arial" w:cs="Arial" w:eastAsia="Arial" w:hAnsi="Arial"/>
          <w:sz w:val="18"/>
          <w:szCs w:val="18"/>
          <w:b w:val="1"/>
          <w:bCs w:val="1"/>
          <w:color w:val="auto"/>
        </w:rPr>
        <w:t>Rapid-acting (Injected) Insulin</w:t>
      </w:r>
    </w:p>
    <w:p>
      <w:pPr>
        <w:spacing w:after="0" w:line="1"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Currently, there is no approved insulin product that is absorbed into the bloodstream as rapidly as AFREZZA, i.e., reaching peak levels within 12 to 14 minutes after administration. There are several formulations of “rapid-acting” insulin analogs that claim to reach peak insulin levels within 30 to 90 minutes after injection. The principal products in this category are Humalog</w:t>
      </w:r>
      <w:r>
        <w:rPr>
          <w:rFonts w:ascii="Arial" w:cs="Arial" w:eastAsia="Arial" w:hAnsi="Arial"/>
          <w:sz w:val="11"/>
          <w:szCs w:val="11"/>
          <w:color w:val="auto"/>
        </w:rPr>
        <w:t>®</w:t>
      </w:r>
      <w:r>
        <w:rPr>
          <w:rFonts w:ascii="Arial" w:cs="Arial" w:eastAsia="Arial" w:hAnsi="Arial"/>
          <w:sz w:val="18"/>
          <w:szCs w:val="18"/>
          <w:color w:val="auto"/>
        </w:rPr>
        <w:t>, which was developed by Eli Lilly &amp; Company, or Lilly, NovoLog</w:t>
      </w:r>
      <w:r>
        <w:rPr>
          <w:rFonts w:ascii="Arial" w:cs="Arial" w:eastAsia="Arial" w:hAnsi="Arial"/>
          <w:sz w:val="11"/>
          <w:szCs w:val="11"/>
          <w:color w:val="auto"/>
        </w:rPr>
        <w:t>®</w:t>
      </w:r>
      <w:r>
        <w:rPr>
          <w:rFonts w:ascii="Arial" w:cs="Arial" w:eastAsia="Arial" w:hAnsi="Arial"/>
          <w:sz w:val="18"/>
          <w:szCs w:val="18"/>
          <w:color w:val="auto"/>
        </w:rPr>
        <w:t>, which was developed by Novo Nordisk A/S, or Novo Nordisk, and Apidra</w:t>
      </w:r>
      <w:r>
        <w:rPr>
          <w:rFonts w:ascii="Arial" w:cs="Arial" w:eastAsia="Arial" w:hAnsi="Arial"/>
          <w:sz w:val="11"/>
          <w:szCs w:val="11"/>
          <w:color w:val="auto"/>
        </w:rPr>
        <w:t>®</w:t>
      </w:r>
      <w:r>
        <w:rPr>
          <w:rFonts w:ascii="Arial" w:cs="Arial" w:eastAsia="Arial" w:hAnsi="Arial"/>
          <w:sz w:val="18"/>
          <w:szCs w:val="18"/>
          <w:color w:val="auto"/>
        </w:rPr>
        <w:t>, which was developed by Sanofi.</w:t>
      </w:r>
    </w:p>
    <w:p>
      <w:pPr>
        <w:spacing w:after="0" w:line="62"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Several insulin products in development are reported to have a time-action profile that is more rapid than that of the currently available rapid-acting insulin analogs. Halozyme Therapeutics, Inc. has conducted Phase 2 clinical studies to evaluate the safety and efficacy of a formulation of human insulin or an insulin analog that is co-administered with human hyaluronidase enzyme. This enzyme temporarily degrades a naturally occurring, space-filling substance that is a major component of normal tissues throughout the body, thereby facilitating the penetration and diffusion of insulin that is injected under the skin.</w:t>
      </w:r>
    </w:p>
    <w:p>
      <w:pPr>
        <w:spacing w:after="0" w:line="32"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color w:val="auto"/>
        </w:rPr>
        <w:t>Novo Nordisk has conducted Phase 1 clinical studies of NN1218, an insulin analog that is intended to provide faster onset of action than the currently available rapid-acting insulin analogs.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Biodel, Inc. is developing ultra-rapid acting insulin formulations, one of which has advanced to a Phase 2 clinical trial.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Inhaled Insulin Delivery Systems</w:t>
      </w:r>
    </w:p>
    <w:p>
      <w:pPr>
        <w:spacing w:after="0" w:line="96"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In January 2006, Exubera</w:t>
      </w:r>
      <w:r>
        <w:rPr>
          <w:rFonts w:ascii="Arial" w:cs="Arial" w:eastAsia="Arial" w:hAnsi="Arial"/>
          <w:sz w:val="10"/>
          <w:szCs w:val="10"/>
          <w:color w:val="auto"/>
        </w:rPr>
        <w:t>®</w:t>
      </w:r>
      <w:r>
        <w:rPr>
          <w:rFonts w:ascii="Arial" w:cs="Arial" w:eastAsia="Arial" w:hAnsi="Arial"/>
          <w:sz w:val="16"/>
          <w:szCs w:val="16"/>
          <w:color w:val="auto"/>
        </w:rPr>
        <w:t>, developed by Pfizer in collaboration with Nektar Therapeutics, Inc., was approved for the treatment of adults with type 1 and type 2 diabetes. Exubera</w:t>
      </w:r>
      <w:r>
        <w:rPr>
          <w:rFonts w:ascii="Arial" w:cs="Arial" w:eastAsia="Arial" w:hAnsi="Arial"/>
          <w:sz w:val="10"/>
          <w:szCs w:val="10"/>
          <w:color w:val="auto"/>
        </w:rPr>
        <w:t>®</w:t>
      </w:r>
      <w:r>
        <w:rPr>
          <w:rFonts w:ascii="Arial" w:cs="Arial" w:eastAsia="Arial" w:hAnsi="Arial"/>
          <w:sz w:val="16"/>
          <w:szCs w:val="16"/>
          <w:color w:val="auto"/>
        </w:rPr>
        <w:t xml:space="preserve"> was slow to gain market acceptance and, in October 2007, Pfizer announced that it was discontinuing the product. In September 2008, we announced a collaboration agreement with Pfizer pursuant to which certain patients with a continuing medical need for inhaled insulin were transitioned to AFREZZA on a compassionate use basis. Pfizer subsequently withdrew the NDA for Exubera from the FDA.</w:t>
      </w:r>
    </w:p>
    <w:p>
      <w:pPr>
        <w:spacing w:after="0" w:line="32"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In January 2008, Novo Nordisk announced that it was halting development of its inhaled insulin product, having reached the conclusion that the product did not have adequate commercial potential.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In March 2008, Lilly announced that it was terminating the development of its AIR</w:t>
      </w:r>
      <w:r>
        <w:rPr>
          <w:rFonts w:ascii="Arial" w:cs="Arial" w:eastAsia="Arial" w:hAnsi="Arial"/>
          <w:sz w:val="11"/>
          <w:szCs w:val="11"/>
          <w:color w:val="auto"/>
        </w:rPr>
        <w:t>®</w:t>
      </w:r>
      <w:r>
        <w:rPr>
          <w:rFonts w:ascii="Arial" w:cs="Arial" w:eastAsia="Arial" w:hAnsi="Arial"/>
          <w:sz w:val="18"/>
          <w:szCs w:val="18"/>
          <w:color w:val="auto"/>
        </w:rPr>
        <w:t xml:space="preserve"> inhaled insulin system. Lilly stated that this decision resulted from increasing uncertainties in the regulatory environment and after a thorough evaluation of the evolving commercial and clinical potential of its product compared to existing medical therapies.</w:t>
      </w:r>
    </w:p>
    <w:p>
      <w:pPr>
        <w:spacing w:after="0" w:line="59"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In January 2011, Dance Pharmaceuticals, Inc. announced that it would pursue development of an inhaled insulin product based on aerosol technology licensed to Dance Pharmaceuticals by Aerogen Ltd.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Non-insulin Medications</w:t>
      </w:r>
    </w:p>
    <w:p>
      <w:pPr>
        <w:spacing w:after="0" w:line="96"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We expect that AFREZZA, if approved, will compete with currently available non-insulin medication products for type 2 diabetes. These products include the following:</w:t>
      </w:r>
    </w:p>
    <w:p>
      <w:pPr>
        <w:spacing w:after="0" w:line="51" w:lineRule="exact"/>
        <w:rPr>
          <w:sz w:val="20"/>
          <w:szCs w:val="20"/>
          <w:color w:val="auto"/>
        </w:rPr>
      </w:pPr>
    </w:p>
    <w:p>
      <w:pPr>
        <w:ind w:left="440" w:right="320" w:hanging="216"/>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GLP-1 agonists, such as exenatide or liraglutide, which mimic a naturally occurring hormone that stimulates the pancreas to secrete insulin when blood glucose levels are high.</w:t>
      </w:r>
    </w:p>
    <w:p>
      <w:pPr>
        <w:spacing w:after="0" w:line="50" w:lineRule="exact"/>
        <w:rPr>
          <w:rFonts w:ascii="Arial" w:cs="Arial" w:eastAsia="Arial" w:hAnsi="Arial"/>
          <w:sz w:val="18"/>
          <w:szCs w:val="18"/>
          <w:color w:val="auto"/>
        </w:rPr>
      </w:pPr>
    </w:p>
    <w:p>
      <w:pPr>
        <w:ind w:left="440" w:right="100" w:hanging="216"/>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Inhibitors of dipeptidyl peptidase IV, such as sitagliptin or saxagliptin, are a class of drugs that work by blocking the enzyme that normally degrades GLP-1.</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Sulfonylureas and meglitinides, which are classes of drugs that act on the pancreatic cells to stimulate the secretion of insulin.</w:t>
      </w:r>
    </w:p>
    <w:p>
      <w:pPr>
        <w:spacing w:after="0" w:line="90" w:lineRule="exact"/>
        <w:rPr>
          <w:rFonts w:ascii="Arial" w:cs="Arial" w:eastAsia="Arial" w:hAnsi="Arial"/>
          <w:sz w:val="18"/>
          <w:szCs w:val="18"/>
          <w:color w:val="auto"/>
        </w:rPr>
      </w:pPr>
    </w:p>
    <w:p>
      <w:pPr>
        <w:ind w:left="440" w:right="100" w:hanging="216"/>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Thiazolidinediones, such as pioglitizone, and biguanides, such as metformin, which lower blood glucose by improving the sensitivity of cells to insulin, or diminishing insulin resistance.</w:t>
      </w:r>
    </w:p>
    <w:p>
      <w:pPr>
        <w:spacing w:after="0" w:line="50" w:lineRule="exact"/>
        <w:rPr>
          <w:rFonts w:ascii="Arial" w:cs="Arial" w:eastAsia="Arial" w:hAnsi="Arial"/>
          <w:sz w:val="18"/>
          <w:szCs w:val="18"/>
          <w:color w:val="auto"/>
        </w:rPr>
      </w:pPr>
    </w:p>
    <w:p>
      <w:pPr>
        <w:ind w:left="440" w:right="20" w:hanging="216"/>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Alpha-glucosidase inhibitors, which lower the amount of glucose absorbed from the intestines, thereby reducing the rise in blood glucose that occurs after a meal.</w:t>
      </w:r>
    </w:p>
    <w:p>
      <w:pPr>
        <w:spacing w:after="0" w:line="50" w:lineRule="exact"/>
        <w:rPr>
          <w:rFonts w:ascii="Arial" w:cs="Arial" w:eastAsia="Arial" w:hAnsi="Arial"/>
          <w:sz w:val="18"/>
          <w:szCs w:val="18"/>
          <w:color w:val="auto"/>
        </w:rPr>
      </w:pPr>
    </w:p>
    <w:p>
      <w:pPr>
        <w:ind w:left="440" w:right="20" w:hanging="216"/>
        <w:spacing w:after="0" w:line="332"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SGLT-2 inhibitors, which are a new class of medications that lower blood glucose by increasing glucose excretion in urine. Examples include dapagliflozin, which was recently approved in Europe but not in the United States and canagliflozin, which is currently under review by the FDA.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96"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The FDA and comparable regulatory agencies in state, local and foreign jurisdictions impose substantial requirements upon the clinical development, manufacture and marketing of medical devices and new drug and biologic products. These agencies, through regulations that implement the Federal Food, Drug, and Cosmetic Act, as amended, or FDCA, and other regulations, regulate research and development activities and the development, testing, manufacture, labeling, storage, shipping, approval, recordkeeping, advertising, promotion, sale and distribution of such products. In addition, if any of our subsequently approved products are marketed abroad, they will also be subject to export requirements and to regulation by foreign governments. The regulatory approval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4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steps typically required before an unapproved new drug or biologic product for use in humans may be marketed in the United States include:</w:t>
      </w:r>
    </w:p>
    <w:p>
      <w:pPr>
        <w:spacing w:after="0" w:line="113" w:lineRule="exact"/>
        <w:rPr>
          <w:sz w:val="20"/>
          <w:szCs w:val="20"/>
          <w:color w:val="auto"/>
        </w:rPr>
      </w:pPr>
    </w:p>
    <w:p>
      <w:pPr>
        <w:ind w:left="440" w:right="60" w:hanging="216"/>
        <w:spacing w:after="0" w:line="256"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62" w:lineRule="exact"/>
        <w:rPr>
          <w:rFonts w:ascii="Arial" w:cs="Arial" w:eastAsia="Arial" w:hAnsi="Arial"/>
          <w:sz w:val="18"/>
          <w:szCs w:val="18"/>
          <w:color w:val="auto"/>
        </w:rPr>
      </w:pPr>
    </w:p>
    <w:p>
      <w:pPr>
        <w:jc w:val="both"/>
        <w:ind w:left="440" w:right="40" w:hanging="216"/>
        <w:spacing w:after="0" w:line="259"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trials may commence. The results of the preclinical studies are submitted to the FDA as part of the IND. Unless the FDA objects, the IND becomes effective 30 days following receipt by the FDA.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40" w:hanging="216"/>
        <w:spacing w:after="0" w:line="25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clinical protocols by independent institutional review boards, or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59" w:lineRule="exact"/>
        <w:rPr>
          <w:rFonts w:ascii="Arial" w:cs="Arial" w:eastAsia="Arial" w:hAnsi="Arial"/>
          <w:sz w:val="18"/>
          <w:szCs w:val="18"/>
          <w:color w:val="auto"/>
        </w:rPr>
      </w:pPr>
    </w:p>
    <w:p>
      <w:pPr>
        <w:ind w:left="440" w:hanging="216"/>
        <w:spacing w:after="0" w:line="255"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61" w:lineRule="exact"/>
        <w:rPr>
          <w:rFonts w:ascii="Arial" w:cs="Arial" w:eastAsia="Arial" w:hAnsi="Arial"/>
          <w:sz w:val="18"/>
          <w:szCs w:val="18"/>
          <w:color w:val="auto"/>
        </w:rPr>
      </w:pPr>
    </w:p>
    <w:p>
      <w:pPr>
        <w:ind w:left="660" w:hanging="206"/>
        <w:spacing w:after="0" w:line="25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 evidence of efficacy that would traditionally be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66" w:lineRule="exact"/>
        <w:rPr>
          <w:rFonts w:ascii="Arial" w:cs="Arial" w:eastAsia="Arial" w:hAnsi="Arial"/>
          <w:sz w:val="18"/>
          <w:szCs w:val="18"/>
          <w:color w:val="auto"/>
        </w:rPr>
      </w:pPr>
    </w:p>
    <w:p>
      <w:pPr>
        <w:ind w:left="660" w:right="180" w:hanging="206"/>
        <w:spacing w:after="0" w:line="268"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50" w:lineRule="exact"/>
        <w:rPr>
          <w:rFonts w:ascii="Arial" w:cs="Arial" w:eastAsia="Arial" w:hAnsi="Arial"/>
          <w:sz w:val="18"/>
          <w:szCs w:val="18"/>
          <w:color w:val="auto"/>
        </w:rPr>
      </w:pPr>
    </w:p>
    <w:p>
      <w:pPr>
        <w:ind w:left="660" w:right="180" w:hanging="206"/>
        <w:spacing w:after="0" w:line="256"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62" w:lineRule="exact"/>
        <w:rPr>
          <w:rFonts w:ascii="Arial" w:cs="Arial" w:eastAsia="Arial" w:hAnsi="Arial"/>
          <w:sz w:val="18"/>
          <w:szCs w:val="18"/>
          <w:color w:val="auto"/>
        </w:rPr>
      </w:pPr>
    </w:p>
    <w:p>
      <w:pPr>
        <w:ind w:left="660" w:right="40" w:hanging="206"/>
        <w:spacing w:after="0" w:line="306" w:lineRule="auto"/>
        <w:tabs>
          <w:tab w:leader="none" w:pos="660" w:val="left"/>
        </w:tabs>
        <w:numPr>
          <w:ilvl w:val="1"/>
          <w:numId w:val="6"/>
        </w:numPr>
        <w:rPr>
          <w:rFonts w:ascii="Arial" w:cs="Arial" w:eastAsia="Arial" w:hAnsi="Arial"/>
          <w:sz w:val="16"/>
          <w:szCs w:val="16"/>
          <w:color w:val="auto"/>
        </w:rPr>
      </w:pPr>
      <w:r>
        <w:rPr>
          <w:rFonts w:ascii="Arial" w:cs="Arial" w:eastAsia="Arial" w:hAnsi="Arial"/>
          <w:sz w:val="16"/>
          <w:szCs w:val="16"/>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candidate and can provide important safety information to augment the FDA’s voluntary adverse drug reaction reporting system.</w:t>
      </w:r>
    </w:p>
    <w:p>
      <w:pPr>
        <w:spacing w:after="0" w:line="25" w:lineRule="exact"/>
        <w:rPr>
          <w:rFonts w:ascii="Arial" w:cs="Arial" w:eastAsia="Arial" w:hAnsi="Arial"/>
          <w:sz w:val="16"/>
          <w:szCs w:val="16"/>
          <w:color w:val="auto"/>
        </w:rPr>
      </w:pPr>
    </w:p>
    <w:p>
      <w:pPr>
        <w:ind w:left="440" w:right="20" w:hanging="216"/>
        <w:spacing w:after="0" w:line="294" w:lineRule="auto"/>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Concurrent with clinical trials and preclinical studies, companies also must develop information about the chemistry and physical characteristics of the drug and finalize a process for manufacturing the product in accordance with the FDA’s current good manufacturing practices, or cGMP, requirements for drug products.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34" w:lineRule="exact"/>
        <w:rPr>
          <w:rFonts w:ascii="Arial" w:cs="Arial" w:eastAsia="Arial" w:hAnsi="Arial"/>
          <w:sz w:val="16"/>
          <w:szCs w:val="16"/>
          <w:color w:val="auto"/>
        </w:rPr>
      </w:pPr>
    </w:p>
    <w:p>
      <w:pPr>
        <w:ind w:left="440" w:hanging="216"/>
        <w:spacing w:after="0" w:line="255"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NDA, or a Biologics License Application, or BLA, based on the clinical trials. The results of product development, preclinical studies, and clinical trials are submitted to the FDA in the form of an NDA or BLA for approval of the marketing and commercial shipment of the product. Under the Pediatric Research Equity Act, NDAs are required to include an assessment, generally based on clinical study data, of the safety and efficacy of drugs for all relevant pediatric populations. The statute provides for waivers or deferrals in certain situations but we can make no assurances that such situations will apply to us or our product candidates.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228"/>
        <w:spacing w:after="0" w:line="287" w:lineRule="auto"/>
        <w:rPr>
          <w:sz w:val="20"/>
          <w:szCs w:val="20"/>
          <w:color w:val="auto"/>
        </w:rPr>
      </w:pPr>
      <w:r>
        <w:rPr>
          <w:rFonts w:ascii="Arial" w:cs="Arial" w:eastAsia="Arial" w:hAnsi="Arial"/>
          <w:sz w:val="16"/>
          <w:szCs w:val="16"/>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w:t>
      </w:r>
      <w:r>
        <w:rPr>
          <w:rFonts w:ascii="Arial" w:cs="Arial" w:eastAsia="Arial" w:hAnsi="Arial"/>
          <w:sz w:val="16"/>
          <w:szCs w:val="16"/>
          <w:i w:val="1"/>
          <w:iCs w:val="1"/>
          <w:color w:val="auto"/>
        </w:rPr>
        <w:t>e.g.</w:t>
      </w:r>
      <w:r>
        <w:rPr>
          <w:rFonts w:ascii="Arial" w:cs="Arial" w:eastAsia="Arial" w:hAnsi="Arial"/>
          <w:sz w:val="16"/>
          <w:szCs w:val="16"/>
          <w:color w:val="auto"/>
        </w:rPr>
        <w:t>,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The determination whether a product is a combination product or two separate products is made by the FDA on a case-by-case basis. The FDA considers AFREZZA to be a drug-device combination product, so the review of our NDA for AFREZZA involves reviews within the Division of Metabolism and Endocrinology Products and the Division of Pulmonary, Allergy and Rheumatology Products, both within the FDA’s Center for Drug Evaluation and Research, or CDER, as well as review within the Center for Devices and Radiological Health, the Center within the FDA that reviews Medical Devices. CDER’s Division of Metabolism and Endocrinology Products is the lead group and obtains consulting reviews from the other two FDA groups.</w:t>
      </w:r>
    </w:p>
    <w:p>
      <w:pPr>
        <w:spacing w:after="0" w:line="42" w:lineRule="exact"/>
        <w:rPr>
          <w:sz w:val="20"/>
          <w:szCs w:val="20"/>
          <w:color w:val="auto"/>
        </w:rPr>
      </w:pPr>
    </w:p>
    <w:p>
      <w:pPr>
        <w:ind w:firstLine="228"/>
        <w:spacing w:after="0" w:line="285" w:lineRule="auto"/>
        <w:rPr>
          <w:sz w:val="20"/>
          <w:szCs w:val="20"/>
          <w:color w:val="auto"/>
        </w:rPr>
      </w:pPr>
      <w:r>
        <w:rPr>
          <w:rFonts w:ascii="Arial" w:cs="Arial" w:eastAsia="Arial" w:hAnsi="Arial"/>
          <w:sz w:val="16"/>
          <w:szCs w:val="16"/>
          <w:color w:val="auto"/>
        </w:rPr>
        <w:t>The testing and approval process requires substantial time, effort and financial resources. Data that we submit are subject to varying interpretations, and the FDA and comparable regulatory authorities in foreign jurisdictions may not agree that our product candidates have been shown to be safe and effective. We cannot be certain that any approval of our products will be granted on a timely basis, if at all. If any of our products are approved for marketing by the FDA, we will be subject to continuing regulation by the FDA, including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the supplier(s) of our Technosphere material and the supplier(s) of our inhaler and cartridges are subject to federal registration and listing requirements and, if applicable, to state licensing requirements.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Currently, we believe we are operating under all of the necessary guidelines and permits.</w:t>
      </w:r>
    </w:p>
    <w:p>
      <w:pPr>
        <w:spacing w:after="0" w:line="47"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As a drug-device combination, we currently expect that our inhaler will be approved, if at all, as part of the NDA for AFREZZA. However, numerous device regulatory requirements still apply to the device part of the drug-device combination. These include:</w:t>
      </w:r>
    </w:p>
    <w:p>
      <w:pPr>
        <w:spacing w:after="0" w:line="51" w:lineRule="exact"/>
        <w:rPr>
          <w:sz w:val="20"/>
          <w:szCs w:val="20"/>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labeling regulations;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prohibition against promoting products for unapproved or “off-label” uses;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corrections and removals (</w:t>
      </w:r>
      <w:r>
        <w:rPr>
          <w:rFonts w:ascii="Arial" w:cs="Arial" w:eastAsia="Arial" w:hAnsi="Arial"/>
          <w:sz w:val="18"/>
          <w:szCs w:val="18"/>
          <w:i w:val="1"/>
          <w:iCs w:val="1"/>
          <w:color w:val="auto"/>
        </w:rPr>
        <w:t>e.g</w:t>
      </w:r>
      <w:r>
        <w:rPr>
          <w:rFonts w:ascii="Arial" w:cs="Arial" w:eastAsia="Arial" w:hAnsi="Arial"/>
          <w:sz w:val="18"/>
          <w:szCs w:val="18"/>
          <w:color w:val="auto"/>
        </w:rPr>
        <w:t>., recalls);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prohibitions against the manufacture and distribution of adulterated and misbranded devices; and</w:t>
      </w:r>
    </w:p>
    <w:p>
      <w:pPr>
        <w:spacing w:after="0" w:line="90" w:lineRule="exact"/>
        <w:rPr>
          <w:rFonts w:ascii="Arial" w:cs="Arial" w:eastAsia="Arial" w:hAnsi="Arial"/>
          <w:sz w:val="18"/>
          <w:szCs w:val="18"/>
          <w:color w:val="auto"/>
        </w:rPr>
      </w:pPr>
    </w:p>
    <w:p>
      <w:pPr>
        <w:ind w:left="440" w:right="120" w:hanging="216"/>
        <w:spacing w:after="0" w:line="332"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4" w:lineRule="exact"/>
        <w:rPr>
          <w:sz w:val="20"/>
          <w:szCs w:val="20"/>
          <w:color w:val="auto"/>
        </w:rPr>
      </w:pPr>
    </w:p>
    <w:p>
      <w:pPr>
        <w:ind w:right="80" w:firstLine="228"/>
        <w:spacing w:after="0" w:line="357" w:lineRule="auto"/>
        <w:rPr>
          <w:sz w:val="20"/>
          <w:szCs w:val="20"/>
          <w:color w:val="auto"/>
        </w:rPr>
      </w:pPr>
      <w:r>
        <w:rPr>
          <w:rFonts w:ascii="Arial" w:cs="Arial" w:eastAsia="Arial" w:hAnsi="Arial"/>
          <w:sz w:val="15"/>
          <w:szCs w:val="15"/>
          <w:color w:val="auto"/>
        </w:rPr>
        <w:t>Further, the company we contract with to manufacture our inhaler and cartridges will be subject to the QSR, which requires manufacturers to follow elaborate design, testing, control, documentation and other quality assurance procedures during the manufacturing process of medical devices, among other requirements.</w:t>
      </w:r>
    </w:p>
    <w:p>
      <w:pPr>
        <w:ind w:right="240" w:firstLine="228"/>
        <w:spacing w:after="0" w:line="268" w:lineRule="auto"/>
        <w:rPr>
          <w:sz w:val="20"/>
          <w:szCs w:val="20"/>
          <w:color w:val="auto"/>
        </w:rPr>
      </w:pPr>
      <w:r>
        <w:rPr>
          <w:rFonts w:ascii="Arial" w:cs="Arial" w:eastAsia="Arial" w:hAnsi="Arial"/>
          <w:sz w:val="18"/>
          <w:szCs w:val="18"/>
          <w:color w:val="auto"/>
        </w:rPr>
        <w:t>Failure to adhere to regulatory requirements at any stage of development, including the preclinical and clinical testing process, the review process, or at any time afterward, including after approval, may result in various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current government requirements may be changed at any time, which could delay or prevent regulatory approval of our products under development. We cannot predict the likelihood, nature or extent of adverse governmental regulation that might arise from future legislative or administrative action, either in the United States or abroad.</w:t>
      </w:r>
    </w:p>
    <w:p>
      <w:pPr>
        <w:spacing w:after="0" w:line="39" w:lineRule="exact"/>
        <w:rPr>
          <w:sz w:val="20"/>
          <w:szCs w:val="20"/>
          <w:color w:val="auto"/>
        </w:rPr>
      </w:pPr>
    </w:p>
    <w:p>
      <w:pPr>
        <w:ind w:right="140" w:firstLine="228"/>
        <w:spacing w:after="0" w:line="254" w:lineRule="auto"/>
        <w:rPr>
          <w:sz w:val="20"/>
          <w:szCs w:val="20"/>
          <w:color w:val="auto"/>
        </w:rPr>
      </w:pPr>
      <w:r>
        <w:rPr>
          <w:rFonts w:ascii="Arial" w:cs="Arial" w:eastAsia="Arial" w:hAnsi="Arial"/>
          <w:sz w:val="18"/>
          <w:szCs w:val="18"/>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The FDA has very broad enforcement authority under the FDCA, and failure to comply with these regulations can result in penalties, including the issuance of a warning letter directing us to correct deviations from FDA standards, including corrective advertising to healthcare providers, a requirement that future advertising and promotional materials be pre-cleared by the FDA, and state and federal civil and criminal investigations and prosecutions.</w:t>
      </w:r>
    </w:p>
    <w:p>
      <w:pPr>
        <w:spacing w:after="0" w:line="63"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studied or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35"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Product development and approval within this regulatory framework may take a number of years, involve the expenditure of substantial resources and are uncertain. Many drug products ultimately do not reach the market because they are not found to be safe or effective or cannot meet the FDA’s other regulatory requirements. In addition, there can be no assurance that the current regulatory framework will not change or that additional regulation will not arise at any stage of our product development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3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Under European Union regulatory systems, marketing authorizations may be submitted either under a centralized or decentralized procedure. The centralized procedure provides for the grant of a single marketing authorization that is valid for all European Union member states. The decentralized procedure provides for mutual recognition of national approval decisions. Under this latter procedure, the holder of a national marketing authorization may submit an application to the remaining member states. Within 90 days of receiving the application and assessment report, each member state must decide whether to recognize approval. We plan to choose the appropriate route of European regulatory filing in an attempt to accomplish the most rapid regulatory approvals. For example, diabetes medication is required to be submitted under the centralized procedure. However, the chosen regulatory strategy may not secure regulatory approvals or approvals of the chosen product indications. In addition, these approvals, if obtained, may take longer than anticipated.</w:t>
      </w:r>
    </w:p>
    <w:p>
      <w:pPr>
        <w:spacing w:after="0" w:line="37"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privacy of individually identifiable healthcare information, safe working conditions, manufacturing practices, environmental protection and fire hazard control.</w:t>
      </w:r>
    </w:p>
    <w:p>
      <w:pPr>
        <w:spacing w:after="0" w:line="26"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Moreover, if our product candidates are approved by the FDA, government coverage and reimbursement policies will both directly and indirectly affect our ability to successfully commercialize our product candidates,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and such coverage and reimbursement policies will be affected by future healthcare reform measures. Government health administration authorities, private health insurers and other organizations generally decide which drugs they will pay for and establish reimbursement levels for healthcare. In particular, in the</w:t>
      </w:r>
    </w:p>
    <w:p>
      <w:pPr>
        <w:spacing w:after="0" w:line="287" w:lineRule="auto"/>
        <w:rPr>
          <w:sz w:val="20"/>
          <w:szCs w:val="20"/>
          <w:color w:val="auto"/>
        </w:rPr>
      </w:pPr>
      <w:r>
        <w:rPr>
          <w:rFonts w:ascii="Arial" w:cs="Arial" w:eastAsia="Arial" w:hAnsi="Arial"/>
          <w:sz w:val="16"/>
          <w:szCs w:val="16"/>
          <w:color w:val="auto"/>
        </w:rPr>
        <w:t>United States, private health insurers and other third-party payors often provide reimbursement for products and services based on the level at which the government (through the Medicare or Medicaid programs) provides reimbursement for such treatments. In the United States, the European Union and other potentially significant markets for our product candidates, government authorities and third-party payors are increasingly attempting to limit or regulate the price of medical products and services, particularly for new and innovative products and therapies, which has resulted in lower average selling prices. Further, the increased emphasis on managed healthcare in the United States and on country and regional pricing and reimbursement controls in the European Union will put additional pressure on product pricing, reimbursement and usage, which may adversely affect our future product sales and results of operations. These pressures can arise from rules and practices of managed care groups, judicial decisions and governmental laws and regulations related to Medicare, Medicaid and healthcare reform, pharmaceutical reimbursement policies and pricing in general.</w:t>
      </w:r>
    </w:p>
    <w:p>
      <w:pPr>
        <w:spacing w:after="0" w:line="43"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The United States and some foreign jurisdictions have enacted or are considering a number of additional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most recently, the Patient Protection and Affordable Care Act, as amended by the Health Care and Education Affordability Reconciliation Act, or collectively, PPACA, enacted in March 2010.</w:t>
      </w:r>
    </w:p>
    <w:p>
      <w:pPr>
        <w:spacing w:after="0" w:line="63"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Further, if a drug product is reimbursed by Medicare, Medicaid or other federal or state healthcare programs, we, including our sales, marketing and scientific/educational grant programs must comply with the False Claims Act, as amended, the federal Anti-Kickback Statute, as amended, and similar state laws.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Additionally, PPACA substantially changes the way healthcare is financed by both governmental and private insurers. Among other cost containment measures, PPACA establishes: an annual, nondeductible fee on any entity that manufactures or imports certain branded prescription drugs and biologic agents; a new Medicare Part D coverage gap discount program; and a new formula that increases the rebates a manufacturer must pay under the Medicaid Drug Rebate Program. In the future, there may continue to be additional proposals relating to the reform of the U.S.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46" w:lineRule="exact"/>
        <w:rPr>
          <w:sz w:val="20"/>
          <w:szCs w:val="20"/>
          <w:color w:val="auto"/>
        </w:rPr>
      </w:pPr>
    </w:p>
    <w:p>
      <w:pPr>
        <w:ind w:right="60" w:firstLine="228"/>
        <w:spacing w:after="0" w:line="288" w:lineRule="auto"/>
        <w:rPr>
          <w:sz w:val="20"/>
          <w:szCs w:val="20"/>
          <w:color w:val="auto"/>
        </w:rPr>
      </w:pPr>
      <w:r>
        <w:rPr>
          <w:rFonts w:ascii="Arial" w:cs="Arial" w:eastAsia="Arial" w:hAnsi="Arial"/>
          <w:sz w:val="16"/>
          <w:szCs w:val="16"/>
          <w:color w:val="auto"/>
        </w:rPr>
        <w:t>In addition, we may be subject to data privacy and security regulation by both the federal government and the states in which we conduct our business. HIPAA, as amended by the Health Information Technology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28"/>
        <w:spacing w:after="0" w:line="298" w:lineRule="auto"/>
        <w:rPr>
          <w:sz w:val="20"/>
          <w:szCs w:val="20"/>
          <w:color w:val="auto"/>
        </w:rPr>
      </w:pPr>
      <w:r>
        <w:rPr>
          <w:rFonts w:ascii="Arial" w:cs="Arial" w:eastAsia="Arial" w:hAnsi="Arial"/>
          <w:sz w:val="16"/>
          <w:szCs w:val="16"/>
          <w:color w:val="auto"/>
        </w:rPr>
        <w:t>We may incur significant costs to comply with these laws and regulations now or in the future.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of products from reimbursement under government programs, and the curtailment or restructuring of our operations, any of which could adversely affect our ability to operate our business and our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LONG-LIVED ASSETS</w:t>
      </w:r>
    </w:p>
    <w:p>
      <w:pPr>
        <w:spacing w:after="0" w:line="96"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A significant portion of our operating expenses relates to research and development. Our research and development expenses totaled $112.3 million, $100.0 million and $101.5 million for the years ended December 31, 2010, 2011 and 2012, respectively.</w:t>
      </w:r>
    </w:p>
    <w:p>
      <w:pPr>
        <w:spacing w:after="0" w:line="51" w:lineRule="exact"/>
        <w:rPr>
          <w:sz w:val="20"/>
          <w:szCs w:val="20"/>
          <w:color w:val="auto"/>
        </w:rPr>
      </w:pPr>
    </w:p>
    <w:p>
      <w:pPr>
        <w:ind w:right="600" w:firstLine="228"/>
        <w:spacing w:after="0" w:line="268" w:lineRule="auto"/>
        <w:rPr>
          <w:sz w:val="20"/>
          <w:szCs w:val="20"/>
          <w:color w:val="auto"/>
        </w:rPr>
      </w:pPr>
      <w:r>
        <w:rPr>
          <w:rFonts w:ascii="Arial" w:cs="Arial" w:eastAsia="Arial" w:hAnsi="Arial"/>
          <w:sz w:val="18"/>
          <w:szCs w:val="18"/>
          <w:color w:val="auto"/>
        </w:rPr>
        <w:t>Our long-lived assets located in the United States totaled $202.4 million, $193.0 million and $184.0 million as of December 31, 2010, 2011 and 2012,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As of December 31, 2012, we had 246 full-time employees. Ten of these employees were engaged in basic research and development, 93 in manufacturing, 81 in clinical research and development, regulatory affairs and quality assurance and 62 in administration, finance, management, information systems, marketing, corporate development and human resources. 33 of these employees had a Ph.D. degree and/or M.D. degree and were engaged in activities relating to research and development, manufacturing, quality assurance and business development.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 of our employees is subject to a collective bargaining agreement. We believe relations with our employees are good.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ADVISORS</w:t>
      </w:r>
    </w:p>
    <w:p>
      <w:pPr>
        <w:spacing w:after="0" w:line="96" w:lineRule="exact"/>
        <w:rPr>
          <w:sz w:val="20"/>
          <w:szCs w:val="20"/>
          <w:color w:val="auto"/>
        </w:rPr>
      </w:pPr>
    </w:p>
    <w:p>
      <w:pPr>
        <w:ind w:right="280" w:firstLine="228"/>
        <w:spacing w:after="0" w:line="332" w:lineRule="auto"/>
        <w:rPr>
          <w:sz w:val="20"/>
          <w:szCs w:val="20"/>
          <w:color w:val="auto"/>
        </w:rPr>
      </w:pPr>
      <w:r>
        <w:rPr>
          <w:rFonts w:ascii="Arial" w:cs="Arial" w:eastAsia="Arial" w:hAnsi="Arial"/>
          <w:sz w:val="16"/>
          <w:szCs w:val="16"/>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4" w:lineRule="exact"/>
        <w:rPr>
          <w:sz w:val="20"/>
          <w:szCs w:val="20"/>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research and development programs;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 and implementation of our clinical programs;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patent and publication strategies;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opportunities from a clinical perspective;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technologies relevant to our research and development programs;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specific scientific and technical issues relevant to our business.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diabetes program is supported by the following scientific advisors (and their primary affiliations):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Primary Affiliation</w:t>
            </w:r>
          </w:p>
        </w:tc>
        <w:tc>
          <w:tcPr>
            <w:tcW w:w="2280" w:type="dxa"/>
            <w:vAlign w:val="bottom"/>
          </w:tcPr>
          <w:p>
            <w:pPr>
              <w:spacing w:after="0"/>
              <w:rPr>
                <w:sz w:val="14"/>
                <w:szCs w:val="14"/>
                <w:color w:val="auto"/>
              </w:rPr>
            </w:pPr>
          </w:p>
        </w:tc>
      </w:tr>
      <w:tr>
        <w:trPr>
          <w:trHeight w:val="201"/>
        </w:trPr>
        <w:tc>
          <w:tcPr>
            <w:tcW w:w="3780" w:type="dxa"/>
            <w:vAlign w:val="bottom"/>
            <w:gridSpan w:val="2"/>
          </w:tcPr>
          <w:p>
            <w:pPr>
              <w:spacing w:after="0" w:line="201" w:lineRule="exact"/>
              <w:rPr>
                <w:sz w:val="20"/>
                <w:szCs w:val="20"/>
                <w:color w:val="auto"/>
              </w:rPr>
            </w:pPr>
            <w:r>
              <w:rPr>
                <w:rFonts w:ascii="Arial" w:cs="Arial" w:eastAsia="Arial" w:hAnsi="Arial"/>
                <w:sz w:val="18"/>
                <w:szCs w:val="18"/>
                <w:color w:val="auto"/>
              </w:rPr>
              <w:t>Geremia Bolli</w:t>
            </w:r>
          </w:p>
        </w:tc>
        <w:tc>
          <w:tcPr>
            <w:tcW w:w="2280" w:type="dxa"/>
            <w:vAlign w:val="bottom"/>
          </w:tcPr>
          <w:p>
            <w:pPr>
              <w:spacing w:after="0"/>
              <w:rPr>
                <w:sz w:val="17"/>
                <w:szCs w:val="17"/>
                <w:color w:val="auto"/>
              </w:rPr>
            </w:pPr>
          </w:p>
        </w:tc>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University of Perugia</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Steven Edelman, MD</w:t>
            </w:r>
          </w:p>
        </w:tc>
        <w:tc>
          <w:tcPr>
            <w:tcW w:w="228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University of California, San Diego</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Brian Frier, MD, FECP, BS</w:t>
            </w:r>
          </w:p>
        </w:tc>
        <w:tc>
          <w:tcPr>
            <w:tcW w:w="228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Edinburgh Royal Infirmary</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Lois Jovanovic, MD</w:t>
            </w:r>
          </w:p>
        </w:tc>
        <w:tc>
          <w:tcPr>
            <w:tcW w:w="228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Sansum Medical Research Institute</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Mark Peyrot, MD</w:t>
            </w:r>
          </w:p>
        </w:tc>
        <w:tc>
          <w:tcPr>
            <w:tcW w:w="228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Loyola College Center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Daniel Porte, MD</w:t>
            </w:r>
          </w:p>
        </w:tc>
        <w:tc>
          <w:tcPr>
            <w:tcW w:w="228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University of California, San Diego</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Julio Rosenstock, MD</w:t>
            </w:r>
          </w:p>
        </w:tc>
        <w:tc>
          <w:tcPr>
            <w:tcW w:w="228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Dallas Diabetes and Endocrinology Center</w:t>
            </w: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Jay Skyler, MD, MACP</w:t>
            </w:r>
          </w:p>
        </w:tc>
        <w:tc>
          <w:tcPr>
            <w:tcW w:w="228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w w:val="89"/>
              </w:rPr>
              <w:t>University of Miami, Diabetes Research Institute</w:t>
            </w:r>
          </w:p>
        </w:tc>
      </w:tr>
      <w:tr>
        <w:trPr>
          <w:trHeight w:val="365"/>
        </w:trPr>
        <w:tc>
          <w:tcPr>
            <w:tcW w:w="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80" w:type="dxa"/>
            <w:vAlign w:val="bottom"/>
          </w:tcPr>
          <w:p>
            <w:pPr>
              <w:jc w:val="right"/>
              <w:ind w:right="172"/>
              <w:spacing w:after="0"/>
              <w:rPr>
                <w:sz w:val="20"/>
                <w:szCs w:val="20"/>
                <w:color w:val="auto"/>
              </w:rPr>
            </w:pPr>
            <w:r>
              <w:rPr>
                <w:rFonts w:ascii="Arial" w:cs="Arial" w:eastAsia="Arial" w:hAnsi="Arial"/>
                <w:sz w:val="18"/>
                <w:szCs w:val="18"/>
                <w:color w:val="auto"/>
              </w:rPr>
              <w:t>13</w:t>
            </w:r>
          </w:p>
        </w:tc>
        <w:tc>
          <w:tcPr>
            <w:tcW w:w="118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current executive officers and their ages as of December 31, 2012: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328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Alfred E. Mann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Chairman of the Board of Directors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Hakan S. Edstrom</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6880" w:type="dxa"/>
            <w:vAlign w:val="bottom"/>
            <w:gridSpan w:val="3"/>
          </w:tcPr>
          <w:p>
            <w:pPr>
              <w:ind w:left="300"/>
              <w:spacing w:after="0"/>
              <w:rPr>
                <w:sz w:val="20"/>
                <w:szCs w:val="20"/>
                <w:color w:val="auto"/>
              </w:rPr>
            </w:pPr>
            <w:r>
              <w:rPr>
                <w:rFonts w:ascii="Arial" w:cs="Arial" w:eastAsia="Arial" w:hAnsi="Arial"/>
                <w:sz w:val="18"/>
                <w:szCs w:val="18"/>
                <w:color w:val="auto"/>
              </w:rPr>
              <w:t>President, Chief Operating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J. Pfeffer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Corporate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Juergen A. Martens, Ph.D.</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688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Technical Operations and Chief Technical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Diane M. Palumbo</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Corporate Vice President, Human Resources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David B. Thomson, Ph.D., J.D. .</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6880" w:type="dxa"/>
            <w:vAlign w:val="bottom"/>
            <w:gridSpan w:val="3"/>
          </w:tcPr>
          <w:p>
            <w:pPr>
              <w:ind w:left="300"/>
              <w:spacing w:after="0"/>
              <w:rPr>
                <w:sz w:val="20"/>
                <w:szCs w:val="20"/>
                <w:color w:val="auto"/>
              </w:rPr>
            </w:pPr>
            <w:r>
              <w:rPr>
                <w:rFonts w:ascii="Arial" w:cs="Arial" w:eastAsia="Arial" w:hAnsi="Arial"/>
                <w:sz w:val="18"/>
                <w:szCs w:val="18"/>
                <w:color w:val="auto"/>
              </w:rPr>
              <w:t>Corporate Vice President, General Counsel and Secretary</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160" w:firstLine="228"/>
        <w:spacing w:after="0" w:line="284" w:lineRule="auto"/>
        <w:rPr>
          <w:sz w:val="20"/>
          <w:szCs w:val="20"/>
          <w:color w:val="auto"/>
        </w:rPr>
      </w:pPr>
      <w:r>
        <w:rPr>
          <w:rFonts w:ascii="Arial" w:cs="Arial" w:eastAsia="Arial" w:hAnsi="Arial"/>
          <w:sz w:val="16"/>
          <w:szCs w:val="16"/>
          <w:i w:val="1"/>
          <w:iCs w:val="1"/>
          <w:color w:val="auto"/>
        </w:rPr>
        <w:t xml:space="preserve">Alfred E. Mann </w:t>
      </w:r>
      <w:r>
        <w:rPr>
          <w:rFonts w:ascii="Arial" w:cs="Arial" w:eastAsia="Arial" w:hAnsi="Arial"/>
          <w:sz w:val="16"/>
          <w:szCs w:val="16"/>
          <w:color w:val="auto"/>
        </w:rPr>
        <w:t>has been one of our directors since April 1999, our Chairman of the Board since December 2001 and our Chief Executive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2003. He founded and formerly served as Chairman and Chief Executive Officer of MiniMed, Inc., a publicly traded company focused on diabetes therapy and microinfusion drug delivery that was acquired by Medtronic, Inc. in August 2001. Mr. Mann also founded and, from 1972 through 1992, served as Chief Executive Officer of Pacesetter Systems, Inc. and its successor, Siemens Pacesetter, Inc., a manufacturer of cardiac pacemakers, now the Cardiac Rhythm Management Division of St. Jude Medical Corporation. Mr. Mann founded and since 1993, has served as Chairman and until January 2008, as Co-Chief Executive Officer of Advanced Bionics Corporation, a medical device manufacturer focused on neurostimulation to restore hearing to the deaf and to treat chronic pain and other neural deficits, that was acquired by Boston Scientific Corporation in June 2004. In January 2008, the former stockholders of Advanced Bionics Corporation repurchased certain segments from Boston Scientific Corporation and formed Advanced Bionics LLC for cochlear implants and Infusion Systems LLC for infusion pumps. Mr. Mann was non-executive Chairman of both entities. Advanced Bionics LLC was acquired by Sonova Holdings on December 30, 2009. Infusion Systems LLC was acquired by the Alfred E. Mann Foundation in February 2010. Mr. Mann has also founded and is non-executive Chairman of Second Sight Medical Products, Inc., which is developing a visual prosthesis for the blind; Bioness Inc., which is developing rehabilitation neurostimulation systems; Quallion LLC, which produces batteries for medical products and for the military and aerospace industries; and Stellar Microelectronics Inc., a supplier of electronic assemblies to the medical, military and aerospace industries. Mr. Mann also founded and is the managing member of PerQFlo, LLC, which is developing drug delivery systems. Mr. Mann is the managing member of the Alfred Mann Foundation and is also non-executive Chairman of Alfred Mann Institutes at the University of Southern California, AMI Purdue and AMI Technion, and the Alfred Mann Foundation for Biomedical Engineering, which is establishing additional institutes at other research universities. Mr. Mann holds bachelor’s and master’s degrees in Physics from the University of California at Los Angeles, honorary doctorates from Johns Hopkins University, the University of Southern California, Western University and the Technion-Israel Institute of Technology and is a member of the National Academy of Engineering.</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Hakan S. Edstrom </w:t>
      </w:r>
      <w:r>
        <w:rPr>
          <w:rFonts w:ascii="Arial" w:cs="Arial" w:eastAsia="Arial" w:hAnsi="Arial"/>
          <w:sz w:val="16"/>
          <w:szCs w:val="16"/>
          <w:color w:val="auto"/>
        </w:rPr>
        <w:t>has been our President and Chief Operating Officer since April 2001 and has served as one of our directors since December 2001.</w:t>
      </w:r>
    </w:p>
    <w:p>
      <w:pPr>
        <w:spacing w:after="0" w:line="38"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Mr. Edstrom was with Bausch &amp; Lomb, Inc., a health care product company, from January 1998 to April 2001, advancing to the position of Senior Corporate Vice President and President of Bausch &amp; Lomb, Inc. Americas Region. From 1981 to 1997, Mr. Edstrom was with Pharmacia Corporation, where he held various executive positions, including President and Chief Executive Officer of Pharmacia Ophthalmics Inc. Mr. Edstrom was educated in Sweden and holds a master’s degree in Business Administration from the Stockholm School of Economics.</w:t>
      </w:r>
    </w:p>
    <w:p>
      <w:pPr>
        <w:spacing w:after="0" w:line="34"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i w:val="1"/>
          <w:iCs w:val="1"/>
          <w:color w:val="auto"/>
        </w:rPr>
        <w:t xml:space="preserve">Matthew J. Pfeffer </w:t>
      </w:r>
      <w:r>
        <w:rPr>
          <w:rFonts w:ascii="Arial" w:cs="Arial" w:eastAsia="Arial" w:hAnsi="Arial"/>
          <w:sz w:val="18"/>
          <w:szCs w:val="18"/>
          <w:color w:val="auto"/>
        </w:rPr>
        <w:t>has been our Corporate Vice President and Chief Financial Officer since April 2008. Previously, Mr. Pfeffer served as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Senior Vice President of Finance and Administration of VaxGen, Inc. from March 2006 until April 2008, with responsibility for finance, tax, treasury, human resources, IT, purchasing and facilities functions. Prior to VaxGen, Mr. Pfeffer served as CFO of Cell Genesys, Inc. During his nine year tenure at Cell Genesys, Mr. Pfeffer served as Director of Finance before being named CFO in 1998. Prior to that, Mr. Pfeffer served in a variety of financial management positions at other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companies, including roles as Corporate Controller, Manager of Internal Audit and Manager of Financial Reporting. Mr. Pfeffer began his career at Price Waterhouse. Mr. Pfeffer is a member of the board of directors of DS Healthcare Group, Inc. (NASDAQ: DSKX). Mr. Pfeffer graduated from the University of California, Berkeley and is a Certified Public Accountant.</w:t>
      </w:r>
    </w:p>
    <w:p>
      <w:pPr>
        <w:spacing w:after="0" w:line="59"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i w:val="1"/>
          <w:iCs w:val="1"/>
          <w:color w:val="auto"/>
        </w:rPr>
        <w:t xml:space="preserve">Juergen A. Martens, Ph.D. </w:t>
      </w:r>
      <w:r>
        <w:rPr>
          <w:rFonts w:ascii="Arial" w:cs="Arial" w:eastAsia="Arial" w:hAnsi="Arial"/>
          <w:sz w:val="16"/>
          <w:szCs w:val="16"/>
          <w:color w:val="auto"/>
        </w:rPr>
        <w:t>has been our Corporate Vice President of Operations and Chief Technology Officer since September 2005. From 2000 to August</w:t>
      </w:r>
      <w:r>
        <w:rPr>
          <w:rFonts w:ascii="Arial" w:cs="Arial" w:eastAsia="Arial" w:hAnsi="Arial"/>
          <w:sz w:val="16"/>
          <w:szCs w:val="16"/>
          <w:i w:val="1"/>
          <w:iCs w:val="1"/>
          <w:color w:val="auto"/>
        </w:rPr>
        <w:t xml:space="preserve"> </w:t>
      </w:r>
      <w:r>
        <w:rPr>
          <w:rFonts w:ascii="Arial" w:cs="Arial" w:eastAsia="Arial" w:hAnsi="Arial"/>
          <w:sz w:val="16"/>
          <w:szCs w:val="16"/>
          <w:color w:val="auto"/>
        </w:rPr>
        <w:t>2005, he was employed by Nektar Therapeutics most recently as Vice President of Pharmaceutical Technology Development. Previously, he held technical management positions at Aerojet Fine Chemicals from 1998 to 2000 and at FMC Corporation from 1996 to 1998. From 1987 to 1996, Dr. Martens held a variety of management positions with increased responsibility in R&amp;D, plant management, and business process development at Lonza, in Switzerland and in the United States. Dr. Martens holds a bachelor’s degree in chemical engineering from the Technical College Mannheim/Germany, a bachelor’s and master’s degree in Chemistry and a doctorate in Physical Chemistry from the University of Marburg/Germany.</w:t>
      </w:r>
    </w:p>
    <w:p>
      <w:pPr>
        <w:spacing w:after="0" w:line="39"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i w:val="1"/>
          <w:iCs w:val="1"/>
          <w:color w:val="auto"/>
        </w:rPr>
        <w:t xml:space="preserve">Diane M. Palumbo </w:t>
      </w:r>
      <w:r>
        <w:rPr>
          <w:rFonts w:ascii="Arial" w:cs="Arial" w:eastAsia="Arial" w:hAnsi="Arial"/>
          <w:sz w:val="18"/>
          <w:szCs w:val="18"/>
          <w:color w:val="auto"/>
        </w:rPr>
        <w:t>has been our Corporate Vice President of Human Resources since November 2004. From July 2003 to November 2004, she was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her own human resources consulting company. From June 1991 to July 2003, Ms. Palumbo held various positions with Amgen, Inc., a California-based biopharmaceutical company, including Senior Director, Human Resources. In addition, Ms. Palumbo has held Human Resources positions with Unisys and Mitsui Bank Ltd. of Tokyo. She holds a master’s degree in Business Administration from St. John’s University, New York and a bachelor’s degree, magna cum laude, also from St. John’s University.</w:t>
      </w:r>
    </w:p>
    <w:p>
      <w:pPr>
        <w:spacing w:after="0" w:line="62" w:lineRule="exact"/>
        <w:rPr>
          <w:sz w:val="20"/>
          <w:szCs w:val="20"/>
          <w:color w:val="auto"/>
        </w:rPr>
      </w:pPr>
    </w:p>
    <w:p>
      <w:pPr>
        <w:ind w:right="240" w:firstLine="228"/>
        <w:spacing w:after="0" w:line="256" w:lineRule="auto"/>
        <w:rPr>
          <w:sz w:val="20"/>
          <w:szCs w:val="20"/>
          <w:color w:val="auto"/>
        </w:rPr>
      </w:pPr>
      <w:r>
        <w:rPr>
          <w:rFonts w:ascii="Arial" w:cs="Arial" w:eastAsia="Arial" w:hAnsi="Arial"/>
          <w:sz w:val="18"/>
          <w:szCs w:val="18"/>
          <w:i w:val="1"/>
          <w:iCs w:val="1"/>
          <w:color w:val="auto"/>
        </w:rPr>
        <w:t xml:space="preserve">David B. Thomson, Ph.D., J.D. </w:t>
      </w:r>
      <w:r>
        <w:rPr>
          <w:rFonts w:ascii="Arial" w:cs="Arial" w:eastAsia="Arial" w:hAnsi="Arial"/>
          <w:sz w:val="18"/>
          <w:szCs w:val="18"/>
          <w:color w:val="auto"/>
        </w:rPr>
        <w:t>has been our Corporate Vice President, General Counsel and Corporate Secretary since January 2002. Prior to joining us, he</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practiced corporate/commercial and securities law at a major Toronto law firm. Earlier in his career, Dr. Thomson was a post-doctoral fellow at the Rockefeller University. Dr. Thomson obtained his bachelor’s degree, master’s degree and Ph.D. degree from Queens University and obtained his J.D. degree from the University of Toronto.</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Executive officers serve at the discretion of our Board of Directors. There are no family relationships between any of our directors and executive officers.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ind w:right="140" w:firstLine="228"/>
        <w:spacing w:after="0" w:line="294" w:lineRule="auto"/>
        <w:rPr>
          <w:sz w:val="20"/>
          <w:szCs w:val="20"/>
          <w:color w:val="auto"/>
        </w:rPr>
      </w:pPr>
      <w:r>
        <w:rPr>
          <w:rFonts w:ascii="Arial" w:cs="Arial" w:eastAsia="Arial" w:hAnsi="Arial"/>
          <w:sz w:val="16"/>
          <w:szCs w:val="16"/>
          <w:i w:val="1"/>
          <w:iCs w:val="1"/>
          <w:color w:val="auto"/>
        </w:rPr>
        <w:t>You should consider carefully the following information about the risks described below, together with the other information contained in this Annual Report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depend heavily on the successful development and commercialization of our lead product candidate, AFREZZA, which is not yet approved.</w:t>
      </w:r>
    </w:p>
    <w:p>
      <w:pPr>
        <w:spacing w:after="0" w:line="113" w:lineRule="exact"/>
        <w:rPr>
          <w:sz w:val="20"/>
          <w:szCs w:val="20"/>
          <w:color w:val="auto"/>
        </w:rPr>
      </w:pPr>
    </w:p>
    <w:p>
      <w:pPr>
        <w:ind w:right="280" w:firstLine="228"/>
        <w:spacing w:after="0" w:line="256" w:lineRule="auto"/>
        <w:rPr>
          <w:sz w:val="20"/>
          <w:szCs w:val="20"/>
          <w:color w:val="auto"/>
        </w:rPr>
      </w:pPr>
      <w:r>
        <w:rPr>
          <w:rFonts w:ascii="Arial" w:cs="Arial" w:eastAsia="Arial" w:hAnsi="Arial"/>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solely on the successful development and commercialization of AFREZZA.</w:t>
      </w:r>
    </w:p>
    <w:p>
      <w:pPr>
        <w:spacing w:after="0" w:line="62"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In January 2011, the FDA issued a Complete Response letter and requested that we conduct additional clinical studies of AFREZZA using our next-generation inhaler, Dreamboat. Over the next eight months, we participated in a number of written and verbal exchanges with the FDA in order to clarify the FDA’s requirements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approval of AFREZZA, culminating in an in-person meeting in August 2011 in which we confirmed with the FDA the designs of the two requested studies. There can be no assurance that we will satisfy all of the FDA’s requirements with our current clinical studies. The FDA could also again request that we conduct additional clinical trials to provide sufficient data for approval of the NDA. There can be no assurance that we will obtain approval of the NDA in a timely manner or at all.</w:t>
      </w:r>
    </w:p>
    <w:p>
      <w:pPr>
        <w:spacing w:after="0" w:line="62" w:lineRule="exact"/>
        <w:rPr>
          <w:sz w:val="20"/>
          <w:szCs w:val="20"/>
          <w:color w:val="auto"/>
        </w:rPr>
      </w:pPr>
    </w:p>
    <w:p>
      <w:pPr>
        <w:ind w:right="180" w:firstLine="228"/>
        <w:spacing w:after="0" w:line="294" w:lineRule="auto"/>
        <w:rPr>
          <w:sz w:val="20"/>
          <w:szCs w:val="20"/>
          <w:color w:val="auto"/>
        </w:rPr>
      </w:pPr>
      <w:r>
        <w:rPr>
          <w:rFonts w:ascii="Arial" w:cs="Arial" w:eastAsia="Arial" w:hAnsi="Arial"/>
          <w:sz w:val="16"/>
          <w:szCs w:val="16"/>
          <w:color w:val="auto"/>
        </w:rPr>
        <w:t>We must receive the necessary approvals from the FDA before AFREZZA can be marketed and sold in the United States and must receive the necessary approvals from similar foreign regulatory agencies before AFREZZA can be marketed outside of the United States. Even if we were to receive regulatory approval, we ultimately may be unable to gain market acceptance of AFREZZA for a variety of reasons, including the treatment and dosage regimen, potential adverse effects, the availability of alternative treatments and lack of coverage or adequate reimbursement. If we fail to commercialize AFREZZA, our business, financial condition and results of operations will be materially and adversely affected.</w:t>
      </w:r>
    </w:p>
    <w:p>
      <w:pPr>
        <w:spacing w:after="0" w:line="35"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59"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A significant portion of the research that we have conducted involves new and unproven compounds and technologies, including AFREZZA and our Technosphere platform technology.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a history of operating losses, we expect to continue to incur losses and we may never generate positive cash flow from operations.</w:t>
      </w:r>
    </w:p>
    <w:p>
      <w:pPr>
        <w:spacing w:after="0" w:line="113"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trials, regulatory clearances and additional investment before they can be commercialized. We cannot be certain when AFREZZA may be approved or if it will be approved.</w:t>
      </w:r>
    </w:p>
    <w:p>
      <w:pPr>
        <w:spacing w:after="0" w:line="26" w:lineRule="exact"/>
        <w:rPr>
          <w:sz w:val="20"/>
          <w:szCs w:val="20"/>
          <w:color w:val="auto"/>
        </w:rPr>
      </w:pPr>
    </w:p>
    <w:p>
      <w:pPr>
        <w:ind w:right="200" w:firstLine="228"/>
        <w:spacing w:after="0" w:line="294" w:lineRule="auto"/>
        <w:rPr>
          <w:sz w:val="20"/>
          <w:szCs w:val="20"/>
          <w:color w:val="auto"/>
        </w:rPr>
      </w:pPr>
      <w:r>
        <w:rPr>
          <w:rFonts w:ascii="Arial" w:cs="Arial" w:eastAsia="Arial" w:hAnsi="Arial"/>
          <w:sz w:val="16"/>
          <w:szCs w:val="16"/>
          <w:color w:val="auto"/>
        </w:rPr>
        <w:t>We have never been profitable or generated positive cash flow from operations and, as of December 31, 2012, we had incurred a cumulative net loss of $2.1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AFREZZA. This cumulative net loss may increase significantly as we continue development and clinical trial efforts.</w:t>
      </w:r>
    </w:p>
    <w:p>
      <w:pPr>
        <w:spacing w:after="0" w:line="35"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December 31, 2012, we had a stockholders’ deficit of $110.7 million. Our ability to achieve and sustain positive cash flow from operations and profitability primarily depends upon obtaining regulatory approvals for and successfully commercializing AFREZZA, either alone or with third parties. We do not currently have the required approvals to market any of our product candidates, and we may not receive them.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 w:right="20"/>
        <w:spacing w:after="0" w:line="268" w:lineRule="auto"/>
        <w:rPr>
          <w:sz w:val="20"/>
          <w:szCs w:val="20"/>
          <w:color w:val="auto"/>
        </w:rPr>
      </w:pPr>
      <w:r>
        <w:rPr>
          <w:rFonts w:ascii="Arial" w:cs="Arial" w:eastAsia="Arial" w:hAnsi="Arial"/>
          <w:sz w:val="18"/>
          <w:szCs w:val="18"/>
          <w:b w:val="1"/>
          <w:bCs w:val="1"/>
          <w:i w:val="1"/>
          <w:iCs w:val="1"/>
          <w:color w:val="auto"/>
        </w:rPr>
        <w:t>We will be required to raise additional capital to fund our operations, and our inability to do so could raise substantial doubt about our ability to continue as a going concern.</w:t>
      </w:r>
    </w:p>
    <w:p>
      <w:pPr>
        <w:spacing w:after="0" w:line="51" w:lineRule="exact"/>
        <w:rPr>
          <w:sz w:val="20"/>
          <w:szCs w:val="20"/>
          <w:color w:val="auto"/>
        </w:rPr>
      </w:pPr>
    </w:p>
    <w:p>
      <w:pPr>
        <w:ind w:right="100" w:firstLine="228"/>
        <w:spacing w:after="0" w:line="288" w:lineRule="auto"/>
        <w:rPr>
          <w:sz w:val="20"/>
          <w:szCs w:val="20"/>
          <w:color w:val="auto"/>
        </w:rPr>
      </w:pPr>
      <w:r>
        <w:rPr>
          <w:rFonts w:ascii="Arial" w:cs="Arial" w:eastAsia="Arial" w:hAnsi="Arial"/>
          <w:sz w:val="16"/>
          <w:szCs w:val="16"/>
          <w:color w:val="auto"/>
        </w:rPr>
        <w:t>Based upon our current expectations, we believe that our existing capital resources including the available borrowings under our loan arrangement with The Mann Group LLC, an entity controlled by our principal stockholder will enable us to continue planned operations through at least the third quarter of 2013. However, we cannot assure you that our plans will not change or that changed circumstances will not result in the depletion of our capital resources more rapidly than we currently anticipate. We will need to raise additional funds, whether through the sale of equity or debt securities, the entry into strategic business collaborations, the establishment of other funding facilities, licensing arrangements, asset sales or other means, or an increase in the borrowings available under the loan arrangement with The Mann Group, in order to continue the development and commercialization of AFREZZA and other product candidates and to support our other ongoing activities. However, it may be difficult for us to raise additional funds through these planned measures. As of December 31, 2012, we had a stockholders’ deficit of $110.7 million which may raise concerns about our solvency and affect our ability to raise additional capital. The amount of additional funds we need will depend on a number of factors, including:</w:t>
      </w:r>
    </w:p>
    <w:p>
      <w:pPr>
        <w:spacing w:after="0" w:line="39" w:lineRule="exact"/>
        <w:rPr>
          <w:sz w:val="20"/>
          <w:szCs w:val="20"/>
          <w:color w:val="auto"/>
        </w:rPr>
      </w:pPr>
    </w:p>
    <w:p>
      <w:pPr>
        <w:ind w:left="440" w:right="120" w:hanging="216"/>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any or all of the holders of our 3.75% Senior Convertible Notes due 2013, or 2013 notes, or of any or all of the holders of our 5.75% Senior Convertible Notes due 2015, or 2015 notes, to require us to repay or repurchase such notes when required;</w:t>
      </w:r>
    </w:p>
    <w:p>
      <w:pPr>
        <w:spacing w:after="0" w:line="50" w:lineRule="exact"/>
        <w:rPr>
          <w:rFonts w:ascii="Arial" w:cs="Arial" w:eastAsia="Arial" w:hAnsi="Arial"/>
          <w:sz w:val="18"/>
          <w:szCs w:val="18"/>
          <w:color w:val="auto"/>
        </w:rPr>
      </w:pPr>
    </w:p>
    <w:p>
      <w:pPr>
        <w:ind w:left="440" w:right="420" w:hanging="216"/>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refinance existing indebtedness, including indebtedness under the 2013 notes or 2015 notes which mature in December 2013 and August 2015, respectively;</w:t>
      </w:r>
    </w:p>
    <w:p>
      <w:pPr>
        <w:spacing w:after="0" w:line="50" w:lineRule="exact"/>
        <w:rPr>
          <w:rFonts w:ascii="Arial" w:cs="Arial" w:eastAsia="Arial" w:hAnsi="Arial"/>
          <w:sz w:val="18"/>
          <w:szCs w:val="18"/>
          <w:color w:val="auto"/>
        </w:rPr>
      </w:pPr>
    </w:p>
    <w:p>
      <w:pPr>
        <w:ind w:left="440" w:right="320" w:hanging="216"/>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rate of progress and costs of our clinical trials and research and development activities, including costs of procuring clinical materials and operating our manufacturing facilities;</w:t>
      </w:r>
    </w:p>
    <w:p>
      <w:pPr>
        <w:spacing w:after="0" w:line="50" w:lineRule="exact"/>
        <w:rPr>
          <w:rFonts w:ascii="Arial" w:cs="Arial" w:eastAsia="Arial" w:hAnsi="Arial"/>
          <w:sz w:val="18"/>
          <w:szCs w:val="18"/>
          <w:color w:val="auto"/>
        </w:rPr>
      </w:pPr>
    </w:p>
    <w:p>
      <w:pPr>
        <w:ind w:left="440" w:right="420" w:hanging="216"/>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preparing applications for regulatory approvals for our product candidates, including AFREZZA;</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our product candidates and competitive products;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degree of success in commercializing AFREZZA assuming receipt of required regulatory approvals;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90" w:lineRule="exact"/>
        <w:rPr>
          <w:rFonts w:ascii="Arial" w:cs="Arial" w:eastAsia="Arial" w:hAnsi="Arial"/>
          <w:sz w:val="18"/>
          <w:szCs w:val="18"/>
          <w:color w:val="auto"/>
        </w:rPr>
      </w:pPr>
    </w:p>
    <w:p>
      <w:pPr>
        <w:ind w:left="440" w:right="400" w:hanging="216"/>
        <w:spacing w:after="0" w:line="268"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our legal expenses;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litigation;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90"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We have raised capital in the past primarily through the sale of equity and debt securities. We may in the future pursue the sale of additional equity and/or debt securities, or the establishment of other funding facilities including asset based borrowings. There can be no assurances, however, that we will be able to raise additional capital through such an offering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62"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will be required to reduce expenses through the delay, reduction or curtailment of our projects, including AFREZZA development activities,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66"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We do not anticipate generating operating cash flow before AFREZZA is commercialized, which we expect will require us to reach an agreement with a commercialization partner, and therefore cannot provide assurances that changed or unexpected circumstances, including, among other things, delays in obtaining regulatory approval and in identifying and reaching agreements with a commercialization partner, will not result in the depletion of our capital resources more rapidly than we currently anticipate, in which case we may be required to raise additional capital. There can be no assurances that we will be able to raise additional capital on acceptable terms, or at all. If planned operating results are not achieved or we are not successful in raising additional capital through equity or debt financings or entering into a strategic business collaboration with a pharmaceutical or biotechnology company, we will be required to reduce expenses through the delay, reduction or curtailment of our projects, including AFREZZA development activities, or further reduction of costs for facilities and administration, and there will be continued substantial doubt about our ability to continue as a going concern.</w:t>
      </w:r>
    </w:p>
    <w:p>
      <w:pPr>
        <w:spacing w:after="0" w:line="118" w:lineRule="exact"/>
        <w:rPr>
          <w:sz w:val="20"/>
          <w:szCs w:val="20"/>
          <w:color w:val="auto"/>
        </w:rPr>
      </w:pPr>
    </w:p>
    <w:p>
      <w:pPr>
        <w:ind w:left="120" w:right="360"/>
        <w:spacing w:after="0" w:line="268" w:lineRule="auto"/>
        <w:rPr>
          <w:sz w:val="20"/>
          <w:szCs w:val="20"/>
          <w:color w:val="auto"/>
        </w:rPr>
      </w:pPr>
      <w:r>
        <w:rPr>
          <w:rFonts w:ascii="Arial" w:cs="Arial" w:eastAsia="Arial" w:hAnsi="Arial"/>
          <w:sz w:val="18"/>
          <w:szCs w:val="18"/>
          <w:b w:val="1"/>
          <w:bCs w:val="1"/>
          <w:i w:val="1"/>
          <w:iCs w:val="1"/>
          <w:color w:val="auto"/>
        </w:rPr>
        <w:t>We have a substantial amount of convertible debt and may be unable to make required interest payments in the future or to refinance or repay this debt before it becomes due.</w:t>
      </w:r>
    </w:p>
    <w:p>
      <w:pPr>
        <w:spacing w:after="0" w:line="51" w:lineRule="exact"/>
        <w:rPr>
          <w:sz w:val="20"/>
          <w:szCs w:val="20"/>
          <w:color w:val="auto"/>
        </w:rPr>
      </w:pPr>
    </w:p>
    <w:p>
      <w:pPr>
        <w:ind w:firstLine="228"/>
        <w:spacing w:after="0" w:line="306" w:lineRule="auto"/>
        <w:rPr>
          <w:sz w:val="20"/>
          <w:szCs w:val="20"/>
          <w:color w:val="auto"/>
        </w:rPr>
      </w:pPr>
      <w:r>
        <w:rPr>
          <w:rFonts w:ascii="Arial" w:cs="Arial" w:eastAsia="Arial" w:hAnsi="Arial"/>
          <w:sz w:val="15"/>
          <w:szCs w:val="15"/>
          <w:color w:val="auto"/>
        </w:rPr>
        <w:t>In December 2006, we completed the sale of $115.0 million aggregate principal amount of 2013 notes, which mature in December 2013, and in August 2010, we completed the sale of $100.0 million aggregate principal amount of 2015 notes, which mature in August 2015. As of March 13, 2013, all $115.0 million principal amount of the 2013 notes remained outstanding, and all $100.0 million principal amount of the 2015 notes remained outstanding. As of December 31, 2012, we did not have sufficient cash and cash equivalents to repay the 2013 notes or the 2015 notes. In addition, as of December 31, 2012, the effective conversion prices of the 2013 notes and 2015 notes were approximately $22.47 per share and $6.80 per share, respectively, subject to adjustment, which are substantially above the closing price of our common stock on March 13, 2013. We may therefore need to refinance our 2013 notes and/or 2015 notes before such notes mature, or raise additional funds to repay such notes, and there can be no assurance that we will be able to do so on favorable terms by the applicable repayment dates, or at all. In addition, if we undergo a fundamental change, as that term is defined in the indentures governing the terms of the 2013 notes and the 2015 notes, each holder of 2013 notes or 2015 notes will have the option to require us to repurchase all or any portion of such holder’s notes at a repurchase price of 100% of the principal amount of such notes to be repurchased plus accrued and unpaid interest, if any. The 2013 notes bear interest at the rate of 3.75% per year on the outstanding principal amount, payable in cash semi-annually in arrears on June 15 and December 15 of each year, and the 2015 notes bear interest at the rate of 5.75% per year on the outstanding principal amount, payable in cash semiannually in arrears on February 15 and August 15 of each year. While we have been able to timely make our required interest payments to date, we cannot guarantee that we will be able to do so in the future. If we fail to pay interest on the 2013 notes or 2015 notes or repay or repurchase the 2013 notes or 2015 notes when required, we will be in default under the applicable indenture(s)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such note(s),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Deteriorating global economic conditions may have an adverse impact on our loan facility with The Mann Group.</w:t>
      </w:r>
    </w:p>
    <w:p>
      <w:pPr>
        <w:spacing w:after="0" w:line="90"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As widely reported, financial markets in the United States, Europe and Asia have experienced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the financial condition of The Mann Group. If The Mann Group has insufficient assets or if we are otherwise unable to draw on The Mann Group loan facility, our business and financial condition may be adversely affected.</w:t>
      </w:r>
    </w:p>
    <w:p>
      <w:pPr>
        <w:spacing w:after="0" w:line="116" w:lineRule="exact"/>
        <w:rPr>
          <w:sz w:val="20"/>
          <w:szCs w:val="20"/>
          <w:color w:val="auto"/>
        </w:rPr>
      </w:pPr>
    </w:p>
    <w:p>
      <w:pPr>
        <w:ind w:left="120" w:right="200"/>
        <w:spacing w:after="0" w:line="268"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will be harmed and the market price of our common stock could decline.</w:t>
      </w:r>
    </w:p>
    <w:p>
      <w:pPr>
        <w:spacing w:after="0" w:line="51"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62" w:lineRule="exact"/>
        <w:rPr>
          <w:sz w:val="20"/>
          <w:szCs w:val="20"/>
          <w:color w:val="auto"/>
        </w:rPr>
      </w:pPr>
    </w:p>
    <w:p>
      <w:pPr>
        <w:ind w:left="440" w:right="260" w:hanging="216"/>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90" w:lineRule="exact"/>
        <w:rPr>
          <w:rFonts w:ascii="Arial" w:cs="Arial" w:eastAsia="Arial" w:hAnsi="Arial"/>
          <w:sz w:val="18"/>
          <w:szCs w:val="18"/>
          <w:color w:val="auto"/>
        </w:rPr>
      </w:pPr>
    </w:p>
    <w:p>
      <w:pPr>
        <w:ind w:left="440" w:right="380" w:hanging="216"/>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AFREZZA;</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of scheduling conflicts with participating clinicians and clinical institutions;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of approvals by our competitors and by us from the FDA and other regulatory agencies;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enter into sales and marketing collaborations for AFREZZA;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actions by regulators.</w:t>
      </w:r>
    </w:p>
    <w:p>
      <w:pPr>
        <w:spacing w:after="0" w:line="90"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may decline.</w:t>
      </w:r>
    </w:p>
    <w:p>
      <w:pPr>
        <w:spacing w:after="0" w:line="143" w:lineRule="exact"/>
        <w:rPr>
          <w:sz w:val="20"/>
          <w:szCs w:val="20"/>
          <w:color w:val="auto"/>
        </w:rPr>
      </w:pPr>
    </w:p>
    <w:p>
      <w:pPr>
        <w:ind w:left="120" w:right="60"/>
        <w:spacing w:after="0" w:line="268"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51"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228"/>
        <w:spacing w:after="0" w:line="323" w:lineRule="auto"/>
        <w:rPr>
          <w:sz w:val="20"/>
          <w:szCs w:val="20"/>
          <w:color w:val="auto"/>
        </w:rPr>
      </w:pPr>
      <w:r>
        <w:rPr>
          <w:rFonts w:ascii="Arial" w:cs="Arial" w:eastAsia="Arial" w:hAnsi="Arial"/>
          <w:sz w:val="15"/>
          <w:szCs w:val="15"/>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17"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62"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AFREZZA, we may not be able to execute on our business model.</w:t>
      </w:r>
    </w:p>
    <w:p>
      <w:pPr>
        <w:spacing w:after="0" w:line="90" w:lineRule="exact"/>
        <w:rPr>
          <w:sz w:val="20"/>
          <w:szCs w:val="20"/>
          <w:color w:val="auto"/>
        </w:rPr>
      </w:pPr>
    </w:p>
    <w:p>
      <w:pPr>
        <w:ind w:right="20" w:firstLine="228"/>
        <w:spacing w:after="0" w:line="285"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will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and/or marketing activities at our own expense, which would delay or otherwise impede the commercialization of AFREZZA. Our product candidates are intended to be used by a large number of healthcare professionals who will require substantial education and support. For example, a broad base of physicians, including primary care physicians and endocrinologists, treat patients with diabetes. A large sales force would be required in order to educate these physicians about the benefits and advantages of AFREZZA and to provide adequate support for them. With respect to the commercialization of AFREZZA, if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many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43"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 w:right="1040"/>
        <w:spacing w:after="0" w:line="332" w:lineRule="auto"/>
        <w:rPr>
          <w:sz w:val="20"/>
          <w:szCs w:val="20"/>
          <w:color w:val="auto"/>
        </w:rPr>
      </w:pPr>
      <w:r>
        <w:rPr>
          <w:rFonts w:ascii="Arial" w:cs="Arial" w:eastAsia="Arial" w:hAnsi="Arial"/>
          <w:sz w:val="16"/>
          <w:szCs w:val="16"/>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4"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62" w:lineRule="exact"/>
        <w:rPr>
          <w:sz w:val="20"/>
          <w:szCs w:val="20"/>
          <w:color w:val="auto"/>
        </w:rPr>
      </w:pPr>
    </w:p>
    <w:p>
      <w:pPr>
        <w:ind w:right="400" w:firstLine="228"/>
        <w:spacing w:after="0" w:line="259"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140" w:lineRule="exact"/>
        <w:rPr>
          <w:sz w:val="20"/>
          <w:szCs w:val="20"/>
          <w:color w:val="auto"/>
        </w:rPr>
      </w:pPr>
    </w:p>
    <w:p>
      <w:pPr>
        <w:ind w:left="120" w:right="1020"/>
        <w:spacing w:after="0" w:line="268" w:lineRule="auto"/>
        <w:rPr>
          <w:sz w:val="20"/>
          <w:szCs w:val="20"/>
          <w:color w:val="auto"/>
        </w:rPr>
      </w:pPr>
      <w:r>
        <w:rPr>
          <w:rFonts w:ascii="Arial" w:cs="Arial" w:eastAsia="Arial" w:hAnsi="Arial"/>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51" w:lineRule="exact"/>
        <w:rPr>
          <w:sz w:val="20"/>
          <w:szCs w:val="20"/>
          <w:color w:val="auto"/>
        </w:rPr>
      </w:pPr>
    </w:p>
    <w:p>
      <w:pPr>
        <w:ind w:right="600" w:firstLine="228"/>
        <w:spacing w:after="0" w:line="259" w:lineRule="auto"/>
        <w:rPr>
          <w:sz w:val="20"/>
          <w:szCs w:val="20"/>
          <w:color w:val="auto"/>
        </w:rPr>
      </w:pPr>
      <w:r>
        <w:rPr>
          <w:rFonts w:ascii="Arial" w:cs="Arial" w:eastAsia="Arial" w:hAnsi="Arial"/>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59" w:lineRule="exact"/>
        <w:rPr>
          <w:sz w:val="20"/>
          <w:szCs w:val="20"/>
          <w:color w:val="auto"/>
        </w:rPr>
      </w:pPr>
    </w:p>
    <w:p>
      <w:pPr>
        <w:ind w:left="440" w:right="140" w:hanging="216"/>
        <w:spacing w:after="0" w:line="332"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safety and efficacy results for AFREZZA obtained in our nonclinical and previous clinical testing may be inconclusive or may not be predictive of results that we may obtain in our future clinical trials or following long-term use, and we may as a result be forced to stop developing AFREZZA;</w:t>
      </w:r>
    </w:p>
    <w:p>
      <w:pPr>
        <w:spacing w:after="0" w:line="4" w:lineRule="exact"/>
        <w:rPr>
          <w:rFonts w:ascii="Arial" w:cs="Arial" w:eastAsia="Arial" w:hAnsi="Arial"/>
          <w:sz w:val="16"/>
          <w:szCs w:val="16"/>
          <w:color w:val="auto"/>
        </w:rPr>
      </w:pPr>
    </w:p>
    <w:p>
      <w:pPr>
        <w:ind w:left="440" w:right="460" w:hanging="216"/>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data collected from clinical trials of AFREZZA or our other product candidates may not reach statistical significance or otherwise be sufficient to support FDA or other regulatory approval;</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90" w:lineRule="exact"/>
        <w:rPr>
          <w:rFonts w:ascii="Arial" w:cs="Arial" w:eastAsia="Arial" w:hAnsi="Arial"/>
          <w:sz w:val="18"/>
          <w:szCs w:val="18"/>
          <w:color w:val="auto"/>
        </w:rPr>
      </w:pPr>
    </w:p>
    <w:p>
      <w:pPr>
        <w:ind w:left="440" w:right="60" w:hanging="216"/>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51"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trials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trials, which may be time-consuming and expensive and may not produce favorable results.</w:t>
      </w:r>
    </w:p>
    <w:p>
      <w:pPr>
        <w:spacing w:after="0" w:line="32"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AFREZZA at any time. Any suspension or termination of our clinical trials or marketing activities may harm our business and results of operations and the market price of our common stock may decline.</w:t>
      </w:r>
    </w:p>
    <w:p>
      <w:pPr>
        <w:spacing w:after="0" w:line="140" w:lineRule="exact"/>
        <w:rPr>
          <w:sz w:val="20"/>
          <w:szCs w:val="20"/>
          <w:color w:val="auto"/>
        </w:rPr>
      </w:pPr>
    </w:p>
    <w:p>
      <w:pPr>
        <w:ind w:left="120" w:right="120"/>
        <w:spacing w:after="0" w:line="357" w:lineRule="auto"/>
        <w:rPr>
          <w:sz w:val="20"/>
          <w:szCs w:val="20"/>
          <w:color w:val="auto"/>
        </w:rPr>
      </w:pPr>
      <w:r>
        <w:rPr>
          <w:rFonts w:ascii="Arial" w:cs="Arial" w:eastAsia="Arial" w:hAnsi="Arial"/>
          <w:sz w:val="15"/>
          <w:szCs w:val="15"/>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ind w:right="40" w:firstLine="228"/>
        <w:spacing w:after="0" w:line="256" w:lineRule="auto"/>
        <w:rPr>
          <w:sz w:val="20"/>
          <w:szCs w:val="20"/>
          <w:color w:val="auto"/>
        </w:rPr>
      </w:pPr>
      <w:r>
        <w:rPr>
          <w:rFonts w:ascii="Arial" w:cs="Arial" w:eastAsia="Arial" w:hAnsi="Arial"/>
          <w:sz w:val="18"/>
          <w:szCs w:val="18"/>
          <w:color w:val="auto"/>
        </w:rPr>
        <w:t>For AFREZZA to be commercially viable, we need access to sufficient, reliable and affordable supplies of insulin, our AFREZZA inhaler, the related cartridges and other materials. 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QSRs. The supply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113" w:lineRule="exact"/>
        <w:rPr>
          <w:sz w:val="20"/>
          <w:szCs w:val="20"/>
          <w:color w:val="auto"/>
        </w:rPr>
      </w:pPr>
    </w:p>
    <w:p>
      <w:pPr>
        <w:ind w:left="120" w:right="340"/>
        <w:spacing w:after="0" w:line="357" w:lineRule="auto"/>
        <w:rPr>
          <w:sz w:val="20"/>
          <w:szCs w:val="20"/>
          <w:color w:val="auto"/>
        </w:rPr>
      </w:pPr>
      <w:r>
        <w:rPr>
          <w:rFonts w:ascii="Arial" w:cs="Arial" w:eastAsia="Arial" w:hAnsi="Arial"/>
          <w:sz w:val="15"/>
          <w:szCs w:val="15"/>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ind w:firstLine="228"/>
        <w:spacing w:after="0" w:line="286" w:lineRule="auto"/>
        <w:rPr>
          <w:sz w:val="20"/>
          <w:szCs w:val="20"/>
          <w:color w:val="auto"/>
        </w:rPr>
      </w:pPr>
      <w:r>
        <w:rPr>
          <w:rFonts w:ascii="Arial" w:cs="Arial" w:eastAsia="Arial" w:hAnsi="Arial"/>
          <w:sz w:val="16"/>
          <w:szCs w:val="16"/>
          <w:color w:val="auto"/>
        </w:rPr>
        <w:t>We use our Danbury, Connecticut facility to formulate AFREZZA inhalation powder, fill plastic cartridges with the powder, package the cartridges in blister packs, and place the blister packs into foil pouches. We will utilize a contract packager to do the final kitting and cartoning of foil pouched blisters containing cartridges, as well as inhalers and the package insert. Although the Danbury facility has been qualified and undergone an inspection by the FDA in connection with our original NDA submission that sought approval of AFREZZA using our MedTone inhaler, we anticipate that our facility will need to undergo further inspection related to our ability to fill and package cartridges for our next-generation Dreamboat inhaler before we can be approved to distribute AFREZZA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46" w:lineRule="exact"/>
        <w:rPr>
          <w:sz w:val="20"/>
          <w:szCs w:val="20"/>
          <w:color w:val="auto"/>
        </w:rPr>
      </w:pPr>
    </w:p>
    <w:p>
      <w:pPr>
        <w:ind w:right="200" w:firstLine="228"/>
        <w:spacing w:after="0" w:line="294" w:lineRule="auto"/>
        <w:rPr>
          <w:sz w:val="20"/>
          <w:szCs w:val="20"/>
          <w:color w:val="auto"/>
        </w:rPr>
      </w:pPr>
      <w:r>
        <w:rPr>
          <w:rFonts w:ascii="Arial" w:cs="Arial" w:eastAsia="Arial" w:hAnsi="Arial"/>
          <w:sz w:val="16"/>
          <w:szCs w:val="16"/>
          <w:color w:val="auto"/>
        </w:rPr>
        <w:t>Any of these factors could cause us to delay or suspend clinical trials,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16" w:lineRule="exact"/>
        <w:rPr>
          <w:sz w:val="20"/>
          <w:szCs w:val="20"/>
          <w:color w:val="auto"/>
        </w:rPr>
      </w:pPr>
    </w:p>
    <w:p>
      <w:pPr>
        <w:ind w:left="120" w:right="20"/>
        <w:spacing w:after="0" w:line="268" w:lineRule="auto"/>
        <w:rPr>
          <w:sz w:val="20"/>
          <w:szCs w:val="20"/>
          <w:color w:val="auto"/>
        </w:rPr>
      </w:pPr>
      <w:r>
        <w:rPr>
          <w:rFonts w:ascii="Arial" w:cs="Arial" w:eastAsia="Arial" w:hAnsi="Arial"/>
          <w:sz w:val="18"/>
          <w:szCs w:val="18"/>
          <w:b w:val="1"/>
          <w:bCs w:val="1"/>
          <w:i w:val="1"/>
          <w:iCs w:val="1"/>
          <w:color w:val="auto"/>
        </w:rPr>
        <w:t>If any product that we develop does not become widely accepted by physicians, patients, third-party payors and the healthcare community, we may be unable to generate significant revenue, if any.</w:t>
      </w:r>
    </w:p>
    <w:p>
      <w:pPr>
        <w:spacing w:after="0" w:line="51"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color w:val="auto"/>
        </w:rPr>
        <w:t>AFREZZA and our other product candidates are new and unproven. Even if any of our product candidates obtain regulatory approval, they may not gain market acceptance among physicians, patients, third-party payors and the healthcare community. Failure to achieve market acceptance would limit our ability to generate revenue and would adversely affect our results of operations.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90" w:lineRule="exact"/>
        <w:rPr>
          <w:sz w:val="20"/>
          <w:szCs w:val="20"/>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for which FDA approval can be obtained, including superiority claims;</w:t>
      </w:r>
    </w:p>
    <w:p>
      <w:pPr>
        <w:spacing w:after="0" w:line="90" w:lineRule="exact"/>
        <w:rPr>
          <w:rFonts w:ascii="Arial" w:cs="Arial" w:eastAsia="Arial" w:hAnsi="Arial"/>
          <w:sz w:val="18"/>
          <w:szCs w:val="18"/>
          <w:color w:val="auto"/>
        </w:rPr>
      </w:pPr>
    </w:p>
    <w:p>
      <w:pPr>
        <w:ind w:left="440" w:right="260" w:hanging="216"/>
        <w:spacing w:after="0" w:line="332" w:lineRule="auto"/>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effectiveness of our or our third party collaborator(s) efforts to educate physicians about the benefits and advantages of AFREZZA or our other products and to provide adequate support for them, and the perceived advantages and disadvantages of competitive products;</w:t>
      </w:r>
    </w:p>
    <w:p>
      <w:pPr>
        <w:spacing w:after="0" w:line="4" w:lineRule="exact"/>
        <w:rPr>
          <w:rFonts w:ascii="Arial" w:cs="Arial" w:eastAsia="Arial" w:hAnsi="Arial"/>
          <w:sz w:val="16"/>
          <w:szCs w:val="16"/>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90" w:lineRule="exact"/>
        <w:rPr>
          <w:rFonts w:ascii="Arial" w:cs="Arial" w:eastAsia="Arial" w:hAnsi="Arial"/>
          <w:sz w:val="18"/>
          <w:szCs w:val="18"/>
          <w:color w:val="auto"/>
        </w:rPr>
      </w:pPr>
    </w:p>
    <w:p>
      <w:pPr>
        <w:ind w:left="440" w:right="520" w:hanging="216"/>
        <w:spacing w:after="0" w:line="268"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21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90"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Because of these and other factors, any product that we may develop may not gain market acceptance, which would materially harm our business, financial condition and results of operations.</w:t>
      </w:r>
    </w:p>
    <w:p>
      <w:pPr>
        <w:spacing w:after="0" w:line="132" w:lineRule="exact"/>
        <w:rPr>
          <w:sz w:val="20"/>
          <w:szCs w:val="20"/>
          <w:color w:val="auto"/>
        </w:rPr>
      </w:pPr>
    </w:p>
    <w:p>
      <w:pPr>
        <w:ind w:left="120" w:right="300"/>
        <w:spacing w:after="0" w:line="268" w:lineRule="auto"/>
        <w:rPr>
          <w:sz w:val="20"/>
          <w:szCs w:val="20"/>
          <w:color w:val="auto"/>
        </w:rPr>
      </w:pPr>
      <w:r>
        <w:rPr>
          <w:rFonts w:ascii="Arial" w:cs="Arial" w:eastAsia="Arial" w:hAnsi="Arial"/>
          <w:sz w:val="18"/>
          <w:szCs w:val="18"/>
          <w:b w:val="1"/>
          <w:bCs w:val="1"/>
          <w:i w:val="1"/>
          <w:iCs w:val="1"/>
          <w:color w:val="auto"/>
        </w:rPr>
        <w:t>If third-party payors do not cover any products for which we receive regulatory approval or adequately reimburse consumers for any such products, our products might not be used or purchased, which would adversely affect our revenues.</w:t>
      </w:r>
    </w:p>
    <w:p>
      <w:pPr>
        <w:spacing w:after="0" w:line="51"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39"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would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43"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If we are unable to obtain coverage of, and adequate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 even if we have products that are approved.</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In March 2010, the Patient Protection and Affordable Care Act, as amended by the Health Care and Education Affordability Reconciliation Act, or collectively, PPACA, became law in the United States. PPACA substantially changes the way healthcare is financed by both governmental and private insurers and significantly affects the healthcare industry. Among the provisions of PPACA of importance to our potential product candidates are the following:</w:t>
      </w:r>
    </w:p>
    <w:p>
      <w:pPr>
        <w:spacing w:after="0" w:line="35" w:lineRule="exact"/>
        <w:rPr>
          <w:sz w:val="20"/>
          <w:szCs w:val="20"/>
          <w:color w:val="auto"/>
        </w:rPr>
      </w:pPr>
    </w:p>
    <w:p>
      <w:pPr>
        <w:ind w:left="440" w:right="160" w:hanging="216"/>
        <w:spacing w:after="0" w:line="268"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 beginning in 2011;</w:t>
      </w:r>
    </w:p>
    <w:p>
      <w:pPr>
        <w:spacing w:after="0" w:line="50" w:lineRule="exact"/>
        <w:rPr>
          <w:rFonts w:ascii="Arial" w:cs="Arial" w:eastAsia="Arial" w:hAnsi="Arial"/>
          <w:sz w:val="18"/>
          <w:szCs w:val="18"/>
          <w:color w:val="auto"/>
        </w:rPr>
      </w:pPr>
    </w:p>
    <w:p>
      <w:pPr>
        <w:ind w:left="440" w:right="500" w:hanging="216"/>
        <w:spacing w:after="0" w:line="268"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drug-device combination products;</w:t>
      </w:r>
    </w:p>
    <w:p>
      <w:pPr>
        <w:spacing w:after="0" w:line="50" w:lineRule="exact"/>
        <w:rPr>
          <w:rFonts w:ascii="Arial" w:cs="Arial" w:eastAsia="Arial" w:hAnsi="Arial"/>
          <w:sz w:val="18"/>
          <w:szCs w:val="18"/>
          <w:color w:val="auto"/>
        </w:rPr>
      </w:pPr>
    </w:p>
    <w:p>
      <w:pPr>
        <w:ind w:left="440" w:right="220" w:hanging="216"/>
        <w:spacing w:after="0" w:line="268"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 and 13% of the average manufacturer price for most branded and generic drugs, respectively;</w:t>
      </w:r>
    </w:p>
    <w:p>
      <w:pPr>
        <w:spacing w:after="0" w:line="50" w:lineRule="exact"/>
        <w:rPr>
          <w:rFonts w:ascii="Arial" w:cs="Arial" w:eastAsia="Arial" w:hAnsi="Arial"/>
          <w:sz w:val="18"/>
          <w:szCs w:val="18"/>
          <w:color w:val="auto"/>
        </w:rPr>
      </w:pPr>
    </w:p>
    <w:p>
      <w:pPr>
        <w:ind w:left="440" w:right="200" w:hanging="216"/>
        <w:spacing w:after="0" w:line="268"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50" w:lineRule="exact"/>
        <w:rPr>
          <w:rFonts w:ascii="Arial" w:cs="Arial" w:eastAsia="Arial" w:hAnsi="Arial"/>
          <w:sz w:val="18"/>
          <w:szCs w:val="18"/>
          <w:color w:val="auto"/>
        </w:rPr>
      </w:pPr>
    </w:p>
    <w:p>
      <w:pPr>
        <w:ind w:left="440" w:hanging="216"/>
        <w:spacing w:after="0" w:line="25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59" w:lineRule="exact"/>
        <w:rPr>
          <w:rFonts w:ascii="Arial" w:cs="Arial" w:eastAsia="Arial" w:hAnsi="Arial"/>
          <w:sz w:val="18"/>
          <w:szCs w:val="18"/>
          <w:color w:val="auto"/>
        </w:rPr>
      </w:pPr>
    </w:p>
    <w:p>
      <w:pPr>
        <w:ind w:left="440" w:hanging="216"/>
        <w:spacing w:after="0"/>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extension of manufacturers’ Medicaid rebate liability to covered drugs dispensed to individuals who are enrolled in Medicaid managed care organizations;</w:t>
      </w:r>
    </w:p>
    <w:p>
      <w:pPr>
        <w:spacing w:after="0" w:line="113" w:lineRule="exact"/>
        <w:rPr>
          <w:rFonts w:ascii="Arial" w:cs="Arial" w:eastAsia="Arial" w:hAnsi="Arial"/>
          <w:sz w:val="16"/>
          <w:szCs w:val="16"/>
          <w:color w:val="auto"/>
        </w:rPr>
      </w:pPr>
    </w:p>
    <w:p>
      <w:pPr>
        <w:ind w:left="440" w:right="100" w:hanging="216"/>
        <w:spacing w:after="0" w:line="25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certain individuals with income at or below 133% of the Federal Poverty Level, thereby potentially increasing manufacturers’ Medicaid rebate liability;</w:t>
      </w:r>
    </w:p>
    <w:p>
      <w:pPr>
        <w:spacing w:after="0" w:line="59" w:lineRule="exact"/>
        <w:rPr>
          <w:rFonts w:ascii="Arial" w:cs="Arial" w:eastAsia="Arial" w:hAnsi="Arial"/>
          <w:sz w:val="18"/>
          <w:szCs w:val="18"/>
          <w:color w:val="auto"/>
        </w:rPr>
      </w:pPr>
    </w:p>
    <w:p>
      <w:pPr>
        <w:ind w:left="440" w:hanging="21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90" w:lineRule="exact"/>
        <w:rPr>
          <w:rFonts w:ascii="Arial" w:cs="Arial" w:eastAsia="Arial" w:hAnsi="Arial"/>
          <w:sz w:val="18"/>
          <w:szCs w:val="18"/>
          <w:color w:val="auto"/>
        </w:rPr>
      </w:pPr>
    </w:p>
    <w:p>
      <w:pPr>
        <w:ind w:left="440" w:right="40" w:hanging="216"/>
        <w:spacing w:after="0" w:line="294"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new requirements to report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 with data collection to be required beginning August 1, 2013 and reporting to the Centers for Medicare &amp; Medicaid Services, or CMS, to be required by March 31, 2014 and by the 90th day of each subsequent calendar year;</w:t>
      </w:r>
    </w:p>
    <w:p>
      <w:pPr>
        <w:spacing w:after="0" w:line="34" w:lineRule="exact"/>
        <w:rPr>
          <w:rFonts w:ascii="Arial" w:cs="Arial" w:eastAsia="Arial" w:hAnsi="Arial"/>
          <w:sz w:val="16"/>
          <w:szCs w:val="16"/>
          <w:color w:val="auto"/>
        </w:rPr>
      </w:pPr>
    </w:p>
    <w:p>
      <w:pPr>
        <w:ind w:left="440" w:hanging="216"/>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90" w:lineRule="exact"/>
        <w:rPr>
          <w:rFonts w:ascii="Arial" w:cs="Arial" w:eastAsia="Arial" w:hAnsi="Arial"/>
          <w:sz w:val="18"/>
          <w:szCs w:val="18"/>
          <w:color w:val="auto"/>
        </w:rPr>
      </w:pPr>
    </w:p>
    <w:p>
      <w:pPr>
        <w:ind w:left="440" w:right="140" w:hanging="216"/>
        <w:spacing w:after="0" w:line="268"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In addition, other legislative changes have been proposed and adopted since PPACA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On January 2, 2013, President Obama signed into law the American Taxpayer Relief Act of 2012, or the ATRA, which, among other things,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37" w:lineRule="exact"/>
        <w:rPr>
          <w:sz w:val="20"/>
          <w:szCs w:val="20"/>
          <w:color w:val="auto"/>
        </w:rPr>
      </w:pPr>
    </w:p>
    <w:p>
      <w:pPr>
        <w:ind w:right="260" w:firstLine="228"/>
        <w:spacing w:after="0" w:line="298" w:lineRule="auto"/>
        <w:rPr>
          <w:sz w:val="20"/>
          <w:szCs w:val="20"/>
          <w:color w:val="auto"/>
        </w:rPr>
      </w:pPr>
      <w:r>
        <w:rPr>
          <w:rFonts w:ascii="Arial" w:cs="Arial" w:eastAsia="Arial" w:hAnsi="Arial"/>
          <w:sz w:val="16"/>
          <w:szCs w:val="16"/>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13" w:lineRule="exact"/>
        <w:rPr>
          <w:sz w:val="20"/>
          <w:szCs w:val="20"/>
          <w:color w:val="auto"/>
        </w:rPr>
      </w:pPr>
    </w:p>
    <w:p>
      <w:pPr>
        <w:ind w:left="120" w:right="420"/>
        <w:spacing w:after="0" w:line="332" w:lineRule="auto"/>
        <w:rPr>
          <w:sz w:val="20"/>
          <w:szCs w:val="20"/>
          <w:color w:val="auto"/>
        </w:rPr>
      </w:pPr>
      <w:r>
        <w:rPr>
          <w:rFonts w:ascii="Arial" w:cs="Arial" w:eastAsia="Arial" w:hAnsi="Arial"/>
          <w:sz w:val="16"/>
          <w:szCs w:val="16"/>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4"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As a biopharmaceutical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laws that may affect our ability to operate include:</w:t>
      </w:r>
    </w:p>
    <w:p>
      <w:pPr>
        <w:spacing w:after="0" w:line="62" w:lineRule="exact"/>
        <w:rPr>
          <w:sz w:val="20"/>
          <w:szCs w:val="20"/>
          <w:color w:val="auto"/>
        </w:rPr>
      </w:pPr>
    </w:p>
    <w:p>
      <w:pPr>
        <w:ind w:left="440" w:right="100" w:hanging="216"/>
        <w:spacing w:after="0" w:line="256"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Anti-Kickback Statute, which constrains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62" w:lineRule="exact"/>
        <w:rPr>
          <w:rFonts w:ascii="Arial" w:cs="Arial" w:eastAsia="Arial" w:hAnsi="Arial"/>
          <w:sz w:val="18"/>
          <w:szCs w:val="18"/>
          <w:color w:val="auto"/>
        </w:rPr>
      </w:pPr>
    </w:p>
    <w:p>
      <w:pPr>
        <w:ind w:left="440" w:right="280" w:hanging="216"/>
        <w:spacing w:after="0" w:line="332"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4" w:lineRule="exact"/>
        <w:rPr>
          <w:rFonts w:ascii="Arial" w:cs="Arial" w:eastAsia="Arial" w:hAnsi="Arial"/>
          <w:sz w:val="16"/>
          <w:szCs w:val="16"/>
          <w:color w:val="auto"/>
        </w:rPr>
      </w:pPr>
    </w:p>
    <w:p>
      <w:pPr>
        <w:ind w:left="440" w:right="220" w:hanging="216"/>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executing a scheme to defraud any healthcare benefit program or making false statements relating to healthcare matters;</w:t>
      </w:r>
    </w:p>
    <w:p>
      <w:pPr>
        <w:spacing w:after="0" w:line="50" w:lineRule="exact"/>
        <w:rPr>
          <w:rFonts w:ascii="Arial" w:cs="Arial" w:eastAsia="Arial" w:hAnsi="Arial"/>
          <w:sz w:val="18"/>
          <w:szCs w:val="18"/>
          <w:color w:val="auto"/>
        </w:rPr>
      </w:pPr>
    </w:p>
    <w:p>
      <w:pPr>
        <w:ind w:left="440" w:right="100" w:hanging="216"/>
        <w:spacing w:after="0" w:line="332"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which imposes certain requirements relating to the privacy, security and transmission of individually identifiable health information; and</w:t>
      </w:r>
    </w:p>
    <w:p>
      <w:pPr>
        <w:spacing w:after="0" w:line="4" w:lineRule="exact"/>
        <w:rPr>
          <w:rFonts w:ascii="Arial" w:cs="Arial" w:eastAsia="Arial" w:hAnsi="Arial"/>
          <w:sz w:val="16"/>
          <w:szCs w:val="16"/>
          <w:color w:val="auto"/>
        </w:rPr>
      </w:pPr>
    </w:p>
    <w:p>
      <w:pPr>
        <w:ind w:left="440" w:right="60" w:hanging="216"/>
        <w:spacing w:after="0" w:line="256"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6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Because of the breadth of these laws and the narrowness of available statutory and regulatory exceptions, it is possible that some of our business activities could be subject to challenge under one or more of such laws. To the extent that any of our product candidates is ultimately sold in a foreign country, we may be subject to similar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foreign laws and regulations. If we or our operations are found to be in violation of any of the laws described above or any other governmental regulations that apply to us, we may be subject to penalties, including civil and criminal penalties, damages, fines, imprisonment,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90"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$10.0 million. In addition, we carry local policies per trial in each country in which we conduct clinical trials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13"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our product candidates successfully, we may be required to expand our work force, particularly in the areas of manufacturing, and, if we are unable to enter into collaborations with third parties to commercialize AFREZZA or any other approved products,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39"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35"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32" w:lineRule="exact"/>
        <w:rPr>
          <w:sz w:val="20"/>
          <w:szCs w:val="20"/>
          <w:color w:val="auto"/>
        </w:rPr>
      </w:pPr>
    </w:p>
    <w:p>
      <w:pPr>
        <w:ind w:left="120" w:right="60"/>
        <w:spacing w:after="0" w:line="268"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51"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internal controls over financial reporting are not considered effective, our business and stock price could be adversely affected.</w:t>
      </w:r>
    </w:p>
    <w:p>
      <w:pPr>
        <w:spacing w:after="0" w:line="113"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62"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90"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In addition, we are headquartered in Valencia, California. This facility contains our principal executive offices and is used to provide support for the development of our AFREZZA programs.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25" w:lineRule="exact"/>
        <w:rPr>
          <w:sz w:val="20"/>
          <w:szCs w:val="20"/>
          <w:color w:val="auto"/>
        </w:rPr>
      </w:pPr>
    </w:p>
    <w:p>
      <w:pPr>
        <w:ind w:right="20" w:firstLine="228"/>
        <w:spacing w:after="0" w:line="303" w:lineRule="auto"/>
        <w:rPr>
          <w:sz w:val="20"/>
          <w:szCs w:val="20"/>
          <w:color w:val="auto"/>
        </w:rPr>
      </w:pPr>
      <w:r>
        <w:rPr>
          <w:rFonts w:ascii="Arial" w:cs="Arial" w:eastAsia="Arial" w:hAnsi="Arial"/>
          <w:sz w:val="15"/>
          <w:szCs w:val="15"/>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w:t>
      </w:r>
    </w:p>
    <w:p>
      <w:pPr>
        <w:spacing w:after="0" w:line="1" w:lineRule="exact"/>
        <w:rPr>
          <w:sz w:val="20"/>
          <w:szCs w:val="20"/>
          <w:color w:val="auto"/>
        </w:rPr>
      </w:pPr>
    </w:p>
    <w:p>
      <w:pPr>
        <w:ind w:right="80" w:firstLine="8"/>
        <w:spacing w:after="0" w:line="287" w:lineRule="auto"/>
        <w:tabs>
          <w:tab w:leader="none" w:pos="258" w:val="left"/>
        </w:tabs>
        <w:numPr>
          <w:ilvl w:val="0"/>
          <w:numId w:val="16"/>
        </w:numPr>
        <w:rPr>
          <w:rFonts w:ascii="Arial" w:cs="Arial" w:eastAsia="Arial" w:hAnsi="Arial"/>
          <w:sz w:val="16"/>
          <w:szCs w:val="16"/>
          <w:color w:val="auto"/>
        </w:rPr>
      </w:pPr>
      <w:r>
        <w:rPr>
          <w:rFonts w:ascii="Arial" w:cs="Arial" w:eastAsia="Arial" w:hAnsi="Arial"/>
          <w:sz w:val="16"/>
          <w:szCs w:val="16"/>
          <w:color w:val="auto"/>
        </w:rPr>
        <w:t>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43"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When we purchased the facilities located in Danbury, Connecticut in 2001, there was a soil and groundwater investigation and remediation being conducted by a former site operator (the responsible party) under the oversight of the Connecticut Department of Environmental Protection, or CT DEP, which is continuing. As part of the purchase, we obtained an indemnification from the seller for all known environmental conditions that existed at the time the seller acquired the property. The seller was, in turn, indemnified for these known environmental conditions by the previous owner and its operator (responsible party). We also received an indemnification from the seller for environmental conditions created during its ownership of the property and for environmental problems unknown at the time that the seller acquired the property. These additional indemnities have since expired and were limited to the purchase price we paid for the Danbury facilities.</w:t>
      </w:r>
    </w:p>
    <w:p>
      <w:pPr>
        <w:spacing w:after="0" w:line="66" w:lineRule="exact"/>
        <w:rPr>
          <w:sz w:val="20"/>
          <w:szCs w:val="20"/>
          <w:color w:val="auto"/>
        </w:rPr>
      </w:pPr>
    </w:p>
    <w:p>
      <w:pPr>
        <w:ind w:right="180" w:firstLine="228"/>
        <w:spacing w:after="0" w:line="291" w:lineRule="auto"/>
        <w:rPr>
          <w:sz w:val="20"/>
          <w:szCs w:val="20"/>
          <w:color w:val="auto"/>
        </w:rPr>
      </w:pPr>
      <w:r>
        <w:rPr>
          <w:rFonts w:ascii="Arial" w:cs="Arial" w:eastAsia="Arial" w:hAnsi="Arial"/>
          <w:sz w:val="16"/>
          <w:szCs w:val="16"/>
          <w:color w:val="auto"/>
        </w:rPr>
        <w:t>During the construction of our expanded manufacturing facility, we excavated contaminated soil under the footprint of our building expansion location, at a cost of approximately $2.25 million. The responsible party reimbursed us for our increased excavation and disposal costs of contaminated soil in the amount of $1.625 million in July 2010. The responsible party has further agreed to conduct at its expense all work and make all filings necessary to achieve closure for the environmental investigation and remediation being conducted at the site and agreed to pay for or indemnify us for any future costs and expenses we may incur that are directly related to the final closure of the environmental remediation. If we are unable to collect these future costs and expenses, if any, from the responsible party, our business and results of operations may be harmed.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96" w:lineRule="exact"/>
        <w:rPr>
          <w:sz w:val="20"/>
          <w:szCs w:val="20"/>
          <w:color w:val="auto"/>
        </w:rPr>
      </w:pPr>
    </w:p>
    <w:p>
      <w:pPr>
        <w:ind w:left="120" w:right="240"/>
        <w:spacing w:after="0" w:line="268"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51"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26" w:lineRule="exact"/>
        <w:rPr>
          <w:sz w:val="20"/>
          <w:szCs w:val="20"/>
          <w:color w:val="auto"/>
        </w:rPr>
      </w:pPr>
    </w:p>
    <w:p>
      <w:pPr>
        <w:ind w:left="440" w:hanging="21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2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90"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AFREZZA.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37" w:lineRule="exact"/>
        <w:rPr>
          <w:sz w:val="20"/>
          <w:szCs w:val="20"/>
          <w:color w:val="auto"/>
        </w:rPr>
      </w:pPr>
    </w:p>
    <w:p>
      <w:pPr>
        <w:ind w:right="140" w:firstLine="228"/>
        <w:spacing w:after="0" w:line="291"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39"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39"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The FDA is regulating AFREZZA as a “combination product” because of the complex nature of the system that includes the combination of a new drug (AFREZZA) and a new medical device (the inhaler used to administer the insulin). The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39"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Other product candidates that we may develop could face similar obstacles and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 w:right="120"/>
        <w:spacing w:after="0" w:line="268"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51" w:lineRule="exact"/>
        <w:rPr>
          <w:sz w:val="20"/>
          <w:szCs w:val="20"/>
          <w:color w:val="auto"/>
        </w:rPr>
      </w:pPr>
    </w:p>
    <w:p>
      <w:pPr>
        <w:ind w:right="260" w:firstLine="228"/>
        <w:spacing w:after="0" w:line="256" w:lineRule="auto"/>
        <w:rPr>
          <w:sz w:val="20"/>
          <w:szCs w:val="20"/>
          <w:color w:val="auto"/>
        </w:rPr>
      </w:pPr>
      <w:r>
        <w:rPr>
          <w:rFonts w:ascii="Arial" w:cs="Arial" w:eastAsia="Arial" w:hAnsi="Arial"/>
          <w:sz w:val="18"/>
          <w:szCs w:val="18"/>
          <w:color w:val="auto"/>
        </w:rPr>
        <w:t>We will not be able to commercialize AFREZZA or any other product candidates unless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43"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59"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16" w:lineRule="exact"/>
        <w:rPr>
          <w:sz w:val="20"/>
          <w:szCs w:val="20"/>
          <w:color w:val="auto"/>
        </w:rPr>
      </w:pPr>
    </w:p>
    <w:p>
      <w:pPr>
        <w:ind w:left="120" w:right="240"/>
        <w:spacing w:after="0" w:line="268"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51"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AFREZZA or limit the target population for our other product candidates. There are no assurances that any advantages of AFREZZA will be agreed to by the FDA or otherwise included in product labeling or advertising and, as a result, AFREZZA may not have our expected competitive advantages when compared to other insulin products.</w:t>
      </w:r>
    </w:p>
    <w:p>
      <w:pPr>
        <w:spacing w:after="0" w:line="35"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62"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Arial" w:cs="Arial" w:eastAsia="Arial" w:hAnsi="Arial"/>
          <w:sz w:val="16"/>
          <w:szCs w:val="16"/>
          <w:i w:val="1"/>
          <w:iCs w:val="1"/>
          <w:color w:val="auto"/>
        </w:rPr>
        <w:t>e.g.</w:t>
      </w:r>
      <w:r>
        <w:rPr>
          <w:rFonts w:ascii="Arial" w:cs="Arial" w:eastAsia="Arial" w:hAnsi="Arial"/>
          <w:sz w:val="16"/>
          <w:szCs w:val="16"/>
          <w:color w:val="auto"/>
        </w:rPr>
        <w:t>, recalls), promotion and advertising and general prohibitions against the manufacture and distribution of adulterated and misbranded devices. Failure to comply with these regulatory requirements could result in civil fines, product seizures,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injunctions and/or criminal prosecution of responsible individuals and us. Any such actions would have a material adverse effect on our business and results of operations.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suppliers will be subject to FDA inspection before the agency approves an NDA for AFREZZA.</w:t>
      </w:r>
    </w:p>
    <w:p>
      <w:pPr>
        <w:spacing w:after="0" w:line="90"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18" w:lineRule="exact"/>
        <w:rPr>
          <w:sz w:val="20"/>
          <w:szCs w:val="20"/>
          <w:color w:val="auto"/>
        </w:rPr>
      </w:pPr>
    </w:p>
    <w:p>
      <w:pPr>
        <w:ind w:left="120" w:right="640"/>
        <w:spacing w:after="0" w:line="268"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1"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At present, there are a number of clinical trials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trials involving insulin therapies, we could encounter delays in the timing of our clinical trials, difficulties in obtaining approval of AFREZZA or be subject to class warnings in the label for AFREZZA, if approved. In addition,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63"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90"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66" w:lineRule="exact"/>
        <w:rPr>
          <w:sz w:val="20"/>
          <w:szCs w:val="20"/>
          <w:color w:val="auto"/>
        </w:rPr>
      </w:pPr>
    </w:p>
    <w:p>
      <w:pPr>
        <w:ind w:right="360" w:firstLine="228"/>
        <w:spacing w:after="0" w:line="306" w:lineRule="auto"/>
        <w:rPr>
          <w:sz w:val="20"/>
          <w:szCs w:val="20"/>
          <w:color w:val="auto"/>
        </w:rPr>
      </w:pPr>
      <w:r>
        <w:rPr>
          <w:rFonts w:ascii="Arial" w:cs="Arial" w:eastAsia="Arial" w:hAnsi="Arial"/>
          <w:sz w:val="16"/>
          <w:szCs w:val="16"/>
          <w:color w:val="auto"/>
        </w:rPr>
        <w:t>Moreover, the term of a patent is limited and, as a result, the patents protecting our products expire at various dates. For example, some patents providing protection for our AFREZZA inhalation powder expired in 2012. Other patents providing similar protection have terms extending into 2020 and 2031. In addition, patents providing protection for our inhaler and cartridges have terms extending into 2023 and 2030, and we have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method of treatment claims that extend into 2026 and 2029. As and when these different patents expire, AFREZZA could become subject to increased competition. As a consequence, we may not be able to recover our development costs.</w:t>
      </w:r>
    </w:p>
    <w:p>
      <w:pPr>
        <w:spacing w:after="0" w:line="51" w:lineRule="exact"/>
        <w:rPr>
          <w:sz w:val="20"/>
          <w:szCs w:val="20"/>
          <w:color w:val="auto"/>
        </w:rPr>
      </w:pPr>
    </w:p>
    <w:p>
      <w:pPr>
        <w:jc w:val="both"/>
        <w:ind w:right="60" w:firstLine="228"/>
        <w:spacing w:after="0" w:line="256"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62" w:lineRule="exact"/>
        <w:rPr>
          <w:sz w:val="20"/>
          <w:szCs w:val="20"/>
          <w:color w:val="auto"/>
        </w:rPr>
      </w:pPr>
    </w:p>
    <w:p>
      <w:pPr>
        <w:ind w:right="100" w:firstLine="228"/>
        <w:spacing w:after="0" w:line="290"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USPTO is continuing to develop regulations and procedures to govern administration of the Leahy-Smith Act, and while many of the substantive changes to patent law associated with the Leahy-Smith Act have become effective, others are only now becoming effective.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37"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20" w:lineRule="exact"/>
        <w:rPr>
          <w:sz w:val="20"/>
          <w:szCs w:val="20"/>
          <w:color w:val="auto"/>
        </w:rPr>
      </w:pPr>
    </w:p>
    <w:p>
      <w:pPr>
        <w:ind w:left="120" w:right="760"/>
        <w:spacing w:after="0" w:line="268"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63" w:lineRule="exact"/>
        <w:rPr>
          <w:sz w:val="20"/>
          <w:szCs w:val="20"/>
          <w:color w:val="auto"/>
        </w:rPr>
      </w:pPr>
    </w:p>
    <w:p>
      <w:pPr>
        <w:ind w:right="60" w:firstLine="228"/>
        <w:spacing w:after="0" w:line="314" w:lineRule="auto"/>
        <w:rPr>
          <w:sz w:val="20"/>
          <w:szCs w:val="20"/>
          <w:color w:val="auto"/>
        </w:rPr>
      </w:pPr>
      <w:r>
        <w:rPr>
          <w:rFonts w:ascii="Arial" w:cs="Arial" w:eastAsia="Arial" w:hAnsi="Arial"/>
          <w:sz w:val="15"/>
          <w:szCs w:val="15"/>
          <w:color w:val="auto"/>
        </w:rPr>
        <w:t>Interference proceedings brought by the United States Patent and Trademark Office, or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24" w:lineRule="exact"/>
        <w:rPr>
          <w:sz w:val="20"/>
          <w:szCs w:val="20"/>
          <w:color w:val="auto"/>
        </w:rPr>
      </w:pPr>
    </w:p>
    <w:p>
      <w:pPr>
        <w:ind w:right="580" w:firstLine="228"/>
        <w:spacing w:after="0" w:line="26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62" w:lineRule="exact"/>
        <w:rPr>
          <w:sz w:val="20"/>
          <w:szCs w:val="20"/>
          <w:color w:val="auto"/>
        </w:rPr>
      </w:pPr>
    </w:p>
    <w:p>
      <w:pPr>
        <w:ind w:left="120" w:right="200"/>
        <w:spacing w:after="0" w:line="33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4"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59"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51"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37" w:lineRule="exact"/>
        <w:rPr>
          <w:sz w:val="20"/>
          <w:szCs w:val="20"/>
          <w:color w:val="auto"/>
        </w:rPr>
      </w:pPr>
    </w:p>
    <w:p>
      <w:pPr>
        <w:ind w:right="60" w:firstLine="228"/>
        <w:spacing w:after="0" w:line="289" w:lineRule="auto"/>
        <w:rPr>
          <w:sz w:val="20"/>
          <w:szCs w:val="20"/>
          <w:color w:val="auto"/>
        </w:rPr>
      </w:pPr>
      <w:r>
        <w:rPr>
          <w:rFonts w:ascii="Arial" w:cs="Arial" w:eastAsia="Arial" w:hAnsi="Arial"/>
          <w:sz w:val="16"/>
          <w:szCs w:val="16"/>
          <w:color w:val="auto"/>
        </w:rPr>
        <w:t>Moreover, certain components of AFREZZA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37" w:lineRule="exact"/>
        <w:rPr>
          <w:sz w:val="20"/>
          <w:szCs w:val="20"/>
          <w:color w:val="auto"/>
        </w:rPr>
      </w:pPr>
    </w:p>
    <w:p>
      <w:pPr>
        <w:ind w:right="60" w:firstLine="228"/>
        <w:spacing w:after="0" w:line="288" w:lineRule="auto"/>
        <w:rPr>
          <w:sz w:val="20"/>
          <w:szCs w:val="20"/>
          <w:color w:val="auto"/>
        </w:rPr>
      </w:pPr>
      <w:r>
        <w:rPr>
          <w:rFonts w:ascii="Arial" w:cs="Arial" w:eastAsia="Arial" w:hAnsi="Arial"/>
          <w:sz w:val="16"/>
          <w:szCs w:val="16"/>
          <w:color w:val="auto"/>
        </w:rPr>
        <w:t>Although we own a number of domestic and foreign patents and patent applications relating to AFREZZA, we have identified certain third-party patents having claims relating to pulmonary insulin delivery that may trigger an allegation of infringement upon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39" w:lineRule="exact"/>
        <w:rPr>
          <w:sz w:val="20"/>
          <w:szCs w:val="20"/>
          <w:color w:val="auto"/>
        </w:rPr>
      </w:pPr>
    </w:p>
    <w:p>
      <w:pPr>
        <w:ind w:right="600" w:firstLine="228"/>
        <w:spacing w:after="0" w:line="26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57" w:lineRule="auto"/>
        <w:rPr>
          <w:sz w:val="20"/>
          <w:szCs w:val="20"/>
          <w:color w:val="auto"/>
        </w:rPr>
      </w:pPr>
      <w:r>
        <w:rPr>
          <w:rFonts w:ascii="Arial" w:cs="Arial" w:eastAsia="Arial" w:hAnsi="Arial"/>
          <w:sz w:val="15"/>
          <w:szCs w:val="15"/>
          <w:color w:val="auto"/>
        </w:rPr>
        <w:t>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ind w:right="60" w:firstLine="228"/>
        <w:spacing w:after="0" w:line="294" w:lineRule="auto"/>
        <w:rPr>
          <w:sz w:val="20"/>
          <w:szCs w:val="20"/>
          <w:color w:val="auto"/>
        </w:rPr>
      </w:pPr>
      <w:r>
        <w:rPr>
          <w:rFonts w:ascii="Arial" w:cs="Arial" w:eastAsia="Arial" w:hAnsi="Arial"/>
          <w:sz w:val="16"/>
          <w:szCs w:val="16"/>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90"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90"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26" w:lineRule="exact"/>
        <w:rPr>
          <w:sz w:val="20"/>
          <w:szCs w:val="20"/>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progress and results of our clinical trials;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90" w:lineRule="exact"/>
        <w:rPr>
          <w:rFonts w:ascii="Arial" w:cs="Arial" w:eastAsia="Arial" w:hAnsi="Arial"/>
          <w:sz w:val="18"/>
          <w:szCs w:val="18"/>
          <w:color w:val="auto"/>
        </w:rPr>
      </w:pPr>
    </w:p>
    <w:p>
      <w:pPr>
        <w:ind w:left="440" w:right="440" w:hanging="216"/>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right="180" w:hanging="216"/>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status of any legal proceedings against us or any of our executive officers and directors, including the legal proceedings described under Item 3 of this Annual Report;</w:t>
      </w:r>
    </w:p>
    <w:p>
      <w:pPr>
        <w:spacing w:after="0" w:line="50" w:lineRule="exact"/>
        <w:rPr>
          <w:rFonts w:ascii="Arial" w:cs="Arial" w:eastAsia="Arial" w:hAnsi="Arial"/>
          <w:sz w:val="18"/>
          <w:szCs w:val="18"/>
          <w:color w:val="auto"/>
        </w:rPr>
      </w:pPr>
    </w:p>
    <w:p>
      <w:pPr>
        <w:ind w:left="440" w:right="60" w:hanging="216"/>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2015 notes;</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conversion of any of our 2013 notes or 2015 notes into shares of our common stock; and</w:t>
      </w:r>
    </w:p>
    <w:p>
      <w:pPr>
        <w:spacing w:after="0" w:line="90" w:lineRule="exact"/>
        <w:rPr>
          <w:rFonts w:ascii="Arial" w:cs="Arial" w:eastAsia="Arial" w:hAnsi="Arial"/>
          <w:sz w:val="18"/>
          <w:szCs w:val="18"/>
          <w:color w:val="auto"/>
        </w:rPr>
      </w:pPr>
    </w:p>
    <w:p>
      <w:pPr>
        <w:ind w:left="440" w:right="40" w:hanging="216"/>
        <w:spacing w:after="0" w:line="256"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71" w:lineRule="exact"/>
        <w:rPr>
          <w:sz w:val="20"/>
          <w:szCs w:val="20"/>
          <w:color w:val="auto"/>
        </w:rPr>
      </w:pPr>
    </w:p>
    <w:p>
      <w:pPr>
        <w:ind w:left="120" w:right="240"/>
        <w:spacing w:after="0" w:line="268"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132"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39"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4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59" w:lineRule="exact"/>
        <w:rPr>
          <w:sz w:val="20"/>
          <w:szCs w:val="20"/>
          <w:color w:val="auto"/>
        </w:rPr>
      </w:pPr>
    </w:p>
    <w:p>
      <w:pPr>
        <w:jc w:val="both"/>
        <w:ind w:right="200" w:firstLine="228"/>
        <w:spacing w:after="0" w:line="256" w:lineRule="auto"/>
        <w:rPr>
          <w:sz w:val="20"/>
          <w:szCs w:val="20"/>
          <w:color w:val="auto"/>
        </w:rPr>
      </w:pPr>
      <w:r>
        <w:rPr>
          <w:rFonts w:ascii="Arial" w:cs="Arial" w:eastAsia="Arial" w:hAnsi="Arial"/>
          <w:sz w:val="18"/>
          <w:szCs w:val="18"/>
          <w:color w:val="auto"/>
        </w:rPr>
        <w:t>At December 31, 2012, Mr. Mann beneficially owned 48.2%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62"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0" w:right="100"/>
        <w:spacing w:after="0" w:line="268" w:lineRule="auto"/>
        <w:rPr>
          <w:sz w:val="20"/>
          <w:szCs w:val="20"/>
          <w:color w:val="auto"/>
        </w:rPr>
      </w:pPr>
      <w:r>
        <w:rPr>
          <w:rFonts w:ascii="Arial" w:cs="Arial" w:eastAsia="Arial" w:hAnsi="Arial"/>
          <w:sz w:val="18"/>
          <w:szCs w:val="18"/>
          <w:b w:val="1"/>
          <w:bCs w:val="1"/>
          <w:i w:val="1"/>
          <w:iCs w:val="1"/>
          <w:color w:val="auto"/>
        </w:rPr>
        <w:t>The future sale of our common stock, the conversion of our senior convertible notes into common stock or the exercise of our warrants for common stock could negatively affect our stock price.</w:t>
      </w:r>
    </w:p>
    <w:p>
      <w:pPr>
        <w:spacing w:after="0" w:line="51"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As of December 31, 2012, we had 286,035,082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or upon the exercise of some or all of the warrants we issued in February 2012 and October 2012, could adversely affect the trading price of our common stock. In addition, the existence of these notes and warrants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37" w:lineRule="exact"/>
        <w:rPr>
          <w:sz w:val="20"/>
          <w:szCs w:val="20"/>
          <w:color w:val="auto"/>
        </w:rPr>
      </w:pPr>
    </w:p>
    <w:p>
      <w:pPr>
        <w:ind w:right="80" w:firstLine="228"/>
        <w:spacing w:after="0" w:line="33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85" w:lineRule="exact"/>
        <w:rPr>
          <w:sz w:val="20"/>
          <w:szCs w:val="20"/>
          <w:color w:val="auto"/>
        </w:rPr>
      </w:pPr>
    </w:p>
    <w:p>
      <w:pPr>
        <w:ind w:left="120" w:right="60"/>
        <w:spacing w:after="0" w:line="33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4" w:lineRule="exact"/>
        <w:rPr>
          <w:sz w:val="20"/>
          <w:szCs w:val="20"/>
          <w:color w:val="auto"/>
        </w:rPr>
      </w:pPr>
    </w:p>
    <w:p>
      <w:pPr>
        <w:ind w:firstLine="228"/>
        <w:spacing w:after="0" w:line="310" w:lineRule="auto"/>
        <w:rPr>
          <w:sz w:val="20"/>
          <w:szCs w:val="20"/>
          <w:color w:val="auto"/>
        </w:rPr>
      </w:pPr>
      <w:r>
        <w:rPr>
          <w:rFonts w:ascii="Arial" w:cs="Arial" w:eastAsia="Arial" w:hAnsi="Arial"/>
          <w:sz w:val="15"/>
          <w:szCs w:val="15"/>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stock appreciation for any return on your investment.</w:t>
      </w:r>
    </w:p>
    <w:p>
      <w:pPr>
        <w:spacing w:after="0" w:line="113"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140" w:firstLine="228"/>
        <w:spacing w:after="0" w:line="294" w:lineRule="auto"/>
        <w:rPr>
          <w:sz w:val="20"/>
          <w:szCs w:val="20"/>
          <w:color w:val="auto"/>
        </w:rPr>
      </w:pPr>
      <w:r>
        <w:rPr>
          <w:rFonts w:ascii="Arial" w:cs="Arial" w:eastAsia="Arial" w:hAnsi="Arial"/>
          <w:sz w:val="16"/>
          <w:szCs w:val="16"/>
          <w:color w:val="auto"/>
        </w:rPr>
        <w:t>In 2001, we acquired a facility in Danbury, Connecticut that included two buildings comprising approximately 190,000 square feet encompassing 17.5 acres. In September 2008, we completed the construction of approximately 140,000 square feet of new manufacturing space providing us with two buildings totaling approximately 328,000 square feet, housing our research and development, administrative and manufacturing functions, primarily for AFREZZA, filling and packaging. We believe the Danbury facility will have sufficient space to satisfy potential commercial demand for the launch of AFREZZA and, with the expansion completed, the first few years thereafter for AFREZZA and other AFREZZA-related products.</w:t>
      </w:r>
    </w:p>
    <w:p>
      <w:pPr>
        <w:spacing w:after="0" w:line="35"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We own and occupy approximately 142,000 square feet of laboratory, office and warehouse space in Valencia, California. The facility contains our principal executive offices and houses our research and development laboratories for our cancer and other programs. We also use this facility to provide support for the development of our AFREZZA programs.</w:t>
      </w:r>
    </w:p>
    <w:p>
      <w:pPr>
        <w:spacing w:after="0" w:line="59"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color w:val="auto"/>
        </w:rPr>
        <w:t>We lease approximately 23,000 square feet of office space in Paramus, New Jersey pursuant to a lease that expires in May 2014. The facility houses our medical, regulatory affairs, clinical operations and administrative staff.</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We are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0"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b w:val="1"/>
          <w:bCs w:val="1"/>
          <w:color w:val="auto"/>
        </w:rPr>
        <w:t>The Securities Action</w:t>
      </w:r>
      <w:r>
        <w:rPr>
          <w:rFonts w:ascii="Arial" w:cs="Arial" w:eastAsia="Arial" w:hAnsi="Arial"/>
          <w:sz w:val="18"/>
          <w:szCs w:val="18"/>
          <w:color w:val="auto"/>
        </w:rPr>
        <w:t>. Beginning January 31, 2011, several complaints were filed in the U.S. District Court for the Central District of California against us</w:t>
      </w:r>
      <w:r>
        <w:rPr>
          <w:rFonts w:ascii="Arial" w:cs="Arial" w:eastAsia="Arial" w:hAnsi="Arial"/>
          <w:sz w:val="18"/>
          <w:szCs w:val="18"/>
          <w:b w:val="1"/>
          <w:bCs w:val="1"/>
          <w:color w:val="auto"/>
        </w:rPr>
        <w:t xml:space="preserve"> </w:t>
      </w:r>
      <w:r>
        <w:rPr>
          <w:rFonts w:ascii="Arial" w:cs="Arial" w:eastAsia="Arial" w:hAnsi="Arial"/>
          <w:sz w:val="18"/>
          <w:szCs w:val="18"/>
          <w:color w:val="auto"/>
        </w:rPr>
        <w:t>and four of our officers—Alfred E. Mann, Hakan S. Edstrom, Dr. Peter C. Richardson (a former officer) and Matthew J. Pfeffer—on behalf of certain purchasers of our common stock. The complaints include claims asserted under Sections 10(b) and 20(a) of the Securities Exchange Act of 1934, as amended, or the Exchange Act, and were brought as purported shareholder class actions. In general, the complaints alleged that the defendants violated federal securities laws by making materially false and misleading statements regarding our business and prospects for AFREZZA, thereby artificially inflating the price of our common stock. The U.S. District Court for the Central District of California consolidated the pending actions for all purposes. The consolidated action is referred to as the Securities Action.</w:t>
      </w:r>
    </w:p>
    <w:p>
      <w:pPr>
        <w:spacing w:after="0" w:line="66" w:lineRule="exact"/>
        <w:rPr>
          <w:sz w:val="20"/>
          <w:szCs w:val="20"/>
          <w:color w:val="auto"/>
        </w:rPr>
      </w:pPr>
    </w:p>
    <w:p>
      <w:pPr>
        <w:jc w:val="both"/>
        <w:ind w:right="200" w:firstLine="228"/>
        <w:spacing w:after="0" w:line="259" w:lineRule="auto"/>
        <w:rPr>
          <w:sz w:val="20"/>
          <w:szCs w:val="20"/>
          <w:color w:val="auto"/>
        </w:rPr>
      </w:pPr>
      <w:r>
        <w:rPr>
          <w:rFonts w:ascii="Arial" w:cs="Arial" w:eastAsia="Arial" w:hAnsi="Arial"/>
          <w:sz w:val="18"/>
          <w:szCs w:val="18"/>
          <w:color w:val="auto"/>
        </w:rPr>
        <w:t>On July 23, 2012, we, while continuing to deny all allegations of wrongdoing or liability whatsoever arising out of the Securities Action, and without in any way admitting fault or liability, entered into a stipulation of settlement to resolve the Securities Action. The current and former officers and directors named as individual defendants in the consolidated lawsuits also entered into the stipulation of settlement.</w:t>
      </w:r>
    </w:p>
    <w:p>
      <w:pPr>
        <w:spacing w:after="0" w:line="59"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In exchange for a release of all claims by the class members, among others, and a dismissal of the consolidated lawsuits, we agreed (i) to cause our insurers to pay class members and their attorneys a total of $16.0 million; and (ii) to issue to class members and their attorneys 2,777,778 shares of our common stock. On December 21, 2012, the U.S. District Court issued the Order and Final Judgment, providing final approval of the settlement for the Securities Action. As of December 31, 2012, the Securities Action was concluded.</w:t>
      </w:r>
    </w:p>
    <w:p>
      <w:pPr>
        <w:spacing w:after="0" w:line="56"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b w:val="1"/>
          <w:bCs w:val="1"/>
          <w:color w:val="auto"/>
        </w:rPr>
        <w:t>The Derivative Actions</w:t>
      </w:r>
      <w:r>
        <w:rPr>
          <w:rFonts w:ascii="Arial" w:cs="Arial" w:eastAsia="Arial" w:hAnsi="Arial"/>
          <w:sz w:val="16"/>
          <w:szCs w:val="16"/>
          <w:color w:val="auto"/>
        </w:rPr>
        <w:t>. Beginning in February 2011, several shareholder derivative complaints were filed in the Superior Court of California for the County</w:t>
      </w:r>
      <w:r>
        <w:rPr>
          <w:rFonts w:ascii="Arial" w:cs="Arial" w:eastAsia="Arial" w:hAnsi="Arial"/>
          <w:sz w:val="16"/>
          <w:szCs w:val="16"/>
          <w:b w:val="1"/>
          <w:bCs w:val="1"/>
          <w:color w:val="auto"/>
        </w:rPr>
        <w:t xml:space="preserve"> </w:t>
      </w:r>
      <w:r>
        <w:rPr>
          <w:rFonts w:ascii="Arial" w:cs="Arial" w:eastAsia="Arial" w:hAnsi="Arial"/>
          <w:sz w:val="16"/>
          <w:szCs w:val="16"/>
          <w:color w:val="auto"/>
        </w:rPr>
        <w:t>of Los Angeles and in the U.S. District Court for the Central District of California against all of our directors and certain of our officers. The complaints in the shareholder derivative actions allege breaches of fiduciary duties by the defendants and other violations of law. In general, the complaints allege that the defendants caused or allowed for the dissemination of materially false and misleading statements regarding our business and prospects for AFREZZA, thereby artificially inflating the price of our common stock. The Superior Court of California for the County of Los Angeles consolidated the actions pending before it. The consolidated state derivative actions are referred to as the State Derivative Action. The U.S. District Court for the Central District of California also consolidated the derivative actions pending before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it. The consolidated federal derivative actions are referred to as the Federal Derivative Action. The State Derivative Action and the Federal Derivative Action are collectively referred to as the Derivative Actions.</w:t>
      </w:r>
    </w:p>
    <w:p>
      <w:pPr>
        <w:spacing w:after="0" w:line="51"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On August 3, 2012, we, while continuing to deny all allegations of wrongdoing or liability whatsoever arising out of the Derivative Actions and without in any way admitting fault or liability, entered into a stipulation of settlement to resolve the Derivative Action. In an exchange for a release of all claims by the plaintiffs, among others, and a dismissal of the Derivative Actions, we agreed (i) to adopt certain corporate governance measures, (ii) to cause our insurers to pay the plaintiffs’ attorneys a total of $800,000, and (iii) to issue plaintiffs’ attorneys 225,000 shares of our common stock. On November 19, 2012, the U.S. District Court issued the Order and Final Judgment, providing final approval of the settlement for the derivative action. As of December 31, 2012, the Derivative Actions were concluded.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Market Price</w:t>
      </w:r>
    </w:p>
    <w:p>
      <w:pPr>
        <w:spacing w:after="0" w:line="96" w:lineRule="exact"/>
        <w:rPr>
          <w:sz w:val="20"/>
          <w:szCs w:val="20"/>
          <w:color w:val="auto"/>
        </w:rPr>
      </w:pPr>
    </w:p>
    <w:p>
      <w:pPr>
        <w:ind w:right="300" w:firstLine="228"/>
        <w:spacing w:after="0" w:line="332" w:lineRule="auto"/>
        <w:rPr>
          <w:sz w:val="20"/>
          <w:szCs w:val="20"/>
          <w:color w:val="auto"/>
        </w:rPr>
      </w:pPr>
      <w:r>
        <w:rPr>
          <w:rFonts w:ascii="Arial" w:cs="Arial" w:eastAsia="Arial" w:hAnsi="Arial"/>
          <w:sz w:val="16"/>
          <w:szCs w:val="16"/>
          <w:color w:val="auto"/>
        </w:rPr>
        <w:t>Our common stock has been traded on the NASDAQ Global Market under the symbol “MNKD” since July 28, 2004. The following table sets forth for the quarterly periods indicated, the high and low sales prices for our common stock as reported by the NASDAQ Global Market.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196"/>
        </w:trPr>
        <w:tc>
          <w:tcPr>
            <w:tcW w:w="9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2011</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10.05</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Third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3.99</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r>
      <w:tr>
        <w:trPr>
          <w:trHeight w:val="376"/>
        </w:trPr>
        <w:tc>
          <w:tcPr>
            <w:tcW w:w="9240" w:type="dxa"/>
            <w:vAlign w:val="bottom"/>
          </w:tcPr>
          <w:p>
            <w:pPr>
              <w:spacing w:after="0"/>
              <w:rPr>
                <w:sz w:val="20"/>
                <w:szCs w:val="20"/>
                <w:color w:val="auto"/>
              </w:rPr>
            </w:pPr>
            <w:r>
              <w:rPr>
                <w:rFonts w:ascii="Arial" w:cs="Arial" w:eastAsia="Arial" w:hAnsi="Arial"/>
                <w:sz w:val="18"/>
                <w:szCs w:val="18"/>
                <w:color w:val="auto"/>
              </w:rPr>
              <w:t>Year ended December 31, 2012</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2.49</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2.91</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r>
    </w:tbl>
    <w:p>
      <w:pPr>
        <w:spacing w:after="0" w:line="66"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The closing sales price of our common stock on the NASDAQ Global Market was $3.56 on March 13, 2013 and there were 192 registered holders of record as of that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The material in this section is not “soliciting material,” is not deemed “filed” with the SEC and shall not be incorporated by reference by any general statement incorporating by reference this Annual Report on Form 10-K into any of our filings under the Securities Act of 1933, as amended, or the Securities Act, or the Exchange Act, except to the extent we specifically incorporate this section by reference.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Measurement Comparison</w:t>
      </w:r>
    </w:p>
    <w:p>
      <w:pPr>
        <w:spacing w:after="0" w:line="96"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The following graph illustrates a comparison of the cumulative total stockholder return (change in stock price plus reinvested dividends) of our common stock with (i) the NASDAQ Composite Index and (ii) the NASDAQ Biotechnology Index. 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171450</wp:posOffset>
            </wp:positionV>
            <wp:extent cx="4347845" cy="30016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47845" cy="300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Assumes a $100 investment, on December 31, 2007, in (i) our common stock, (ii) the securities comprising the NASDAQ Composite Index and (iii) the securities comprising the NASDAQ Biotechnology Index.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 on our common stock in the foreseeable future. Any future determination to pay dividends will be at the discretion of our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sets forth information regarding all securities sold by us during the fiscal year ended December 31, 2012 without registration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(excluding those previously disclosed in a Quarterly Report on Form 10-Q or in a Current Report on Form 8-K):</w:t>
      </w:r>
    </w:p>
    <w:p>
      <w:pPr>
        <w:spacing w:after="0" w:line="84" w:lineRule="exact"/>
        <w:rPr>
          <w:sz w:val="20"/>
          <w:szCs w:val="20"/>
          <w:color w:val="auto"/>
        </w:rPr>
      </w:pPr>
    </w:p>
    <w:p>
      <w:pPr>
        <w:ind w:left="440" w:right="140" w:hanging="216"/>
        <w:spacing w:after="0" w:line="259"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December 6, 2012, following final approval of the settlement of the Securities Action, we transferred the 225,000 shares of our common stock into an investment brokerage account established by the plaintiffs’ attorneys. The shares were issued pursuant to an exemption from registration provided by Section 3(a)(10) of the Securities Act of 1933, as amended.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ind w:right="140" w:firstLine="228"/>
        <w:spacing w:after="0" w:line="332" w:lineRule="auto"/>
        <w:rPr>
          <w:sz w:val="20"/>
          <w:szCs w:val="20"/>
          <w:color w:val="auto"/>
        </w:rPr>
      </w:pPr>
      <w:r>
        <w:rPr>
          <w:rFonts w:ascii="Arial" w:cs="Arial" w:eastAsia="Arial" w:hAnsi="Arial"/>
          <w:sz w:val="16"/>
          <w:szCs w:val="16"/>
          <w:color w:val="auto"/>
        </w:rPr>
        <w:t>The following selected consolidated financial data should be read in conjunction with our consolidated financial statements and notes thereto and with “Management’s Discussion and Analysis of Financial Condition and Results of Operations,” which are included elsewhere in this Annual Report on Form 10-K.</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58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980" w:type="dxa"/>
            <w:vAlign w:val="bottom"/>
            <w:tcBorders>
              <w:top w:val="single" w:sz="8" w:color="auto"/>
            </w:tcBorders>
            <w:gridSpan w:val="9"/>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(In thousands, except per share amounts)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1"/>
        </w:trPr>
        <w:tc>
          <w:tcPr>
            <w:tcW w:w="458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156,331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ind w:left="20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152,591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140,589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4"/>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(305,765)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(209,778)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(152,498)</w:t>
            </w: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(140,539)</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(146,960)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w w:val="99"/>
              </w:rPr>
              <w:t>Interest expense on note payable to principal stockholder</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(5,679)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(10,249)</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(10,883)</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(7,128)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(303,037)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(220,104)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(170,560)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(160,804)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(303,039)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(220,104)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(170,560)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(160,804)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(169,366)</w:t>
            </w:r>
          </w:p>
        </w:tc>
        <w:tc>
          <w:tcPr>
            <w:tcW w:w="0" w:type="dxa"/>
            <w:vAlign w:val="bottom"/>
          </w:tcPr>
          <w:p>
            <w:pPr>
              <w:spacing w:after="0"/>
              <w:rPr>
                <w:sz w:val="1"/>
                <w:szCs w:val="1"/>
                <w:color w:val="auto"/>
              </w:rPr>
            </w:pPr>
          </w:p>
        </w:tc>
      </w:tr>
      <w:tr>
        <w:trPr>
          <w:trHeight w:val="20"/>
        </w:trPr>
        <w:tc>
          <w:tcPr>
            <w:tcW w:w="4580" w:type="dxa"/>
            <w:vAlign w:val="bottom"/>
            <w:gridSpan w:val="4"/>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4"/>
            <w:vMerge w:val="continue"/>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Shares used to compute basic and diluted net loss per share</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113,672</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121,817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4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58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5"/>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4"/>
              <w:spacing w:after="0" w:line="129" w:lineRule="exact"/>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30,019</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282,459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247,397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277,256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199,553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Note payable to related party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165,000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235,319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277,203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Deficit accumulated during the development stage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(1,384,078)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(1,604,182)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(1,774,742)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(1,935,546)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(2,104,912)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Total stockholders’ equity (deficit)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86,734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(59,221)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(185,532)</w:t>
            </w: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(313,652)</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(110,679)</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We are a biopharmaceutical company focused on the discovery and development of therapeutic products for diseases such as diabetes. Our lead product candidate, AFREZZA, is an ultra rapid-acting insulin therapy that is in late-stage clinical investigation for the treatment of adults with type 1 or type 2 diabetes for the control of hyperglycemia.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228"/>
        <w:spacing w:after="0" w:line="294"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December 31, 2012, we have incurred a cumulative net loss of $2.1 billion and a stockholders’ deficit of $110.7 million. To date, we have not generated any product revenues and have funded our operations primarily through the sale of equity securities and convertible debt securities and borrowings under a loan arrangement provided by our principal stockholder. As discussed below in “Liquidity and Capital Resources,” if we are unable to obtain additional funding in the future, there will continue to be substantial doubt about our ability to continue as a going concern.</w:t>
      </w:r>
    </w:p>
    <w:p>
      <w:pPr>
        <w:spacing w:after="0" w:line="35" w:lineRule="exact"/>
        <w:rPr>
          <w:sz w:val="20"/>
          <w:szCs w:val="20"/>
          <w:color w:val="auto"/>
        </w:rPr>
      </w:pPr>
    </w:p>
    <w:p>
      <w:pPr>
        <w:ind w:right="140" w:firstLine="228"/>
        <w:spacing w:after="0" w:line="256" w:lineRule="auto"/>
        <w:rPr>
          <w:sz w:val="20"/>
          <w:szCs w:val="20"/>
          <w:color w:val="auto"/>
        </w:rPr>
      </w:pPr>
      <w:r>
        <w:rPr>
          <w:rFonts w:ascii="Arial" w:cs="Arial" w:eastAsia="Arial" w:hAnsi="Arial"/>
          <w:sz w:val="18"/>
          <w:szCs w:val="18"/>
          <w:color w:val="auto"/>
        </w:rPr>
        <w:t>We do not expect to record sales of any product prior to regulatory approval and commercialization of AFREZZA. We currently do not have the required approvals to market any of our product candidates, and we may not receive such approvals. We may not be able to achieve positive cash flow from operations even if we succeed in commercializing any of our product candidates. We expect to make substantial expenditures and to incur additional operating losses for at least the next several years as we:</w:t>
      </w:r>
    </w:p>
    <w:p>
      <w:pPr>
        <w:spacing w:after="0" w:line="62" w:lineRule="exact"/>
        <w:rPr>
          <w:sz w:val="20"/>
          <w:szCs w:val="20"/>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the clinical development of AFREZZA and new inhalation systems for the treatment of diabetes;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regulatory approval to sell AFREZZA in the United States and other markets;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development and commercialization collaborations for AFREZZA; and</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additional applications of our proprietary Technosphere formulation technology for the pulmonary delivery of other drugs.</w:t>
      </w:r>
    </w:p>
    <w:p>
      <w:pPr>
        <w:spacing w:after="0" w:line="90"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Our business is subject to significant risks, including but not limited to the risks inherent in our ongoing clinical trials and the regulatory approval process, our potential inability to enter into sales and marketing collaborations or to commercialize AFREZZA in a timely manner, the results of our research and development efforts, competition from other products and technologies and uncertainties associated with obtaining and enforcing patent rights.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39"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59"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AFREZZA through regulatory filings.</w:t>
      </w:r>
    </w:p>
    <w:p>
      <w:pPr>
        <w:spacing w:after="0" w:line="51"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clinical trial operations and discussions with the FDA regarding its requirements.</w:t>
      </w:r>
    </w:p>
    <w:p>
      <w:pPr>
        <w:spacing w:after="0" w:line="62"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During the first quarter of 2011, we implemented a restructuring to streamline operations, reduce operating expenses, extend our cash runway and focus our resources on securing FDA approval of the NDA for AFREZZA. In connection with the restructuring, we recorded charges to research and development expenses of approximately $4.7 million for employee severance and other related termination benefits. The restructuring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resulted in research and development operating cost savings of approximately $9.5 million in 2011. These savings were partially offset by increased costs associated with the additional trials required by the FDA.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220" w:firstLine="228"/>
        <w:spacing w:after="0" w:line="259"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59" w:lineRule="exact"/>
        <w:rPr>
          <w:sz w:val="20"/>
          <w:szCs w:val="20"/>
          <w:color w:val="auto"/>
        </w:rPr>
      </w:pPr>
    </w:p>
    <w:p>
      <w:pPr>
        <w:jc w:val="both"/>
        <w:ind w:right="180" w:firstLine="228"/>
        <w:spacing w:after="0" w:line="259" w:lineRule="auto"/>
        <w:rPr>
          <w:sz w:val="20"/>
          <w:szCs w:val="20"/>
          <w:color w:val="auto"/>
        </w:rPr>
      </w:pPr>
      <w:r>
        <w:rPr>
          <w:rFonts w:ascii="Arial" w:cs="Arial" w:eastAsia="Arial" w:hAnsi="Arial"/>
          <w:sz w:val="18"/>
          <w:szCs w:val="18"/>
          <w:color w:val="auto"/>
        </w:rPr>
        <w:t>In connection with the restructuring, we recorded charges to general and administrative expenses of approximately $1.6 million for employee severance and other related termination benefits. The restructuring resulted in general and administrative operating cost savings of approximately $2.8 million in 2011. These savings were offset primarily by increased professional fees.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96" w:lineRule="exact"/>
        <w:rPr>
          <w:sz w:val="20"/>
          <w:szCs w:val="20"/>
          <w:color w:val="auto"/>
        </w:rPr>
      </w:pPr>
    </w:p>
    <w:p>
      <w:pPr>
        <w:ind w:right="280" w:firstLine="228"/>
        <w:spacing w:after="0" w:line="256" w:lineRule="auto"/>
        <w:rPr>
          <w:sz w:val="20"/>
          <w:szCs w:val="20"/>
          <w:color w:val="auto"/>
        </w:rPr>
      </w:pPr>
      <w:r>
        <w:rPr>
          <w:rFonts w:ascii="Arial" w:cs="Arial" w:eastAsia="Arial" w:hAnsi="Arial"/>
          <w:sz w:val="18"/>
          <w:szCs w:val="18"/>
          <w:color w:val="auto"/>
        </w:rPr>
        <w:t>Assessing long-lived assets for impairment requires us to make assumptions and judgments regarding the carrying value of these assets. We evaluate long-lived assets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62" w:lineRule="exact"/>
        <w:rPr>
          <w:sz w:val="20"/>
          <w:szCs w:val="20"/>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changes in our strategic business objectives and utilization of the assets;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determination that the carrying value of such assets cannot be recovered through undiscounted cash flows;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legal ownership or title to the assets;</w:t>
      </w:r>
    </w:p>
    <w:p>
      <w:pPr>
        <w:spacing w:after="0" w:line="90" w:lineRule="exact"/>
        <w:rPr>
          <w:rFonts w:ascii="Arial" w:cs="Arial" w:eastAsia="Arial" w:hAnsi="Arial"/>
          <w:sz w:val="18"/>
          <w:szCs w:val="18"/>
          <w:color w:val="auto"/>
        </w:rPr>
      </w:pPr>
    </w:p>
    <w:p>
      <w:pPr>
        <w:ind w:left="440" w:right="220" w:hanging="216"/>
        <w:spacing w:after="0" w:line="268"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 long-lived asset (asset group), including an adverse action or assessment by a regulator; or</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significant negative industry or economic trends.</w:t>
      </w:r>
    </w:p>
    <w:p>
      <w:pPr>
        <w:spacing w:after="0" w:line="90"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If we believe our assets to be impaired, the impairment we recognize is the amount by which the carrying value of the assets exceeds the fair value of the assets.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62" w:lineRule="exact"/>
        <w:rPr>
          <w:sz w:val="20"/>
          <w:szCs w:val="20"/>
          <w:color w:val="auto"/>
        </w:rPr>
      </w:pPr>
    </w:p>
    <w:p>
      <w:pPr>
        <w:ind w:right="460" w:firstLine="228"/>
        <w:spacing w:after="0" w:line="332" w:lineRule="auto"/>
        <w:rPr>
          <w:sz w:val="20"/>
          <w:szCs w:val="20"/>
          <w:color w:val="auto"/>
        </w:rPr>
      </w:pPr>
      <w:r>
        <w:rPr>
          <w:rFonts w:ascii="Arial" w:cs="Arial" w:eastAsia="Arial" w:hAnsi="Arial"/>
          <w:sz w:val="16"/>
          <w:szCs w:val="16"/>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expenses</w:t>
      </w:r>
    </w:p>
    <w:p>
      <w:pPr>
        <w:spacing w:after="0" w:line="96"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We account for these expenses according to the progress of the trial as measured by patient progression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 xml:space="preserve">We account for stock-based compensation in accordance with Financial Accounting Standards Board (“FASB”) Accounting Standards Codification (“ASC”) 718 (“ASC 718”) </w:t>
      </w:r>
      <w:r>
        <w:rPr>
          <w:rFonts w:ascii="Arial" w:cs="Arial" w:eastAsia="Arial" w:hAnsi="Arial"/>
          <w:sz w:val="16"/>
          <w:szCs w:val="16"/>
          <w:i w:val="1"/>
          <w:iCs w:val="1"/>
          <w:color w:val="auto"/>
        </w:rPr>
        <w:t>Compensation- Stock Compensation</w:t>
      </w:r>
      <w:r>
        <w:rPr>
          <w:rFonts w:ascii="Arial" w:cs="Arial" w:eastAsia="Arial" w:hAnsi="Arial"/>
          <w:sz w:val="16"/>
          <w:szCs w:val="16"/>
          <w:color w:val="auto"/>
        </w:rPr>
        <w:t>. ASC 718 requires all share-based payments to employees, including grants of stock options, restricted stock units, performance-based awards and the compensatory elements of employee stock purchase plans, to be recognized in the income statement based upon the fair value of the awards at the grant date. We use the Black-Scholes option valuation model to estimate the grant date fair value of employee stock options and the compensatory elements of employee stock purchase plans. Restricted stock units are valued based on the market price on the grant date. We evaluate stock awards with performance conditions as to the probability that the performance conditions will be met and estimate the date at which the performance conditions will be met in order to properly recognize stock-based compensation expense over the requisite service period. As of December 31, 2012, there was $107,000 and $3.7 million of unrecognized expenses related to performance-based options and restricted stock units, respectively, for milestones where achievement was not considered probable.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contracts</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 xml:space="preserve">In February and October 2012, we entered into agreements with The Mann Group whereby we agreed to sell and The Mann Group agreed to purchase common stock and/or warrants. These agreements have been accounted for as forward contracts, having met the definition of derivative instruments in accordance with the provisions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We determine the fair value of the forward contract upon its issuance, record fair value adjustments of the forward contract to Other income (expense) during the reporting period and through the settlement of the forward contract, and reclassify the forward contract to equity upon settlement of the forward contract. The fair value of the forward purchase contract is highly sensitive to the discount applied for lack of marketability and the stock price, and changes in this discount and/or the stock price could cause the value of the forward purchase contract to change significantly</w:t>
      </w:r>
      <w:r>
        <w:rPr>
          <w:rFonts w:ascii="Arial" w:cs="Arial" w:eastAsia="Arial" w:hAnsi="Arial"/>
          <w:sz w:val="18"/>
          <w:szCs w:val="18"/>
          <w:b w:val="1"/>
          <w:bCs w:val="1"/>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96"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We must make management judgments when determining our provision for income taxes, our deferred tax assets and liabilities and any valuation allowance recorded against our net deferred tax assets. At December 31, 2012, we have established a valuation allowance of $750.2 million against all of our net deferred tax asset balance, due to uncertainties related to the realizability of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2011 and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During the years ended December 31, 2011 and December 31, 2012, we recognized $50,000 and $35,000, respectively, in revenue under a license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do not anticipate sales of any product prior to regulatory approval and commercialization of AFREZZA.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years ended December 31, 2011 and 2012 (dollars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6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Change</w:t>
            </w:r>
          </w:p>
        </w:tc>
        <w:tc>
          <w:tcPr>
            <w:tcW w:w="50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2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22,656</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Manufacturing</w:t>
            </w:r>
          </w:p>
        </w:tc>
        <w:tc>
          <w:tcPr>
            <w:tcW w:w="3120" w:type="dxa"/>
            <w:vAlign w:val="bottom"/>
            <w:gridSpan w:val="3"/>
          </w:tcPr>
          <w:p>
            <w:pPr>
              <w:jc w:val="right"/>
              <w:ind w:right="280"/>
              <w:spacing w:after="0"/>
              <w:rPr>
                <w:sz w:val="20"/>
                <w:szCs w:val="20"/>
                <w:color w:val="auto"/>
              </w:rPr>
            </w:pPr>
            <w:r>
              <w:rPr>
                <w:rFonts w:ascii="Arial" w:cs="Arial" w:eastAsia="Arial" w:hAnsi="Arial"/>
                <w:sz w:val="18"/>
                <w:szCs w:val="18"/>
                <w:color w:val="auto"/>
              </w:rPr>
              <w:t>58,523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40,094</w:t>
            </w:r>
          </w:p>
        </w:tc>
        <w:tc>
          <w:tcPr>
            <w:tcW w:w="50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(18,429)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3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11,399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(3,785)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3120" w:type="dxa"/>
            <w:vAlign w:val="bottom"/>
            <w:gridSpan w:val="3"/>
          </w:tcPr>
          <w:p>
            <w:pPr>
              <w:jc w:val="right"/>
              <w:ind w:right="220"/>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5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2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1"/>
        </w:trPr>
        <w:tc>
          <w:tcPr>
            <w:tcW w:w="48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120" w:type="dxa"/>
            <w:vAlign w:val="bottom"/>
            <w:gridSpan w:val="3"/>
          </w:tcPr>
          <w:p>
            <w:pPr>
              <w:jc w:val="right"/>
              <w:ind w:right="280"/>
              <w:spacing w:after="0"/>
              <w:rPr>
                <w:sz w:val="20"/>
                <w:szCs w:val="20"/>
                <w:color w:val="auto"/>
              </w:rPr>
            </w:pPr>
            <w:r>
              <w:rPr>
                <w:rFonts w:ascii="Arial" w:cs="Arial" w:eastAsia="Arial" w:hAnsi="Arial"/>
                <w:sz w:val="18"/>
                <w:szCs w:val="18"/>
                <w:color w:val="auto"/>
              </w:rPr>
              <w:t>$99,959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101,522</w:t>
            </w:r>
          </w:p>
        </w:tc>
        <w:tc>
          <w:tcPr>
            <w:tcW w:w="5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1,563</w:t>
            </w:r>
          </w:p>
        </w:tc>
        <w:tc>
          <w:tcPr>
            <w:tcW w:w="5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The increase in research and development expenses for the year ended December 31, 2012 compared to the year ended December 31, 2011, was primarily due to $24.9 million of increased clinical trial related expenses in connection with studies 171 and 175 conducted in 2012 and increased clinical distribution costs in support of our clinical trials, offset by the non-recurring $16.0 million expense recorded in 2011 related to our termination of the supply agreement with Organon and receipt of insulin, decreased salary related expenses of $8.6 million due to the February 2011 restructuring as well as the positive effect of our cost cutting measures on operating expenses.</w:t>
      </w:r>
    </w:p>
    <w:p>
      <w:pPr>
        <w:spacing w:after="0" w:line="62" w:lineRule="exact"/>
        <w:rPr>
          <w:sz w:val="20"/>
          <w:szCs w:val="20"/>
          <w:color w:val="auto"/>
        </w:rPr>
      </w:pPr>
    </w:p>
    <w:p>
      <w:pPr>
        <w:ind w:right="140" w:firstLine="228"/>
        <w:spacing w:after="0" w:line="284" w:lineRule="auto"/>
        <w:rPr>
          <w:sz w:val="20"/>
          <w:szCs w:val="20"/>
          <w:color w:val="auto"/>
        </w:rPr>
      </w:pPr>
      <w:r>
        <w:rPr>
          <w:rFonts w:ascii="Arial" w:cs="Arial" w:eastAsia="Arial" w:hAnsi="Arial"/>
          <w:sz w:val="16"/>
          <w:szCs w:val="16"/>
          <w:color w:val="auto"/>
        </w:rPr>
        <w:t>In 2012, clinical trial related expenses increased $24.9 million in connection with studies 171 and 175 subsequent to completion of enrollment in the end of September and early October of 2012, partially offset by $2.1 million in salary related cost savings resulting from the February 2011 reduction in force. In 2012, manufacturing expenses decreased as no insulin purchases were made subsequent to the termination of our supply agreement in 2011. In 2011, we paid</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$16.0 million in connection with the settlement of the dispute arising from us terminating our supply agreement. Additionally, the February 2011 reduction in force resulted in $4.3 million in salary related manufacturing cost savings partially offset by increased clinical distribution costs in support of our clinical trials. Decreased salary related expenses of $2.2 million resulting from the February 2011 reduction in force and $0.9 million in reduced purchased services primarily contributed to decreased research expenses in 2012.</w:t>
      </w:r>
    </w:p>
    <w:p>
      <w:pPr>
        <w:spacing w:after="0" w:line="63"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We anticipate that our overall research and development expenses will decrease in 2013 as we complete our clinical trials and prepare our resubmission for regulatory approval of AFREZZA.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years ended December 31, 2011 and 2012 (dollars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60" w:type="dxa"/>
            <w:vAlign w:val="bottom"/>
            <w:gridSpan w:val="3"/>
          </w:tcPr>
          <w:p>
            <w:pPr>
              <w:jc w:val="right"/>
              <w:ind w:right="457"/>
              <w:spacing w:after="0"/>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2"/>
              </w:rPr>
              <w:t>$ Change</w:t>
            </w:r>
          </w:p>
        </w:tc>
        <w:tc>
          <w:tcPr>
            <w:tcW w:w="62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2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$34,792</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$38,348</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$ 3,556</w:t>
            </w:r>
          </w:p>
        </w:tc>
        <w:tc>
          <w:tcPr>
            <w:tcW w:w="6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36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5,838</w:t>
            </w:r>
          </w:p>
        </w:tc>
        <w:tc>
          <w:tcPr>
            <w:tcW w:w="580" w:type="dxa"/>
            <w:vAlign w:val="bottom"/>
          </w:tcPr>
          <w:p>
            <w:pPr>
              <w:jc w:val="right"/>
              <w:spacing w:after="0"/>
              <w:rPr>
                <w:sz w:val="20"/>
                <w:szCs w:val="20"/>
                <w:color w:val="auto"/>
              </w:rPr>
            </w:pPr>
            <w:r>
              <w:rPr>
                <w:rFonts w:ascii="Arial" w:cs="Arial" w:eastAsia="Arial" w:hAnsi="Arial"/>
                <w:sz w:val="18"/>
                <w:szCs w:val="18"/>
                <w:color w:val="auto"/>
              </w:rPr>
              <w:t>7,125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1,287</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$40,630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$45,473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$ 4,843</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360" w:type="dxa"/>
            <w:vAlign w:val="bottom"/>
          </w:tcPr>
          <w:p>
            <w:pPr>
              <w:jc w:val="right"/>
              <w:ind w:right="1192"/>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20" w:firstLine="228"/>
        <w:spacing w:after="0" w:line="306" w:lineRule="auto"/>
        <w:rPr>
          <w:sz w:val="20"/>
          <w:szCs w:val="20"/>
          <w:color w:val="auto"/>
        </w:rPr>
      </w:pPr>
      <w:r>
        <w:rPr>
          <w:rFonts w:ascii="Arial" w:cs="Arial" w:eastAsia="Arial" w:hAnsi="Arial"/>
          <w:sz w:val="16"/>
          <w:szCs w:val="16"/>
          <w:color w:val="auto"/>
        </w:rPr>
        <w:t>General and administrative expenses for the year ended December 31, 2012 increased as compared to the same period in the prior year primarily due to a litigation settlement charge of $6.5 million, increased stock-based compensation expense of $1.3 million resulting from special awards issued to employees, partially offset by decreased salary related costs of $2.6 million as a result of the February 2011 reduction in force.</w:t>
      </w:r>
    </w:p>
    <w:p>
      <w:pPr>
        <w:spacing w:after="0" w:line="26"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We expect general and administrative expenses to be lower in 2013 due to reduced legal expenses and the effect of our cost cutting measures on operating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Other expense for the year ended December 31, 2012 was $1.2 million as compared to other income of $1.5 million for the year ended December 31, 2011. In 2012, other expense reflects the adjustment in fair value of forward purchase contracts with a related party. In 2011, other income is primarily comprised of realized gains of $1.3 million on the termination of foreign exchange hedging contracts related to our supply agreement with Organon. We terminated these contracts in the first quarter of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96" w:lineRule="exact"/>
        <w:rPr>
          <w:sz w:val="20"/>
          <w:szCs w:val="20"/>
          <w:color w:val="auto"/>
        </w:rPr>
      </w:pPr>
    </w:p>
    <w:p>
      <w:pPr>
        <w:ind w:right="560" w:firstLine="228"/>
        <w:spacing w:after="0" w:line="259" w:lineRule="auto"/>
        <w:rPr>
          <w:sz w:val="20"/>
          <w:szCs w:val="20"/>
          <w:color w:val="auto"/>
        </w:rPr>
      </w:pPr>
      <w:r>
        <w:rPr>
          <w:rFonts w:ascii="Arial" w:cs="Arial" w:eastAsia="Arial" w:hAnsi="Arial"/>
          <w:sz w:val="18"/>
          <w:szCs w:val="18"/>
          <w:color w:val="auto"/>
        </w:rPr>
        <w:t>Interest expense for the year ended December 31, 2012 increased compared to the year ended December 31, 2011, primarily due to the interest expense associated with additional principal drawn down and conversion of accrued and unpaid interest to principal in 2012 on our note payable to our principal stockholder.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2010 and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120" w:firstLine="228"/>
        <w:spacing w:after="0" w:line="332" w:lineRule="auto"/>
        <w:rPr>
          <w:sz w:val="20"/>
          <w:szCs w:val="20"/>
          <w:color w:val="auto"/>
        </w:rPr>
      </w:pPr>
      <w:r>
        <w:rPr>
          <w:rFonts w:ascii="Arial" w:cs="Arial" w:eastAsia="Arial" w:hAnsi="Arial"/>
          <w:sz w:val="16"/>
          <w:szCs w:val="16"/>
          <w:color w:val="auto"/>
        </w:rPr>
        <w:t>During the year ended December 31, 2011 we recognized $50,000 in revenue, and during the year ended December 31, 2010, we recognized $93,000 under a license agreement. We do not anticipate sales of any product prior to regulatory approval and commercialization of AFREZZA.</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96"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years ended December 31, 2010 and 2011 (dollars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Year Ended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December 31,</w:t>
            </w:r>
          </w:p>
        </w:tc>
        <w:tc>
          <w:tcPr>
            <w:tcW w:w="22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Change</w:t>
            </w:r>
          </w:p>
        </w:tc>
        <w:tc>
          <w:tcPr>
            <w:tcW w:w="52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Clinical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23,558</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Manufacturing</w:t>
            </w: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67,146</w:t>
            </w:r>
          </w:p>
        </w:tc>
        <w:tc>
          <w:tcPr>
            <w:tcW w:w="580" w:type="dxa"/>
            <w:vAlign w:val="bottom"/>
          </w:tcPr>
          <w:p>
            <w:pPr>
              <w:jc w:val="right"/>
              <w:spacing w:after="0"/>
              <w:rPr>
                <w:sz w:val="20"/>
                <w:szCs w:val="20"/>
                <w:color w:val="auto"/>
              </w:rPr>
            </w:pPr>
            <w:r>
              <w:rPr>
                <w:rFonts w:ascii="Arial" w:cs="Arial" w:eastAsia="Arial" w:hAnsi="Arial"/>
                <w:sz w:val="18"/>
                <w:szCs w:val="18"/>
                <w:color w:val="auto"/>
              </w:rPr>
              <w:t>58,523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(8,623)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14,034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(2,635)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(385)</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(224)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(2,560)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line="20" w:lineRule="exact"/>
              <w:rPr>
                <w:sz w:val="1"/>
                <w:szCs w:val="1"/>
                <w:color w:val="auto"/>
              </w:rPr>
            </w:pPr>
          </w:p>
        </w:tc>
      </w:tr>
      <w:tr>
        <w:trPr>
          <w:trHeight w:val="221"/>
        </w:trPr>
        <w:tc>
          <w:tcPr>
            <w:tcW w:w="71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112,279</w:t>
            </w:r>
          </w:p>
        </w:tc>
        <w:tc>
          <w:tcPr>
            <w:tcW w:w="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$99,959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w w:val="82"/>
              </w:rPr>
              <w:t>$ (12,320)</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right="20" w:firstLine="228"/>
        <w:spacing w:after="0" w:line="303" w:lineRule="auto"/>
        <w:rPr>
          <w:sz w:val="20"/>
          <w:szCs w:val="20"/>
          <w:color w:val="auto"/>
        </w:rPr>
      </w:pPr>
      <w:r>
        <w:rPr>
          <w:rFonts w:ascii="Arial" w:cs="Arial" w:eastAsia="Arial" w:hAnsi="Arial"/>
          <w:sz w:val="15"/>
          <w:szCs w:val="15"/>
          <w:color w:val="auto"/>
        </w:rPr>
        <w:t>The decrease in research and development expenses for the year ended December 31, 2011, as compared to the year ended December 31, 2010, was primarily due to lower purchases of raw materials as a result of the termination of our insulin supply agreement with Organon. We purchased $8.4 million of insulin in 2011 compared to $16.3 million in 2010. In connection with the termination of our insulin supply agreement, we recorded $7.6 million for a contract cancellation fee.</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Restructuring costs of $4.7 million incurred for the February 2011 reduction in force were offset by reduced salary and other compensation expenses of $2.8 million, including reduced stock-based compensation expense of $2.6 million. These decreases were partially offset by an increase in clinical spending related to the initiation of clinical trials related to AFREZZA.</w:t>
      </w:r>
    </w:p>
    <w:p>
      <w:pPr>
        <w:spacing w:after="0" w:line="63" w:lineRule="exact"/>
        <w:rPr>
          <w:sz w:val="20"/>
          <w:szCs w:val="20"/>
          <w:color w:val="auto"/>
        </w:rPr>
      </w:pPr>
    </w:p>
    <w:p>
      <w:pPr>
        <w:ind w:right="20" w:firstLine="228"/>
        <w:spacing w:after="0" w:line="335" w:lineRule="auto"/>
        <w:rPr>
          <w:sz w:val="20"/>
          <w:szCs w:val="20"/>
          <w:color w:val="auto"/>
        </w:rPr>
      </w:pPr>
      <w:r>
        <w:rPr>
          <w:rFonts w:ascii="Arial" w:cs="Arial" w:eastAsia="Arial" w:hAnsi="Arial"/>
          <w:sz w:val="15"/>
          <w:szCs w:val="15"/>
          <w:color w:val="auto"/>
        </w:rPr>
        <w:t>The research and development tax credit recognized for the years ended December 31, 2011 and 2010 partially offsets our research and development expenses. The State of Connecticut provides an opportunity to exchange certain research and development income tax credit carry-forwards for cash in exchange for forgoing the carryforward of the research and development credits. Estimated amounts receivable under the program are recorded as a reduction of</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research and development expenses. During the years ended December 31, 2011 and 2010, research and development expenses were offset by $0.6 million and $0.4 million, respectively, in connection with the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96"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years ended December 31, 2010 and 2011 (dollars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Change</w:t>
            </w:r>
          </w:p>
        </w:tc>
        <w:tc>
          <w:tcPr>
            <w:tcW w:w="60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employee related and other general expenses</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$34,658</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$34,792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6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5,654</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5,838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184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$40,312</w:t>
            </w:r>
          </w:p>
        </w:tc>
        <w:tc>
          <w:tcPr>
            <w:tcW w:w="17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$40,630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The increase in general and administrative expenses for the year ended December 31, 2011, as compared to the year ended December 31, 2010, was primarily due to an increase of $2.1 million in legal fees incurred in connection with defending various legal proceedings and other matters. Restructuring costs of $1.6 million incurred for the February 2011 reduction in force were offset by $2.0 million in savings in salary related costs. Overall salary and employee related expenses increased in 2011 by $0.8 million compared to the prior year as we did not record a bonus accrual for 2010. These increases were offset by the non-recurrence in 2011 of projects conducted in 2010, including market research studies. Stock-based compensation expense increased in 2011 over the prior year due to retention grants awarded in the first quarter of 2011.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6" w:lineRule="exact"/>
        <w:rPr>
          <w:sz w:val="20"/>
          <w:szCs w:val="20"/>
          <w:color w:val="auto"/>
        </w:rPr>
      </w:pPr>
    </w:p>
    <w:p>
      <w:pPr>
        <w:ind w:right="80" w:firstLine="228"/>
        <w:spacing w:after="0" w:line="254" w:lineRule="auto"/>
        <w:rPr>
          <w:sz w:val="20"/>
          <w:szCs w:val="20"/>
          <w:color w:val="auto"/>
        </w:rPr>
      </w:pPr>
      <w:r>
        <w:rPr>
          <w:rFonts w:ascii="Arial" w:cs="Arial" w:eastAsia="Arial" w:hAnsi="Arial"/>
          <w:sz w:val="18"/>
          <w:szCs w:val="18"/>
          <w:color w:val="auto"/>
        </w:rPr>
        <w:t>Other income for the year ended December 31, 2011 was $1.5 million, which was primarily due to realized gains of $1.3 million on the termination of foreign exchange hedging contracts related to our supply agreement with Organon. We terminated these contracts during the quarter ended March 31, 2011. For the year ended December 31, 2010, we recorded $0.7 million of other expense, as we recognized a $0.6 million other-than-temporary impairment loss on our common stock investment due to the length of time and the extent to which the fair value has been less than the amortized cost basis. In addition, we recorded a loss of $1.6 million on the execution of quarterly foreign exchange hedging contracts, offset by a reimbursement of $1.6 million received in connection with a soil cleanup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96" w:lineRule="exact"/>
        <w:rPr>
          <w:sz w:val="20"/>
          <w:szCs w:val="20"/>
          <w:color w:val="auto"/>
        </w:rPr>
      </w:pPr>
    </w:p>
    <w:p>
      <w:pPr>
        <w:ind w:right="320" w:firstLine="228"/>
        <w:spacing w:after="0" w:line="306" w:lineRule="auto"/>
        <w:rPr>
          <w:sz w:val="20"/>
          <w:szCs w:val="20"/>
          <w:color w:val="auto"/>
        </w:rPr>
      </w:pPr>
      <w:r>
        <w:rPr>
          <w:rFonts w:ascii="Arial" w:cs="Arial" w:eastAsia="Arial" w:hAnsi="Arial"/>
          <w:sz w:val="16"/>
          <w:szCs w:val="16"/>
          <w:color w:val="auto"/>
        </w:rPr>
        <w:t>Interest expense for the year ended December 31, 2011 increased compared to the year ended December 31, 2010, due to a full year of interest expense recorded on the convertible notes issued in August 2010 and related amortization of the debt issuance costs. Interest expense for the year ended December 31, 2011 also included interest related to additional amounts borrowed under the loan agreement with our principal stockholder.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We have funded our operations primarily through the sale of equity securities and convertible debt securities and borrowings under our loan arrangement with our principal stockholder.</w:t>
      </w:r>
    </w:p>
    <w:p>
      <w:pPr>
        <w:spacing w:after="0" w:line="51" w:lineRule="exact"/>
        <w:rPr>
          <w:sz w:val="20"/>
          <w:szCs w:val="20"/>
          <w:color w:val="auto"/>
        </w:rPr>
      </w:pPr>
    </w:p>
    <w:p>
      <w:pPr>
        <w:ind w:right="20" w:firstLine="228"/>
        <w:spacing w:after="0" w:line="253" w:lineRule="auto"/>
        <w:rPr>
          <w:sz w:val="20"/>
          <w:szCs w:val="20"/>
          <w:color w:val="auto"/>
        </w:rPr>
      </w:pPr>
      <w:r>
        <w:rPr>
          <w:rFonts w:ascii="Arial" w:cs="Arial" w:eastAsia="Arial" w:hAnsi="Arial"/>
          <w:sz w:val="18"/>
          <w:szCs w:val="18"/>
          <w:color w:val="auto"/>
        </w:rPr>
        <w:t xml:space="preserve">In October 2007, we entered into a $350.0 million loan arrangement with our principal stockholder. In February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Until January 1, 2013, interest on outstanding principal amounts accrued at a fixed rate equal to the one-year London Interbank Offered Rate (LIBOR) rate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date of such advance plus 3% per annum. The borrowing rate was 4.5% at December 31, 2012. We amended the promissory note underlying the loan arrangement at various dates during 2012. The most recent amendment occurred in October 2012 to extend the maturity date to January 1, 2014, extend the date through which we can borrow under the promissory note to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September 30, 2013, and adjust the annual interest rate on all outstanding principal to the one-year LIBOR rate on December 31, 2012 plus 5%, effective beginning on January 1, 2013.</w:t>
      </w:r>
    </w:p>
    <w:p>
      <w:pPr>
        <w:spacing w:after="0" w:line="51"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As of December 31, 2012, the total principal amount outstanding under the credit facility was $119.6 million, and the amount available for future borrowings was $125.4 million. Interest is due and payable quarterly in arrears on the first day of each calendar quarter for the preceding quarter, or at such other time as we and The Mann Group mutually agree. All or any portion of accrued and unpaid interest that becomes due and payable may be paid-in-kind and capitalized at any time upon mutual agreement of both parties. The Mann Group can require us to prepay up to $200.0 million in advances that have been outstanding for at least 12 months. If The Mann Group exercises this right, we will have 90 days after The Mann Group provides written notice (or the number of days to maturity of the note if less than 90 days) to prepay such advances (see discussion regarding letter agreement below).</w:t>
      </w:r>
    </w:p>
    <w:p>
      <w:pPr>
        <w:spacing w:after="0" w:line="39" w:lineRule="exact"/>
        <w:rPr>
          <w:sz w:val="20"/>
          <w:szCs w:val="20"/>
          <w:color w:val="auto"/>
        </w:rPr>
      </w:pPr>
    </w:p>
    <w:p>
      <w:pPr>
        <w:ind w:right="180" w:firstLine="228"/>
        <w:spacing w:after="0" w:line="318" w:lineRule="auto"/>
        <w:rPr>
          <w:sz w:val="20"/>
          <w:szCs w:val="20"/>
          <w:color w:val="auto"/>
        </w:rPr>
      </w:pPr>
      <w:r>
        <w:rPr>
          <w:rFonts w:ascii="Arial" w:cs="Arial" w:eastAsia="Arial" w:hAnsi="Arial"/>
          <w:sz w:val="15"/>
          <w:szCs w:val="15"/>
          <w:color w:val="auto"/>
        </w:rPr>
        <w:t>In August 2010, we entered into a letter agreement confirming a previous commitment by The Mann Group to not require us to prepay amounts outstanding under the amended and restated promissory note if the prepayment would require us to use its working capital resources. In the event of a default,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19" w:lineRule="exact"/>
        <w:rPr>
          <w:sz w:val="20"/>
          <w:szCs w:val="20"/>
          <w:color w:val="auto"/>
        </w:rPr>
      </w:pPr>
    </w:p>
    <w:p>
      <w:pPr>
        <w:ind w:right="60" w:firstLine="228"/>
        <w:spacing w:after="0" w:line="288" w:lineRule="auto"/>
        <w:rPr>
          <w:sz w:val="20"/>
          <w:szCs w:val="20"/>
          <w:color w:val="auto"/>
        </w:rPr>
      </w:pPr>
      <w:r>
        <w:rPr>
          <w:rFonts w:ascii="Arial" w:cs="Arial" w:eastAsia="Arial" w:hAnsi="Arial"/>
          <w:sz w:val="16"/>
          <w:szCs w:val="16"/>
          <w:color w:val="auto"/>
        </w:rPr>
        <w:t>On February 8, 2012, we sold $86.3 million worth of units in an underwritten public offering, with each unit consisting of one share of common stock and a warrant to purchase 0.6 of a share of common stock, and reflects the full exercise of an over-allotment option granted to the underwriters. Net proceeds from this offering were approximately $80.6 million (excluding discounts and commissions to the underwriters and offering expenses), excluding any warrant exercises. Concurrent with this public offering, The Mann Group LLC agreed to purchase $77.2 million worth of restricted shares of common stock which were issued on June 27, 2012 in exchange for cancellation of principal indebtedness of $77.2 million. In connection with this purchase, we and The Mann Group agreed that the cancelled principal amount related to the common stock purchase would be permanently retired and not available for re-borrowing and accrued and unpaid interest that becomes due and payable under the note to be paid-in-kind and capitalized into new principal indebtedness upon agreement of the parties under the amended and restated promissory note dated June 27, 2012. We capitalized into new principal indebtedness an aggregate of approximately $11.9 million of accrued and unpaid interest due and payable as of June 27, 2012.</w:t>
      </w:r>
    </w:p>
    <w:p>
      <w:pPr>
        <w:spacing w:after="0" w:line="39"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October 2012, we sold in an underwritten public offering 40,000,000 shares of its common stock, together with 40,000,000 warrants to purchase up to an aggregate of 30,000,000 shares of our common stock. In addition, we sold pursuant to the full exercise of an over-allotment option granted to the underwriters, an additional 6,000,000 shares of common stock, together with 6,000,000 warrants to purchase up to an aggregate of 4,500,000 shares of common stock. The shares of common stock were sold together with a warrant for a combined purchase price of $2.00. Net proceeds from the offering were approximately $86.3 million (after deducting discounts and commissions to the underwriters and offering expenses), excluding any future proceeds from the exercise of the warrants. Each warrant entitles the holder to purchase 0.75 of a share of common stock. The warrants are exercisable at $2.60 per share and will expire in October 2013.</w:t>
      </w:r>
    </w:p>
    <w:p>
      <w:pPr>
        <w:spacing w:after="0" w:line="39"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Concurrently with the underwritten public offering, The Mann Group agreed to purchase $107.4 million worth of restricted shares of common stock and restricted warrants to purchase restricted shares of common stock in exchange for cancellation of principal under the amended and restated promissory note held by The Mann Group. On October 18, 2012, we amended and restated the existing promissory note evidencing the loan arrangement with The Mann Group to extend the maturity date from March 31, 2013 to January 1, 2014, extend the date through which we can borrow under the note to September 30, 2013, adjust the annual interest rate on all outstanding principal to the one-year LIBOR rate on December 31, 2012 plus 5%, effective beginning on January 1, 2013. Following the approval by our stockholders in December 2012 to increase our authorized shares of common stock, we completed the closing under The Mann Group Common Stock and Warrant Purchase Agreement. Following the cancellation of the principal amount and the capitalization of the accrued and unpaid interest, the total principal amount outstanding under the amended and restated promissory note was $119.6 million, and we had $125.4 million available for borrowing under such note.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During the year ended December 31, 2012, we used $119.9 million of cash for our operations and had a net loss of $169.4 million, which included $36.2 million of non-cash charges primarily consisting of depreciation and amortization, stock-based compensation, fair value of forward purchase contracts and common stock issued pursuant to litigation settlement. By comparison, during the year ended December 31, 2011, we used $123.9 million of cash for our operations and had a net loss of $160.8 million, which included $27.1 million of non-cash charges primarily consisting of depreciation and amortization, and stock-based compensation. The operating cash flow increased by $3.4 million primarily due to increased accrued expenses associated with the clinical trials. Cash used for our operations for the year ended December 31, 2012 decreased by $4.0 million compared to cash used for our operations for the year ended December 31, 2011 primarily due to the non-recurring payment related to the termination of our insulin supply agreement during 2011, offset by increased clinical trial expenditures during 2012. We expect our negative operating cash flow to continue at least until we obtain regulatory approval and achieve commercialization of AFREZZA.</w:t>
      </w:r>
    </w:p>
    <w:p>
      <w:pPr>
        <w:spacing w:after="0" w:line="39"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We used $560,000 of cash for investing activities during the year ended December 31, 2012, as compared to $2.9 million of cash used for the year ended December 31, 2011. Cash used for investing activities for the year ended December 31, 2012 compared to the same period in the prior year decreased $2.4 million, primarily due to a $6.2 million decrease in purchases of machinery and equipment, offset by the non-recurrence of $3.8 million in proceeds received in 2011 from the early termination of certificates of deposit that were previously held as collateral for foreign exchange hedging instruments. In 2011, we purchased $6.9 million of machinery and equipment to expand our manufacturing operations and our quality systems that support clinical trials for AFREZZA as compared to $0.6 million of machinery and equipment purchased in 2012.</w:t>
      </w:r>
    </w:p>
    <w:p>
      <w:pPr>
        <w:spacing w:after="0" w:line="39"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Our financing activities generated $179.6 million of cash for the year ended December 31, 2012, as compared to $63.4 million for the same period in 2011. For the year ended December 31, 2012, cash provided by financing activities was primarily from $166.8 million in net aggregate proceeds received from the sale of stock and warrants pursuant to two underwritten public offerings and $12.8 million in borrowings from The Mann Group loan arrangement. In February 2012, we received net proceeds of $80.6 million from the sale of 35,937,500 units in an underwritten public offering, including 4,687,500 units sold pursuant to the full exercise of an over-allotment option granted to the underwriters, with one unit consisting of one share of common stock and a warrant to purchase 0.6 of a share of common stock, for a combined price of $2.40 per unit to the public and $2.256 per unit to the underwriters. In October 2012, we received net proceeds of $86.3 million from the sale of 46,000,000 shares of our common stock, together with 46,000,000 warrants to purchase 34,500,000 shares of our common stock, for a combined purchase price of $2.00 per share and warrant. For the year ended December 31, 2011, cash from financing activities was primarily from $53.0 million of related party borrowings and $10.9 million related to the sale of common stock during the first quarter of 2011 as well as exercise of stock options, and shares purchased through the employee stock purchase plan.</w:t>
      </w:r>
    </w:p>
    <w:p>
      <w:pPr>
        <w:spacing w:after="0" w:line="42" w:lineRule="exact"/>
        <w:rPr>
          <w:sz w:val="20"/>
          <w:szCs w:val="20"/>
          <w:color w:val="auto"/>
        </w:rPr>
      </w:pPr>
    </w:p>
    <w:p>
      <w:pPr>
        <w:ind w:right="60" w:firstLine="228"/>
        <w:spacing w:after="0" w:line="286" w:lineRule="auto"/>
        <w:rPr>
          <w:sz w:val="20"/>
          <w:szCs w:val="20"/>
          <w:color w:val="auto"/>
        </w:rPr>
      </w:pPr>
      <w:r>
        <w:rPr>
          <w:rFonts w:ascii="Arial" w:cs="Arial" w:eastAsia="Arial" w:hAnsi="Arial"/>
          <w:sz w:val="16"/>
          <w:szCs w:val="16"/>
          <w:color w:val="auto"/>
        </w:rPr>
        <w:t>As of December 31, 2012, we had $61.8 million in cash and cash equivalents. We believe our existing cash resources, including the amount available to borrow under our loan arrangement with The Mann Group, as amended, will be sufficient to fund our anticipated cash requirements through at least the third quarter of 2013. The $115.0 million aggregate principal amount of 2013 notes mature in December 2013, and our cash and cash equivalents as of December 31, 2012 were insufficient to repay these notes. Accordingly, we will need to raise additional capital, either through the sale of equity or debt securities, the entry into a strategic business collaboration with a pharmaceutical or biotechnology company, the establishment of other funding facilities, licensing arrangements, asset sales or other means, and/or refinance our indebtedness under the 2013 notes, in order to continue the development and commercialization of AFREZZA and other product candidates and to support our other ongoing activities. There can be no assurance that we will be able to do so on favorable terms by the applicable repayment date, or at all. In addition, if we undergo a fundamental change, as that term is defined in the indentures governing the terms of the 2013 notes, each holder of 2013 notes will have the option to require us to repurchase all or any portion of such holder’s notes at a repurchase price of 100% of the principal amount of such notes to be repurchased plus accrued and unpaid interest, if any. Any of these events could have a material adverse effect on our business, results of operations and financial condition, up to and including the noteholders initiating bankruptcy proceedings or causing us to cease operations altogether. This raises substantial doubt about our ability to continue as a going concern.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228"/>
        <w:spacing w:after="0" w:line="332" w:lineRule="auto"/>
        <w:rPr>
          <w:sz w:val="20"/>
          <w:szCs w:val="20"/>
          <w:color w:val="auto"/>
        </w:rPr>
      </w:pPr>
      <w:r>
        <w:rPr>
          <w:rFonts w:ascii="Arial" w:cs="Arial" w:eastAsia="Arial" w:hAnsi="Arial"/>
          <w:sz w:val="16"/>
          <w:szCs w:val="16"/>
          <w:color w:val="auto"/>
        </w:rPr>
        <w:t>We intend to use our capital resources to continue the development and commercialization of AFREZZA, if approved. We are expending a portion of our capital to scale up our manufacturing capabilities in our Danbury facilities. We also intend to use our capital resources for general corporate purposes.</w:t>
      </w:r>
    </w:p>
    <w:p>
      <w:pPr>
        <w:spacing w:after="0" w:line="4" w:lineRule="exact"/>
        <w:rPr>
          <w:sz w:val="20"/>
          <w:szCs w:val="20"/>
          <w:color w:val="auto"/>
        </w:rPr>
      </w:pPr>
    </w:p>
    <w:p>
      <w:pPr>
        <w:jc w:val="both"/>
        <w:ind w:right="240" w:firstLine="228"/>
        <w:spacing w:after="0" w:line="259"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AFREZZA. We cannot predict when, if ever, we could conclude an agreement with a partner. There can be no assurance that any such collaboration will be available to us on a timely basis or on acceptable terms, if at all.</w:t>
      </w:r>
    </w:p>
    <w:p>
      <w:pPr>
        <w:spacing w:after="0" w:line="59"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39"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continue to be substantial doubt about our ability to continue as a going concern.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December 31, 2012, we did not have any off-balance sheet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below is estimated based on current information. Future payments relate to operating lease obligations, the senior convertible notes, and open purchase order and supply commitments consisted of the following at December 31, 2012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66"/>
              <w:spacing w:after="0"/>
              <w:rPr>
                <w:sz w:val="20"/>
                <w:szCs w:val="20"/>
                <w:color w:val="auto"/>
              </w:rPr>
            </w:pPr>
            <w:r>
              <w:rPr>
                <w:rFonts w:ascii="Arial" w:cs="Arial" w:eastAsia="Arial" w:hAnsi="Arial"/>
                <w:sz w:val="14"/>
                <w:szCs w:val="14"/>
                <w:b w:val="1"/>
                <w:bCs w:val="1"/>
                <w:color w:val="auto"/>
                <w:w w:val="86"/>
              </w:rPr>
              <w:t>Payments Due in</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4640" w:type="dxa"/>
            <w:vAlign w:val="bottom"/>
            <w:vMerge w:val="restart"/>
          </w:tcPr>
          <w:p>
            <w:pPr>
              <w:spacing w:after="0"/>
              <w:rPr>
                <w:sz w:val="11"/>
                <w:szCs w:val="11"/>
                <w:color w:val="auto"/>
              </w:rPr>
            </w:pPr>
          </w:p>
        </w:tc>
        <w:tc>
          <w:tcPr>
            <w:tcW w:w="1200" w:type="dxa"/>
            <w:vAlign w:val="bottom"/>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89"/>
              </w:rPr>
              <w:t>Less Than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jc w:val="center"/>
              <w:ind w:left="446"/>
              <w:spacing w:after="0" w:line="129" w:lineRule="exact"/>
              <w:rPr>
                <w:sz w:val="20"/>
                <w:szCs w:val="20"/>
                <w:color w:val="auto"/>
              </w:rPr>
            </w:pPr>
            <w:r>
              <w:rPr>
                <w:rFonts w:ascii="Arial" w:cs="Arial" w:eastAsia="Arial" w:hAnsi="Arial"/>
                <w:sz w:val="14"/>
                <w:szCs w:val="14"/>
                <w:b w:val="1"/>
                <w:bCs w:val="1"/>
                <w:color w:val="auto"/>
                <w:w w:val="96"/>
              </w:rPr>
              <w:t>3-</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480" w:type="dxa"/>
            <w:vAlign w:val="bottom"/>
            <w:tcBorders>
              <w:bottom w:val="single" w:sz="8" w:color="auto"/>
            </w:tcBorders>
            <w:gridSpan w:val="2"/>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1200" w:type="dxa"/>
            <w:vAlign w:val="bottom"/>
            <w:gridSpan w:val="3"/>
          </w:tcPr>
          <w:p>
            <w:pPr>
              <w:jc w:val="right"/>
              <w:ind w:right="580"/>
              <w:spacing w:after="0" w:line="148" w:lineRule="exact"/>
              <w:rPr>
                <w:sz w:val="20"/>
                <w:szCs w:val="20"/>
                <w:color w:val="auto"/>
              </w:rPr>
            </w:pPr>
            <w:r>
              <w:rPr>
                <w:rFonts w:ascii="Arial" w:cs="Arial" w:eastAsia="Arial" w:hAnsi="Arial"/>
                <w:sz w:val="14"/>
                <w:szCs w:val="14"/>
                <w:b w:val="1"/>
                <w:bCs w:val="1"/>
                <w:color w:val="auto"/>
                <w:w w:val="97"/>
              </w:rPr>
              <w:t>One Year</w:t>
            </w:r>
          </w:p>
        </w:tc>
        <w:tc>
          <w:tcPr>
            <w:tcW w:w="6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3"/>
              </w:rPr>
              <w:t>1-3 Years</w:t>
            </w:r>
          </w:p>
        </w:tc>
        <w:tc>
          <w:tcPr>
            <w:tcW w:w="520" w:type="dxa"/>
            <w:vAlign w:val="bottom"/>
          </w:tcPr>
          <w:p>
            <w:pPr>
              <w:spacing w:after="0"/>
              <w:rPr>
                <w:sz w:val="14"/>
                <w:szCs w:val="14"/>
                <w:color w:val="auto"/>
              </w:rPr>
            </w:pPr>
          </w:p>
        </w:tc>
        <w:tc>
          <w:tcPr>
            <w:tcW w:w="84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4"/>
              </w:rPr>
              <w:t>5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5 Years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1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Open purchase order and supply commitments(1)</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34,527</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w:t>
            </w: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w w:val="96"/>
              </w:rPr>
              <w:t>$ —</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35,427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3"/>
          </w:tcPr>
          <w:p>
            <w:pPr>
              <w:spacing w:after="0"/>
              <w:rPr>
                <w:sz w:val="20"/>
                <w:szCs w:val="20"/>
                <w:color w:val="auto"/>
              </w:rPr>
            </w:pPr>
            <w:r>
              <w:rPr>
                <w:rFonts w:ascii="Arial" w:cs="Arial" w:eastAsia="Arial" w:hAnsi="Arial"/>
                <w:sz w:val="18"/>
                <w:szCs w:val="18"/>
                <w:color w:val="auto"/>
              </w:rPr>
              <w:t>Senior convertible notes(2)</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125,086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111,532</w:t>
            </w:r>
          </w:p>
        </w:tc>
        <w:tc>
          <w:tcPr>
            <w:tcW w:w="52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236,618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 payable to principal stockholder(3)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123,974</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3"/>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159,634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236,406</w:t>
            </w: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396,040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140" w:hanging="452"/>
        <w:spacing w:after="0" w:line="30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included in open purchase order and supply commitments are subject to performance under the purchase order or contract by the supplier of the goods or services and do not become our obligation until such performance is rendered. The amount shown is principally for the purchase of materials for our clinical trials, the acquisition of manufacturing equipment, and commitments related to the expansion of our manufacturing plant.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senior convertible notes obligations include the 2013 notes and the 2015 notes. The amounts include future interest payments at fixed rates of 3.75% and 5.75%, respectively, and payment of the notes in full upon maturity in 2013 and 2015, respectively.</w:t>
      </w:r>
    </w:p>
    <w:p>
      <w:pPr>
        <w:spacing w:after="0" w:line="23"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obligation for the note payable to the principal stockholder includes future principal and interest payments related to the $119.6 million of borrowings as of December 31, 2012. Interest is paid based on a fixed rate equal to the one-year LIBOR rate on December 31, 2012 plus 5% and the principal payment is due on January 1,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a description of our related party transactions see Note 6 — Related-Party Arrangements in the notes to our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0" w:firstLine="228"/>
        <w:spacing w:after="0" w:line="307" w:lineRule="auto"/>
        <w:rPr>
          <w:sz w:val="20"/>
          <w:szCs w:val="20"/>
          <w:color w:val="auto"/>
        </w:rPr>
      </w:pPr>
      <w:r>
        <w:rPr>
          <w:rFonts w:ascii="Arial" w:cs="Arial" w:eastAsia="Arial" w:hAnsi="Arial"/>
          <w:sz w:val="15"/>
          <w:szCs w:val="15"/>
          <w:color w:val="auto"/>
        </w:rPr>
        <w:t xml:space="preserve">In June 2011, the FASB issued Accounting Standards Update (“ASU”) No. 2011-05, </w:t>
      </w:r>
      <w:r>
        <w:rPr>
          <w:rFonts w:ascii="Arial" w:cs="Arial" w:eastAsia="Arial" w:hAnsi="Arial"/>
          <w:sz w:val="15"/>
          <w:szCs w:val="15"/>
          <w:i w:val="1"/>
          <w:iCs w:val="1"/>
          <w:color w:val="auto"/>
        </w:rPr>
        <w:t>Comprehensive Income (Topic 220): “Presentation of Comprehensive</w:t>
      </w:r>
      <w:r>
        <w:rPr>
          <w:rFonts w:ascii="Arial" w:cs="Arial" w:eastAsia="Arial" w:hAnsi="Arial"/>
          <w:sz w:val="15"/>
          <w:szCs w:val="15"/>
          <w:color w:val="auto"/>
        </w:rPr>
        <w:t xml:space="preserve"> </w:t>
      </w:r>
      <w:r>
        <w:rPr>
          <w:rFonts w:ascii="Arial" w:cs="Arial" w:eastAsia="Arial" w:hAnsi="Arial"/>
          <w:sz w:val="15"/>
          <w:szCs w:val="15"/>
          <w:i w:val="1"/>
          <w:iCs w:val="1"/>
          <w:color w:val="auto"/>
        </w:rPr>
        <w:t>Income”</w:t>
      </w:r>
      <w:r>
        <w:rPr>
          <w:rFonts w:ascii="Arial" w:cs="Arial" w:eastAsia="Arial" w:hAnsi="Arial"/>
          <w:sz w:val="15"/>
          <w:szCs w:val="15"/>
          <w:color w:val="auto"/>
        </w:rPr>
        <w:t>. This update improves the comparability, consistency and transparency of financial reporting and increases the prominence of items reported in other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comprehensive income. This update is effective for interim and annual periods beginning after December 15, 2011. In December 2011, the FASB issued ASU No. 2011-12, </w:t>
      </w:r>
      <w:r>
        <w:rPr>
          <w:rFonts w:ascii="Arial" w:cs="Arial" w:eastAsia="Arial" w:hAnsi="Arial"/>
          <w:sz w:val="15"/>
          <w:szCs w:val="15"/>
          <w:i w:val="1"/>
          <w:iCs w:val="1"/>
          <w:color w:val="auto"/>
        </w:rPr>
        <w:t>Comprehensive Income (Topic 220): Deferral of the Effective Date for Amendments to the Presentation of Reclassifications of Items Out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Accumulated Other Comprehensive Income in ASU No. 2011-05. </w:t>
      </w:r>
      <w:r>
        <w:rPr>
          <w:rFonts w:ascii="Arial" w:cs="Arial" w:eastAsia="Arial" w:hAnsi="Arial"/>
          <w:sz w:val="15"/>
          <w:szCs w:val="15"/>
          <w:color w:val="auto"/>
        </w:rPr>
        <w:t>This update deferred only those changes in ASU No. 2011-05 that related to the presentation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reclassification adjustments. In February 2013, the FASB issued ASU 2013-02, </w:t>
      </w:r>
      <w:r>
        <w:rPr>
          <w:rFonts w:ascii="Arial" w:cs="Arial" w:eastAsia="Arial" w:hAnsi="Arial"/>
          <w:sz w:val="15"/>
          <w:szCs w:val="15"/>
          <w:i w:val="1"/>
          <w:iCs w:val="1"/>
          <w:color w:val="auto"/>
        </w:rPr>
        <w:t>Comprehensive Income (Topic 220) — Reporting of Amounts Reclassified Out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Accumulated Other Comprehensive Income. </w:t>
      </w:r>
      <w:r>
        <w:rPr>
          <w:rFonts w:ascii="Arial" w:cs="Arial" w:eastAsia="Arial" w:hAnsi="Arial"/>
          <w:sz w:val="15"/>
          <w:szCs w:val="15"/>
          <w:color w:val="auto"/>
        </w:rPr>
        <w:t>These amendments do not change the current requirements for reporting net income or other comprehensive income</w:t>
      </w:r>
      <w:r>
        <w:rPr>
          <w:rFonts w:ascii="Arial" w:cs="Arial" w:eastAsia="Arial" w:hAnsi="Arial"/>
          <w:sz w:val="15"/>
          <w:szCs w:val="15"/>
          <w:i w:val="1"/>
          <w:iCs w:val="1"/>
          <w:color w:val="auto"/>
        </w:rPr>
        <w:t xml:space="preserve"> </w:t>
      </w:r>
      <w:r>
        <w:rPr>
          <w:rFonts w:ascii="Arial" w:cs="Arial" w:eastAsia="Arial" w:hAnsi="Arial"/>
          <w:sz w:val="15"/>
          <w:szCs w:val="15"/>
          <w:color w:val="auto"/>
        </w:rPr>
        <w:t>in the financial statements. These amendments provide for additional disclosure requirements for amounts reclassified out of accumulated other comprehensive income. These amendments are effective prospectively for interim and annual periods beginning after December 15, 2012. Early adoption is permitted. Effective January 1, 2012, we adopted the new requirements as set forth in ASU No. 2011-05 in the disclosure of comprehensive income on our consolidated financial statements. We are evaluating the impact, if any, of the adoption of ASU No. 2013-02 will have on our consolidated financial statements.</w:t>
      </w:r>
    </w:p>
    <w:p>
      <w:pPr>
        <w:spacing w:after="0" w:line="31" w:lineRule="exact"/>
        <w:rPr>
          <w:sz w:val="20"/>
          <w:szCs w:val="20"/>
          <w:color w:val="auto"/>
        </w:rPr>
      </w:pPr>
    </w:p>
    <w:p>
      <w:pPr>
        <w:ind w:right="80" w:firstLine="228"/>
        <w:spacing w:after="0" w:line="298" w:lineRule="auto"/>
        <w:rPr>
          <w:sz w:val="20"/>
          <w:szCs w:val="20"/>
          <w:color w:val="auto"/>
        </w:rPr>
      </w:pPr>
      <w:r>
        <w:rPr>
          <w:rFonts w:ascii="Arial" w:cs="Arial" w:eastAsia="Arial" w:hAnsi="Arial"/>
          <w:sz w:val="16"/>
          <w:szCs w:val="16"/>
          <w:color w:val="auto"/>
        </w:rPr>
        <w:t>In May 2011, the FASB issued ASU No. 2011-04 for Fair Value Measurement (Topic 820): “Amendments to Achieve Common Fair Value Measurement and Disclosure Requirements in U.S. GAAP and IFRSs”. This update addresses how to measure fair value and requires new disclosures about fair value measurements. The amendments in this update are effective for interim and annual periods beginning after December 15, 2011. Effective the quarter ended March 31, 2012, we adopted the new requirements in the disclosure of financial instruments on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 xml:space="preserve">We are exposed to market risk related to changes in interest rates impacting our short-term investment portfolio as well as the interest rate on the promissory note underlying our revolving credit facility with The Mann Group. The interest rate on amounts borrowed under our credit facility with The Mann Group for the year ended December 31, 2012 was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Pursuant to an amendment to the promissory note in October 2012, as of January 1, 2013 the interest rate on all outstanding principal amounts under our credit facility with The Mann Group was adjusted to the one-year LIBOR on December 31, 2012 plus 5%. As of December 31, 2012, the total principal amount outstanding under the credit facility was $119.6 million. In addition, all borrowings under the credit facility for periods on and after January 1, 2013 bear interest at the one-year LIBOR on December 31, 2012 plus 5%.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invested through highly rated financial institutions in North America. We continue to utilize our $350.0 million revolving credit facility with The Mann Group to fund operations. As of December 31, 2012, the amount available for borrowing under our revolving credit facility with The Mann Group was $125.4 million. If a 10% change in interest rates were to have occurred on December 31, 2012, this change would not have had a material effect on the value of our short-term investment portfolio or on our interest expense obligations with respect to outstanding borrowed amounts under our revolving credit facility.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information required by this Item is included in Items 15(a)(1) and (2) of Part IV of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96"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39" w:lineRule="exact"/>
        <w:rPr>
          <w:sz w:val="20"/>
          <w:szCs w:val="20"/>
          <w:color w:val="auto"/>
        </w:rPr>
      </w:pPr>
    </w:p>
    <w:p>
      <w:pPr>
        <w:ind w:right="320" w:firstLine="228"/>
        <w:spacing w:after="0" w:line="259" w:lineRule="auto"/>
        <w:rPr>
          <w:sz w:val="20"/>
          <w:szCs w:val="20"/>
          <w:color w:val="auto"/>
        </w:rPr>
      </w:pPr>
      <w:r>
        <w:rPr>
          <w:rFonts w:ascii="Arial" w:cs="Arial" w:eastAsia="Arial" w:hAnsi="Arial"/>
          <w:sz w:val="18"/>
          <w:szCs w:val="18"/>
          <w:color w:val="auto"/>
        </w:rPr>
        <w:t>Our chief executive officer and chief financial officer performed an evaluation of our disclosure controls and procedures (as defined in Rule 13a-15(e) and 15d-15(e) of the Exchange Act) as of December 31, 2012. Based on that evaluation, our chief executive officer and chief financial officer concluded that our disclosure controls and procedures were effective at the reasonable assurance level.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160" w:firstLine="228"/>
        <w:spacing w:after="0" w:line="290"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Based on our evaluation under the framework set forth in</w:t>
      </w:r>
      <w:r>
        <w:rPr>
          <w:rFonts w:ascii="Arial" w:cs="Arial" w:eastAsia="Arial" w:hAnsi="Arial"/>
          <w:sz w:val="16"/>
          <w:szCs w:val="16"/>
          <w:i w:val="1"/>
          <w:iCs w:val="1"/>
          <w:color w:val="auto"/>
        </w:rPr>
        <w:t xml:space="preserve"> Internal Control — Integrated Framework</w:t>
      </w:r>
      <w:r>
        <w:rPr>
          <w:rFonts w:ascii="Arial" w:cs="Arial" w:eastAsia="Arial" w:hAnsi="Arial"/>
          <w:sz w:val="16"/>
          <w:szCs w:val="16"/>
          <w:color w:val="auto"/>
        </w:rPr>
        <w:t>, our management concluded that our internal control over financial reporting was effective as of December 31, 2012.</w:t>
      </w:r>
      <w:r>
        <w:rPr>
          <w:rFonts w:ascii="Arial" w:cs="Arial" w:eastAsia="Arial" w:hAnsi="Arial"/>
          <w:sz w:val="16"/>
          <w:szCs w:val="16"/>
          <w:i w:val="1"/>
          <w:iCs w:val="1"/>
          <w:color w:val="auto"/>
        </w:rPr>
        <w:t xml:space="preserve"> </w:t>
      </w:r>
      <w:r>
        <w:rPr>
          <w:rFonts w:ascii="Arial" w:cs="Arial" w:eastAsia="Arial" w:hAnsi="Arial"/>
          <w:sz w:val="16"/>
          <w:szCs w:val="16"/>
          <w:color w:val="auto"/>
        </w:rPr>
        <w:t>Deloitte &amp; Touche LLP, the independent registered public accounting firm that audited the financial statements included in this 2012 Form 10-K, has issued an attestation report on our internal control over financial reporting as of December 31, 2012, which is included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Chief Executive Officer and Chief Financial Officer, of any change in our internal control over financial reporting that occurred during our last fiscal quarter that has materially affected, or is reasonably likely to materially affect, our internal control over financial reporting. That evaluation did not identify any change in our internal control over financial reporting during the fiscal quarter ended December 31, 2012 that has materially affected, or is reasonably likely to materially affect, our internal control over financial reporting.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Valencia, California</w:t>
      </w:r>
    </w:p>
    <w:p>
      <w:pPr>
        <w:spacing w:after="0" w:line="84"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MannKind Corporation and subsidiaries (the “Company”) as of December 31, 2012,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9"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62" w:lineRule="exact"/>
        <w:rPr>
          <w:sz w:val="20"/>
          <w:szCs w:val="20"/>
          <w:color w:val="auto"/>
        </w:rPr>
      </w:pPr>
    </w:p>
    <w:p>
      <w:pPr>
        <w:ind w:right="360" w:firstLine="228"/>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4" w:lineRule="exact"/>
        <w:rPr>
          <w:sz w:val="20"/>
          <w:szCs w:val="20"/>
          <w:color w:val="auto"/>
        </w:rPr>
      </w:pPr>
    </w:p>
    <w:p>
      <w:pPr>
        <w:ind w:right="460" w:firstLine="228"/>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December 31, 2012 of the Company and our report dated March 18, 2013 expressed an unqualified opinion on those financial statements and includes an explanatory paragraph relating to the Company’s ability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On March 18, 2013, we entered into an At-The-Market Issuance Sales Agreement with MLV &amp; Co. LLC, or MLV, and an At-The-Market Issuance Sales Agreement with Brinson Patrick Securities Corporation, or Brinson Patrick. We refer to the foregoing agreements as the “sales agreements.” Under each sales agreement, we may issue and sell shares of our common stock having an aggregate offering price of up to $50.0 million (provided that in no event may we issue and sell more than $50.0 million of our common stock under both agreements in the aggregate) from time to time through MLV or Brinson Patrick, as applicable, as our sales agent. We will issue and sell shares under only one sales agreement at any one time.</w:t>
      </w:r>
    </w:p>
    <w:p>
      <w:pPr>
        <w:spacing w:after="0" w:line="35" w:lineRule="exact"/>
        <w:rPr>
          <w:sz w:val="20"/>
          <w:szCs w:val="20"/>
          <w:color w:val="auto"/>
        </w:rPr>
      </w:pPr>
    </w:p>
    <w:p>
      <w:pPr>
        <w:ind w:right="120" w:firstLine="228"/>
        <w:spacing w:after="0" w:line="306" w:lineRule="auto"/>
        <w:rPr>
          <w:sz w:val="20"/>
          <w:szCs w:val="20"/>
          <w:color w:val="auto"/>
        </w:rPr>
      </w:pPr>
      <w:r>
        <w:rPr>
          <w:rFonts w:ascii="Arial" w:cs="Arial" w:eastAsia="Arial" w:hAnsi="Arial"/>
          <w:sz w:val="15"/>
          <w:szCs w:val="15"/>
          <w:color w:val="auto"/>
        </w:rPr>
        <w:t>MLV and Brinson Patrick may each sell the common stock by any method that is deemed to be an “at-the-market” equity offering as defined in Rule 415 promulgated under the Securities Act, including sales made directly on or through The NASDAQ Global Market or to or through a market maker. MLV and Brinson Patrick may each also sell the common stock in negotiated transactions, subject to our approval. Subject to the terms and conditions of the respective sales agreements, MLV and Brinson Patrick will use commercially reasonable efforts consistent with their respective normal trading and sales practices and applicable laws, rules and regulations to sell the our common stock from time to time, based upon our instructions (including any price, time or size limits or other parameters or conditions we may impose). We are not obligated to make any sales of common stock under either of the sales agreements. The offering of shares of our common stock pursuant to either sales agreement will terminate upon the earlier of (1) the sale of all common stock subject to the applicable sales agreement, (2) March 18, 2016 and (3) termination of the applicable sales agreement. Each sales agreement may be terminated by us or by MLV or Brinson Patrick, as applicable, at any time upon 10 days’ notice to the other party, or by MLV or Brinson Patrick, as applicable, at any time in certain circumstances, including but not limited to the occurrence of a material adverse change in us. We will pay MLV and Brinson Patrick a commission of up to 3.0% of the gross proceeds of the sales price per share of any common stock sold through MLV or Brinson Patrick, respectively, under their respective sales agreements. We have also provided MLV and Brinson Patrick with customary indemnification rights and reimbursement for up to $25,000 of legal expenses each.</w:t>
      </w:r>
    </w:p>
    <w:p>
      <w:pPr>
        <w:spacing w:after="0" w:line="35"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The foregoing description of the sales agreements is not complete and is qualified in its entirety by reference to the full text of such agreements, copies of which are filed herewith as Exhibits 10.38 and 10.39 to this Annual Report on Form 10-K.</w:t>
      </w:r>
    </w:p>
    <w:p>
      <w:pPr>
        <w:spacing w:after="0" w:line="51"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The foregoing description of the sales agreements shall not constitute an offer to sell or the solicitation of an offer to buy the securities discussed above in this Item 9B, nor shall there be any offer, solicitation or sale of the securities in any state in which such offer, solicitation or sale would be unlawful prior to registration or qualification under the securities laws of any such state.</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our Proxy Statement within 120 days after the end of our fiscal year pursuant to Regulations 14A for our 2013 Annual Meeting of Stockholders, and the information included in the Proxy Statement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ind w:right="300" w:firstLine="236"/>
        <w:spacing w:after="0" w:line="268" w:lineRule="auto"/>
        <w:tabs>
          <w:tab w:leader="none" w:pos="46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Executive Officers — </w:t>
      </w:r>
      <w:r>
        <w:rPr>
          <w:rFonts w:ascii="Arial" w:cs="Arial" w:eastAsia="Arial" w:hAnsi="Arial"/>
          <w:sz w:val="18"/>
          <w:szCs w:val="18"/>
          <w:color w:val="auto"/>
        </w:rPr>
        <w:t>For information regarding the identification and business experience of our executive officers, see “Executive Officers” in Part I,</w:t>
      </w:r>
      <w:r>
        <w:rPr>
          <w:rFonts w:ascii="Arial" w:cs="Arial" w:eastAsia="Arial" w:hAnsi="Arial"/>
          <w:sz w:val="18"/>
          <w:szCs w:val="18"/>
          <w:i w:val="1"/>
          <w:iCs w:val="1"/>
          <w:color w:val="auto"/>
        </w:rPr>
        <w:t xml:space="preserve"> </w:t>
      </w:r>
      <w:r>
        <w:rPr>
          <w:rFonts w:ascii="Arial" w:cs="Arial" w:eastAsia="Arial" w:hAnsi="Arial"/>
          <w:sz w:val="18"/>
          <w:szCs w:val="18"/>
          <w:color w:val="auto"/>
        </w:rPr>
        <w:t>Item 1 of this Annual Report on Form 10-K.</w:t>
      </w:r>
    </w:p>
    <w:p>
      <w:pPr>
        <w:spacing w:after="0" w:line="50" w:lineRule="exact"/>
        <w:rPr>
          <w:rFonts w:ascii="Arial" w:cs="Arial" w:eastAsia="Arial" w:hAnsi="Arial"/>
          <w:sz w:val="18"/>
          <w:szCs w:val="18"/>
          <w:color w:val="auto"/>
        </w:rPr>
      </w:pPr>
    </w:p>
    <w:p>
      <w:pPr>
        <w:ind w:right="60" w:firstLine="236"/>
        <w:spacing w:after="0" w:line="259" w:lineRule="auto"/>
        <w:tabs>
          <w:tab w:leader="none" w:pos="477"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Directors — </w:t>
      </w:r>
      <w:r>
        <w:rPr>
          <w:rFonts w:ascii="Arial" w:cs="Arial" w:eastAsia="Arial" w:hAnsi="Arial"/>
          <w:sz w:val="18"/>
          <w:szCs w:val="18"/>
          <w:color w:val="auto"/>
        </w:rPr>
        <w:t>The information required by this Item regarding the identification and business experience of our directors and corporate governance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is contained in the section entitled “Proposal 1- Election of Directors” and “Corporate Governance Principles and Board and Committee Matters” in the Proxy Statement, and is incorporated herein by reference.</w:t>
      </w:r>
    </w:p>
    <w:p>
      <w:pPr>
        <w:spacing w:after="0" w:line="59"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Additional information required by this Item is incorporated herein by reference to the section entitled “Section 16(a) Beneficial Ownership Reporting Compliance” in the Proxy Statement.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t>
      </w:r>
      <w:r>
        <w:rPr>
          <w:rFonts w:ascii="Arial" w:cs="Arial" w:eastAsia="Arial" w:hAnsi="Arial"/>
          <w:sz w:val="16"/>
          <w:szCs w:val="16"/>
          <w:i w:val="1"/>
          <w:iCs w:val="1"/>
          <w:color w:val="auto"/>
        </w:rPr>
        <w:t>www.mannkindcorp.com</w:t>
      </w:r>
      <w:r>
        <w:rPr>
          <w:rFonts w:ascii="Arial" w:cs="Arial" w:eastAsia="Arial" w:hAnsi="Arial"/>
          <w:sz w:val="16"/>
          <w:szCs w:val="16"/>
          <w:color w:val="auto"/>
        </w:rPr>
        <w:t>) in connection with “Investors” materials. In addition, we intend to promptly disclose on our website (i) 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 to the extent any such waiver is required to be disclosed pursuant to the rules and regulations of the SEC.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information under the caption “Executive Compensation,” “Compensation of Directors,” “Compensation Committee Interlocks and Insider Participation” and “Compensation Committee Report” in the Proxy Statement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460" w:firstLine="228"/>
        <w:spacing w:after="0" w:line="268" w:lineRule="auto"/>
        <w:rPr>
          <w:sz w:val="20"/>
          <w:szCs w:val="20"/>
          <w:color w:val="auto"/>
        </w:rPr>
      </w:pPr>
      <w:r>
        <w:rPr>
          <w:rFonts w:ascii="Arial" w:cs="Arial" w:eastAsia="Arial" w:hAnsi="Arial"/>
          <w:sz w:val="18"/>
          <w:szCs w:val="18"/>
          <w:color w:val="auto"/>
        </w:rPr>
        <w:t>The information under the captions “Security Ownership of Certain Beneficial Owners and Management” and “Securities Authorized for Issuance under Equity Compensation Plans” in the Proxy Statement is incorporated herein by this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96"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information under the caption “Certain Transactions” and “Corporate Governance Principles and Board and Committee Matters” in the Proxy Statement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ind w:right="800" w:firstLine="228"/>
        <w:spacing w:after="0" w:line="268" w:lineRule="auto"/>
        <w:rPr>
          <w:sz w:val="20"/>
          <w:szCs w:val="20"/>
          <w:color w:val="auto"/>
        </w:rPr>
      </w:pPr>
      <w:r>
        <w:rPr>
          <w:rFonts w:ascii="Arial" w:cs="Arial" w:eastAsia="Arial" w:hAnsi="Arial"/>
          <w:sz w:val="18"/>
          <w:szCs w:val="18"/>
          <w:color w:val="auto"/>
        </w:rPr>
        <w:t>The information under the caption “Principal Accounting Fees and Services” and “Pre-Approval Policies and Procedures” in the Proxy Statement is incorporated herein by reference.</w:t>
      </w:r>
    </w:p>
    <w:p>
      <w:pPr>
        <w:spacing w:after="0" w:line="132" w:lineRule="exact"/>
        <w:rPr>
          <w:sz w:val="20"/>
          <w:szCs w:val="20"/>
          <w:color w:val="auto"/>
        </w:rPr>
      </w:pPr>
    </w:p>
    <w:p>
      <w:pPr>
        <w:ind w:right="600" w:firstLine="228"/>
        <w:spacing w:after="0" w:line="259" w:lineRule="auto"/>
        <w:rPr>
          <w:sz w:val="20"/>
          <w:szCs w:val="20"/>
          <w:color w:val="auto"/>
        </w:rPr>
      </w:pPr>
      <w:r>
        <w:rPr>
          <w:rFonts w:ascii="Arial" w:cs="Arial" w:eastAsia="Arial" w:hAnsi="Arial"/>
          <w:sz w:val="18"/>
          <w:szCs w:val="18"/>
          <w:color w:val="auto"/>
        </w:rPr>
        <w:t>With the exception of the information specifically incorporated by reference from the Proxy Statement in this Annual Report on Form 10-K, the Proxy Statement shall not be deemed to be filed as part of this report. Without limiting the foregoing, the information under the captions “Report of the Audit Committee of the Board of Directors” in the Proxy Statement is not incorporated by reference.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90" w:lineRule="exact"/>
        <w:rPr>
          <w:sz w:val="20"/>
          <w:szCs w:val="20"/>
          <w:color w:val="auto"/>
        </w:rPr>
      </w:pPr>
    </w:p>
    <w:p>
      <w:pPr>
        <w:ind w:left="460" w:right="120" w:firstLine="438"/>
        <w:spacing w:after="0" w:line="332" w:lineRule="auto"/>
        <w:rPr>
          <w:sz w:val="20"/>
          <w:szCs w:val="20"/>
          <w:color w:val="auto"/>
        </w:rPr>
      </w:pPr>
      <w:r>
        <w:rPr>
          <w:rFonts w:ascii="Arial" w:cs="Arial" w:eastAsia="Arial" w:hAnsi="Arial"/>
          <w:sz w:val="16"/>
          <w:szCs w:val="16"/>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62: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60" w:type="dxa"/>
            <w:vAlign w:val="bottom"/>
            <w:gridSpan w:val="7"/>
            <w:shd w:val="clear" w:color="auto" w:fill="CCEEFF"/>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6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Balance Sheets</w:t>
              </w:r>
            </w:hyperlink>
          </w:p>
        </w:tc>
        <w:tc>
          <w:tcPr>
            <w:tcW w:w="760" w:type="dxa"/>
            <w:vAlign w:val="bottom"/>
            <w:tcBorders>
              <w:top w:val="single" w:sz="8" w:color="CCEEFF"/>
            </w:tcBorders>
          </w:tcPr>
          <w:p>
            <w:pPr>
              <w:spacing w:after="0"/>
              <w:rPr>
                <w:sz w:val="15"/>
                <w:szCs w:val="15"/>
                <w:color w:val="auto"/>
              </w:rPr>
            </w:pPr>
          </w:p>
        </w:tc>
        <w:tc>
          <w:tcPr>
            <w:tcW w:w="654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6"/>
              </w:rPr>
            </w:pPr>
            <w:hyperlink w:anchor="page66">
              <w:r>
                <w:rPr>
                  <w:rFonts w:ascii="Arial" w:cs="Arial" w:eastAsia="Arial" w:hAnsi="Arial"/>
                  <w:sz w:val="18"/>
                  <w:szCs w:val="18"/>
                  <w:color w:val="0000EE"/>
                  <w:w w:val="86"/>
                </w:rPr>
                <w:t>Consolidated Statements of Operations</w:t>
              </w:r>
            </w:hyperlink>
          </w:p>
        </w:tc>
        <w:tc>
          <w:tcPr>
            <w:tcW w:w="2120" w:type="dxa"/>
            <w:vAlign w:val="bottom"/>
            <w:tcBorders>
              <w:bottom w:val="single" w:sz="8" w:color="CCEEFF"/>
            </w:tcBorders>
            <w:gridSpan w:val="5"/>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gridSpan w:val="7"/>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Comprehensive Loss</w:t>
              </w:r>
            </w:hyperlink>
          </w:p>
        </w:tc>
        <w:tc>
          <w:tcPr>
            <w:tcW w:w="6540" w:type="dxa"/>
            <w:vAlign w:val="bottom"/>
          </w:tcPr>
          <w:p>
            <w:pPr>
              <w:jc w:val="right"/>
              <w:ind w:right="12"/>
              <w:spacing w:after="0" w:line="17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Stockholders’ Equity (Deficit)</w:t>
              </w:r>
            </w:hyperlink>
          </w:p>
        </w:tc>
        <w:tc>
          <w:tcPr>
            <w:tcW w:w="76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gridSpan w:val="7"/>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Cash Flows</w:t>
              </w:r>
            </w:hyperlink>
          </w:p>
        </w:tc>
        <w:tc>
          <w:tcPr>
            <w:tcW w:w="6540" w:type="dxa"/>
            <w:vAlign w:val="bottom"/>
          </w:tcPr>
          <w:p>
            <w:pPr>
              <w:jc w:val="right"/>
              <w:ind w:right="12"/>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60" w:type="dxa"/>
            <w:vAlign w:val="bottom"/>
            <w:gridSpan w:val="7"/>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Notes to Consolidated Financial Statements</w:t>
              </w:r>
            </w:hyperlink>
          </w:p>
        </w:tc>
        <w:tc>
          <w:tcPr>
            <w:tcW w:w="654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6540" w:type="dxa"/>
            <w:vAlign w:val="bottom"/>
            <w:tcBorders>
              <w:top w:val="single" w:sz="8" w:color="CCEEFF"/>
            </w:tcBorders>
          </w:tcPr>
          <w:p>
            <w:pPr>
              <w:jc w:val="right"/>
              <w:ind w:right="553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228"/>
        <w:spacing w:after="0" w:line="332" w:lineRule="auto"/>
        <w:rPr>
          <w:sz w:val="20"/>
          <w:szCs w:val="20"/>
          <w:color w:val="auto"/>
        </w:rPr>
      </w:pPr>
      <w:r>
        <w:rPr>
          <w:rFonts w:ascii="Arial" w:cs="Arial" w:eastAsia="Arial" w:hAnsi="Arial"/>
          <w:sz w:val="16"/>
          <w:szCs w:val="16"/>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4" w:lineRule="exact"/>
        <w:rPr>
          <w:sz w:val="20"/>
          <w:szCs w:val="20"/>
          <w:color w:val="auto"/>
        </w:rPr>
      </w:pPr>
    </w:p>
    <w:p>
      <w:pPr>
        <w:ind w:firstLine="236"/>
        <w:spacing w:after="0" w:line="268" w:lineRule="auto"/>
        <w:tabs>
          <w:tab w:leader="none" w:pos="4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Exhibits. The exhibits listed under Item 15(b) hereof are filed or furnished with, or incorporated by reference into, this Annual Report on Form 10-K. Each management contract or compensatory plan or arrangement is identified separately in Item 15(b) hereof.</w:t>
      </w:r>
    </w:p>
    <w:p>
      <w:pPr>
        <w:spacing w:after="0" w:line="132" w:lineRule="exact"/>
        <w:rPr>
          <w:sz w:val="20"/>
          <w:szCs w:val="20"/>
          <w:color w:val="auto"/>
        </w:rPr>
      </w:pPr>
    </w:p>
    <w:p>
      <w:pPr>
        <w:ind w:left="5620" w:right="1460" w:hanging="5384"/>
        <w:spacing w:after="0" w:line="440" w:lineRule="auto"/>
        <w:tabs>
          <w:tab w:leader="none" w:pos="4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 The following exhibits are filed or furnished as part of, or incorporated by reference into, this Annual Report on Form 10-K: 56</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72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8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560" w:type="dxa"/>
            <w:vAlign w:val="bottom"/>
          </w:tcPr>
          <w:p>
            <w:pPr>
              <w:spacing w:after="0"/>
              <w:rPr>
                <w:sz w:val="15"/>
                <w:szCs w:val="15"/>
                <w:color w:val="auto"/>
              </w:rPr>
            </w:pPr>
          </w:p>
        </w:tc>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Description of Document</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3.1(1)</w:t>
            </w:r>
          </w:p>
        </w:tc>
        <w:tc>
          <w:tcPr>
            <w:tcW w:w="600" w:type="dxa"/>
            <w:vAlign w:val="bottom"/>
          </w:tcPr>
          <w:p>
            <w:pPr>
              <w:spacing w:after="0"/>
              <w:rPr>
                <w:sz w:val="17"/>
                <w:szCs w:val="17"/>
                <w:color w:val="auto"/>
              </w:rPr>
            </w:pPr>
          </w:p>
        </w:tc>
        <w:tc>
          <w:tcPr>
            <w:tcW w:w="4560" w:type="dxa"/>
            <w:vAlign w:val="bottom"/>
          </w:tcPr>
          <w:p>
            <w:pPr>
              <w:ind w:left="320"/>
              <w:spacing w:after="0" w:line="201" w:lineRule="exact"/>
              <w:rPr>
                <w:sz w:val="20"/>
                <w:szCs w:val="20"/>
                <w:color w:val="auto"/>
              </w:rPr>
            </w:pPr>
            <w:r>
              <w:rPr>
                <w:rFonts w:ascii="Arial" w:cs="Arial" w:eastAsia="Arial" w:hAnsi="Arial"/>
                <w:sz w:val="18"/>
                <w:szCs w:val="18"/>
                <w:color w:val="auto"/>
              </w:rPr>
              <w:t>Amended and Restated Certificate of Incorporation.</w:t>
            </w:r>
          </w:p>
        </w:tc>
        <w:tc>
          <w:tcPr>
            <w:tcW w:w="1520" w:type="dxa"/>
            <w:vAlign w:val="bottom"/>
            <w:tcBorders>
              <w:top w:val="single" w:sz="8" w:color="auto"/>
            </w:tcBorders>
          </w:tcPr>
          <w:p>
            <w:pPr>
              <w:spacing w:after="0"/>
              <w:rPr>
                <w:sz w:val="17"/>
                <w:szCs w:val="17"/>
                <w:color w:val="auto"/>
              </w:rPr>
            </w:pPr>
          </w:p>
        </w:tc>
        <w:tc>
          <w:tcPr>
            <w:tcW w:w="3640" w:type="dxa"/>
            <w:vAlign w:val="bottom"/>
          </w:tcPr>
          <w:p>
            <w:pPr>
              <w:spacing w:after="0"/>
              <w:rPr>
                <w:sz w:val="17"/>
                <w:szCs w:val="17"/>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3.2(12)</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3.3(14)</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3.3(20)</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3.4(9)</w:t>
            </w:r>
          </w:p>
        </w:tc>
        <w:tc>
          <w:tcPr>
            <w:tcW w:w="600" w:type="dxa"/>
            <w:vAlign w:val="bottom"/>
          </w:tcPr>
          <w:p>
            <w:pPr>
              <w:spacing w:after="0"/>
              <w:rPr>
                <w:sz w:val="24"/>
                <w:szCs w:val="24"/>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4.1(10)</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Indenture, by and between MannKind and Wells Fargo Bank, N.A., dated November 1, 2006.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4.2(3)</w:t>
            </w:r>
          </w:p>
        </w:tc>
        <w:tc>
          <w:tcPr>
            <w:tcW w:w="600" w:type="dxa"/>
            <w:vAlign w:val="bottom"/>
          </w:tcPr>
          <w:p>
            <w:pPr>
              <w:spacing w:after="0"/>
              <w:rPr>
                <w:sz w:val="24"/>
                <w:szCs w:val="24"/>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4.3(3)</w:t>
            </w:r>
          </w:p>
        </w:tc>
        <w:tc>
          <w:tcPr>
            <w:tcW w:w="600" w:type="dxa"/>
            <w:vAlign w:val="bottom"/>
          </w:tcPr>
          <w:p>
            <w:pPr>
              <w:spacing w:after="0"/>
              <w:rPr>
                <w:sz w:val="24"/>
                <w:szCs w:val="24"/>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Form of 3.75% Senior Convertible Note due 2013.</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24"/>
                <w:szCs w:val="24"/>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4.5(1)</w:t>
            </w:r>
          </w:p>
        </w:tc>
        <w:tc>
          <w:tcPr>
            <w:tcW w:w="600" w:type="dxa"/>
            <w:vAlign w:val="bottom"/>
          </w:tcPr>
          <w:p>
            <w:pPr>
              <w:spacing w:after="0"/>
              <w:rPr>
                <w:sz w:val="24"/>
                <w:szCs w:val="24"/>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88"/>
              </w:rPr>
              <w:t>Registration Rights Agreement, dated October 15, 1998 by and among CTL ImmunoTherapies Corp., Medical Research Group, LLC,</w:t>
            </w:r>
          </w:p>
        </w:tc>
      </w:tr>
      <w:tr>
        <w:trPr>
          <w:trHeight w:val="222"/>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McLean Watson Advisory Inc. and Alfred E. Mann, as amended.</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4.6(16)</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Indenture, by and between MannKind and Wells Fargo Bank, N.A., dated August 24, 2010.</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4.7(16)</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Form of 5.75% Senior Convertible Note due 2015.</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4.8(18)</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Form of Warrant to Purchase Common Stock issued February 8, 2012.</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4.9(19)</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Form of Warrant to Purchase Common Stock issued October 23, 2012.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600" w:type="dxa"/>
            <w:vAlign w:val="bottom"/>
          </w:tcPr>
          <w:p>
            <w:pPr>
              <w:spacing w:after="0"/>
              <w:rPr>
                <w:sz w:val="24"/>
                <w:szCs w:val="24"/>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Form of Warrant to Purchase Common Stock issued December 21, 2012.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Opinion of Cooley LLP.</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10.1(19)</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98"/>
              </w:rPr>
              <w:t>Amended and Restated Promissory Note made by MannKind in favor of The Mann Group LLC, dated October 18, 2012.</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10.3(19)</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90"/>
              </w:rPr>
              <w:t>Common Stock and Warrant Purchase Agreement by and between MannKind and The Mann Group LLC, dated October 18, 2012.</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10.4(12)</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Agreement, dated September 13, 2006, between MannKind and Torcon, Inc.</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10.5(2)</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92"/>
              </w:rPr>
              <w:t>Securities Purchase Agreement, dated August 2, 2005 by and among MannKind and the purchasers listed on Exhibit A thereto.</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10.6**(4)</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Supply Agreement, dated December 31, 2004, between MannKind and Vaupell, Inc.</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10.7*(1)</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Form of Indemnity Agreement entered into between MannKind and each of its directors and officers.</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10.8*(8)</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Description of Officers’ Incentive Program.</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10.9*(11)</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Executive Severance Agreement, dated October 10, 2007, between MannKind and Hakan Edstrom.</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10.10*(11)</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Executive Severance Agreement, dated October 10, 2007, between MannKind and David Thomson.</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10.11*(17)</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Employment Agreement, dated June 27, 2011, between MannKind and Peter Richardson.</w:t>
            </w: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10.12*(11)</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Executive Severance Agreement, dated October 10, 2007, between MannKind and Juergen Martens.</w:t>
            </w:r>
          </w:p>
        </w:tc>
      </w:tr>
      <w:tr>
        <w:trPr>
          <w:trHeight w:val="365"/>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80" w:type="dxa"/>
            <w:vAlign w:val="bottom"/>
            <w:gridSpan w:val="2"/>
          </w:tcPr>
          <w:p>
            <w:pPr>
              <w:ind w:left="4520"/>
              <w:spacing w:after="0"/>
              <w:rPr>
                <w:sz w:val="20"/>
                <w:szCs w:val="20"/>
                <w:color w:val="auto"/>
              </w:rPr>
            </w:pPr>
            <w:r>
              <w:rPr>
                <w:rFonts w:ascii="Arial" w:cs="Arial" w:eastAsia="Arial" w:hAnsi="Arial"/>
                <w:sz w:val="18"/>
                <w:szCs w:val="18"/>
                <w:color w:val="auto"/>
              </w:rPr>
              <w:t>57</w:t>
            </w:r>
          </w:p>
        </w:tc>
        <w:tc>
          <w:tcPr>
            <w:tcW w:w="3640" w:type="dxa"/>
            <w:vAlign w:val="bottom"/>
          </w:tcPr>
          <w:p>
            <w:pPr>
              <w:spacing w:after="0"/>
              <w:rPr>
                <w:sz w:val="24"/>
                <w:szCs w:val="24"/>
                <w:color w:val="auto"/>
              </w:rPr>
            </w:pPr>
          </w:p>
        </w:tc>
      </w:tr>
    </w:tbl>
    <w:p>
      <w:pPr>
        <w:sectPr>
          <w:pgSz w:w="11900" w:h="16838" w:orient="portrait"/>
          <w:cols w:equalWidth="0" w:num="1">
            <w:col w:w="10820"/>
          </w:cols>
          <w:pgMar w:left="240" w:top="459" w:right="8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168"/>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4500" w:type="dxa"/>
            <w:vAlign w:val="bottom"/>
          </w:tcPr>
          <w:p>
            <w:pPr>
              <w:spacing w:after="0"/>
              <w:rPr>
                <w:sz w:val="14"/>
                <w:szCs w:val="14"/>
                <w:color w:val="auto"/>
              </w:rPr>
            </w:pPr>
          </w:p>
        </w:tc>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7"/>
              </w:rPr>
              <w:t>Description of Document</w:t>
            </w:r>
          </w:p>
        </w:tc>
        <w:tc>
          <w:tcPr>
            <w:tcW w:w="4020" w:type="dxa"/>
            <w:vAlign w:val="bottom"/>
          </w:tcPr>
          <w:p>
            <w:pPr>
              <w:spacing w:after="0"/>
              <w:rPr>
                <w:sz w:val="14"/>
                <w:szCs w:val="14"/>
                <w:color w:val="auto"/>
              </w:rPr>
            </w:pPr>
          </w:p>
        </w:tc>
      </w:tr>
      <w:tr>
        <w:trPr>
          <w:trHeight w:val="322"/>
        </w:trPr>
        <w:tc>
          <w:tcPr>
            <w:tcW w:w="1240" w:type="dxa"/>
            <w:vAlign w:val="bottom"/>
            <w:gridSpan w:val="2"/>
          </w:tcPr>
          <w:p>
            <w:pPr>
              <w:spacing w:after="0"/>
              <w:rPr>
                <w:sz w:val="20"/>
                <w:szCs w:val="20"/>
                <w:color w:val="auto"/>
              </w:rPr>
            </w:pPr>
            <w:r>
              <w:rPr>
                <w:rFonts w:ascii="Arial" w:cs="Arial" w:eastAsia="Arial" w:hAnsi="Arial"/>
                <w:sz w:val="18"/>
                <w:szCs w:val="18"/>
                <w:color w:val="auto"/>
              </w:rPr>
              <w:t>10.13*(11)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Executive Severance Agreement, dated October 10, 2007, between MannKind and Diane Palumbo.</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10.14*(11)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Executive Severance Agreement, dated April 21, 2008, between MannKind and Matthew J. Pfeffer.</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10.15*(11)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Change of Control Agreement, dated October 10, 2007, between MannKind and Hakan Edstrom.</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10.16*(11)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Change of Control Agreement, dated October 10, 2007, between MannKind and David Thomson.</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10.18*(11)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Change of Control Agreement, dated October 10, 2007, between MannKind and Juergen Martens.</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10.19*(11)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Change of Control Agreement, dated October 10, 2007, between MannKind and Diane Palumbo.</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10.20*(11)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Change of Control Agreement, dated April 21, 2008, between MannKind and Matthew J. Pfeffer.</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10.22*(7)</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2004 Equity Incentive Plan, as amended.</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10.23*(1)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Form of Stock Option Agreement under the 2004 Equity Incentive Plan.</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10.24*(6)</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Form of Phantom Stock Award Agreement under the 2004 Equity Incentive Plan.</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10.25*(8)</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2004 Non-Employee Directors’ Stock Option Plan and form of stock option agreement there under.</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10.26*(1)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2004 Employee Stock Purchase Plan and form of offering document there under.</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10.28*(1)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Pharmaceutical Discovery Corporation 1999 Stock Plan and form of stock option plan there under.</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10.29*(1)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AlleCure Corp. 2000 Stock Option and Stock Plan.</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10.30*(1)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CTL Immunotherapies Corp. 2000 Stock Option and Stock Plan.</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10.31*(1)</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2001 Stock Awards Plan.</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10.32**(20)</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Letter Agreement, dated June 4, 2011, between MannKind and N.V. Organon.</w:t>
            </w: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10.33**(13)</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w w:val="89"/>
              </w:rPr>
              <w:t>Insulin Maintenance and Call-Option Agreement, dated June 19, 2009, by and among Pfizer Manufacturing Frankfurt GmbH, Pfizer Inc.</w:t>
            </w:r>
          </w:p>
        </w:tc>
      </w:tr>
      <w:tr>
        <w:trPr>
          <w:trHeight w:val="222"/>
        </w:trPr>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and MannKind.</w:t>
            </w: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10.34(16)</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w w:val="91"/>
              </w:rPr>
              <w:t>Purchase Agreement, dated August 18, 2010, by and between MannKind and Merrill Lynch, Pierce, Fenner &amp; Smith Incorporated, as</w:t>
            </w:r>
          </w:p>
        </w:tc>
      </w:tr>
      <w:tr>
        <w:trPr>
          <w:trHeight w:val="222"/>
        </w:trPr>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representative for the initial purchasers named therein.</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10.35(16)</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Share Lending Agreement, dated August 18, 2010, by and between MannKind and Bank of America, N.A.</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10.36(15)</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Letter Agreement, dated August 10, 2010, by and between MannKind and Omni Capital Corporation.</w:t>
            </w: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10.37(18)</w:t>
            </w: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Common Stock Purchase Agreement by and between MannKind and The Mann Group LLC, dated February 2, 2012.</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10.38</w:t>
            </w:r>
          </w:p>
        </w:tc>
        <w:tc>
          <w:tcPr>
            <w:tcW w:w="740" w:type="dxa"/>
            <w:vAlign w:val="bottom"/>
          </w:tcPr>
          <w:p>
            <w:pPr>
              <w:spacing w:after="0"/>
              <w:rPr>
                <w:sz w:val="24"/>
                <w:szCs w:val="24"/>
                <w:color w:val="auto"/>
              </w:rPr>
            </w:pP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At-The-Market Issuance Sales Agreement, dated March 18, 2013, by and between MannKind and MLV &amp; Co. LLC.</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10.39</w:t>
            </w:r>
          </w:p>
        </w:tc>
        <w:tc>
          <w:tcPr>
            <w:tcW w:w="740" w:type="dxa"/>
            <w:vAlign w:val="bottom"/>
          </w:tcPr>
          <w:p>
            <w:pPr>
              <w:spacing w:after="0"/>
              <w:rPr>
                <w:sz w:val="24"/>
                <w:szCs w:val="24"/>
                <w:color w:val="auto"/>
              </w:rPr>
            </w:pP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w w:val="88"/>
              </w:rPr>
              <w:t>At-The-Market Issuance Sales Agreement, dated March 18, 2013, by and between MannKind and Brinson Patrick Securities Corporation.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740" w:type="dxa"/>
            <w:vAlign w:val="bottom"/>
          </w:tcPr>
          <w:p>
            <w:pPr>
              <w:spacing w:after="0"/>
              <w:rPr>
                <w:sz w:val="24"/>
                <w:szCs w:val="24"/>
                <w:color w:val="auto"/>
              </w:rPr>
            </w:pP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740" w:type="dxa"/>
            <w:vAlign w:val="bottom"/>
          </w:tcPr>
          <w:p>
            <w:pPr>
              <w:spacing w:after="0"/>
              <w:rPr>
                <w:sz w:val="24"/>
                <w:szCs w:val="24"/>
                <w:color w:val="auto"/>
              </w:rPr>
            </w:pP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Consent of Cooley LLP (included as Exhibit 5.1).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740" w:type="dxa"/>
            <w:vAlign w:val="bottom"/>
          </w:tcPr>
          <w:p>
            <w:pPr>
              <w:spacing w:after="0"/>
              <w:rPr>
                <w:sz w:val="24"/>
                <w:szCs w:val="24"/>
                <w:color w:val="auto"/>
              </w:rPr>
            </w:pP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w w:val="94"/>
              </w:rPr>
              <w:t>Certification of the Chief Executive Officer pursuant to Rules 13a-14(a) and 15d-14(a) of the Securities Exchange Act of 1934, as</w:t>
            </w:r>
          </w:p>
        </w:tc>
      </w:tr>
      <w:tr>
        <w:trPr>
          <w:trHeight w:val="222"/>
        </w:trPr>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amended.</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740" w:type="dxa"/>
            <w:vAlign w:val="bottom"/>
          </w:tcPr>
          <w:p>
            <w:pPr>
              <w:spacing w:after="0"/>
              <w:rPr>
                <w:sz w:val="24"/>
                <w:szCs w:val="24"/>
                <w:color w:val="auto"/>
              </w:rPr>
            </w:pP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w w:val="94"/>
              </w:rPr>
              <w:t>Certification of the Chief Financial Officer pursuant to Rules 13a-14(a) and 15d-14(a) of the Securities Exchange Act of 1934, as</w:t>
            </w:r>
          </w:p>
        </w:tc>
      </w:tr>
      <w:tr>
        <w:trPr>
          <w:trHeight w:val="222"/>
        </w:trPr>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
          </w:tcPr>
          <w:p>
            <w:pPr>
              <w:ind w:left="380"/>
              <w:spacing w:after="0"/>
              <w:rPr>
                <w:sz w:val="20"/>
                <w:szCs w:val="20"/>
                <w:color w:val="auto"/>
              </w:rPr>
            </w:pPr>
            <w:r>
              <w:rPr>
                <w:rFonts w:ascii="Arial" w:cs="Arial" w:eastAsia="Arial" w:hAnsi="Arial"/>
                <w:sz w:val="18"/>
                <w:szCs w:val="18"/>
                <w:color w:val="auto"/>
              </w:rPr>
              <w:t>amended.</w:t>
            </w:r>
          </w:p>
        </w:tc>
      </w:tr>
      <w:tr>
        <w:trPr>
          <w:trHeight w:val="365"/>
        </w:trPr>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40" w:type="dxa"/>
            <w:vAlign w:val="bottom"/>
            <w:gridSpan w:val="2"/>
          </w:tcPr>
          <w:p>
            <w:pPr>
              <w:ind w:left="4380"/>
              <w:spacing w:after="0"/>
              <w:rPr>
                <w:sz w:val="20"/>
                <w:szCs w:val="20"/>
                <w:color w:val="auto"/>
              </w:rPr>
            </w:pPr>
            <w:r>
              <w:rPr>
                <w:rFonts w:ascii="Arial" w:cs="Arial" w:eastAsia="Arial" w:hAnsi="Arial"/>
                <w:sz w:val="18"/>
                <w:szCs w:val="18"/>
                <w:color w:val="auto"/>
              </w:rPr>
              <w:t>58</w:t>
            </w:r>
          </w:p>
        </w:tc>
        <w:tc>
          <w:tcPr>
            <w:tcW w:w="402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200" w:type="dxa"/>
            <w:vAlign w:val="bottom"/>
          </w:tcPr>
          <w:p>
            <w:pPr>
              <w:spacing w:after="0"/>
              <w:rPr>
                <w:sz w:val="14"/>
                <w:szCs w:val="14"/>
                <w:color w:val="auto"/>
              </w:rPr>
            </w:pPr>
          </w:p>
        </w:tc>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7"/>
              </w:rPr>
              <w:t>Description of Document</w:t>
            </w:r>
          </w:p>
        </w:tc>
        <w:tc>
          <w:tcPr>
            <w:tcW w:w="3620" w:type="dxa"/>
            <w:vAlign w:val="bottom"/>
          </w:tcPr>
          <w:p>
            <w:pPr>
              <w:spacing w:after="0"/>
              <w:rPr>
                <w:sz w:val="14"/>
                <w:szCs w:val="14"/>
                <w:color w:val="auto"/>
              </w:rPr>
            </w:pPr>
          </w:p>
        </w:tc>
      </w:tr>
      <w:tr>
        <w:trPr>
          <w:trHeight w:val="316"/>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360" w:type="dxa"/>
            <w:vAlign w:val="bottom"/>
            <w:gridSpan w:val="3"/>
          </w:tcPr>
          <w:p>
            <w:pPr>
              <w:ind w:left="1020"/>
              <w:spacing w:after="0"/>
              <w:rPr>
                <w:sz w:val="20"/>
                <w:szCs w:val="20"/>
                <w:color w:val="auto"/>
              </w:rPr>
            </w:pPr>
            <w:r>
              <w:rPr>
                <w:rFonts w:ascii="Arial" w:cs="Arial" w:eastAsia="Arial" w:hAnsi="Arial"/>
                <w:sz w:val="18"/>
                <w:szCs w:val="18"/>
                <w:color w:val="auto"/>
                <w:w w:val="89"/>
              </w:rPr>
              <w:t>Certifications of the Chief Executive Officer and Chief Financial Officer pursuant to Rules 13a-14(b) and 15d-14(b) of the Securities</w:t>
            </w:r>
          </w:p>
        </w:tc>
      </w:tr>
      <w:tr>
        <w:trPr>
          <w:trHeight w:val="222"/>
        </w:trPr>
        <w:tc>
          <w:tcPr>
            <w:tcW w:w="500" w:type="dxa"/>
            <w:vAlign w:val="bottom"/>
          </w:tcPr>
          <w:p>
            <w:pPr>
              <w:spacing w:after="0"/>
              <w:rPr>
                <w:sz w:val="19"/>
                <w:szCs w:val="19"/>
                <w:color w:val="auto"/>
              </w:rPr>
            </w:pPr>
          </w:p>
        </w:tc>
        <w:tc>
          <w:tcPr>
            <w:tcW w:w="10360" w:type="dxa"/>
            <w:vAlign w:val="bottom"/>
            <w:gridSpan w:val="3"/>
          </w:tcPr>
          <w:p>
            <w:pPr>
              <w:ind w:left="1020"/>
              <w:spacing w:after="0"/>
              <w:rPr>
                <w:sz w:val="20"/>
                <w:szCs w:val="20"/>
                <w:color w:val="auto"/>
              </w:rPr>
            </w:pPr>
            <w:r>
              <w:rPr>
                <w:rFonts w:ascii="Arial" w:cs="Arial" w:eastAsia="Arial" w:hAnsi="Arial"/>
                <w:sz w:val="18"/>
                <w:szCs w:val="18"/>
                <w:color w:val="auto"/>
                <w:w w:val="94"/>
              </w:rPr>
              <w:t>Exchange Act of 1934, as amended and Section 1350 of Chapter 63 of Title 18 of the United States Code (18 U.S.C. §1350)</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360" w:type="dxa"/>
            <w:vAlign w:val="bottom"/>
            <w:gridSpan w:val="3"/>
          </w:tcPr>
          <w:p>
            <w:pPr>
              <w:ind w:left="1020"/>
              <w:spacing w:after="0"/>
              <w:rPr>
                <w:sz w:val="20"/>
                <w:szCs w:val="20"/>
                <w:color w:val="auto"/>
              </w:rPr>
            </w:pPr>
            <w:r>
              <w:rPr>
                <w:rFonts w:ascii="Arial" w:cs="Arial" w:eastAsia="Arial" w:hAnsi="Arial"/>
                <w:sz w:val="18"/>
                <w:szCs w:val="18"/>
                <w:color w:val="auto"/>
              </w:rPr>
              <w:t>Interactive Data Files pursuant to Rule 405 of Regulation 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5"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Confidential treatment has been granted with respect to certain portions of this exhibit. Omitted portions have been filed separately with the SEC.</w:t>
      </w:r>
    </w:p>
    <w:p>
      <w:pPr>
        <w:spacing w:after="0" w:line="32"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August 5,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December 12,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February 23, 2005.</w:t>
      </w:r>
    </w:p>
    <w:p>
      <w:pPr>
        <w:spacing w:after="0" w:line="9"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December 14, 2005.</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Mannkind’s proxy statement on Schedule 14A (File No. 000-50865), filed with the SEC on April 6,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MannKind’s Annual Report on Form 10-K (File No. 000-50865) filed with the SEC on March 16, 2006.</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November 19,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S-3 (File No. 333-138373) filed with the SEC on November 2, 2006.</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Incorporated by reference to MannKind’s Current Report on Form 8-K (File No. 000-50865), as amended, filed with the SEC on October 17, 2007.</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9, 2007.</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May 4, 2009.</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2,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August 11,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August 24, 2010.</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 No. 000-50865), filed with the SEC on August 4,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February 6, 2012.</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 No. 000-50865), filed with the SEC on October 19, 2012.</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80"/>
          </w:cols>
          <w:pgMar w:left="240" w:top="45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ANN</w:t>
      </w:r>
      <w:r>
        <w:rPr>
          <w:rFonts w:ascii="Arial" w:cs="Arial" w:eastAsia="Arial" w:hAnsi="Arial"/>
          <w:sz w:val="18"/>
          <w:szCs w:val="18"/>
          <w:color w:val="auto"/>
        </w:rPr>
        <w:t>K</w:t>
      </w:r>
      <w:r>
        <w:rPr>
          <w:rFonts w:ascii="Arial" w:cs="Arial" w:eastAsia="Arial" w:hAnsi="Arial"/>
          <w:sz w:val="14"/>
          <w:szCs w:val="14"/>
          <w:color w:val="auto"/>
        </w:rPr>
        <w:t>IND</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Alfred E. Mann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Dated: March 18, 2013</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KNOW ALL BY THESE PRESENTS, that each person whose signature appears below constitutes and appoints Hakan S. Edstrom, Matthew Pfeffer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37"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6"/>
              </w:rPr>
              <w:t>Signature</w:t>
            </w:r>
          </w:p>
        </w:tc>
        <w:tc>
          <w:tcPr>
            <w:tcW w:w="17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20" w:type="dxa"/>
            <w:vAlign w:val="bottom"/>
            <w:gridSpan w:val="2"/>
          </w:tcPr>
          <w:p>
            <w:pPr>
              <w:jc w:val="center"/>
              <w:ind w:right="2560"/>
              <w:spacing w:after="0"/>
              <w:rPr>
                <w:sz w:val="20"/>
                <w:szCs w:val="20"/>
                <w:color w:val="auto"/>
              </w:rPr>
            </w:pPr>
            <w:r>
              <w:rPr>
                <w:rFonts w:ascii="Arial" w:cs="Arial" w:eastAsia="Arial" w:hAnsi="Arial"/>
                <w:sz w:val="14"/>
                <w:szCs w:val="14"/>
                <w:b w:val="1"/>
                <w:bCs w:val="1"/>
                <w:color w:val="auto"/>
                <w:w w:val="90"/>
              </w:rPr>
              <w:t>Title</w:t>
            </w:r>
          </w:p>
        </w:tc>
        <w:tc>
          <w:tcPr>
            <w:tcW w:w="860" w:type="dxa"/>
            <w:vAlign w:val="bottom"/>
          </w:tcPr>
          <w:p>
            <w:pPr>
              <w:spacing w:after="0"/>
              <w:rPr>
                <w:sz w:val="14"/>
                <w:szCs w:val="14"/>
                <w:color w:val="auto"/>
              </w:rPr>
            </w:pPr>
          </w:p>
        </w:tc>
        <w:tc>
          <w:tcPr>
            <w:tcW w:w="7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Chief Executive Officer and Chairman of the Board of Directors</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18, 2013</w:t>
            </w:r>
          </w:p>
        </w:tc>
      </w:tr>
      <w:tr>
        <w:trPr>
          <w:trHeight w:val="218"/>
        </w:trPr>
        <w:tc>
          <w:tcPr>
            <w:tcW w:w="2380" w:type="dxa"/>
            <w:vAlign w:val="bottom"/>
            <w:gridSpan w:val="2"/>
          </w:tcPr>
          <w:p>
            <w:pPr>
              <w:spacing w:after="0"/>
              <w:rPr>
                <w:sz w:val="20"/>
                <w:szCs w:val="20"/>
                <w:color w:val="auto"/>
              </w:rPr>
            </w:pPr>
            <w:r>
              <w:rPr>
                <w:rFonts w:ascii="Arial" w:cs="Arial" w:eastAsia="Arial" w:hAnsi="Arial"/>
                <w:sz w:val="18"/>
                <w:szCs w:val="18"/>
                <w:color w:val="auto"/>
              </w:rPr>
              <w:t>Alfred E. Mann</w:t>
            </w:r>
          </w:p>
        </w:tc>
        <w:tc>
          <w:tcPr>
            <w:tcW w:w="1780" w:type="dxa"/>
            <w:vAlign w:val="bottom"/>
          </w:tcPr>
          <w:p>
            <w:pPr>
              <w:spacing w:after="0"/>
              <w:rPr>
                <w:sz w:val="18"/>
                <w:szCs w:val="18"/>
                <w:color w:val="auto"/>
              </w:rPr>
            </w:pPr>
          </w:p>
        </w:tc>
        <w:tc>
          <w:tcPr>
            <w:tcW w:w="5220" w:type="dxa"/>
            <w:vAlign w:val="bottom"/>
            <w:gridSpan w:val="3"/>
          </w:tcPr>
          <w:p>
            <w:pPr>
              <w:jc w:val="center"/>
              <w:ind w:right="160"/>
              <w:spacing w:after="0" w:line="202" w:lineRule="exact"/>
              <w:rPr>
                <w:sz w:val="20"/>
                <w:szCs w:val="20"/>
                <w:color w:val="auto"/>
              </w:rPr>
            </w:pPr>
            <w:r>
              <w:rPr>
                <w:rFonts w:ascii="Arial" w:cs="Arial" w:eastAsia="Arial" w:hAnsi="Arial"/>
                <w:sz w:val="18"/>
                <w:szCs w:val="18"/>
                <w:i w:val="1"/>
                <w:iCs w:val="1"/>
                <w:color w:val="auto"/>
                <w:w w:val="92"/>
              </w:rPr>
              <w:t>(Principal Executive Officer)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Hakan S. Edstrom</w:t>
            </w:r>
          </w:p>
        </w:tc>
        <w:tc>
          <w:tcPr>
            <w:tcW w:w="178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President, Chief Operating Officer and 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18, 2013</w:t>
            </w:r>
          </w:p>
        </w:tc>
      </w:tr>
      <w:tr>
        <w:trPr>
          <w:trHeight w:val="217"/>
        </w:trPr>
        <w:tc>
          <w:tcPr>
            <w:tcW w:w="2380" w:type="dxa"/>
            <w:vAlign w:val="bottom"/>
            <w:gridSpan w:val="2"/>
          </w:tcPr>
          <w:p>
            <w:pPr>
              <w:spacing w:after="0"/>
              <w:rPr>
                <w:sz w:val="20"/>
                <w:szCs w:val="20"/>
                <w:color w:val="auto"/>
              </w:rPr>
            </w:pPr>
            <w:r>
              <w:rPr>
                <w:rFonts w:ascii="Arial" w:cs="Arial" w:eastAsia="Arial" w:hAnsi="Arial"/>
                <w:sz w:val="18"/>
                <w:szCs w:val="18"/>
                <w:color w:val="auto"/>
              </w:rPr>
              <w:t>Hakan S. Edstrom</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7"/>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J. Pfeffer</w:t>
            </w:r>
          </w:p>
        </w:tc>
        <w:tc>
          <w:tcPr>
            <w:tcW w:w="178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Corporate Vice President and Chief Financial Officer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18, 2013</w:t>
            </w:r>
          </w:p>
        </w:tc>
      </w:tr>
      <w:tr>
        <w:trPr>
          <w:trHeight w:val="218"/>
        </w:trPr>
        <w:tc>
          <w:tcPr>
            <w:tcW w:w="2380" w:type="dxa"/>
            <w:vAlign w:val="bottom"/>
            <w:gridSpan w:val="2"/>
          </w:tcPr>
          <w:p>
            <w:pPr>
              <w:spacing w:after="0"/>
              <w:rPr>
                <w:sz w:val="20"/>
                <w:szCs w:val="20"/>
                <w:color w:val="auto"/>
              </w:rPr>
            </w:pPr>
            <w:r>
              <w:rPr>
                <w:rFonts w:ascii="Arial" w:cs="Arial" w:eastAsia="Arial" w:hAnsi="Arial"/>
                <w:sz w:val="18"/>
                <w:szCs w:val="18"/>
                <w:color w:val="auto"/>
              </w:rPr>
              <w:t>Matthew J. Pfeffer</w:t>
            </w:r>
          </w:p>
        </w:tc>
        <w:tc>
          <w:tcPr>
            <w:tcW w:w="1780" w:type="dxa"/>
            <w:vAlign w:val="bottom"/>
          </w:tcPr>
          <w:p>
            <w:pPr>
              <w:spacing w:after="0"/>
              <w:rPr>
                <w:sz w:val="18"/>
                <w:szCs w:val="18"/>
                <w:color w:val="auto"/>
              </w:rPr>
            </w:pPr>
          </w:p>
        </w:tc>
        <w:tc>
          <w:tcPr>
            <w:tcW w:w="5220" w:type="dxa"/>
            <w:vAlign w:val="bottom"/>
            <w:gridSpan w:val="3"/>
          </w:tcPr>
          <w:p>
            <w:pPr>
              <w:jc w:val="center"/>
              <w:ind w:right="140"/>
              <w:spacing w:after="0" w:line="202"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Principal Financial and Accounting Officer)</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438"/>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J. Consiglio</w:t>
            </w:r>
          </w:p>
        </w:tc>
        <w:tc>
          <w:tcPr>
            <w:tcW w:w="178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Director</w:t>
            </w: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18, 2013</w:t>
            </w:r>
          </w:p>
        </w:tc>
      </w:tr>
      <w:tr>
        <w:trPr>
          <w:trHeight w:val="217"/>
        </w:trPr>
        <w:tc>
          <w:tcPr>
            <w:tcW w:w="2380" w:type="dxa"/>
            <w:vAlign w:val="bottom"/>
            <w:gridSpan w:val="2"/>
          </w:tcPr>
          <w:p>
            <w:pPr>
              <w:spacing w:after="0"/>
              <w:rPr>
                <w:sz w:val="20"/>
                <w:szCs w:val="20"/>
                <w:color w:val="auto"/>
              </w:rPr>
            </w:pPr>
            <w:r>
              <w:rPr>
                <w:rFonts w:ascii="Arial" w:cs="Arial" w:eastAsia="Arial" w:hAnsi="Arial"/>
                <w:sz w:val="18"/>
                <w:szCs w:val="18"/>
                <w:color w:val="auto"/>
              </w:rPr>
              <w:t>Ronald J. Consiglio</w:t>
            </w:r>
          </w:p>
        </w:tc>
        <w:tc>
          <w:tcPr>
            <w:tcW w:w="1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329"/>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Friedman</w:t>
            </w:r>
          </w:p>
        </w:tc>
        <w:tc>
          <w:tcPr>
            <w:tcW w:w="178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Director</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Michael Friedman, M.D.</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18, 2013</w:t>
            </w:r>
          </w:p>
        </w:tc>
      </w:tr>
      <w:tr>
        <w:trPr>
          <w:trHeight w:val="324"/>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Kent Kresa</w:t>
            </w:r>
          </w:p>
        </w:tc>
        <w:tc>
          <w:tcPr>
            <w:tcW w:w="178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Director</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Kent Kresa</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18, 2013</w:t>
            </w:r>
          </w:p>
        </w:tc>
      </w:tr>
      <w:tr>
        <w:trPr>
          <w:trHeight w:val="324"/>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H. MacCallum</w:t>
            </w:r>
          </w:p>
        </w:tc>
        <w:tc>
          <w:tcPr>
            <w:tcW w:w="178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Director</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David H. MacCallum</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18, 2013</w:t>
            </w:r>
          </w:p>
        </w:tc>
      </w:tr>
      <w:tr>
        <w:trPr>
          <w:trHeight w:val="324"/>
        </w:trPr>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Henry L. Nordhoff</w:t>
            </w:r>
          </w:p>
        </w:tc>
        <w:tc>
          <w:tcPr>
            <w:tcW w:w="1780" w:type="dxa"/>
            <w:vAlign w:val="bottom"/>
            <w:tcBorders>
              <w:bottom w:val="single" w:sz="8" w:color="auto"/>
            </w:tcBorders>
          </w:tcPr>
          <w:p>
            <w:pPr>
              <w:spacing w:after="0"/>
              <w:rPr>
                <w:sz w:val="24"/>
                <w:szCs w:val="24"/>
                <w:color w:val="auto"/>
              </w:rPr>
            </w:pPr>
          </w:p>
        </w:tc>
        <w:tc>
          <w:tcPr>
            <w:tcW w:w="522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Director</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Henry L. Nordhoff</w:t>
            </w:r>
          </w:p>
        </w:tc>
        <w:tc>
          <w:tcPr>
            <w:tcW w:w="1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March 18, 2013</w:t>
            </w:r>
          </w:p>
        </w:tc>
      </w:tr>
      <w:tr>
        <w:trPr>
          <w:trHeight w:val="365"/>
        </w:trPr>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80" w:type="dxa"/>
            <w:vAlign w:val="bottom"/>
            <w:gridSpan w:val="2"/>
          </w:tcPr>
          <w:p>
            <w:pPr>
              <w:jc w:val="right"/>
              <w:ind w:right="672"/>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60" w:type="dxa"/>
            <w:vAlign w:val="bottom"/>
            <w:gridSpan w:val="7"/>
            <w:shd w:val="clear" w:color="auto" w:fill="CCEEFF"/>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6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Balance Sheets</w:t>
              </w:r>
            </w:hyperlink>
          </w:p>
        </w:tc>
        <w:tc>
          <w:tcPr>
            <w:tcW w:w="760" w:type="dxa"/>
            <w:vAlign w:val="bottom"/>
            <w:tcBorders>
              <w:top w:val="single" w:sz="8" w:color="CCEEFF"/>
            </w:tcBorders>
          </w:tcPr>
          <w:p>
            <w:pPr>
              <w:spacing w:after="0"/>
              <w:rPr>
                <w:sz w:val="15"/>
                <w:szCs w:val="15"/>
                <w:color w:val="auto"/>
              </w:rPr>
            </w:pPr>
          </w:p>
        </w:tc>
        <w:tc>
          <w:tcPr>
            <w:tcW w:w="6540" w:type="dxa"/>
            <w:vAlign w:val="bottom"/>
            <w:tcBorders>
              <w:top w:val="single" w:sz="8" w:color="CCEEFF"/>
            </w:tcBorders>
          </w:tcPr>
          <w:p>
            <w:pPr>
              <w:jc w:val="right"/>
              <w:ind w:right="12"/>
              <w:spacing w:after="0" w:line="17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6"/>
              </w:rPr>
            </w:pPr>
            <w:hyperlink w:anchor="page66">
              <w:r>
                <w:rPr>
                  <w:rFonts w:ascii="Arial" w:cs="Arial" w:eastAsia="Arial" w:hAnsi="Arial"/>
                  <w:sz w:val="18"/>
                  <w:szCs w:val="18"/>
                  <w:color w:val="0000EE"/>
                  <w:w w:val="86"/>
                </w:rPr>
                <w:t>Consolidated Statements of Operations</w:t>
              </w:r>
            </w:hyperlink>
          </w:p>
        </w:tc>
        <w:tc>
          <w:tcPr>
            <w:tcW w:w="2120" w:type="dxa"/>
            <w:vAlign w:val="bottom"/>
            <w:tcBorders>
              <w:bottom w:val="single" w:sz="8" w:color="CCEEFF"/>
            </w:tcBorders>
            <w:gridSpan w:val="5"/>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gridSpan w:val="7"/>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Comprehensive Loss</w:t>
              </w:r>
            </w:hyperlink>
          </w:p>
        </w:tc>
        <w:tc>
          <w:tcPr>
            <w:tcW w:w="6540" w:type="dxa"/>
            <w:vAlign w:val="bottom"/>
          </w:tcPr>
          <w:p>
            <w:pPr>
              <w:jc w:val="right"/>
              <w:ind w:right="12"/>
              <w:spacing w:after="0" w:line="17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Stockholders’ Equity (Deficit)</w:t>
              </w:r>
            </w:hyperlink>
          </w:p>
        </w:tc>
        <w:tc>
          <w:tcPr>
            <w:tcW w:w="760" w:type="dxa"/>
            <w:vAlign w:val="bottom"/>
            <w:tcBorders>
              <w:bottom w:val="single" w:sz="8" w:color="CCEEFF"/>
            </w:tcBorders>
            <w:shd w:val="clear" w:color="auto" w:fill="CCEEFF"/>
          </w:tcPr>
          <w:p>
            <w:pPr>
              <w:spacing w:after="0"/>
              <w:rPr>
                <w:sz w:val="17"/>
                <w:szCs w:val="17"/>
                <w:color w:val="auto"/>
              </w:rPr>
            </w:pPr>
          </w:p>
        </w:tc>
        <w:tc>
          <w:tcPr>
            <w:tcW w:w="6540" w:type="dxa"/>
            <w:vAlign w:val="bottom"/>
            <w:tcBorders>
              <w:bottom w:val="single" w:sz="8" w:color="CCEEFF"/>
            </w:tcBorders>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60" w:type="dxa"/>
            <w:vAlign w:val="bottom"/>
            <w:gridSpan w:val="7"/>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Cash Flows</w:t>
              </w:r>
            </w:hyperlink>
          </w:p>
        </w:tc>
        <w:tc>
          <w:tcPr>
            <w:tcW w:w="6540" w:type="dxa"/>
            <w:vAlign w:val="bottom"/>
          </w:tcPr>
          <w:p>
            <w:pPr>
              <w:jc w:val="right"/>
              <w:ind w:right="12"/>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60" w:type="dxa"/>
            <w:vAlign w:val="bottom"/>
            <w:gridSpan w:val="7"/>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Notes to Consolidated Financial Statements</w:t>
              </w:r>
            </w:hyperlink>
          </w:p>
        </w:tc>
        <w:tc>
          <w:tcPr>
            <w:tcW w:w="6540" w:type="dxa"/>
            <w:vAlign w:val="bottom"/>
            <w:shd w:val="clear" w:color="auto" w:fill="CCEEFF"/>
          </w:tcPr>
          <w:p>
            <w:pPr>
              <w:jc w:val="right"/>
              <w:ind w:right="12"/>
              <w:spacing w:after="0" w:line="17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6540" w:type="dxa"/>
            <w:vAlign w:val="bottom"/>
            <w:tcBorders>
              <w:top w:val="single" w:sz="8" w:color="CCEEFF"/>
            </w:tcBorders>
          </w:tcPr>
          <w:p>
            <w:pPr>
              <w:jc w:val="right"/>
              <w:ind w:right="5532"/>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Valencia, California</w:t>
      </w:r>
    </w:p>
    <w:p>
      <w:pPr>
        <w:spacing w:after="0" w:line="84"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We have audited the accompanying consolidated balance sheets of MannKind Corporation and subsidiaries (a development stage company) (the “Company”) as of December 31, 2011 and 2012 and the related consolidated statements of operations, comprehensive loss, stockholders’ equity (deficit), and cash flows for each of the three years in the period ended December 31, 2012 and for the period from February 14, 1991 (date of inception) to December 31, 2012. These financial statements are the responsibility of the Company’s management. Our responsibility is to express an opinion on the financial statements based on our audits.</w:t>
      </w:r>
    </w:p>
    <w:p>
      <w:pPr>
        <w:spacing w:after="0" w:line="62"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jc w:val="both"/>
        <w:ind w:right="20" w:firstLine="228"/>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MannKind Corporation and subsidiaries as of December 31, 2011 and 2012, and the results of their operations and their cash flows for each of the three years in the period ended December 31, 2012 and for the period from February 14, 1991 (date of inception) to December 31, 2012, in conformity with accounting principles generally accepted in the United States of America.</w:t>
      </w:r>
    </w:p>
    <w:p>
      <w:pPr>
        <w:spacing w:after="0" w:line="62"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The accompanying consolidated financial statements for the years ended December 31, 2011 and 2012 have been prepared assuming that the Company will continue as a going concern. As discussed in Note 1 to the financial statements, the Company’s existing cash resources and its operating losses since inception raise substantial doubt about its ability to continue as a going concern. Management’s plans concerning these matters are also described in Note 1 to the financial statements. The financial statements do not include any adjustments that might result from the outcome of these uncertainties.</w:t>
      </w:r>
    </w:p>
    <w:p>
      <w:pPr>
        <w:spacing w:after="0" w:line="32"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March 18, 2013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75"/>
              <w:spacing w:after="0"/>
              <w:rPr>
                <w:sz w:val="20"/>
                <w:szCs w:val="20"/>
                <w:color w:val="auto"/>
              </w:rPr>
            </w:pPr>
            <w:r>
              <w:rPr>
                <w:rFonts w:ascii="Arial" w:cs="Arial" w:eastAsia="Arial" w:hAnsi="Arial"/>
                <w:sz w:val="14"/>
                <w:szCs w:val="14"/>
                <w:b w:val="1"/>
                <w:bCs w:val="1"/>
                <w:color w:val="auto"/>
                <w:w w:val="85"/>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129"/>
        </w:trPr>
        <w:tc>
          <w:tcPr>
            <w:tcW w:w="8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4"/>
          </w:tcPr>
          <w:p>
            <w:pPr>
              <w:jc w:val="center"/>
              <w:ind w:right="33"/>
              <w:spacing w:after="0" w:line="129" w:lineRule="exact"/>
              <w:rPr>
                <w:sz w:val="20"/>
                <w:szCs w:val="20"/>
                <w:color w:val="auto"/>
              </w:rPr>
            </w:pPr>
            <w:r>
              <w:rPr>
                <w:rFonts w:ascii="Arial" w:cs="Arial" w:eastAsia="Arial" w:hAnsi="Arial"/>
                <w:sz w:val="14"/>
                <w:szCs w:val="14"/>
                <w:b w:val="1"/>
                <w:bCs w:val="1"/>
                <w:color w:val="auto"/>
                <w:w w:val="84"/>
              </w:rPr>
              <w:t>(In thousands, except</w:t>
            </w:r>
          </w:p>
        </w:tc>
        <w:tc>
          <w:tcPr>
            <w:tcW w:w="100" w:type="dxa"/>
            <w:vAlign w:val="bottom"/>
          </w:tcPr>
          <w:p>
            <w:pPr>
              <w:spacing w:after="0"/>
              <w:rPr>
                <w:sz w:val="11"/>
                <w:szCs w:val="11"/>
                <w:color w:val="auto"/>
              </w:rPr>
            </w:pPr>
          </w:p>
        </w:tc>
      </w:tr>
      <w:tr>
        <w:trPr>
          <w:trHeight w:val="161"/>
        </w:trPr>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share data)</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84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61,840</w:t>
            </w:r>
          </w:p>
        </w:tc>
      </w:tr>
      <w:tr>
        <w:trPr>
          <w:trHeight w:val="216"/>
        </w:trPr>
        <w:tc>
          <w:tcPr>
            <w:tcW w:w="8840" w:type="dxa"/>
            <w:vAlign w:val="bottom"/>
          </w:tcPr>
          <w:p>
            <w:pPr>
              <w:ind w:left="220"/>
              <w:spacing w:after="0"/>
              <w:rPr>
                <w:sz w:val="20"/>
                <w:szCs w:val="20"/>
                <w:color w:val="auto"/>
              </w:rPr>
            </w:pPr>
            <w:r>
              <w:rPr>
                <w:rFonts w:ascii="Arial" w:cs="Arial" w:eastAsia="Arial" w:hAnsi="Arial"/>
                <w:sz w:val="18"/>
                <w:szCs w:val="18"/>
                <w:color w:val="auto"/>
              </w:rPr>
              <w:t>State research and development credit exchange receivable — current</w:t>
            </w:r>
          </w:p>
        </w:tc>
        <w:tc>
          <w:tcPr>
            <w:tcW w:w="100" w:type="dxa"/>
            <w:vAlign w:val="bottom"/>
          </w:tcPr>
          <w:p>
            <w:pPr>
              <w:spacing w:after="0"/>
              <w:rPr>
                <w:sz w:val="18"/>
                <w:szCs w:val="18"/>
                <w:color w:val="auto"/>
              </w:rPr>
            </w:pPr>
          </w:p>
        </w:tc>
        <w:tc>
          <w:tcPr>
            <w:tcW w:w="150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spacing w:after="0"/>
              <w:rPr>
                <w:sz w:val="18"/>
                <w:szCs w:val="18"/>
                <w:color w:val="auto"/>
              </w:rPr>
            </w:pPr>
          </w:p>
        </w:tc>
      </w:tr>
      <w:tr>
        <w:trPr>
          <w:trHeight w:val="221"/>
        </w:trPr>
        <w:tc>
          <w:tcPr>
            <w:tcW w:w="884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5,821</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66,810</w:t>
            </w:r>
          </w:p>
        </w:tc>
      </w:tr>
      <w:tr>
        <w:trPr>
          <w:trHeight w:val="218"/>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193,029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183,961</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199,553</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251,314</w:t>
            </w:r>
          </w:p>
        </w:tc>
      </w:tr>
      <w:tr>
        <w:trPr>
          <w:trHeight w:val="20"/>
        </w:trPr>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840" w:type="dxa"/>
            <w:vAlign w:val="bottom"/>
            <w:shd w:val="clear" w:color="auto" w:fill="CCEEFF"/>
          </w:tcPr>
          <w:p>
            <w:pPr>
              <w:ind w:left="218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r>
      <w:tr>
        <w:trPr>
          <w:trHeight w:val="216"/>
        </w:trPr>
        <w:tc>
          <w:tcPr>
            <w:tcW w:w="884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20,736</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25,777</w:t>
            </w:r>
          </w:p>
        </w:tc>
      </w:tr>
      <w:tr>
        <w:trPr>
          <w:trHeight w:val="216"/>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convertible notes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114,443</w:t>
            </w:r>
          </w:p>
        </w:tc>
      </w:tr>
      <w:tr>
        <w:trPr>
          <w:trHeight w:val="221"/>
        </w:trPr>
        <w:tc>
          <w:tcPr>
            <w:tcW w:w="88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25,360</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144,775</w:t>
            </w:r>
          </w:p>
        </w:tc>
        <w:tc>
          <w:tcPr>
            <w:tcW w:w="100" w:type="dxa"/>
            <w:vAlign w:val="bottom"/>
          </w:tcPr>
          <w:p>
            <w:pPr>
              <w:spacing w:after="0"/>
              <w:rPr>
                <w:sz w:val="19"/>
                <w:szCs w:val="19"/>
                <w:color w:val="auto"/>
              </w:rPr>
            </w:pPr>
          </w:p>
        </w:tc>
      </w:tr>
      <w:tr>
        <w:trPr>
          <w:trHeight w:val="218"/>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210,642</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97,583</w:t>
            </w: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277,203</w:t>
            </w:r>
          </w:p>
        </w:tc>
        <w:tc>
          <w:tcPr>
            <w:tcW w:w="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119,635</w:t>
            </w:r>
          </w:p>
        </w:tc>
        <w:tc>
          <w:tcPr>
            <w:tcW w:w="100" w:type="dxa"/>
            <w:vAlign w:val="bottom"/>
          </w:tcPr>
          <w:p>
            <w:pPr>
              <w:spacing w:after="0"/>
              <w:rPr>
                <w:sz w:val="19"/>
                <w:szCs w:val="19"/>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513,205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361,993</w:t>
            </w:r>
          </w:p>
        </w:tc>
      </w:tr>
      <w:tr>
        <w:trPr>
          <w:trHeight w:val="221"/>
        </w:trPr>
        <w:tc>
          <w:tcPr>
            <w:tcW w:w="88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8840" w:type="dxa"/>
            <w:vAlign w:val="bottom"/>
          </w:tcPr>
          <w:p>
            <w:pPr>
              <w:spacing w:after="0"/>
              <w:rPr>
                <w:sz w:val="20"/>
                <w:szCs w:val="20"/>
                <w:color w:val="auto"/>
              </w:rPr>
            </w:pPr>
            <w:r>
              <w:rPr>
                <w:rFonts w:ascii="Arial" w:cs="Arial" w:eastAsia="Arial" w:hAnsi="Arial"/>
                <w:sz w:val="18"/>
                <w:szCs w:val="18"/>
                <w:color w:val="auto"/>
                <w:w w:val="95"/>
              </w:rPr>
              <w:t>Undesignated preferred stock, $0.01 par value — 10,000,000 shares authorized; no shares issued or outstanding at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8840" w:type="dxa"/>
            <w:vAlign w:val="bottom"/>
          </w:tcPr>
          <w:p>
            <w:pPr>
              <w:ind w:left="220"/>
              <w:spacing w:after="0"/>
              <w:rPr>
                <w:sz w:val="20"/>
                <w:szCs w:val="20"/>
                <w:color w:val="auto"/>
              </w:rPr>
            </w:pPr>
            <w:r>
              <w:rPr>
                <w:rFonts w:ascii="Arial" w:cs="Arial" w:eastAsia="Arial" w:hAnsi="Arial"/>
                <w:sz w:val="18"/>
                <w:szCs w:val="18"/>
                <w:color w:val="auto"/>
              </w:rPr>
              <w:t>December 31, 2011 and 2012</w:t>
            </w:r>
          </w:p>
        </w:tc>
        <w:tc>
          <w:tcPr>
            <w:tcW w:w="100" w:type="dxa"/>
            <w:vAlign w:val="bottom"/>
          </w:tcPr>
          <w:p>
            <w:pPr>
              <w:spacing w:after="0"/>
              <w:rPr>
                <w:sz w:val="19"/>
                <w:szCs w:val="19"/>
                <w:color w:val="auto"/>
              </w:rPr>
            </w:pPr>
          </w:p>
        </w:tc>
        <w:tc>
          <w:tcPr>
            <w:tcW w:w="150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w w:val="93"/>
              </w:rPr>
              <w:t>Common stock, $0.01 par value — 250,000,000 and 550,000,000 shares authorized at December 31, 2011 and 2012,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respectively; 131,522,945 and 286,035,082 shares issued and outstanding at December 31, 2011 and 2012,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1,620,535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1,991,379</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8"/>
                <w:szCs w:val="18"/>
                <w:color w:val="auto"/>
              </w:rPr>
            </w:pPr>
          </w:p>
        </w:tc>
        <w:tc>
          <w:tcPr>
            <w:tcW w:w="1500" w:type="dxa"/>
            <w:vAlign w:val="bottom"/>
            <w:gridSpan w:val="2"/>
          </w:tcPr>
          <w:p>
            <w:pPr>
              <w:jc w:val="right"/>
              <w:ind w:right="612"/>
              <w:spacing w:after="0"/>
              <w:rPr>
                <w:sz w:val="20"/>
                <w:szCs w:val="20"/>
                <w:color w:val="auto"/>
              </w:rPr>
            </w:pPr>
            <w:r>
              <w:rPr>
                <w:rFonts w:ascii="Arial" w:cs="Arial" w:eastAsia="Arial" w:hAnsi="Arial"/>
                <w:sz w:val="18"/>
                <w:szCs w:val="18"/>
                <w:color w:val="auto"/>
                <w:w w:val="86"/>
              </w:rPr>
              <w:t>(1,935,546)</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(2,104,912)</w:t>
            </w:r>
          </w:p>
        </w:tc>
      </w:tr>
      <w:tr>
        <w:trPr>
          <w:trHeight w:val="27"/>
        </w:trPr>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(313,652)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(110,679)</w:t>
            </w:r>
          </w:p>
        </w:tc>
      </w:tr>
      <w:tr>
        <w:trPr>
          <w:trHeight w:val="222"/>
        </w:trPr>
        <w:tc>
          <w:tcPr>
            <w:tcW w:w="884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199,553</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251,314</w:t>
            </w:r>
          </w:p>
        </w:tc>
        <w:tc>
          <w:tcPr>
            <w:tcW w:w="10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February 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gridSpan w:val="3"/>
            <w:vMerge w:val="restart"/>
          </w:tcPr>
          <w:p>
            <w:pPr>
              <w:jc w:val="center"/>
              <w:ind w:right="100"/>
              <w:spacing w:after="0" w:line="123" w:lineRule="exact"/>
              <w:rPr>
                <w:sz w:val="20"/>
                <w:szCs w:val="20"/>
                <w:color w:val="auto"/>
              </w:rPr>
            </w:pPr>
            <w:r>
              <w:rPr>
                <w:rFonts w:ascii="Arial" w:cs="Arial" w:eastAsia="Arial" w:hAnsi="Arial"/>
                <w:sz w:val="14"/>
                <w:szCs w:val="14"/>
                <w:b w:val="1"/>
                <w:bCs w:val="1"/>
                <w:color w:val="auto"/>
                <w:w w:val="87"/>
              </w:rPr>
              <w:t>1991 (Date of</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gridSpan w:val="8"/>
          </w:tcPr>
          <w:p>
            <w:pPr>
              <w:jc w:val="right"/>
              <w:ind w:right="260"/>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112,279</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99,959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101,522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1,467,573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40,312</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40,630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45,473</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152,591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140,589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146,995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2,064,431</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(152,498)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(140,539)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(146,960)</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(2,061,265)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(10,249)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(10,883)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(10,491)</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(10,941)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(11,139)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36,996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(170,560)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(160,804)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(169,774)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(2,105,294)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(170,560)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(160,804)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(169,366)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(2,104,912)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9"/>
              </w:rPr>
              <w:t>Deemed dividend related to beneficial conversion feature of convertible preferred stock</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(170,560)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(160,804)</w:t>
            </w:r>
          </w:p>
        </w:tc>
        <w:tc>
          <w:tcPr>
            <w:tcW w:w="1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(169,366)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(2,128,124)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 share applicable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9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113,672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121,817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180,855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Period from</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Year ended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February 14,</w:t>
            </w:r>
          </w:p>
        </w:tc>
        <w:tc>
          <w:tcPr>
            <w:tcW w:w="0" w:type="dxa"/>
            <w:vAlign w:val="bottom"/>
          </w:tcPr>
          <w:p>
            <w:pPr>
              <w:spacing w:after="0"/>
              <w:rPr>
                <w:sz w:val="1"/>
                <w:szCs w:val="1"/>
                <w:color w:val="auto"/>
              </w:rPr>
            </w:pPr>
          </w:p>
        </w:tc>
      </w:tr>
      <w:tr>
        <w:trPr>
          <w:trHeight w:val="68"/>
        </w:trPr>
        <w:tc>
          <w:tcPr>
            <w:tcW w:w="6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1991 (Date of</w:t>
            </w:r>
          </w:p>
        </w:tc>
        <w:tc>
          <w:tcPr>
            <w:tcW w:w="0" w:type="dxa"/>
            <w:vAlign w:val="bottom"/>
          </w:tcPr>
          <w:p>
            <w:pPr>
              <w:spacing w:after="0"/>
              <w:rPr>
                <w:sz w:val="1"/>
                <w:szCs w:val="1"/>
                <w:color w:val="auto"/>
              </w:rPr>
            </w:pPr>
          </w:p>
        </w:tc>
      </w:tr>
      <w:tr>
        <w:trPr>
          <w:trHeight w:val="81"/>
        </w:trPr>
        <w:tc>
          <w:tcPr>
            <w:tcW w:w="6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6920" w:type="dxa"/>
            <w:vAlign w:val="bottom"/>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48"/>
        </w:trPr>
        <w:tc>
          <w:tcPr>
            <w:tcW w:w="6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920" w:type="dxa"/>
            <w:vAlign w:val="bottom"/>
          </w:tcPr>
          <w:p>
            <w:pPr>
              <w:spacing w:after="0"/>
              <w:rPr>
                <w:sz w:val="14"/>
                <w:szCs w:val="14"/>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5"/>
          </w:tcPr>
          <w:p>
            <w:pPr>
              <w:jc w:val="right"/>
              <w:ind w:right="90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$(170,560)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$(160,804)</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$(169,366)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$(2,104,912)</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translation (loss) gain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holding gain (loss) during the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920" w:type="dxa"/>
            <w:vAlign w:val="bottom"/>
          </w:tcPr>
          <w:p>
            <w:pPr>
              <w:ind w:left="440"/>
              <w:spacing w:after="0"/>
              <w:rPr>
                <w:sz w:val="20"/>
                <w:szCs w:val="20"/>
                <w:color w:val="auto"/>
              </w:rPr>
            </w:pPr>
            <w:r>
              <w:rPr>
                <w:rFonts w:ascii="Arial" w:cs="Arial" w:eastAsia="Arial" w:hAnsi="Arial"/>
                <w:sz w:val="18"/>
                <w:szCs w:val="18"/>
                <w:color w:val="auto"/>
              </w:rPr>
              <w:t>Less: reclassification adjustment for gains (losses) included in net loss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(48)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 (loss) on investments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(170,205)</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(160,834)</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(169,416)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(2,104,918)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Series C</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B</w:t>
            </w:r>
          </w:p>
        </w:tc>
        <w:tc>
          <w:tcPr>
            <w:tcW w:w="120" w:type="dxa"/>
            <w:vAlign w:val="bottom"/>
          </w:tcPr>
          <w:p>
            <w:pPr>
              <w:spacing w:after="0"/>
              <w:rPr>
                <w:sz w:val="12"/>
                <w:szCs w:val="12"/>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C</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Series C</w:t>
            </w:r>
          </w:p>
        </w:tc>
        <w:tc>
          <w:tcPr>
            <w:tcW w:w="6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Deficit</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3"/>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Preferred</w:t>
            </w: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Notes</w:t>
            </w:r>
          </w:p>
        </w:tc>
        <w:tc>
          <w:tcPr>
            <w:tcW w:w="80" w:type="dxa"/>
            <w:vAlign w:val="bottom"/>
          </w:tcPr>
          <w:p>
            <w:pPr>
              <w:spacing w:after="0"/>
              <w:rPr>
                <w:sz w:val="4"/>
                <w:szCs w:val="4"/>
                <w:color w:val="auto"/>
              </w:rPr>
            </w:pPr>
          </w:p>
        </w:tc>
        <w:tc>
          <w:tcPr>
            <w:tcW w:w="56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8"/>
                <w:szCs w:val="8"/>
                <w:color w:val="auto"/>
              </w:rPr>
            </w:pPr>
          </w:p>
        </w:tc>
        <w:tc>
          <w:tcPr>
            <w:tcW w:w="10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Preferred</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Receivable</w:t>
            </w:r>
          </w:p>
        </w:tc>
        <w:tc>
          <w:tcPr>
            <w:tcW w:w="64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4"/>
              </w:rPr>
              <w:t>Receivable</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restart"/>
          </w:tcPr>
          <w:p>
            <w:pPr>
              <w:jc w:val="right"/>
              <w:ind w:right="212"/>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During the</w:t>
            </w: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8"/>
                <w:szCs w:val="8"/>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89"/>
              </w:rPr>
              <w:t>Common Stock</w:t>
            </w: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480" w:type="dxa"/>
            <w:vAlign w:val="bottom"/>
            <w:gridSpan w:val="2"/>
            <w:vMerge w:val="continue"/>
          </w:tcPr>
          <w:p>
            <w:pPr>
              <w:spacing w:after="0"/>
              <w:rPr>
                <w:sz w:val="5"/>
                <w:szCs w:val="5"/>
                <w:color w:val="auto"/>
              </w:rPr>
            </w:pPr>
          </w:p>
        </w:tc>
        <w:tc>
          <w:tcPr>
            <w:tcW w:w="1000" w:type="dxa"/>
            <w:vAlign w:val="bottom"/>
            <w:tcBorders>
              <w:bottom w:val="single" w:sz="8" w:color="auto"/>
            </w:tcBorders>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uto"/>
            </w:tcBorders>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5"/>
                <w:szCs w:val="5"/>
                <w:color w:val="auto"/>
              </w:rPr>
            </w:pPr>
          </w:p>
        </w:tc>
        <w:tc>
          <w:tcPr>
            <w:tcW w:w="920" w:type="dxa"/>
            <w:vAlign w:val="bottom"/>
            <w:gridSpan w:val="3"/>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1"/>
              </w:rPr>
              <w:t>Subscriptions</w:t>
            </w:r>
          </w:p>
        </w:tc>
        <w:tc>
          <w:tcPr>
            <w:tcW w:w="1000" w:type="dxa"/>
            <w:vAlign w:val="bottom"/>
            <w:tcBorders>
              <w:bottom w:val="single" w:sz="8" w:color="auto"/>
            </w:tcBorders>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from</w:t>
            </w:r>
          </w:p>
        </w:tc>
        <w:tc>
          <w:tcPr>
            <w:tcW w:w="80" w:type="dxa"/>
            <w:vAlign w:val="bottom"/>
          </w:tcPr>
          <w:p>
            <w:pPr>
              <w:spacing w:after="0"/>
              <w:rPr>
                <w:sz w:val="5"/>
                <w:szCs w:val="5"/>
                <w:color w:val="auto"/>
              </w:rPr>
            </w:pPr>
          </w:p>
        </w:tc>
        <w:tc>
          <w:tcPr>
            <w:tcW w:w="56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from</w:t>
            </w:r>
          </w:p>
        </w:tc>
        <w:tc>
          <w:tcPr>
            <w:tcW w:w="120" w:type="dxa"/>
            <w:vAlign w:val="bottom"/>
          </w:tcPr>
          <w:p>
            <w:pPr>
              <w:spacing w:after="0"/>
              <w:rPr>
                <w:sz w:val="5"/>
                <w:szCs w:val="5"/>
                <w:color w:val="auto"/>
              </w:rPr>
            </w:pPr>
          </w:p>
        </w:tc>
        <w:tc>
          <w:tcPr>
            <w:tcW w:w="90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5"/>
                <w:szCs w:val="5"/>
                <w:color w:val="auto"/>
              </w:rPr>
            </w:pPr>
          </w:p>
        </w:tc>
        <w:tc>
          <w:tcPr>
            <w:tcW w:w="8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6"/>
              </w:rPr>
              <w:t>Shares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Issuable</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Receivable</w:t>
            </w: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6"/>
              </w:rPr>
              <w:t>Shares</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3"/>
              </w:rPr>
              <w:t>Stockholders</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Officers</w:t>
            </w: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Stage</w:t>
            </w:r>
          </w:p>
        </w:tc>
        <w:tc>
          <w:tcPr>
            <w:tcW w:w="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Issuance of common</w:t>
            </w: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for cash</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998</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$10</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$890</w:t>
            </w:r>
          </w:p>
        </w:tc>
        <w:tc>
          <w:tcPr>
            <w:tcW w:w="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   900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(911)</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BALANCE, FEBRUARY</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29, 1992</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998</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(911)</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420"/>
              <w:spacing w:after="0" w:line="149" w:lineRule="exact"/>
              <w:rPr>
                <w:sz w:val="20"/>
                <w:szCs w:val="20"/>
                <w:color w:val="auto"/>
              </w:rPr>
            </w:pPr>
            <w:r>
              <w:rPr>
                <w:rFonts w:ascii="Arial" w:cs="Arial" w:eastAsia="Arial" w:hAnsi="Arial"/>
                <w:sz w:val="14"/>
                <w:szCs w:val="14"/>
                <w:color w:val="auto"/>
                <w:w w:val="89"/>
              </w:rPr>
              <w:t>stock for cash and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services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73</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887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Capital contribution</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(1,175)</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BALANCE, FEBRUARY</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28, 1993</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1,071</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1,797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(2,086)</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stock for cash</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526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6"/>
              </w:rPr>
              <w:t>Issuance of stock for</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notes receivable</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(1,156)</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BALANCE, FEBRUARY</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28, 1994</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1,090</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2,723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(3,242)</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420"/>
              <w:spacing w:after="0" w:line="149" w:lineRule="exact"/>
              <w:rPr>
                <w:sz w:val="20"/>
                <w:szCs w:val="20"/>
                <w:color w:val="auto"/>
              </w:rPr>
            </w:pPr>
            <w:r>
              <w:rPr>
                <w:rFonts w:ascii="Arial" w:cs="Arial" w:eastAsia="Arial" w:hAnsi="Arial"/>
                <w:sz w:val="14"/>
                <w:szCs w:val="14"/>
                <w:color w:val="auto"/>
                <w:w w:val="89"/>
              </w:rPr>
              <w:t>stock for cash and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services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36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1,805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1,805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Collection of stock</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subscription</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1994</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1,126</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(5,246)</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w w:val="94"/>
              </w:rPr>
              <w:t>stock for services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w w:val="98"/>
              </w:rPr>
              <w:t>Stock compensation</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(2,815)</w:t>
            </w:r>
          </w:p>
        </w:tc>
        <w:tc>
          <w:tcPr>
            <w:tcW w:w="5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(2,815)</w:t>
            </w:r>
          </w:p>
        </w:tc>
        <w:tc>
          <w:tcPr>
            <w:tcW w:w="0" w:type="dxa"/>
            <w:vAlign w:val="bottom"/>
          </w:tcPr>
          <w:p>
            <w:pPr>
              <w:spacing w:after="0"/>
              <w:rPr>
                <w:sz w:val="1"/>
                <w:szCs w:val="1"/>
                <w:color w:val="auto"/>
              </w:rPr>
            </w:pPr>
          </w:p>
        </w:tc>
      </w:tr>
      <w:tr>
        <w:trPr>
          <w:trHeight w:val="145"/>
        </w:trPr>
        <w:tc>
          <w:tcPr>
            <w:tcW w:w="1480" w:type="dxa"/>
            <w:vAlign w:val="bottom"/>
            <w:gridSpan w:val="2"/>
          </w:tcPr>
          <w:p>
            <w:pPr>
              <w:spacing w:after="0" w:line="145"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1995</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1,127</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4,942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(8,061)</w:t>
            </w:r>
          </w:p>
        </w:tc>
        <w:tc>
          <w:tcPr>
            <w:tcW w:w="5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(3,108)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9"/>
              </w:rPr>
              <w:t>stock for cash and</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services</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Stock compensation</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(2,570)</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(2,570)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1996</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1,131</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5,139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(10,631)</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(5,481)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420"/>
              <w:spacing w:after="0" w:line="149" w:lineRule="exact"/>
              <w:rPr>
                <w:sz w:val="20"/>
                <w:szCs w:val="20"/>
                <w:color w:val="auto"/>
              </w:rPr>
            </w:pPr>
            <w:r>
              <w:rPr>
                <w:rFonts w:ascii="Arial" w:cs="Arial" w:eastAsia="Arial" w:hAnsi="Arial"/>
                <w:sz w:val="14"/>
                <w:szCs w:val="14"/>
                <w:color w:val="auto"/>
                <w:w w:val="89"/>
              </w:rPr>
              <w:t>stock for cash and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services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548</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Stock compensation</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27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9"/>
              </w:rPr>
              <w:t>Conversion of notes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payable</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(2,280)</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1997</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1,718</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5,526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(12,911)</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(7,368)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ind w:left="420"/>
              <w:spacing w:after="0" w:line="149" w:lineRule="exact"/>
              <w:rPr>
                <w:sz w:val="20"/>
                <w:szCs w:val="20"/>
                <w:color w:val="auto"/>
              </w:rPr>
            </w:pPr>
            <w:r>
              <w:rPr>
                <w:rFonts w:ascii="Arial" w:cs="Arial" w:eastAsia="Arial" w:hAnsi="Arial"/>
                <w:sz w:val="14"/>
                <w:szCs w:val="14"/>
                <w:color w:val="auto"/>
                <w:w w:val="89"/>
              </w:rPr>
              <w:t>stock for cash and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services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2,253</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23</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12,703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12,726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Stock compensation</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9"/>
              </w:rPr>
              <w:t>Conversion of notes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payable</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215</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(3,331)</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1998</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4,254</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19,603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(16,242)</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3,404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tcPr>
          <w:p>
            <w:pPr>
              <w:ind w:left="200"/>
              <w:spacing w:after="0" w:line="138" w:lineRule="exact"/>
              <w:rPr>
                <w:sz w:val="20"/>
                <w:szCs w:val="20"/>
                <w:color w:val="auto"/>
              </w:rPr>
            </w:pPr>
            <w:r>
              <w:rPr>
                <w:rFonts w:ascii="Arial" w:cs="Arial" w:eastAsia="Arial" w:hAnsi="Arial"/>
                <w:sz w:val="14"/>
                <w:szCs w:val="14"/>
                <w:color w:val="auto"/>
                <w:w w:val="95"/>
              </w:rPr>
              <w:t>Issuance of common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162</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532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9"/>
              </w:rPr>
              <w:t>Conversion of notes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payable</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(5,679)</w:t>
            </w: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(5,679)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1999</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4,496</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21,129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(21,921)</w:t>
            </w:r>
          </w:p>
        </w:tc>
        <w:tc>
          <w:tcPr>
            <w:tcW w:w="5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(746)</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157" w:gutter="0" w:footer="0" w:header="0"/>
        </w:sect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59" w:right="239" w:bottom="1157" w:gutter="0" w:footer="0" w:header="0"/>
          <w:type w:val="continuous"/>
        </w:sectPr>
      </w:pPr>
    </w:p>
    <w:bookmarkStart w:id="68" w:name="page69"/>
    <w:bookmarkEnd w:id="6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Series C</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5"/>
              </w:rPr>
              <w:t>Series B</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C</w:t>
            </w: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Series C</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Deficit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Preferred</w:t>
            </w: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Notes</w:t>
            </w: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12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0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Preferred</w:t>
            </w: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Receivable</w:t>
            </w:r>
          </w:p>
        </w:tc>
        <w:tc>
          <w:tcPr>
            <w:tcW w:w="64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4"/>
              </w:rPr>
              <w:t>Receivable</w:t>
            </w:r>
          </w:p>
        </w:tc>
        <w:tc>
          <w:tcPr>
            <w:tcW w:w="120" w:type="dxa"/>
            <w:vAlign w:val="bottom"/>
          </w:tcPr>
          <w:p>
            <w:pPr>
              <w:spacing w:after="0"/>
              <w:rPr>
                <w:sz w:val="4"/>
                <w:szCs w:val="4"/>
                <w:color w:val="auto"/>
              </w:rPr>
            </w:pPr>
          </w:p>
        </w:tc>
        <w:tc>
          <w:tcPr>
            <w:tcW w:w="900" w:type="dxa"/>
            <w:vAlign w:val="bottom"/>
            <w:vMerge w:val="restart"/>
          </w:tcPr>
          <w:p>
            <w:pPr>
              <w:jc w:val="right"/>
              <w:ind w:right="212"/>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40" w:type="dxa"/>
            <w:vAlign w:val="bottom"/>
            <w:gridSpan w:val="3"/>
            <w:vMerge w:val="restart"/>
          </w:tcPr>
          <w:p>
            <w:pPr>
              <w:jc w:val="right"/>
              <w:ind w:right="12"/>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60" w:type="dxa"/>
            <w:vAlign w:val="bottom"/>
            <w:gridSpan w:val="2"/>
            <w:vMerge w:val="continue"/>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1"/>
              </w:rPr>
              <w:t>Subscriptions</w:t>
            </w:r>
          </w:p>
        </w:tc>
        <w:tc>
          <w:tcPr>
            <w:tcW w:w="10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Paid-In</w:t>
            </w:r>
          </w:p>
        </w:tc>
        <w:tc>
          <w:tcPr>
            <w:tcW w:w="8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w:t>
            </w: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120" w:type="dxa"/>
            <w:vAlign w:val="bottom"/>
          </w:tcPr>
          <w:p>
            <w:pPr>
              <w:spacing w:after="0"/>
              <w:rPr>
                <w:sz w:val="5"/>
                <w:szCs w:val="5"/>
                <w:color w:val="auto"/>
              </w:rPr>
            </w:pPr>
          </w:p>
        </w:tc>
        <w:tc>
          <w:tcPr>
            <w:tcW w:w="9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5"/>
                <w:szCs w:val="5"/>
                <w:color w:val="auto"/>
              </w:rPr>
            </w:pP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1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6"/>
              </w:rPr>
              <w:t>Shares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Issuable</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Receivable</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Stockholders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Officers</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8"/>
              </w:rPr>
              <w:t>Stage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40" w:type="dxa"/>
            <w:vAlign w:val="bottom"/>
            <w:tcBorders>
              <w:top w:val="single" w:sz="8" w:color="CCEEFF"/>
            </w:tcBorders>
            <w:shd w:val="clear" w:color="auto" w:fill="CCEEFF"/>
          </w:tcPr>
          <w:p>
            <w:pPr>
              <w:ind w:left="200"/>
              <w:spacing w:after="0" w:line="118" w:lineRule="exact"/>
              <w:rPr>
                <w:sz w:val="20"/>
                <w:szCs w:val="20"/>
                <w:color w:val="auto"/>
              </w:rPr>
            </w:pPr>
            <w:r>
              <w:rPr>
                <w:rFonts w:ascii="Arial" w:cs="Arial" w:eastAsia="Arial" w:hAnsi="Arial"/>
                <w:sz w:val="12"/>
                <w:szCs w:val="12"/>
                <w:color w:val="auto"/>
              </w:rPr>
              <w:t>Conversion of</w:t>
            </w: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notes payable</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63</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1,073</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w w:val="97"/>
              </w:rPr>
              <w:t>Issuance of Series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B preferred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stock for cash</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193</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15,000</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 cash,</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services and</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notes</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4,690</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33,945</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(2,358)</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31,633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w w:val="99"/>
              </w:rPr>
              <w:t>Discount on notes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below market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rate</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241</w:t>
            </w: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2"/>
              </w:rPr>
              <w:t>Accrued interest on</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notes</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w w:val="94"/>
              </w:rPr>
              <w:t>Purchase of Series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A redeemable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w w:val="96"/>
              </w:rPr>
              <w:t>preferred stock</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(993)</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Amount in excess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of redemption</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obligation</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999</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Accretion to</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redemption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w w:val="93"/>
              </w:rPr>
              <w:t>value on Series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A redeemable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w w:val="96"/>
              </w:rPr>
              <w:t>preferred stock</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(149)</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compensation</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9,609</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9,609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(24,661)</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(24,661)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2000</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15,000</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9,249</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65,613</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(2,234)</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(46,582)</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31,890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for cash</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3,052</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78,000</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78,030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Cash received for</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to be issued</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3,900</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for services</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60</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w w:val="92"/>
              </w:rPr>
              <w:t>Accrued interest 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notes</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(189)</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3"/>
              </w:rPr>
              <w:t>Payments on notes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receivable</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Accretion to</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redemption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w w:val="93"/>
              </w:rPr>
              <w:t>value on Series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A redeemable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w w:val="96"/>
              </w:rPr>
              <w:t>preferred stock</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(239)</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compensation</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1,565</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Issuance of put</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option by</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stockholder</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(2,949)</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(2,949)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Record merger of</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entities</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171,154</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8"/>
              </w:rPr>
              <w:t>171,154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(48,245)</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(48,245)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2001</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15,000</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3"/>
              </w:rPr>
              <w:t>12,305</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w:t>
            </w:r>
          </w:p>
        </w:tc>
        <w:tc>
          <w:tcPr>
            <w:tcW w:w="8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317,117</w:t>
            </w: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(2,395)</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(94,827)</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8"/>
              </w:rPr>
              <w:t>235,018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for cash</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3,922</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40</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58,775</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58,815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0"/>
              </w:rPr>
              <w:t>for cash already</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received</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234</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Issuance of stock</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award to</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employee</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84</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Cash received for</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common stock</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issuable</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98</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w w:val="92"/>
              </w:rPr>
              <w:t>Accrued interest 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rPr>
              <w:t>notes</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(229)</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3"/>
              </w:rPr>
              <w:t>Payments on notes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receivable</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1,314</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tcPr>
          <w:p>
            <w:pPr>
              <w:ind w:left="200"/>
              <w:spacing w:after="0" w:line="138" w:lineRule="exact"/>
              <w:rPr>
                <w:sz w:val="20"/>
                <w:szCs w:val="20"/>
                <w:color w:val="auto"/>
              </w:rPr>
            </w:pPr>
            <w:r>
              <w:rPr>
                <w:rFonts w:ascii="Arial" w:cs="Arial" w:eastAsia="Arial" w:hAnsi="Arial"/>
                <w:sz w:val="14"/>
                <w:szCs w:val="14"/>
                <w:color w:val="auto"/>
              </w:rPr>
              <w:t>Beneficial</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conversion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feature 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Series B</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40" w:type="dxa"/>
            <w:vAlign w:val="bottom"/>
          </w:tcPr>
          <w:p>
            <w:pPr>
              <w:ind w:left="420"/>
              <w:spacing w:after="0" w:line="159" w:lineRule="exact"/>
              <w:rPr>
                <w:sz w:val="20"/>
                <w:szCs w:val="20"/>
                <w:color w:val="auto"/>
              </w:rPr>
            </w:pPr>
            <w:r>
              <w:rPr>
                <w:rFonts w:ascii="Arial" w:cs="Arial" w:eastAsia="Arial" w:hAnsi="Arial"/>
                <w:sz w:val="14"/>
                <w:szCs w:val="14"/>
                <w:color w:val="auto"/>
                <w:w w:val="96"/>
              </w:rPr>
              <w:t>preferred stock</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1,421</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Deemed dividend</w:t>
            </w:r>
          </w:p>
        </w:tc>
        <w:tc>
          <w:tcPr>
            <w:tcW w:w="4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(1,421)</w:t>
            </w:r>
          </w:p>
        </w:tc>
        <w:tc>
          <w:tcPr>
            <w:tcW w:w="8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related to</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beneficial</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conversion</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9"/>
        </w:trPr>
        <w:tc>
          <w:tcPr>
            <w:tcW w:w="1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feature of</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Series B</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13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convertible</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136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6"/>
              </w:rPr>
              <w:t>preferred stock</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38"/>
        </w:trPr>
        <w:tc>
          <w:tcPr>
            <w:tcW w:w="1360" w:type="dxa"/>
            <w:vAlign w:val="bottom"/>
          </w:tcPr>
          <w:p>
            <w:pPr>
              <w:ind w:left="220"/>
              <w:spacing w:after="0" w:line="138" w:lineRule="exact"/>
              <w:rPr>
                <w:sz w:val="20"/>
                <w:szCs w:val="20"/>
                <w:color w:val="auto"/>
              </w:rPr>
            </w:pPr>
            <w:r>
              <w:rPr>
                <w:rFonts w:ascii="Arial" w:cs="Arial" w:eastAsia="Arial" w:hAnsi="Arial"/>
                <w:sz w:val="14"/>
                <w:szCs w:val="14"/>
                <w:color w:val="auto"/>
              </w:rPr>
              <w:t>Accretion to</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360" w:type="dxa"/>
            <w:vAlign w:val="bottom"/>
          </w:tcPr>
          <w:p>
            <w:pPr>
              <w:ind w:left="440"/>
              <w:spacing w:after="0" w:line="149" w:lineRule="exact"/>
              <w:rPr>
                <w:sz w:val="20"/>
                <w:szCs w:val="20"/>
                <w:color w:val="auto"/>
              </w:rPr>
            </w:pPr>
            <w:r>
              <w:rPr>
                <w:rFonts w:ascii="Arial" w:cs="Arial" w:eastAsia="Arial" w:hAnsi="Arial"/>
                <w:sz w:val="14"/>
                <w:szCs w:val="14"/>
                <w:color w:val="auto"/>
              </w:rPr>
              <w:t>redemption</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60" w:type="dxa"/>
            <w:vAlign w:val="bottom"/>
          </w:tcPr>
          <w:p>
            <w:pPr>
              <w:ind w:left="440"/>
              <w:spacing w:after="0" w:line="149" w:lineRule="exact"/>
              <w:rPr>
                <w:sz w:val="20"/>
                <w:szCs w:val="20"/>
                <w:color w:val="auto"/>
              </w:rPr>
            </w:pPr>
            <w:r>
              <w:rPr>
                <w:rFonts w:ascii="Arial" w:cs="Arial" w:eastAsia="Arial" w:hAnsi="Arial"/>
                <w:sz w:val="14"/>
                <w:szCs w:val="14"/>
                <w:color w:val="auto"/>
                <w:w w:val="93"/>
              </w:rPr>
              <w:t>value on Series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60" w:type="dxa"/>
            <w:vAlign w:val="bottom"/>
          </w:tcPr>
          <w:p>
            <w:pPr>
              <w:ind w:left="440"/>
              <w:spacing w:after="0" w:line="149" w:lineRule="exact"/>
              <w:rPr>
                <w:sz w:val="20"/>
                <w:szCs w:val="20"/>
                <w:color w:val="auto"/>
              </w:rPr>
            </w:pPr>
            <w:r>
              <w:rPr>
                <w:rFonts w:ascii="Arial" w:cs="Arial" w:eastAsia="Arial" w:hAnsi="Arial"/>
                <w:sz w:val="14"/>
                <w:szCs w:val="14"/>
                <w:color w:val="auto"/>
              </w:rPr>
              <w:t>A redeemable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60" w:type="dxa"/>
            <w:vAlign w:val="bottom"/>
          </w:tcPr>
          <w:p>
            <w:pPr>
              <w:ind w:left="440"/>
              <w:spacing w:after="0" w:line="149" w:lineRule="exact"/>
              <w:rPr>
                <w:sz w:val="20"/>
                <w:szCs w:val="20"/>
                <w:color w:val="auto"/>
              </w:rPr>
            </w:pPr>
            <w:r>
              <w:rPr>
                <w:rFonts w:ascii="Arial" w:cs="Arial" w:eastAsia="Arial" w:hAnsi="Arial"/>
                <w:sz w:val="14"/>
                <w:szCs w:val="14"/>
                <w:color w:val="auto"/>
              </w:rPr>
              <w:t>convertible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360" w:type="dxa"/>
            <w:vAlign w:val="bottom"/>
          </w:tcPr>
          <w:p>
            <w:pPr>
              <w:ind w:left="440"/>
              <w:spacing w:after="0" w:line="159" w:lineRule="exact"/>
              <w:rPr>
                <w:sz w:val="20"/>
                <w:szCs w:val="20"/>
                <w:color w:val="auto"/>
              </w:rPr>
            </w:pPr>
            <w:r>
              <w:rPr>
                <w:rFonts w:ascii="Arial" w:cs="Arial" w:eastAsia="Arial" w:hAnsi="Arial"/>
                <w:sz w:val="14"/>
                <w:szCs w:val="14"/>
                <w:color w:val="auto"/>
                <w:w w:val="96"/>
              </w:rPr>
              <w:t>preferred stock</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34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82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(251)</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900" w:type="dxa"/>
            <w:vAlign w:val="bottom"/>
          </w:tcPr>
          <w:p>
            <w:pPr>
              <w:ind w:left="78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(251)</w:t>
            </w:r>
          </w:p>
        </w:tc>
      </w:tr>
      <w:tr>
        <w:trPr>
          <w:trHeight w:val="138"/>
        </w:trPr>
        <w:tc>
          <w:tcPr>
            <w:tcW w:w="136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Stock-based</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136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compensation</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268</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ind w:left="78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268</w:t>
            </w:r>
          </w:p>
        </w:tc>
      </w:tr>
      <w:tr>
        <w:trPr>
          <w:trHeight w:val="138"/>
        </w:trPr>
        <w:tc>
          <w:tcPr>
            <w:tcW w:w="1360" w:type="dxa"/>
            <w:vAlign w:val="bottom"/>
          </w:tcPr>
          <w:p>
            <w:pPr>
              <w:ind w:left="220"/>
              <w:spacing w:after="0" w:line="138" w:lineRule="exact"/>
              <w:rPr>
                <w:sz w:val="20"/>
                <w:szCs w:val="20"/>
                <w:color w:val="auto"/>
              </w:rPr>
            </w:pPr>
            <w:r>
              <w:rPr>
                <w:rFonts w:ascii="Arial" w:cs="Arial" w:eastAsia="Arial" w:hAnsi="Arial"/>
                <w:sz w:val="14"/>
                <w:szCs w:val="14"/>
                <w:color w:val="auto"/>
              </w:rPr>
              <w:t>Put option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1360" w:type="dxa"/>
            <w:vAlign w:val="bottom"/>
          </w:tcPr>
          <w:p>
            <w:pPr>
              <w:ind w:left="440"/>
              <w:spacing w:after="0" w:line="149" w:lineRule="exact"/>
              <w:rPr>
                <w:sz w:val="20"/>
                <w:szCs w:val="20"/>
                <w:color w:val="auto"/>
              </w:rPr>
            </w:pPr>
            <w:r>
              <w:rPr>
                <w:rFonts w:ascii="Arial" w:cs="Arial" w:eastAsia="Arial" w:hAnsi="Arial"/>
                <w:sz w:val="14"/>
                <w:szCs w:val="14"/>
                <w:color w:val="auto"/>
              </w:rPr>
              <w:t>redemption by</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1360" w:type="dxa"/>
            <w:vAlign w:val="bottom"/>
          </w:tcPr>
          <w:p>
            <w:pPr>
              <w:ind w:left="440"/>
              <w:spacing w:after="0" w:line="159" w:lineRule="exact"/>
              <w:rPr>
                <w:sz w:val="20"/>
                <w:szCs w:val="20"/>
                <w:color w:val="auto"/>
              </w:rPr>
            </w:pPr>
            <w:r>
              <w:rPr>
                <w:rFonts w:ascii="Arial" w:cs="Arial" w:eastAsia="Arial" w:hAnsi="Arial"/>
                <w:sz w:val="14"/>
                <w:szCs w:val="14"/>
                <w:color w:val="auto"/>
              </w:rPr>
              <w:t>stockholder</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34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82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1,921</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ind w:left="50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900" w:type="dxa"/>
            <w:vAlign w:val="bottom"/>
          </w:tcPr>
          <w:p>
            <w:pPr>
              <w:ind w:left="78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1,921</w:t>
            </w:r>
          </w:p>
        </w:tc>
      </w:tr>
      <w:tr>
        <w:trPr>
          <w:trHeight w:val="149"/>
        </w:trPr>
        <w:tc>
          <w:tcPr>
            <w:tcW w:w="13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w w:val="71"/>
              </w:rPr>
              <w:t>—</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(206,265)</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(206,265)</w:t>
            </w:r>
          </w:p>
        </w:tc>
      </w:tr>
      <w:tr>
        <w:trPr>
          <w:trHeight w:val="145"/>
        </w:trPr>
        <w:tc>
          <w:tcPr>
            <w:tcW w:w="1360" w:type="dxa"/>
            <w:vAlign w:val="bottom"/>
          </w:tcPr>
          <w:p>
            <w:pPr>
              <w:spacing w:after="0" w:line="145"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1360" w:type="dxa"/>
            <w:vAlign w:val="bottom"/>
          </w:tcPr>
          <w:p>
            <w:pPr>
              <w:ind w:left="22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2"/>
        </w:trPr>
        <w:tc>
          <w:tcPr>
            <w:tcW w:w="1360" w:type="dxa"/>
            <w:vAlign w:val="bottom"/>
          </w:tcPr>
          <w:p>
            <w:pPr>
              <w:ind w:left="220"/>
              <w:spacing w:after="0"/>
              <w:rPr>
                <w:sz w:val="20"/>
                <w:szCs w:val="20"/>
                <w:color w:val="auto"/>
              </w:rPr>
            </w:pPr>
            <w:r>
              <w:rPr>
                <w:rFonts w:ascii="Arial" w:cs="Arial" w:eastAsia="Arial" w:hAnsi="Arial"/>
                <w:sz w:val="14"/>
                <w:szCs w:val="14"/>
                <w:color w:val="auto"/>
              </w:rPr>
              <w:t>2002</w:t>
            </w:r>
          </w:p>
        </w:tc>
        <w:tc>
          <w:tcPr>
            <w:tcW w:w="400" w:type="dxa"/>
            <w:vAlign w:val="bottom"/>
          </w:tcPr>
          <w:p>
            <w:pPr>
              <w:jc w:val="right"/>
              <w:spacing w:after="0"/>
              <w:rPr>
                <w:sz w:val="20"/>
                <w:szCs w:val="20"/>
                <w:color w:val="auto"/>
              </w:rPr>
            </w:pPr>
            <w:r>
              <w:rPr>
                <w:rFonts w:ascii="Arial" w:cs="Arial" w:eastAsia="Arial" w:hAnsi="Arial"/>
                <w:sz w:val="14"/>
                <w:szCs w:val="14"/>
                <w:color w:val="auto"/>
              </w:rPr>
              <w:t>193</w:t>
            </w: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15,000</w:t>
            </w:r>
          </w:p>
        </w:tc>
        <w:tc>
          <w:tcPr>
            <w:tcW w:w="5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480" w:type="dxa"/>
            <w:vAlign w:val="bottom"/>
          </w:tcPr>
          <w:p>
            <w:pPr>
              <w:ind w:left="3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16,464</w:t>
            </w:r>
          </w:p>
        </w:tc>
        <w:tc>
          <w:tcPr>
            <w:tcW w:w="500" w:type="dxa"/>
            <w:vAlign w:val="bottom"/>
          </w:tcPr>
          <w:p>
            <w:pPr>
              <w:jc w:val="right"/>
              <w:spacing w:after="0"/>
              <w:rPr>
                <w:sz w:val="20"/>
                <w:szCs w:val="20"/>
                <w:color w:val="auto"/>
              </w:rPr>
            </w:pPr>
            <w:r>
              <w:rPr>
                <w:rFonts w:ascii="Arial" w:cs="Arial" w:eastAsia="Arial" w:hAnsi="Arial"/>
                <w:sz w:val="14"/>
                <w:szCs w:val="14"/>
                <w:color w:val="auto"/>
              </w:rPr>
              <w:t>165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378,010</w:t>
            </w:r>
          </w:p>
        </w:tc>
        <w:tc>
          <w:tcPr>
            <w:tcW w:w="14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(1,310)</w:t>
            </w:r>
          </w:p>
        </w:tc>
        <w:tc>
          <w:tcPr>
            <w:tcW w:w="640" w:type="dxa"/>
            <w:vAlign w:val="bottom"/>
          </w:tcPr>
          <w:p>
            <w:pPr>
              <w:ind w:left="50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900" w:type="dxa"/>
            <w:vAlign w:val="bottom"/>
          </w:tcPr>
          <w:p>
            <w:pPr>
              <w:ind w:left="780"/>
              <w:spacing w:after="0"/>
              <w:rPr>
                <w:sz w:val="20"/>
                <w:szCs w:val="20"/>
                <w:color w:val="auto"/>
              </w:rPr>
            </w:pPr>
            <w:r>
              <w:rPr>
                <w:rFonts w:ascii="Arial" w:cs="Arial" w:eastAsia="Arial" w:hAnsi="Arial"/>
                <w:sz w:val="14"/>
                <w:szCs w:val="14"/>
                <w:color w:val="auto"/>
                <w:w w:val="71"/>
              </w:rPr>
              <w:t>—</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(301,092)</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90,773</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6" w:right="239" w:bottom="1440" w:gutter="0" w:footer="0" w:header="0"/>
        </w:sectPr>
      </w:pPr>
    </w:p>
    <w:bookmarkStart w:id="70" w:name="page71"/>
    <w:bookmarkEnd w:id="70"/>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Series C</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B</w:t>
            </w:r>
          </w:p>
        </w:tc>
        <w:tc>
          <w:tcPr>
            <w:tcW w:w="120" w:type="dxa"/>
            <w:vAlign w:val="bottom"/>
          </w:tcPr>
          <w:p>
            <w:pPr>
              <w:spacing w:after="0"/>
              <w:rPr>
                <w:sz w:val="12"/>
                <w:szCs w:val="12"/>
                <w:color w:val="auto"/>
              </w:rPr>
            </w:pPr>
          </w:p>
        </w:tc>
        <w:tc>
          <w:tcPr>
            <w:tcW w:w="11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5"/>
              </w:rPr>
              <w:t>Series C</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Series C</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Deficit</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Preferred</w:t>
            </w: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Notes</w:t>
            </w:r>
          </w:p>
        </w:tc>
        <w:tc>
          <w:tcPr>
            <w:tcW w:w="7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Notes</w:t>
            </w: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10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8"/>
                <w:szCs w:val="8"/>
                <w:color w:val="auto"/>
              </w:rPr>
            </w:pPr>
          </w:p>
        </w:tc>
        <w:tc>
          <w:tcPr>
            <w:tcW w:w="116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82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Preferred</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Additional</w:t>
            </w:r>
          </w:p>
        </w:tc>
        <w:tc>
          <w:tcPr>
            <w:tcW w:w="9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Receivable</w:t>
            </w:r>
          </w:p>
        </w:tc>
        <w:tc>
          <w:tcPr>
            <w:tcW w:w="7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Receivable</w:t>
            </w:r>
          </w:p>
        </w:tc>
        <w:tc>
          <w:tcPr>
            <w:tcW w:w="102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8"/>
                <w:szCs w:val="8"/>
                <w:color w:val="auto"/>
              </w:rPr>
            </w:pPr>
          </w:p>
        </w:tc>
        <w:tc>
          <w:tcPr>
            <w:tcW w:w="11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Preferred Stock</w:t>
            </w:r>
          </w:p>
        </w:tc>
        <w:tc>
          <w:tcPr>
            <w:tcW w:w="82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18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3"/>
              </w:rPr>
              <w:t>Common Stock</w:t>
            </w:r>
          </w:p>
        </w:tc>
        <w:tc>
          <w:tcPr>
            <w:tcW w:w="76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280" w:type="dxa"/>
            <w:vAlign w:val="bottom"/>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Subscriptions</w:t>
            </w:r>
          </w:p>
        </w:tc>
        <w:tc>
          <w:tcPr>
            <w:tcW w:w="1180" w:type="dxa"/>
            <w:vAlign w:val="bottom"/>
            <w:gridSpan w:val="4"/>
            <w:vMerge w:val="continue"/>
          </w:tcPr>
          <w:p>
            <w:pPr>
              <w:spacing w:after="0"/>
              <w:rPr>
                <w:sz w:val="5"/>
                <w:szCs w:val="5"/>
                <w:color w:val="auto"/>
              </w:rPr>
            </w:pPr>
          </w:p>
        </w:tc>
        <w:tc>
          <w:tcPr>
            <w:tcW w:w="76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w:t>
            </w:r>
          </w:p>
        </w:tc>
        <w:tc>
          <w:tcPr>
            <w:tcW w:w="7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from</w:t>
            </w:r>
          </w:p>
        </w:tc>
        <w:tc>
          <w:tcPr>
            <w:tcW w:w="102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2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2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6"/>
              </w:rPr>
              <w:t>Shares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Issuable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Receivable</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Shares</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Stockholders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Officers</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Income (Loss)</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Stage</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1280" w:type="dxa"/>
            <w:vAlign w:val="bottom"/>
            <w:tcBorders>
              <w:top w:val="single" w:sz="8" w:color="CCEEFF"/>
            </w:tcBorders>
            <w:shd w:val="clear" w:color="auto" w:fill="CCEEFF"/>
          </w:tcPr>
          <w:p>
            <w:pPr>
              <w:ind w:left="220"/>
              <w:spacing w:after="0" w:line="118" w:lineRule="exact"/>
              <w:rPr>
                <w:sz w:val="20"/>
                <w:szCs w:val="20"/>
                <w:color w:val="auto"/>
              </w:rPr>
            </w:pPr>
            <w:r>
              <w:rPr>
                <w:rFonts w:ascii="Arial" w:cs="Arial" w:eastAsia="Arial" w:hAnsi="Arial"/>
                <w:sz w:val="12"/>
                <w:szCs w:val="12"/>
                <w:color w:val="auto"/>
              </w:rPr>
              <w:t>Issuance of Series</w:t>
            </w: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 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subscriptions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50,000</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(50,000)</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w w:val="93"/>
              </w:rPr>
              <w:t>Cash collected 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Series C</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subscriptions</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31,847</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31,847</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4"/>
              </w:rPr>
              <w:t>stock for cash</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3,494</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49,965</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rPr>
              <w:t>Non-cash</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w w:val="94"/>
              </w:rPr>
              <w:t>compensation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expense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officer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w w:val="96"/>
              </w:rPr>
              <w:t>resulting from</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stockholder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contribution</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4"/>
              </w:rPr>
              <w:t>stock for cash</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already</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received</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w w:val="99"/>
              </w:rPr>
              <w:t>Notes receivable</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by</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stockholder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issued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officers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225</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(225)</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Accrued interest</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on notes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(102)</w:t>
            </w: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rPr>
              <w:t>Beneficial</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conversion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feature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Series B</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1,017</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5"/>
              </w:rPr>
              <w:t>Deemed dividend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related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beneficial</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conversion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feature of</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Series B</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(1,017)</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rPr>
              <w:t>Accretion to</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redemption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value 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Series A</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redeemable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(253)</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4"/>
              </w:rPr>
              <w:t>compensation</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4,501</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4,501</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w w:val="92"/>
              </w:rPr>
              <w:t>Put shares sold to</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majority</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stockholder</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623</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(65,879)</w:t>
            </w: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(65,879)</w:t>
            </w:r>
          </w:p>
        </w:tc>
        <w:tc>
          <w:tcPr>
            <w:tcW w:w="0" w:type="dxa"/>
            <w:vAlign w:val="bottom"/>
          </w:tcPr>
          <w:p>
            <w:pPr>
              <w:spacing w:after="0"/>
              <w:rPr>
                <w:sz w:val="1"/>
                <w:szCs w:val="1"/>
                <w:color w:val="auto"/>
              </w:rPr>
            </w:pPr>
          </w:p>
        </w:tc>
      </w:tr>
      <w:tr>
        <w:trPr>
          <w:trHeight w:val="145"/>
        </w:trPr>
        <w:tc>
          <w:tcPr>
            <w:tcW w:w="1280" w:type="dxa"/>
            <w:vAlign w:val="bottom"/>
          </w:tcPr>
          <w:p>
            <w:pPr>
              <w:spacing w:after="0" w:line="145"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2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220"/>
              <w:spacing w:after="0" w:line="159" w:lineRule="exact"/>
              <w:rPr>
                <w:sz w:val="20"/>
                <w:szCs w:val="20"/>
                <w:color w:val="auto"/>
              </w:rPr>
            </w:pPr>
            <w:r>
              <w:rPr>
                <w:rFonts w:ascii="Arial" w:cs="Arial" w:eastAsia="Arial" w:hAnsi="Arial"/>
                <w:sz w:val="14"/>
                <w:szCs w:val="14"/>
                <w:color w:val="auto"/>
              </w:rPr>
              <w:t>2003</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193</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15,000</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50,000</w:t>
            </w: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(18,153)</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3"/>
              </w:rPr>
              <w:t>19,975</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200</w:t>
            </w: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433,141</w:t>
            </w:r>
          </w:p>
        </w:tc>
        <w:tc>
          <w:tcPr>
            <w:tcW w:w="140" w:type="dxa"/>
            <w:vAlign w:val="bottom"/>
          </w:tcPr>
          <w:p>
            <w:pPr>
              <w:spacing w:after="0"/>
              <w:rPr>
                <w:sz w:val="13"/>
                <w:szCs w:val="13"/>
                <w:color w:val="auto"/>
              </w:rPr>
            </w:pP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(1,412)</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(228)</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(366,971)</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0"/>
              </w:rPr>
              <w:t>111,577</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0"/>
              </w:rPr>
              <w:t>Issuance of Series</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 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4"/>
              </w:rPr>
              <w:t>stock for cash</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356</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18,153</w:t>
            </w: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(18,153)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18,153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18,153</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w w:val="90"/>
              </w:rPr>
              <w:t>Issuance of Series</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C 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w w:val="94"/>
              </w:rPr>
              <w:t>stock for cash</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already</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received</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624</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31,847</w:t>
            </w: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(31,847)</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8"/>
              </w:rPr>
              <w:t>Exercise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86</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1,079</w:t>
            </w: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1,079</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rPr>
              <w:t>Exercise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warrants</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46</w:t>
            </w:r>
          </w:p>
        </w:tc>
        <w:tc>
          <w:tcPr>
            <w:tcW w:w="140" w:type="dxa"/>
            <w:vAlign w:val="bottom"/>
          </w:tcPr>
          <w:p>
            <w:pPr>
              <w:spacing w:after="0"/>
              <w:rPr>
                <w:sz w:val="13"/>
                <w:szCs w:val="13"/>
                <w:color w:val="auto"/>
              </w:rPr>
            </w:pP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Accrued interest</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on notes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(107)</w:t>
            </w: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38"/>
        </w:trPr>
        <w:tc>
          <w:tcPr>
            <w:tcW w:w="1280" w:type="dxa"/>
            <w:vAlign w:val="bottom"/>
          </w:tcPr>
          <w:p>
            <w:pPr>
              <w:ind w:left="220"/>
              <w:spacing w:after="0" w:line="138" w:lineRule="exact"/>
              <w:rPr>
                <w:sz w:val="20"/>
                <w:szCs w:val="20"/>
                <w:color w:val="auto"/>
              </w:rPr>
            </w:pPr>
            <w:r>
              <w:rPr>
                <w:rFonts w:ascii="Arial" w:cs="Arial" w:eastAsia="Arial" w:hAnsi="Arial"/>
                <w:sz w:val="14"/>
                <w:szCs w:val="14"/>
                <w:color w:val="auto"/>
              </w:rPr>
              <w:t>Repayment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notes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w w:val="99"/>
              </w:rPr>
              <w:t>receivable by</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stockholder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40"/>
              <w:spacing w:after="0" w:line="149" w:lineRule="exact"/>
              <w:rPr>
                <w:sz w:val="20"/>
                <w:szCs w:val="20"/>
                <w:color w:val="auto"/>
              </w:rPr>
            </w:pPr>
            <w:r>
              <w:rPr>
                <w:rFonts w:ascii="Arial" w:cs="Arial" w:eastAsia="Arial" w:hAnsi="Arial"/>
                <w:sz w:val="14"/>
                <w:szCs w:val="14"/>
                <w:color w:val="auto"/>
              </w:rPr>
              <w:t>issued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tcPr>
          <w:p>
            <w:pPr>
              <w:ind w:left="440"/>
              <w:spacing w:after="0" w:line="159" w:lineRule="exact"/>
              <w:rPr>
                <w:sz w:val="20"/>
                <w:szCs w:val="20"/>
                <w:color w:val="auto"/>
              </w:rPr>
            </w:pPr>
            <w:r>
              <w:rPr>
                <w:rFonts w:ascii="Arial" w:cs="Arial" w:eastAsia="Arial" w:hAnsi="Arial"/>
                <w:sz w:val="14"/>
                <w:szCs w:val="14"/>
                <w:color w:val="auto"/>
              </w:rPr>
              <w:t>officers</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(225)</w:t>
            </w:r>
          </w:p>
        </w:tc>
        <w:tc>
          <w:tcPr>
            <w:tcW w:w="9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228</w:t>
            </w:r>
          </w:p>
        </w:tc>
        <w:tc>
          <w:tcPr>
            <w:tcW w:w="140" w:type="dxa"/>
            <w:vAlign w:val="bottom"/>
          </w:tcPr>
          <w:p>
            <w:pPr>
              <w:spacing w:after="0"/>
              <w:rPr>
                <w:sz w:val="13"/>
                <w:szCs w:val="13"/>
                <w:color w:val="auto"/>
              </w:rPr>
            </w:pPr>
          </w:p>
        </w:tc>
        <w:tc>
          <w:tcPr>
            <w:tcW w:w="10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8"/>
        </w:trPr>
        <w:tc>
          <w:tcPr>
            <w:tcW w:w="12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Repayment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stock note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receivable</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(90)</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w:t>
            </w: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(1,518)</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1,519</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280" w:type="dxa"/>
            <w:vAlign w:val="bottom"/>
          </w:tcPr>
          <w:p>
            <w:pPr>
              <w:ind w:left="220"/>
              <w:spacing w:after="0"/>
              <w:rPr>
                <w:sz w:val="20"/>
                <w:szCs w:val="20"/>
                <w:color w:val="auto"/>
              </w:rPr>
            </w:pPr>
            <w:r>
              <w:rPr>
                <w:rFonts w:ascii="Arial" w:cs="Arial" w:eastAsia="Arial" w:hAnsi="Arial"/>
                <w:sz w:val="14"/>
                <w:szCs w:val="14"/>
                <w:color w:val="auto"/>
              </w:rPr>
              <w:t>Conversion of</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891</w:t>
            </w: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5,239</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5,248</w:t>
            </w:r>
          </w:p>
        </w:tc>
        <w:tc>
          <w:tcPr>
            <w:tcW w:w="0" w:type="dxa"/>
            <w:vAlign w:val="bottom"/>
          </w:tcPr>
          <w:p>
            <w:pPr>
              <w:spacing w:after="0"/>
              <w:rPr>
                <w:sz w:val="1"/>
                <w:szCs w:val="1"/>
                <w:color w:val="auto"/>
              </w:rPr>
            </w:pPr>
          </w:p>
        </w:tc>
      </w:tr>
    </w:tbl>
    <w:p>
      <w:pPr>
        <w:sectPr>
          <w:pgSz w:w="11900" w:h="16881" w:orient="portrait"/>
          <w:cols w:equalWidth="0" w:num="1">
            <w:col w:w="11420"/>
          </w:cols>
          <w:pgMar w:left="240" w:top="459" w:right="239"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color w:val="auto"/>
              </w:rPr>
              <w:t>Series A</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stock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Conversion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(193)</w:t>
            </w:r>
          </w:p>
        </w:tc>
        <w:tc>
          <w:tcPr>
            <w:tcW w:w="6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9"/>
              </w:rPr>
              <w:t>(15,000)</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811</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14,992</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Conversion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Series C</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stock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(980)</w:t>
            </w: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5"/>
              </w:rPr>
              <w:t>(50,000)</w:t>
            </w:r>
          </w:p>
        </w:tc>
        <w:tc>
          <w:tcPr>
            <w:tcW w:w="82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66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4,464</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45</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49,955</w:t>
            </w:r>
          </w:p>
        </w:tc>
        <w:tc>
          <w:tcPr>
            <w:tcW w:w="140" w:type="dxa"/>
            <w:vAlign w:val="bottom"/>
          </w:tcPr>
          <w:p>
            <w:pPr>
              <w:spacing w:after="0"/>
              <w:rPr>
                <w:sz w:val="13"/>
                <w:szCs w:val="13"/>
                <w:color w:val="auto"/>
              </w:rPr>
            </w:pPr>
          </w:p>
        </w:tc>
        <w:tc>
          <w:tcPr>
            <w:tcW w:w="760" w:type="dxa"/>
            <w:vAlign w:val="bottom"/>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620" w:type="dxa"/>
            <w:vAlign w:val="bottom"/>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13"/>
                <w:szCs w:val="13"/>
                <w:color w:val="auto"/>
              </w:rPr>
            </w:pPr>
          </w:p>
        </w:tc>
        <w:tc>
          <w:tcPr>
            <w:tcW w:w="1020" w:type="dxa"/>
            <w:vAlign w:val="bottom"/>
            <w:gridSpan w:val="2"/>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in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exchange for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warrants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w w:val="90"/>
              </w:rPr>
              <w:t>Purchase Plan</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66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36</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430</w:t>
            </w:r>
          </w:p>
        </w:tc>
        <w:tc>
          <w:tcPr>
            <w:tcW w:w="140" w:type="dxa"/>
            <w:vAlign w:val="bottom"/>
          </w:tcPr>
          <w:p>
            <w:pPr>
              <w:spacing w:after="0"/>
              <w:rPr>
                <w:sz w:val="13"/>
                <w:szCs w:val="13"/>
                <w:color w:val="auto"/>
              </w:rPr>
            </w:pPr>
          </w:p>
        </w:tc>
        <w:tc>
          <w:tcPr>
            <w:tcW w:w="760" w:type="dxa"/>
            <w:vAlign w:val="bottom"/>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620" w:type="dxa"/>
            <w:vAlign w:val="bottom"/>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13"/>
                <w:szCs w:val="13"/>
                <w:color w:val="auto"/>
              </w:rPr>
            </w:pPr>
          </w:p>
        </w:tc>
        <w:tc>
          <w:tcPr>
            <w:tcW w:w="1020" w:type="dxa"/>
            <w:vAlign w:val="bottom"/>
            <w:gridSpan w:val="2"/>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430</w:t>
            </w: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Net proceeds</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from initial</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public</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offering</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6,557</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66</w:t>
            </w:r>
          </w:p>
        </w:tc>
        <w:tc>
          <w:tcPr>
            <w:tcW w:w="90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83,110</w:t>
            </w:r>
          </w:p>
        </w:tc>
        <w:tc>
          <w:tcPr>
            <w:tcW w:w="76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83,176</w:t>
            </w: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Beneficial</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conversion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feature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Series B</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66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19,822</w:t>
            </w:r>
          </w:p>
        </w:tc>
        <w:tc>
          <w:tcPr>
            <w:tcW w:w="140" w:type="dxa"/>
            <w:vAlign w:val="bottom"/>
          </w:tcPr>
          <w:p>
            <w:pPr>
              <w:spacing w:after="0"/>
              <w:rPr>
                <w:sz w:val="13"/>
                <w:szCs w:val="13"/>
                <w:color w:val="auto"/>
              </w:rPr>
            </w:pPr>
          </w:p>
        </w:tc>
        <w:tc>
          <w:tcPr>
            <w:tcW w:w="760" w:type="dxa"/>
            <w:vAlign w:val="bottom"/>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620" w:type="dxa"/>
            <w:vAlign w:val="bottom"/>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13"/>
                <w:szCs w:val="13"/>
                <w:color w:val="auto"/>
              </w:rPr>
            </w:pPr>
          </w:p>
        </w:tc>
        <w:tc>
          <w:tcPr>
            <w:tcW w:w="1020" w:type="dxa"/>
            <w:vAlign w:val="bottom"/>
            <w:gridSpan w:val="2"/>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19,822</w:t>
            </w: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Deemed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related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beneficial</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conversion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feature of</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 and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C</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(19,822)</w:t>
            </w:r>
          </w:p>
        </w:tc>
        <w:tc>
          <w:tcPr>
            <w:tcW w:w="76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5"/>
              </w:rPr>
              <w:t>(19,822)</w:t>
            </w: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Accretion to</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redemption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value 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Series A</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redeemable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convertible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preferred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stock</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ind w:left="66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(60)</w:t>
            </w:r>
          </w:p>
        </w:tc>
        <w:tc>
          <w:tcPr>
            <w:tcW w:w="760" w:type="dxa"/>
            <w:vAlign w:val="bottom"/>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620" w:type="dxa"/>
            <w:vAlign w:val="bottom"/>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13"/>
                <w:szCs w:val="13"/>
                <w:color w:val="auto"/>
              </w:rPr>
            </w:pPr>
          </w:p>
        </w:tc>
        <w:tc>
          <w:tcPr>
            <w:tcW w:w="1020" w:type="dxa"/>
            <w:vAlign w:val="bottom"/>
            <w:gridSpan w:val="2"/>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(60)</w:t>
            </w: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4"/>
              </w:rPr>
              <w:t>compensation</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6,810</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6,810</w:t>
            </w:r>
          </w:p>
        </w:tc>
      </w:tr>
      <w:tr>
        <w:trPr>
          <w:trHeight w:val="156"/>
        </w:trPr>
        <w:tc>
          <w:tcPr>
            <w:tcW w:w="20" w:type="dxa"/>
            <w:vAlign w:val="bottom"/>
          </w:tcPr>
          <w:p>
            <w:pPr>
              <w:spacing w:after="0"/>
              <w:rPr>
                <w:sz w:val="13"/>
                <w:szCs w:val="13"/>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ind w:left="66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ind w:left="620"/>
              <w:spacing w:after="0" w:line="149"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620" w:type="dxa"/>
            <w:vAlign w:val="bottom"/>
          </w:tcPr>
          <w:p>
            <w:pPr>
              <w:ind w:left="500"/>
              <w:spacing w:after="0" w:line="149" w:lineRule="exact"/>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13"/>
                <w:szCs w:val="13"/>
                <w:color w:val="auto"/>
              </w:rPr>
            </w:pPr>
          </w:p>
        </w:tc>
        <w:tc>
          <w:tcPr>
            <w:tcW w:w="1020" w:type="dxa"/>
            <w:vAlign w:val="bottom"/>
            <w:gridSpan w:val="2"/>
          </w:tcPr>
          <w:p>
            <w:pPr>
              <w:ind w:left="7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(75,992)</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(75,992)</w:t>
            </w: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2004</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6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32,756</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327</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592,999</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ind w:left="50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(442,963)</w:t>
            </w:r>
          </w:p>
        </w:tc>
        <w:tc>
          <w:tcPr>
            <w:tcW w:w="5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0"/>
              </w:rPr>
              <w:t>150,363</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6"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Series C</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5"/>
              </w:rPr>
              <w:t>Series B</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C</w:t>
            </w:r>
          </w:p>
        </w:tc>
        <w:tc>
          <w:tcPr>
            <w:tcW w:w="12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Series C</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Deficit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Preferred</w:t>
            </w: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Notes</w:t>
            </w: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2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0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Preferred</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Receivable</w:t>
            </w:r>
          </w:p>
        </w:tc>
        <w:tc>
          <w:tcPr>
            <w:tcW w:w="64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4"/>
              </w:rPr>
              <w:t>Receivable</w:t>
            </w:r>
          </w:p>
        </w:tc>
        <w:tc>
          <w:tcPr>
            <w:tcW w:w="120" w:type="dxa"/>
            <w:vAlign w:val="bottom"/>
          </w:tcPr>
          <w:p>
            <w:pPr>
              <w:spacing w:after="0"/>
              <w:rPr>
                <w:sz w:val="4"/>
                <w:szCs w:val="4"/>
                <w:color w:val="auto"/>
              </w:rPr>
            </w:pPr>
          </w:p>
        </w:tc>
        <w:tc>
          <w:tcPr>
            <w:tcW w:w="900" w:type="dxa"/>
            <w:vAlign w:val="bottom"/>
            <w:vMerge w:val="restart"/>
          </w:tcPr>
          <w:p>
            <w:pPr>
              <w:jc w:val="right"/>
              <w:ind w:right="212"/>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88"/>
              </w:rPr>
              <w:t>Preferred Stock</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6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5"/>
              </w:rPr>
              <w:t>Common Stock</w:t>
            </w: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Paid-In</w:t>
            </w:r>
          </w:p>
        </w:tc>
        <w:tc>
          <w:tcPr>
            <w:tcW w:w="88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280" w:type="dxa"/>
            <w:vAlign w:val="bottom"/>
            <w:gridSpan w:val="2"/>
            <w:vMerge w:val="continue"/>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Subscriptions</w:t>
            </w:r>
          </w:p>
        </w:tc>
        <w:tc>
          <w:tcPr>
            <w:tcW w:w="1260" w:type="dxa"/>
            <w:vAlign w:val="bottom"/>
            <w:gridSpan w:val="4"/>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w:t>
            </w: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120" w:type="dxa"/>
            <w:vAlign w:val="bottom"/>
          </w:tcPr>
          <w:p>
            <w:pPr>
              <w:spacing w:after="0"/>
              <w:rPr>
                <w:sz w:val="5"/>
                <w:szCs w:val="5"/>
                <w:color w:val="auto"/>
              </w:rPr>
            </w:pPr>
          </w:p>
        </w:tc>
        <w:tc>
          <w:tcPr>
            <w:tcW w:w="9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5"/>
                <w:szCs w:val="5"/>
                <w:color w:val="auto"/>
              </w:rPr>
            </w:pP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6"/>
              </w:rPr>
              <w:t>Shares</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6"/>
              </w:rPr>
              <w:t>Amount</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6"/>
              </w:rPr>
              <w:t>Shares</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Issuable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Receivable</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Shares</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Stockholders</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Officers</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8"/>
              </w:rPr>
              <w:t>Stage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60" w:type="dxa"/>
            <w:vAlign w:val="bottom"/>
            <w:tcBorders>
              <w:top w:val="single" w:sz="8" w:color="CCEEFF"/>
            </w:tcBorders>
            <w:shd w:val="clear" w:color="auto" w:fill="CCEEFF"/>
          </w:tcPr>
          <w:p>
            <w:pPr>
              <w:ind w:left="200"/>
              <w:spacing w:after="0" w:line="118" w:lineRule="exact"/>
              <w:rPr>
                <w:sz w:val="20"/>
                <w:szCs w:val="20"/>
                <w:color w:val="auto"/>
              </w:rPr>
            </w:pPr>
            <w:r>
              <w:rPr>
                <w:rFonts w:ascii="Arial" w:cs="Arial" w:eastAsia="Arial" w:hAnsi="Arial"/>
                <w:sz w:val="12"/>
                <w:szCs w:val="12"/>
                <w:color w:val="auto"/>
              </w:rPr>
              <w:t>Issuance of</w:t>
            </w: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in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exchange for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warrants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245</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w w:val="90"/>
              </w:rPr>
              <w:t>Purchase Plan</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58</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494</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Exercise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1,948</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1,951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w w:val="96"/>
              </w:rPr>
              <w:t>Issuance of stock</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awards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consultants</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(146)</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6"/>
              </w:rPr>
              <w:t>Issuance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and warrants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for cash</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17,132</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170,063</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8"/>
              </w:rPr>
              <w:t>170,234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w w:val="94"/>
              </w:rPr>
              <w:t>compensation</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(1,828)</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(114,338)</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(114,338)</w:t>
            </w:r>
          </w:p>
        </w:tc>
        <w:tc>
          <w:tcPr>
            <w:tcW w:w="0" w:type="dxa"/>
            <w:vAlign w:val="bottom"/>
          </w:tcPr>
          <w:p>
            <w:pPr>
              <w:spacing w:after="0"/>
              <w:rPr>
                <w:sz w:val="1"/>
                <w:szCs w:val="1"/>
                <w:color w:val="auto"/>
              </w:rPr>
            </w:pPr>
          </w:p>
        </w:tc>
      </w:tr>
      <w:tr>
        <w:trPr>
          <w:trHeight w:val="145"/>
        </w:trPr>
        <w:tc>
          <w:tcPr>
            <w:tcW w:w="1280" w:type="dxa"/>
            <w:vAlign w:val="bottom"/>
            <w:gridSpan w:val="2"/>
          </w:tcPr>
          <w:p>
            <w:pPr>
              <w:spacing w:after="0" w:line="145"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2005</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50,314</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503</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763,775</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(557,301)</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8"/>
              </w:rPr>
              <w:t>206,977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Exercise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warrants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2,691</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w w:val="90"/>
              </w:rPr>
              <w:t>Purchase Plan</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86</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980</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8"/>
              </w:rPr>
              <w:t>Exercise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2,309</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Cancellation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shares for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stock notes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receivable</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(844)</w:t>
            </w: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(8)</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6"/>
              </w:rPr>
              <w:t>Issuance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for cash</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23,000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230</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384,440</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8"/>
              </w:rPr>
              <w:t>384,670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shares from</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w w:val="96"/>
              </w:rPr>
              <w:t>the release of</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restricted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stock units</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102</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(341)</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pursuant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research</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agreement</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2,073</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w w:val="94"/>
              </w:rPr>
              <w:t>compensation</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14,667</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(230,548)</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(230,548)</w:t>
            </w:r>
          </w:p>
        </w:tc>
        <w:tc>
          <w:tcPr>
            <w:tcW w:w="0" w:type="dxa"/>
            <w:vAlign w:val="bottom"/>
          </w:tcPr>
          <w:p>
            <w:pPr>
              <w:spacing w:after="0"/>
              <w:rPr>
                <w:sz w:val="1"/>
                <w:szCs w:val="1"/>
                <w:color w:val="auto"/>
              </w:rPr>
            </w:pPr>
          </w:p>
        </w:tc>
      </w:tr>
      <w:tr>
        <w:trPr>
          <w:trHeight w:val="145"/>
        </w:trPr>
        <w:tc>
          <w:tcPr>
            <w:tcW w:w="1280" w:type="dxa"/>
            <w:vAlign w:val="bottom"/>
            <w:gridSpan w:val="2"/>
          </w:tcPr>
          <w:p>
            <w:pPr>
              <w:spacing w:after="0" w:line="145"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8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2006</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73,360</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734</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96"/>
              </w:rPr>
              <w:t>1,170,602</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(787,849)</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8"/>
              </w:rPr>
              <w:t>383,487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0"/>
              </w:rPr>
              <w:t>Purchase Plan</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1,064</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w w:val="98"/>
              </w:rPr>
              <w:t>Exercise of stock</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options</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607</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4,917</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4,923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6"/>
              </w:rPr>
              <w:t>Issuance of stock</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awards to</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consultants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123</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w w:val="96"/>
              </w:rPr>
              <w:t>Issuance of stock</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for cash</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27,014</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270</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249,480</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8"/>
              </w:rPr>
              <w:t>249,750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from</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the release of</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 units</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(526)</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shares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pursuant to</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ind w:left="420"/>
              <w:spacing w:after="0" w:line="149" w:lineRule="exact"/>
              <w:rPr>
                <w:sz w:val="20"/>
                <w:szCs w:val="20"/>
                <w:color w:val="auto"/>
              </w:rPr>
            </w:pPr>
            <w:r>
              <w:rPr>
                <w:rFonts w:ascii="Arial" w:cs="Arial" w:eastAsia="Arial" w:hAnsi="Arial"/>
                <w:sz w:val="14"/>
                <w:szCs w:val="14"/>
                <w:color w:val="auto"/>
              </w:rPr>
              <w:t>research</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tcPr>
          <w:p>
            <w:pPr>
              <w:ind w:left="420"/>
              <w:spacing w:after="0" w:line="159" w:lineRule="exact"/>
              <w:rPr>
                <w:sz w:val="20"/>
                <w:szCs w:val="20"/>
                <w:color w:val="auto"/>
              </w:rPr>
            </w:pPr>
            <w:r>
              <w:rPr>
                <w:rFonts w:ascii="Arial" w:cs="Arial" w:eastAsia="Arial" w:hAnsi="Arial"/>
                <w:sz w:val="14"/>
                <w:szCs w:val="14"/>
                <w:color w:val="auto"/>
              </w:rPr>
              <w:t>agreement</w:t>
            </w: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100</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943</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4"/>
              </w:rPr>
              <w:t>compensation</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17,522</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17,522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(293,190)</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(293,190)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2007</w:t>
            </w:r>
          </w:p>
        </w:tc>
        <w:tc>
          <w:tcPr>
            <w:tcW w:w="5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4"/>
              </w:rPr>
              <w:t>101,381</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1,014</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6"/>
              </w:rPr>
              <w:t>1,444,125</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(1,081,039)</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8"/>
              </w:rPr>
              <w:t>364,100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9019"/>
          </w:cols>
          <w:pgMar w:left="1440" w:top="280" w:right="1440" w:bottom="1440" w:gutter="0" w:footer="0" w:header="0"/>
        </w:sectPr>
      </w:pPr>
    </w:p>
    <w:bookmarkStart w:id="74" w:name="page75"/>
    <w:bookmarkEnd w:id="74"/>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Series C</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2"/>
              </w:rPr>
              <w:t>Series B</w:t>
            </w:r>
          </w:p>
        </w:tc>
        <w:tc>
          <w:tcPr>
            <w:tcW w:w="120" w:type="dxa"/>
            <w:vAlign w:val="bottom"/>
          </w:tcPr>
          <w:p>
            <w:pPr>
              <w:spacing w:after="0"/>
              <w:rPr>
                <w:sz w:val="12"/>
                <w:szCs w:val="12"/>
                <w:color w:val="auto"/>
              </w:rPr>
            </w:pPr>
          </w:p>
        </w:tc>
        <w:tc>
          <w:tcPr>
            <w:tcW w:w="11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2"/>
              </w:rPr>
              <w:t>Series C</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C</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Deficit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6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5"/>
              </w:rPr>
              <w:t>Convertible</w:t>
            </w:r>
          </w:p>
        </w:tc>
        <w:tc>
          <w:tcPr>
            <w:tcW w:w="12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Notes</w:t>
            </w:r>
          </w:p>
        </w:tc>
        <w:tc>
          <w:tcPr>
            <w:tcW w:w="140" w:type="dxa"/>
            <w:vAlign w:val="bottom"/>
          </w:tcPr>
          <w:p>
            <w:pPr>
              <w:spacing w:after="0"/>
              <w:rPr>
                <w:sz w:val="4"/>
                <w:szCs w:val="4"/>
                <w:color w:val="auto"/>
              </w:rPr>
            </w:pPr>
          </w:p>
        </w:tc>
        <w:tc>
          <w:tcPr>
            <w:tcW w:w="7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Notes</w:t>
            </w: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20" w:type="dxa"/>
            <w:vAlign w:val="bottom"/>
          </w:tcPr>
          <w:p>
            <w:pPr>
              <w:spacing w:after="0"/>
              <w:rPr>
                <w:sz w:val="8"/>
                <w:szCs w:val="8"/>
                <w:color w:val="auto"/>
              </w:rPr>
            </w:pPr>
          </w:p>
        </w:tc>
        <w:tc>
          <w:tcPr>
            <w:tcW w:w="112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7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4"/>
                <w:szCs w:val="4"/>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Receivable</w:t>
            </w:r>
          </w:p>
        </w:tc>
        <w:tc>
          <w:tcPr>
            <w:tcW w:w="140" w:type="dxa"/>
            <w:vAlign w:val="bottom"/>
          </w:tcPr>
          <w:p>
            <w:pPr>
              <w:spacing w:after="0"/>
              <w:rPr>
                <w:sz w:val="4"/>
                <w:szCs w:val="4"/>
                <w:color w:val="auto"/>
              </w:rPr>
            </w:pPr>
          </w:p>
        </w:tc>
        <w:tc>
          <w:tcPr>
            <w:tcW w:w="740" w:type="dxa"/>
            <w:vAlign w:val="bottom"/>
            <w:gridSpan w:val="2"/>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1"/>
              </w:rPr>
              <w:t>Receivable</w:t>
            </w: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8"/>
                <w:szCs w:val="8"/>
                <w:color w:val="auto"/>
              </w:rPr>
            </w:pPr>
          </w:p>
        </w:tc>
        <w:tc>
          <w:tcPr>
            <w:tcW w:w="112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6"/>
              </w:rPr>
              <w:t>Preferred Stock</w:t>
            </w: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3"/>
            <w:vMerge w:val="restart"/>
          </w:tcPr>
          <w:p>
            <w:pPr>
              <w:jc w:val="right"/>
              <w:ind w:right="32"/>
              <w:spacing w:after="0"/>
              <w:rPr>
                <w:sz w:val="20"/>
                <w:szCs w:val="20"/>
                <w:color w:val="auto"/>
              </w:rPr>
            </w:pPr>
            <w:r>
              <w:rPr>
                <w:rFonts w:ascii="Arial" w:cs="Arial" w:eastAsia="Arial" w:hAnsi="Arial"/>
                <w:sz w:val="14"/>
                <w:szCs w:val="14"/>
                <w:b w:val="1"/>
                <w:bCs w:val="1"/>
                <w:color w:val="auto"/>
                <w:w w:val="95"/>
              </w:rPr>
              <w:t>Common Stock</w:t>
            </w:r>
          </w:p>
        </w:tc>
        <w:tc>
          <w:tcPr>
            <w:tcW w:w="120" w:type="dxa"/>
            <w:vAlign w:val="bottom"/>
          </w:tcPr>
          <w:p>
            <w:pPr>
              <w:spacing w:after="0"/>
              <w:rPr>
                <w:sz w:val="8"/>
                <w:szCs w:val="8"/>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7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0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5"/>
                <w:szCs w:val="5"/>
                <w:color w:val="auto"/>
              </w:rPr>
            </w:pPr>
          </w:p>
        </w:tc>
        <w:tc>
          <w:tcPr>
            <w:tcW w:w="80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3"/>
              </w:rPr>
              <w:t>Subscriptions</w:t>
            </w:r>
          </w:p>
        </w:tc>
        <w:tc>
          <w:tcPr>
            <w:tcW w:w="1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from</w:t>
            </w:r>
          </w:p>
        </w:tc>
        <w:tc>
          <w:tcPr>
            <w:tcW w:w="140" w:type="dxa"/>
            <w:vAlign w:val="bottom"/>
          </w:tcPr>
          <w:p>
            <w:pPr>
              <w:spacing w:after="0"/>
              <w:rPr>
                <w:sz w:val="5"/>
                <w:szCs w:val="5"/>
                <w:color w:val="auto"/>
              </w:rPr>
            </w:pPr>
          </w:p>
        </w:tc>
        <w:tc>
          <w:tcPr>
            <w:tcW w:w="7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w:t>
            </w: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Issuable</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Receivable</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Capital</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1"/>
              </w:rPr>
              <w:t>Stockholders</w:t>
            </w:r>
          </w:p>
        </w:tc>
        <w:tc>
          <w:tcPr>
            <w:tcW w:w="14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Officers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8"/>
              </w:rPr>
              <w:t>Stage</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80" w:type="dxa"/>
            <w:vAlign w:val="bottom"/>
            <w:tcBorders>
              <w:top w:val="single" w:sz="8" w:color="CCEEFF"/>
            </w:tcBorders>
            <w:shd w:val="clear" w:color="auto" w:fill="CCEEFF"/>
          </w:tcPr>
          <w:p>
            <w:pPr>
              <w:ind w:left="200"/>
              <w:spacing w:after="0" w:line="118" w:lineRule="exact"/>
              <w:rPr>
                <w:sz w:val="20"/>
                <w:szCs w:val="20"/>
                <w:color w:val="auto"/>
              </w:rPr>
            </w:pPr>
            <w:r>
              <w:rPr>
                <w:rFonts w:ascii="Arial" w:cs="Arial" w:eastAsia="Arial" w:hAnsi="Arial"/>
                <w:sz w:val="12"/>
                <w:szCs w:val="12"/>
                <w:color w:val="auto"/>
              </w:rPr>
              <w:t>Issuance of</w:t>
            </w: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2"/>
              </w:rPr>
              <w:t>Purchase Plan</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349</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896</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w w:val="97"/>
              </w:rPr>
              <w:t>Issuance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awards to</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consultants</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30</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(18)</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from</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8"/>
              </w:rPr>
              <w:t>the release of</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 units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248</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(317)</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w w:val="96"/>
              </w:rPr>
              <w:t>compensation</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24,811</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24,811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Unrealized gain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on available-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for-sale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securities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295</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(303,039)</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(303,039)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2008</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102,008</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1,020</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1,469,497</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295</w:t>
            </w:r>
          </w:p>
        </w:tc>
        <w:tc>
          <w:tcPr>
            <w:tcW w:w="9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(1,384,078)</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86,734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w w:val="92"/>
              </w:rPr>
              <w:t>Purchase Plan</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323</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1,397</w:t>
            </w: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7"/>
              </w:rPr>
              <w:t>Issuance of stock</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for cash</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8,360</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59,640</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59,724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shares from</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w w:val="98"/>
              </w:rPr>
              <w:t>the release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restricted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stock units</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2,240</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22</w:t>
            </w:r>
          </w:p>
        </w:tc>
        <w:tc>
          <w:tcPr>
            <w:tcW w:w="88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(7,023)</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(7,001)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94</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382</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w w:val="96"/>
              </w:rPr>
              <w:t>compensation</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20,219</w:t>
            </w: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20,219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2"/>
              </w:rPr>
              <w:t>Unrealized loss on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available-for-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4"/>
              </w:rPr>
              <w:t>sale securities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(581)</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Unrealized gain</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on foreign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currency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translation</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(220,104)</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(220,104)</w:t>
            </w:r>
          </w:p>
        </w:tc>
        <w:tc>
          <w:tcPr>
            <w:tcW w:w="0" w:type="dxa"/>
            <w:vAlign w:val="bottom"/>
          </w:tcPr>
          <w:p>
            <w:pPr>
              <w:spacing w:after="0"/>
              <w:rPr>
                <w:sz w:val="1"/>
                <w:szCs w:val="1"/>
                <w:color w:val="auto"/>
              </w:rPr>
            </w:pPr>
          </w:p>
        </w:tc>
      </w:tr>
      <w:tr>
        <w:trPr>
          <w:trHeight w:val="145"/>
        </w:trPr>
        <w:tc>
          <w:tcPr>
            <w:tcW w:w="1300" w:type="dxa"/>
            <w:vAlign w:val="bottom"/>
            <w:gridSpan w:val="2"/>
          </w:tcPr>
          <w:p>
            <w:pPr>
              <w:spacing w:after="0" w:line="145"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0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2009</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113,025</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1,130</w:t>
            </w:r>
          </w:p>
        </w:tc>
        <w:tc>
          <w:tcPr>
            <w:tcW w:w="8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1,544,112</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(281)</w:t>
            </w:r>
          </w:p>
        </w:tc>
        <w:tc>
          <w:tcPr>
            <w:tcW w:w="9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(1,604,182)</w:t>
            </w:r>
          </w:p>
        </w:tc>
        <w:tc>
          <w:tcPr>
            <w:tcW w:w="6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(59,221)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under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Employee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2"/>
              </w:rPr>
              <w:t>Purchase Plan</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288</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1,602</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w w:val="97"/>
              </w:rPr>
              <w:t>Issuance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for cash</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2,100</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21</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14,314</w:t>
            </w: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14,335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7"/>
              </w:rPr>
              <w:t>Issuance of stock</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 exchange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 cancelling</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an equal</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amount of</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note payable</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 related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party</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2,100</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16,660</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16,681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w w:val="97"/>
              </w:rPr>
              <w:t>Issuance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under share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lending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agreement</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9,000</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90</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71</w:t>
            </w: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from</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8"/>
              </w:rPr>
              <w:t>the release of</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stock units</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962</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8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(3,402)</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(3,392)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options</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318</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921</w:t>
            </w: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6"/>
              </w:rPr>
              <w:t>compensation</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13,580</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13,580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tcPr>
          <w:p>
            <w:pPr>
              <w:ind w:left="200"/>
              <w:spacing w:after="0" w:line="138" w:lineRule="exact"/>
              <w:rPr>
                <w:sz w:val="20"/>
                <w:szCs w:val="20"/>
                <w:color w:val="auto"/>
              </w:rPr>
            </w:pPr>
            <w:r>
              <w:rPr>
                <w:rFonts w:ascii="Arial" w:cs="Arial" w:eastAsia="Arial" w:hAnsi="Arial"/>
                <w:sz w:val="14"/>
                <w:szCs w:val="14"/>
                <w:color w:val="auto"/>
              </w:rPr>
              <w:t>Unrealized gain</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on available-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ind w:left="420"/>
              <w:spacing w:after="0" w:line="149" w:lineRule="exact"/>
              <w:rPr>
                <w:sz w:val="20"/>
                <w:szCs w:val="20"/>
                <w:color w:val="auto"/>
              </w:rPr>
            </w:pPr>
            <w:r>
              <w:rPr>
                <w:rFonts w:ascii="Arial" w:cs="Arial" w:eastAsia="Arial" w:hAnsi="Arial"/>
                <w:sz w:val="14"/>
                <w:szCs w:val="14"/>
                <w:color w:val="auto"/>
              </w:rPr>
              <w:t>for-sale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Pr>
          <w:p>
            <w:pPr>
              <w:ind w:left="420"/>
              <w:spacing w:after="0" w:line="159" w:lineRule="exact"/>
              <w:rPr>
                <w:sz w:val="20"/>
                <w:szCs w:val="20"/>
                <w:color w:val="auto"/>
              </w:rPr>
            </w:pPr>
            <w:r>
              <w:rPr>
                <w:rFonts w:ascii="Arial" w:cs="Arial" w:eastAsia="Arial" w:hAnsi="Arial"/>
                <w:sz w:val="14"/>
                <w:szCs w:val="14"/>
                <w:color w:val="auto"/>
              </w:rPr>
              <w:t>securities</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361</w:t>
            </w: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2"/>
              </w:rPr>
              <w:t>Unrealized loss on</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currency</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translation</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w:t>
            </w:r>
          </w:p>
        </w:tc>
        <w:tc>
          <w:tcPr>
            <w:tcW w:w="9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ectPr>
          <w:pgSz w:w="11900" w:h="16884" w:orient="portrait"/>
          <w:cols w:equalWidth="0" w:num="1">
            <w:col w:w="11420"/>
          </w:cols>
          <w:pgMar w:left="240" w:top="459" w:right="23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2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380" w:type="dxa"/>
            <w:vAlign w:val="bottom"/>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500" w:type="dxa"/>
            <w:vAlign w:val="bottom"/>
          </w:tcPr>
          <w:p>
            <w:pPr>
              <w:ind w:left="36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6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80" w:type="dxa"/>
            <w:vAlign w:val="bottom"/>
          </w:tcPr>
          <w:p>
            <w:pPr>
              <w:ind w:left="5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800" w:type="dxa"/>
            <w:vAlign w:val="bottom"/>
          </w:tcPr>
          <w:p>
            <w:pPr>
              <w:ind w:left="66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ind w:left="620"/>
              <w:spacing w:after="0"/>
              <w:rPr>
                <w:sz w:val="20"/>
                <w:szCs w:val="20"/>
                <w:color w:val="auto"/>
              </w:rPr>
            </w:pPr>
            <w:r>
              <w:rPr>
                <w:rFonts w:ascii="Arial" w:cs="Arial" w:eastAsia="Arial" w:hAnsi="Arial"/>
                <w:sz w:val="14"/>
                <w:szCs w:val="14"/>
                <w:color w:val="auto"/>
                <w:w w:val="71"/>
              </w:rPr>
              <w:t>—</w:t>
            </w:r>
          </w:p>
        </w:tc>
        <w:tc>
          <w:tcPr>
            <w:tcW w:w="140" w:type="dxa"/>
            <w:vAlign w:val="bottom"/>
          </w:tcPr>
          <w:p>
            <w:pPr>
              <w:spacing w:after="0"/>
              <w:rPr>
                <w:sz w:val="14"/>
                <w:szCs w:val="14"/>
                <w:color w:val="auto"/>
              </w:rPr>
            </w:pPr>
          </w:p>
        </w:tc>
        <w:tc>
          <w:tcPr>
            <w:tcW w:w="7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(170,560)</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(170,560)</w:t>
            </w:r>
          </w:p>
        </w:tc>
      </w:tr>
      <w:tr>
        <w:trPr>
          <w:trHeight w:val="138"/>
        </w:trPr>
        <w:tc>
          <w:tcPr>
            <w:tcW w:w="20" w:type="dxa"/>
            <w:vAlign w:val="bottom"/>
          </w:tcPr>
          <w:p>
            <w:pPr>
              <w:spacing w:after="0"/>
              <w:rPr>
                <w:sz w:val="11"/>
                <w:szCs w:val="11"/>
                <w:color w:val="auto"/>
              </w:rPr>
            </w:pPr>
          </w:p>
        </w:tc>
        <w:tc>
          <w:tcPr>
            <w:tcW w:w="12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2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2010</w:t>
            </w:r>
          </w:p>
        </w:tc>
        <w:tc>
          <w:tcPr>
            <w:tcW w:w="3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w w:val="85"/>
              </w:rPr>
              <w:t>—</w:t>
            </w:r>
          </w:p>
        </w:tc>
        <w:tc>
          <w:tcPr>
            <w:tcW w:w="7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127,793</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1,278</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1,587,858</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71"/>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rPr>
              <w:t>74</w:t>
            </w:r>
          </w:p>
        </w:tc>
        <w:tc>
          <w:tcPr>
            <w:tcW w:w="9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(1,774,742)</w:t>
            </w:r>
          </w:p>
        </w:tc>
        <w:tc>
          <w:tcPr>
            <w:tcW w:w="6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0"/>
              </w:rPr>
              <w:t>(185,532)</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7" w:right="239" w:bottom="1440" w:gutter="0" w:footer="0" w:header="0"/>
        </w:sectPr>
      </w:pPr>
    </w:p>
    <w:bookmarkStart w:id="76" w:name="page77"/>
    <w:bookmarkEnd w:id="76"/>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 — (Continued)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Series C</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5"/>
              </w:rPr>
              <w:t>Series B</w:t>
            </w: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5"/>
              </w:rPr>
              <w:t>Series C</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C</w:t>
            </w:r>
          </w:p>
        </w:tc>
        <w:tc>
          <w:tcPr>
            <w:tcW w:w="1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Deficit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auto"/>
                <w:w w:val="85"/>
              </w:rPr>
              <w:t>Convertible</w:t>
            </w:r>
          </w:p>
        </w:tc>
        <w:tc>
          <w:tcPr>
            <w:tcW w:w="100" w:type="dxa"/>
            <w:vAlign w:val="bottom"/>
          </w:tcPr>
          <w:p>
            <w:pPr>
              <w:spacing w:after="0"/>
              <w:rPr>
                <w:sz w:val="4"/>
                <w:szCs w:val="4"/>
                <w:color w:val="auto"/>
              </w:rPr>
            </w:pPr>
          </w:p>
        </w:tc>
        <w:tc>
          <w:tcPr>
            <w:tcW w:w="9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Preferred</w:t>
            </w: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2"/>
              </w:rPr>
              <w:t>Notes</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Notes</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1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9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4"/>
                <w:szCs w:val="4"/>
                <w:color w:val="auto"/>
              </w:rPr>
            </w:pPr>
          </w:p>
        </w:tc>
        <w:tc>
          <w:tcPr>
            <w:tcW w:w="92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Receivable</w:t>
            </w:r>
          </w:p>
        </w:tc>
        <w:tc>
          <w:tcPr>
            <w:tcW w:w="120" w:type="dxa"/>
            <w:vAlign w:val="bottom"/>
          </w:tcPr>
          <w:p>
            <w:pPr>
              <w:spacing w:after="0"/>
              <w:rPr>
                <w:sz w:val="4"/>
                <w:szCs w:val="4"/>
                <w:color w:val="auto"/>
              </w:rPr>
            </w:pPr>
          </w:p>
        </w:tc>
        <w:tc>
          <w:tcPr>
            <w:tcW w:w="700" w:type="dxa"/>
            <w:vAlign w:val="bottom"/>
            <w:gridSpan w:val="3"/>
            <w:vMerge w:val="restart"/>
          </w:tcPr>
          <w:p>
            <w:pPr>
              <w:jc w:val="right"/>
              <w:ind w:right="60"/>
              <w:spacing w:after="0" w:line="149" w:lineRule="exact"/>
              <w:rPr>
                <w:sz w:val="20"/>
                <w:szCs w:val="20"/>
                <w:color w:val="auto"/>
              </w:rPr>
            </w:pPr>
            <w:r>
              <w:rPr>
                <w:rFonts w:ascii="Arial" w:cs="Arial" w:eastAsia="Arial" w:hAnsi="Arial"/>
                <w:sz w:val="14"/>
                <w:szCs w:val="14"/>
                <w:b w:val="1"/>
                <w:bCs w:val="1"/>
                <w:color w:val="auto"/>
                <w:w w:val="84"/>
              </w:rPr>
              <w:t>Receivable</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During the</w:t>
            </w: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88"/>
              </w:rPr>
              <w:t>Preferred Stock</w:t>
            </w: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080" w:type="dxa"/>
            <w:vAlign w:val="bottom"/>
            <w:gridSpan w:val="4"/>
            <w:vMerge w:val="restart"/>
          </w:tcPr>
          <w:p>
            <w:pPr>
              <w:jc w:val="right"/>
              <w:ind w:right="32"/>
              <w:spacing w:after="0"/>
              <w:rPr>
                <w:sz w:val="20"/>
                <w:szCs w:val="20"/>
                <w:color w:val="auto"/>
              </w:rPr>
            </w:pPr>
            <w:r>
              <w:rPr>
                <w:rFonts w:ascii="Arial" w:cs="Arial" w:eastAsia="Arial" w:hAnsi="Arial"/>
                <w:sz w:val="14"/>
                <w:szCs w:val="14"/>
                <w:b w:val="1"/>
                <w:bCs w:val="1"/>
                <w:color w:val="auto"/>
                <w:w w:val="93"/>
              </w:rPr>
              <w:t>Common Stock</w:t>
            </w:r>
          </w:p>
        </w:tc>
        <w:tc>
          <w:tcPr>
            <w:tcW w:w="140" w:type="dxa"/>
            <w:vAlign w:val="bottom"/>
          </w:tcPr>
          <w:p>
            <w:pPr>
              <w:spacing w:after="0"/>
              <w:rPr>
                <w:sz w:val="8"/>
                <w:szCs w:val="8"/>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340" w:type="dxa"/>
            <w:vAlign w:val="bottom"/>
            <w:gridSpan w:val="2"/>
            <w:vMerge w:val="continue"/>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5"/>
                <w:szCs w:val="5"/>
                <w:color w:val="auto"/>
              </w:rPr>
            </w:pPr>
          </w:p>
        </w:tc>
        <w:tc>
          <w:tcPr>
            <w:tcW w:w="92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3"/>
              </w:rPr>
              <w:t>Subscriptions</w:t>
            </w:r>
          </w:p>
        </w:tc>
        <w:tc>
          <w:tcPr>
            <w:tcW w:w="10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from</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w:t>
            </w:r>
          </w:p>
        </w:tc>
        <w:tc>
          <w:tcPr>
            <w:tcW w:w="60" w:type="dxa"/>
            <w:vAlign w:val="bottom"/>
          </w:tcPr>
          <w:p>
            <w:pPr>
              <w:spacing w:after="0"/>
              <w:rPr>
                <w:sz w:val="5"/>
                <w:szCs w:val="5"/>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Shares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Issuable</w:t>
            </w:r>
          </w:p>
        </w:tc>
        <w:tc>
          <w:tcPr>
            <w:tcW w:w="10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Receivable</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Capital</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Stockholders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Officers</w:t>
            </w:r>
          </w:p>
        </w:tc>
        <w:tc>
          <w:tcPr>
            <w:tcW w:w="6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Income (Loss)</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Stage</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320" w:type="dxa"/>
            <w:vAlign w:val="bottom"/>
            <w:tcBorders>
              <w:top w:val="single" w:sz="8" w:color="CCEEFF"/>
            </w:tcBorders>
            <w:shd w:val="clear" w:color="auto" w:fill="CCEEFF"/>
          </w:tcPr>
          <w:p>
            <w:pPr>
              <w:ind w:left="200"/>
              <w:spacing w:after="0" w:line="118" w:lineRule="exact"/>
              <w:rPr>
                <w:sz w:val="20"/>
                <w:szCs w:val="20"/>
                <w:color w:val="auto"/>
              </w:rPr>
            </w:pPr>
            <w:r>
              <w:rPr>
                <w:rFonts w:ascii="Arial" w:cs="Arial" w:eastAsia="Arial" w:hAnsi="Arial"/>
                <w:sz w:val="12"/>
                <w:szCs w:val="12"/>
                <w:color w:val="auto"/>
              </w:rPr>
              <w:t>Issuance of</w:t>
            </w: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under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Employee</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9"/>
              </w:rPr>
              <w:t>Stock Purchase</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Plan</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283</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766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 stock</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for cash</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1,400</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9,526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89"/>
              </w:rPr>
              <w:t>Issuance of stock in</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exchange for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cancelling an</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equal amount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1"/>
              </w:rPr>
              <w:t>of note payable</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4"/>
              </w:rPr>
              <w:t>to related party</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1,400</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8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11,102</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11,116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from the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release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93"/>
              </w:rPr>
              <w:t>restricted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units</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433</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w:t>
            </w:r>
          </w:p>
        </w:tc>
        <w:tc>
          <w:tcPr>
            <w:tcW w:w="8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(547)</w:t>
            </w: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214</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Stock-based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11,204</w:t>
            </w: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11,204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w w:val="95"/>
              </w:rPr>
              <w:t>Unrealized loss on</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available-for-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9"/>
              </w:rPr>
              <w:t>sale securities</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w w:val="95"/>
              </w:rPr>
              <w:t>Unrealized loss on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foreign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currency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translation</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(160,804)</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(160,804)</w:t>
            </w:r>
          </w:p>
        </w:tc>
        <w:tc>
          <w:tcPr>
            <w:tcW w:w="0" w:type="dxa"/>
            <w:vAlign w:val="bottom"/>
          </w:tcPr>
          <w:p>
            <w:pPr>
              <w:spacing w:after="0"/>
              <w:rPr>
                <w:sz w:val="1"/>
                <w:szCs w:val="1"/>
                <w:color w:val="auto"/>
              </w:rPr>
            </w:pPr>
          </w:p>
        </w:tc>
      </w:tr>
      <w:tr>
        <w:trPr>
          <w:trHeight w:val="145"/>
        </w:trPr>
        <w:tc>
          <w:tcPr>
            <w:tcW w:w="1340" w:type="dxa"/>
            <w:vAlign w:val="bottom"/>
            <w:gridSpan w:val="2"/>
          </w:tcPr>
          <w:p>
            <w:pPr>
              <w:spacing w:after="0" w:line="145"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4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2011</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90"/>
              </w:rPr>
              <w:t>131,523</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1,315</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1,620,535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44</w:t>
            </w:r>
          </w:p>
        </w:tc>
        <w:tc>
          <w:tcPr>
            <w:tcW w:w="9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(1,935,546)</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6"/>
              </w:rPr>
              <w:t>(313,652)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Exercise of stock</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options</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from the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release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93"/>
              </w:rPr>
              <w:t>restricted stock</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units</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886</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w:t>
            </w:r>
          </w:p>
        </w:tc>
        <w:tc>
          <w:tcPr>
            <w:tcW w:w="8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(915)</w:t>
            </w: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pursuant to</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underwritten</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w w:val="93"/>
              </w:rPr>
              <w:t>public offerings</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81,938</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819</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166,045</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166,864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91"/>
              </w:rPr>
              <w:t>in exchange for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cancelling</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95"/>
              </w:rPr>
              <w:t>equal amounts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91"/>
              </w:rPr>
              <w:t>of note payable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w w:val="94"/>
              </w:rPr>
              <w:t>to related party</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71,250</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713</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183,824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184,537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Fair value of</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forward</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contracts</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1,237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pursuant to</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litigation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settlement</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225</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Commitment to</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deliver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pursuant to</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litigation</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settlement to</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2"/>
              </w:rPr>
              <w:t>additional paid-</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in capital</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6,056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6,056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Issuance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8"/>
              </w:rPr>
              <w:t>common shares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under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Employee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w w:val="89"/>
              </w:rPr>
              <w:t>Stock Purchase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Plan</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211</w:t>
            </w:r>
          </w:p>
        </w:tc>
        <w:tc>
          <w:tcPr>
            <w:tcW w:w="5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7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860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Stock-based</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compensation</w:t>
            </w: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13,292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13,292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ind w:left="200"/>
              <w:spacing w:after="0" w:line="138" w:lineRule="exact"/>
              <w:rPr>
                <w:sz w:val="20"/>
                <w:szCs w:val="20"/>
                <w:color w:val="auto"/>
              </w:rPr>
            </w:pPr>
            <w:r>
              <w:rPr>
                <w:rFonts w:ascii="Arial" w:cs="Arial" w:eastAsia="Arial" w:hAnsi="Arial"/>
                <w:sz w:val="14"/>
                <w:szCs w:val="14"/>
                <w:color w:val="auto"/>
              </w:rPr>
              <w:t>Cumulative</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translation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420"/>
              <w:spacing w:after="0" w:line="159" w:lineRule="exact"/>
              <w:rPr>
                <w:sz w:val="20"/>
                <w:szCs w:val="20"/>
                <w:color w:val="auto"/>
              </w:rPr>
            </w:pPr>
            <w:r>
              <w:rPr>
                <w:rFonts w:ascii="Arial" w:cs="Arial" w:eastAsia="Arial" w:hAnsi="Arial"/>
                <w:sz w:val="14"/>
                <w:szCs w:val="14"/>
                <w:color w:val="auto"/>
              </w:rPr>
              <w:t>(loss) gain</w:t>
            </w: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Reclassification</w:t>
            </w: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9"/>
              </w:rPr>
              <w:t>adjustment for</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gains (losses)</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included in net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6" w:lineRule="exact"/>
              <w:rPr>
                <w:sz w:val="20"/>
                <w:szCs w:val="20"/>
                <w:color w:val="auto"/>
              </w:rPr>
            </w:pPr>
            <w:r>
              <w:rPr>
                <w:rFonts w:ascii="Arial" w:cs="Arial" w:eastAsia="Arial" w:hAnsi="Arial"/>
                <w:sz w:val="14"/>
                <w:szCs w:val="14"/>
                <w:color w:val="auto"/>
              </w:rPr>
              <w:t>loss</w:t>
            </w:r>
          </w:p>
        </w:tc>
        <w:tc>
          <w:tcPr>
            <w:tcW w:w="5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6"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4"/>
                <w:szCs w:val="14"/>
                <w:color w:val="auto"/>
              </w:rPr>
              <w:t>(48)</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2" w:lineRule="exact"/>
              <w:rPr>
                <w:sz w:val="20"/>
                <w:szCs w:val="20"/>
                <w:color w:val="auto"/>
              </w:rPr>
            </w:pPr>
            <w:r>
              <w:rPr>
                <w:rFonts w:ascii="Arial" w:cs="Arial" w:eastAsia="Arial" w:hAnsi="Arial"/>
                <w:sz w:val="14"/>
                <w:szCs w:val="14"/>
                <w:color w:val="auto"/>
              </w:rPr>
              <w:t>Net loss</w:t>
            </w: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(169,366)</w:t>
            </w: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96"/>
              </w:rPr>
              <w:t>(169,366)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w:t>
            </w: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DECEMBER 31,</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2012</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0"/>
              </w:rPr>
              <w:t>286,035</w:t>
            </w: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2,860</w:t>
            </w:r>
          </w:p>
        </w:tc>
        <w:tc>
          <w:tcPr>
            <w:tcW w:w="7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1,991,379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52"/>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w:t>
            </w:r>
          </w:p>
        </w:tc>
        <w:tc>
          <w:tcPr>
            <w:tcW w:w="1540" w:type="dxa"/>
            <w:vAlign w:val="bottom"/>
            <w:gridSpan w:val="4"/>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0"/>
              </w:rPr>
              <w:t xml:space="preserve">$  (2,104,912)  </w:t>
            </w:r>
            <w:r>
              <w:rPr>
                <w:rFonts w:ascii="Arial" w:cs="Arial" w:eastAsia="Arial" w:hAnsi="Arial"/>
                <w:sz w:val="14"/>
                <w:szCs w:val="14"/>
                <w:u w:val="single" w:color="auto"/>
                <w:color w:val="auto"/>
                <w:w w:val="90"/>
              </w:rPr>
              <w:t>$</w:t>
            </w:r>
            <w:r>
              <w:rPr>
                <w:rFonts w:ascii="Arial" w:cs="Arial" w:eastAsia="Arial" w:hAnsi="Arial"/>
                <w:sz w:val="14"/>
                <w:szCs w:val="14"/>
                <w:color w:val="auto"/>
                <w:w w:val="90"/>
              </w:rPr>
              <w:t>(110,679)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20"/>
          </w:cols>
          <w:pgMar w:left="240" w:top="459" w:right="239" w:bottom="0" w:gutter="0" w:footer="0" w:header="0"/>
        </w:sectPr>
      </w:pPr>
    </w:p>
    <w:bookmarkStart w:id="77" w:name="page78"/>
    <w:bookmarkEnd w:id="77"/>
    <w:p>
      <w:pPr>
        <w:spacing w:after="0" w:line="3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63461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4619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color w:val="auto"/>
        </w:rPr>
        <w:t>See notes to consolidated financial statements.</w:t>
      </w:r>
    </w:p>
    <w:p>
      <w:pPr>
        <w:sectPr>
          <w:pgSz w:w="11900" w:h="16838" w:orient="portrait"/>
          <w:cols w:equalWidth="0" w:num="1">
            <w:col w:w="9019"/>
          </w:cols>
          <w:pgMar w:left="1440" w:top="1440"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9019"/>
          </w:cols>
          <w:pgMar w:left="1440" w:top="1440" w:right="1440"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75"/>
        </w:trPr>
        <w:tc>
          <w:tcPr>
            <w:tcW w:w="6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4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February 14,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gridSpan w:val="2"/>
            <w:vMerge w:val="restart"/>
          </w:tcPr>
          <w:p>
            <w:pPr>
              <w:jc w:val="center"/>
              <w:ind w:right="100"/>
              <w:spacing w:after="0" w:line="123" w:lineRule="exact"/>
              <w:rPr>
                <w:sz w:val="20"/>
                <w:szCs w:val="20"/>
                <w:color w:val="auto"/>
              </w:rPr>
            </w:pPr>
            <w:r>
              <w:rPr>
                <w:rFonts w:ascii="Arial" w:cs="Arial" w:eastAsia="Arial" w:hAnsi="Arial"/>
                <w:sz w:val="14"/>
                <w:szCs w:val="14"/>
                <w:b w:val="1"/>
                <w:bCs w:val="1"/>
                <w:color w:val="auto"/>
                <w:w w:val="87"/>
              </w:rPr>
              <w:t>1991 (Date of</w:t>
            </w:r>
          </w:p>
        </w:tc>
        <w:tc>
          <w:tcPr>
            <w:tcW w:w="0" w:type="dxa"/>
            <w:vAlign w:val="bottom"/>
          </w:tcPr>
          <w:p>
            <w:pPr>
              <w:spacing w:after="0"/>
              <w:rPr>
                <w:sz w:val="1"/>
                <w:szCs w:val="1"/>
                <w:color w:val="auto"/>
              </w:rPr>
            </w:pPr>
          </w:p>
        </w:tc>
      </w:tr>
      <w:tr>
        <w:trPr>
          <w:trHeight w:val="75"/>
        </w:trPr>
        <w:tc>
          <w:tcPr>
            <w:tcW w:w="6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4"/>
                <w:szCs w:val="14"/>
                <w:color w:val="auto"/>
              </w:rPr>
            </w:pPr>
          </w:p>
        </w:tc>
        <w:tc>
          <w:tcPr>
            <w:tcW w:w="130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$(170,560)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$(160,804)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$(169,366)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$(2,104,912)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Depreciation and accretion</w:t>
            </w: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17,324</w:t>
            </w:r>
          </w:p>
        </w:tc>
        <w:tc>
          <w:tcPr>
            <w:tcW w:w="740" w:type="dxa"/>
            <w:vAlign w:val="bottom"/>
          </w:tcPr>
          <w:p>
            <w:pPr>
              <w:jc w:val="right"/>
              <w:spacing w:after="0"/>
              <w:rPr>
                <w:sz w:val="20"/>
                <w:szCs w:val="20"/>
                <w:color w:val="auto"/>
              </w:rPr>
            </w:pPr>
            <w:r>
              <w:rPr>
                <w:rFonts w:ascii="Arial" w:cs="Arial" w:eastAsia="Arial" w:hAnsi="Arial"/>
                <w:sz w:val="18"/>
                <w:szCs w:val="18"/>
                <w:color w:val="auto"/>
              </w:rPr>
              <w:t>15,912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14,402</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126,777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13,580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137,918</w:t>
            </w: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Stock expense for shares issued pursuant to research agreement</w:t>
            </w:r>
          </w:p>
        </w:tc>
        <w:tc>
          <w:tcPr>
            <w:tcW w:w="5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Loss (gain) on sale, abandonment/disposal or impairment of property and equipment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24,253</w:t>
            </w: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Accrued interest on investments, net of amortization of premiums (discounts)</w:t>
            </w:r>
          </w:p>
        </w:tc>
        <w:tc>
          <w:tcPr>
            <w:tcW w:w="5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In-process research and development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Goodwill impairment</w:t>
            </w:r>
          </w:p>
        </w:tc>
        <w:tc>
          <w:tcPr>
            <w:tcW w:w="5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available-for-sale securities</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644</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Fair value of forward purchase contract</w:t>
            </w:r>
          </w:p>
        </w:tc>
        <w:tc>
          <w:tcPr>
            <w:tcW w:w="5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1,237</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shares issued pursuant to litigation settlement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Commitment to deliver common shares pursuant to litigation settlement</w:t>
            </w:r>
          </w:p>
        </w:tc>
        <w:tc>
          <w:tcPr>
            <w:tcW w:w="5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6,056</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6740" w:type="dxa"/>
            <w:vAlign w:val="bottom"/>
          </w:tcPr>
          <w:p>
            <w:pPr>
              <w:ind w:left="22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research and development credit exchange receivable</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823</w:t>
            </w:r>
          </w:p>
        </w:tc>
        <w:tc>
          <w:tcPr>
            <w:tcW w:w="740" w:type="dxa"/>
            <w:vAlign w:val="bottom"/>
          </w:tcPr>
          <w:p>
            <w:pPr>
              <w:jc w:val="right"/>
              <w:spacing w:after="0"/>
              <w:rPr>
                <w:sz w:val="20"/>
                <w:szCs w:val="20"/>
                <w:color w:val="auto"/>
              </w:rPr>
            </w:pPr>
            <w:r>
              <w:rPr>
                <w:rFonts w:ascii="Arial" w:cs="Arial" w:eastAsia="Arial" w:hAnsi="Arial"/>
                <w:sz w:val="18"/>
                <w:szCs w:val="18"/>
                <w:color w:val="auto"/>
              </w:rPr>
              <w:t>224</w:t>
            </w:r>
          </w:p>
        </w:tc>
        <w:tc>
          <w:tcPr>
            <w:tcW w:w="3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(1,545)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600" w:type="dxa"/>
            <w:vAlign w:val="bottom"/>
            <w:gridSpan w:val="3"/>
          </w:tcPr>
          <w:p>
            <w:pPr>
              <w:jc w:val="right"/>
              <w:ind w:right="260"/>
              <w:spacing w:after="0"/>
              <w:rPr>
                <w:sz w:val="20"/>
                <w:szCs w:val="20"/>
                <w:color w:val="auto"/>
              </w:rPr>
            </w:pPr>
            <w:r>
              <w:rPr>
                <w:rFonts w:ascii="Arial" w:cs="Arial" w:eastAsia="Arial" w:hAnsi="Arial"/>
                <w:sz w:val="18"/>
                <w:szCs w:val="18"/>
                <w:color w:val="auto"/>
              </w:rPr>
              <w:t>(4,287)</w:t>
            </w:r>
          </w:p>
        </w:tc>
        <w:tc>
          <w:tcPr>
            <w:tcW w:w="740" w:type="dxa"/>
            <w:vAlign w:val="bottom"/>
          </w:tcPr>
          <w:p>
            <w:pPr>
              <w:jc w:val="right"/>
              <w:spacing w:after="0"/>
              <w:rPr>
                <w:sz w:val="20"/>
                <w:szCs w:val="20"/>
                <w:color w:val="auto"/>
              </w:rPr>
            </w:pPr>
            <w:r>
              <w:rPr>
                <w:rFonts w:ascii="Arial" w:cs="Arial" w:eastAsia="Arial" w:hAnsi="Arial"/>
                <w:sz w:val="18"/>
                <w:szCs w:val="18"/>
                <w:color w:val="auto"/>
              </w:rPr>
              <w:t>2,672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(7,554)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35,049</w:t>
            </w: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operating activities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(148,654)</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(123,837)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(119,860)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(1,596,261)</w:t>
            </w:r>
          </w:p>
        </w:tc>
        <w:tc>
          <w:tcPr>
            <w:tcW w:w="0" w:type="dxa"/>
            <w:vAlign w:val="bottom"/>
          </w:tcPr>
          <w:p>
            <w:pPr>
              <w:spacing w:after="0"/>
              <w:rPr>
                <w:sz w:val="1"/>
                <w:szCs w:val="1"/>
                <w:color w:val="auto"/>
              </w:rPr>
            </w:pPr>
          </w:p>
        </w:tc>
      </w:tr>
      <w:tr>
        <w:trPr>
          <w:trHeight w:val="221"/>
        </w:trPr>
        <w:tc>
          <w:tcPr>
            <w:tcW w:w="67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(4,178)</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(796,779)</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Sales and maturities of marketable securities</w:t>
            </w:r>
          </w:p>
        </w:tc>
        <w:tc>
          <w:tcPr>
            <w:tcW w:w="1600" w:type="dxa"/>
            <w:vAlign w:val="bottom"/>
            <w:gridSpan w:val="3"/>
          </w:tcPr>
          <w:p>
            <w:pPr>
              <w:jc w:val="right"/>
              <w:ind w:right="300"/>
              <w:spacing w:after="0"/>
              <w:rPr>
                <w:sz w:val="20"/>
                <w:szCs w:val="20"/>
                <w:color w:val="auto"/>
              </w:rPr>
            </w:pPr>
            <w:r>
              <w:rPr>
                <w:rFonts w:ascii="Arial" w:cs="Arial" w:eastAsia="Arial" w:hAnsi="Arial"/>
                <w:sz w:val="18"/>
                <w:szCs w:val="18"/>
                <w:color w:val="auto"/>
              </w:rPr>
              <w:t>2,000</w:t>
            </w:r>
          </w:p>
        </w:tc>
        <w:tc>
          <w:tcPr>
            <w:tcW w:w="740" w:type="dxa"/>
            <w:vAlign w:val="bottom"/>
          </w:tcPr>
          <w:p>
            <w:pPr>
              <w:jc w:val="right"/>
              <w:spacing w:after="0"/>
              <w:rPr>
                <w:sz w:val="20"/>
                <w:szCs w:val="20"/>
                <w:color w:val="auto"/>
              </w:rPr>
            </w:pPr>
            <w:r>
              <w:rPr>
                <w:rFonts w:ascii="Arial" w:cs="Arial" w:eastAsia="Arial" w:hAnsi="Arial"/>
                <w:sz w:val="18"/>
                <w:szCs w:val="18"/>
                <w:color w:val="auto"/>
              </w:rPr>
              <w:t>3,828</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796,393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(9,542)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(327,746)</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(11,720)</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(327,678)</w:t>
            </w:r>
          </w:p>
        </w:tc>
        <w:tc>
          <w:tcPr>
            <w:tcW w:w="0" w:type="dxa"/>
            <w:vAlign w:val="bottom"/>
          </w:tcPr>
          <w:p>
            <w:pPr>
              <w:spacing w:after="0"/>
              <w:rPr>
                <w:sz w:val="1"/>
                <w:szCs w:val="1"/>
                <w:color w:val="auto"/>
              </w:rPr>
            </w:pPr>
          </w:p>
        </w:tc>
      </w:tr>
      <w:tr>
        <w:trPr>
          <w:trHeight w:val="221"/>
        </w:trPr>
        <w:tc>
          <w:tcPr>
            <w:tcW w:w="67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for cash</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17,025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10,941</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167,735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1,397,756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5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Cash received for common stock to be issued</w:t>
            </w:r>
          </w:p>
        </w:tc>
        <w:tc>
          <w:tcPr>
            <w:tcW w:w="5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Put shares sold to majority stockholder</w:t>
            </w:r>
          </w:p>
        </w:tc>
        <w:tc>
          <w:tcPr>
            <w:tcW w:w="5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lines of credit</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Proceeds from notes receivables</w:t>
            </w:r>
          </w:p>
        </w:tc>
        <w:tc>
          <w:tcPr>
            <w:tcW w:w="5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 from related party</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87,000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387,750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5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Principal payments on notes payable</w:t>
            </w:r>
          </w:p>
        </w:tc>
        <w:tc>
          <w:tcPr>
            <w:tcW w:w="5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senior convertible notes</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95,783</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207,050</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5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(3,392)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(547)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(906)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196,416</w:t>
            </w: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63,394</w:t>
            </w: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179,579</w:t>
            </w:r>
          </w:p>
        </w:tc>
        <w:tc>
          <w:tcPr>
            <w:tcW w:w="3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740" w:type="dxa"/>
            <w:vAlign w:val="bottom"/>
          </w:tcPr>
          <w:p>
            <w:pPr>
              <w:ind w:left="5620"/>
              <w:spacing w:after="0"/>
              <w:rPr>
                <w:sz w:val="20"/>
                <w:szCs w:val="20"/>
                <w:color w:val="auto"/>
              </w:rPr>
            </w:pPr>
            <w:r>
              <w:rPr>
                <w:rFonts w:ascii="Arial" w:cs="Arial" w:eastAsia="Arial" w:hAnsi="Arial"/>
                <w:sz w:val="18"/>
                <w:szCs w:val="18"/>
                <w:color w:val="auto"/>
              </w:rPr>
              <w:t>72</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88"/>
              </w:rPr>
              <w:t>Year Ended December 31,</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gridSpan w:val="3"/>
            <w:vMerge w:val="restart"/>
          </w:tcPr>
          <w:p>
            <w:pPr>
              <w:ind w:left="20"/>
              <w:spacing w:after="0" w:line="123" w:lineRule="exact"/>
              <w:rPr>
                <w:sz w:val="20"/>
                <w:szCs w:val="20"/>
                <w:color w:val="auto"/>
              </w:rPr>
            </w:pPr>
            <w:r>
              <w:rPr>
                <w:rFonts w:ascii="Arial" w:cs="Arial" w:eastAsia="Arial" w:hAnsi="Arial"/>
                <w:sz w:val="14"/>
                <w:szCs w:val="14"/>
                <w:b w:val="1"/>
                <w:bCs w:val="1"/>
                <w:color w:val="auto"/>
                <w:w w:val="98"/>
              </w:rPr>
              <w:t>1991 (Date of</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2010</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36,042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(63,380)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59,159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30,019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66,061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2,681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66,061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61,840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61,840</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Cash paid for income taxes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40"/>
              <w:spacing w:after="0"/>
              <w:rPr>
                <w:sz w:val="20"/>
                <w:szCs w:val="20"/>
                <w:color w:val="auto"/>
              </w:rPr>
            </w:pPr>
            <w:r>
              <w:rPr>
                <w:rFonts w:ascii="Arial" w:cs="Arial" w:eastAsia="Arial" w:hAnsi="Arial"/>
                <w:sz w:val="18"/>
                <w:szCs w:val="18"/>
                <w:color w:val="auto"/>
              </w:rPr>
              <w:t>Interest paid in cash, net of amounts capitalized to Construction in progress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13,662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17,248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9,755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Accretion on redeemable convertible preferred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40"/>
              <w:spacing w:after="0"/>
              <w:rPr>
                <w:sz w:val="20"/>
                <w:szCs w:val="20"/>
                <w:color w:val="auto"/>
              </w:rPr>
            </w:pPr>
            <w:r>
              <w:rPr>
                <w:rFonts w:ascii="Arial" w:cs="Arial" w:eastAsia="Arial" w:hAnsi="Arial"/>
                <w:sz w:val="18"/>
                <w:szCs w:val="18"/>
                <w:color w:val="auto"/>
              </w:rPr>
              <w:t>Issuance of common stock upon conversion of notes payable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Increase in additional paid-in capital resulting from merger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40"/>
              <w:spacing w:after="0"/>
              <w:rPr>
                <w:sz w:val="20"/>
                <w:szCs w:val="20"/>
                <w:color w:val="auto"/>
              </w:rPr>
            </w:pPr>
            <w:r>
              <w:rPr>
                <w:rFonts w:ascii="Arial" w:cs="Arial" w:eastAsia="Arial" w:hAnsi="Arial"/>
                <w:sz w:val="18"/>
                <w:szCs w:val="18"/>
                <w:color w:val="auto"/>
              </w:rPr>
              <w:t>Issuance of common stock for notes receivable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Issuance of put option by stockholder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40"/>
              <w:spacing w:after="0"/>
              <w:rPr>
                <w:sz w:val="20"/>
                <w:szCs w:val="20"/>
                <w:color w:val="auto"/>
              </w:rPr>
            </w:pPr>
            <w:r>
              <w:rPr>
                <w:rFonts w:ascii="Arial" w:cs="Arial" w:eastAsia="Arial" w:hAnsi="Arial"/>
                <w:sz w:val="18"/>
                <w:szCs w:val="18"/>
                <w:color w:val="auto"/>
              </w:rPr>
              <w:t>Put option redemption by stockholder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Issuance of Series C convertible preferred stock subscriptions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40"/>
              <w:spacing w:after="0"/>
              <w:rPr>
                <w:sz w:val="20"/>
                <w:szCs w:val="20"/>
                <w:color w:val="auto"/>
              </w:rPr>
            </w:pPr>
            <w:r>
              <w:rPr>
                <w:rFonts w:ascii="Arial" w:cs="Arial" w:eastAsia="Arial" w:hAnsi="Arial"/>
                <w:sz w:val="18"/>
                <w:szCs w:val="18"/>
                <w:color w:val="auto"/>
              </w:rPr>
              <w:t>Issuance of Series A redeemable convertible preferred stock</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Conversion of Series A redeemable convertible preferred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640"/>
              <w:spacing w:after="0"/>
              <w:rPr>
                <w:sz w:val="20"/>
                <w:szCs w:val="20"/>
                <w:color w:val="auto"/>
              </w:rPr>
            </w:pPr>
            <w:r>
              <w:rPr>
                <w:rFonts w:ascii="Arial" w:cs="Arial" w:eastAsia="Arial" w:hAnsi="Arial"/>
                <w:sz w:val="18"/>
                <w:szCs w:val="18"/>
                <w:color w:val="auto"/>
              </w:rPr>
              <w:t>Non-cash construction in progress and property and equipment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4,072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Capitalization of interest on note payable to related party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w w:val="91"/>
              </w:rPr>
              <w:t>Reduction of principal on note payable to related party upon issuance of common stock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64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16,681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184,537</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212,334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Forward purchase contracts contribution to additional paid-in capital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29,317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tcPr>
          <w:p>
            <w:pPr>
              <w:ind w:left="420"/>
              <w:spacing w:after="0"/>
              <w:rPr>
                <w:sz w:val="20"/>
                <w:szCs w:val="20"/>
                <w:color w:val="auto"/>
              </w:rPr>
            </w:pPr>
            <w:r>
              <w:rPr>
                <w:rFonts w:ascii="Arial" w:cs="Arial" w:eastAsia="Arial" w:hAnsi="Arial"/>
                <w:sz w:val="18"/>
                <w:szCs w:val="18"/>
                <w:color w:val="auto"/>
              </w:rPr>
              <w:t>Reclassification of forward purchase contracts to additional paid-in capital</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28,080</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28,080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96"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 MannKind Corporation and subsidiaries (the “Company”) is a biopharmaceutical company focused on the discovery,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therapeutic products for diseases such as diabetes. The Company’s lead product candidate, AFREZZA, (insulin human [rDNA origin]) inhalation powder, is an ultra rapid-acting insulin therapy that is in late-stage clinical investigation for the treatment of adults with type 1 or type 2 diabetes for the control of hyperglycemia.</w:t>
      </w:r>
    </w:p>
    <w:p>
      <w:pPr>
        <w:spacing w:after="0" w:line="62"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AFREZZA consists of the Company’s proprietary Technosphere particles onto which insulin molecules are loaded. These loaded particles are then aerosolized and inhaled deep into the lung using the Company’s AFREZZA inhaler.</w:t>
      </w:r>
    </w:p>
    <w:p>
      <w:pPr>
        <w:spacing w:after="0" w:line="51"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Company is considered to be in the development stage as its primary activities and since incorporation has been establishing its</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recruiting personnel, conducting research and development, business development, business and financial planning, and raising capital. It is costly to develop therapeutic products and conduct clinical trials for the Company’s products. Since its inception through December 31, 2012, the Company has reported accumulated net losses of $2.1 billion, which include a goodwill impairment charge of $151.4 million (see Note 2), and cumulative negative cash flow from operations of $1.6 billion. At December 31, 2012, the Company’s capital resources consisted of cash and cash equivalents of $61.8 million.</w:t>
      </w:r>
    </w:p>
    <w:p>
      <w:pPr>
        <w:spacing w:after="0" w:line="35"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In October 2007, the Company entered into a $350.0 million loan arrangement with its principal stockholder, The Mann Group, LLC (“The Mann Group”). In December 2012, the Company amended and restated the promissory note underlying the loan arrangement to, among other things, extend the maturity date of the promissory note to January 1, 2014, extend the date through which the Company can borrow under the promissory note to September 30, 2013, and adjust the annual interest rate on all outstanding principal to the one-year London Interbank Offered Rate (LIBOR) on December 31, 2012 plus 5%, effective January 1, 2013 (see Note 6 — Related-party arrangements).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October 2012, concurrently with an underwritten public offering (see Note 10 — Common and preferred stock), The Mann Group agreed to purchase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$107.4 million worth of restricted shares of common stock and restricted warrants in exchange for cancellation of principal under the $350.0 million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restated promissory note, the closing of which was completed in December 31, 2012. Following the cancellation of the principal amount and the capitalization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accrued and unpaid interest, the total principal amount outstanding under the amended and restated promissory note was $119.6 million, and the Company had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$125.4 million available for borrowing under the amended and restated promissory note (see Note 6 — Related-party arrangements). On December 15,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$115.0 million aggregate principal will be due under the 3.75% Senior Convertible Notes for unconverted securities on that date (see Note 7 — Senior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84"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Based upon the Company’s current expectations, management believes the Company’s existing capital resources, including the available borrowings under our loan arrangement with The Mann Group, as amended, will enable it to continue planned operations through at least the third quarter of 2013. However, the Company cannot provide assurances that its plans will not change or that changed circumstances will not result in the depletion of its capital resources more rapidly than it currently anticipates. The Company will need to raise additional capital, whether through the sale of equity or debt securities, a strategic business collaboration with a pharmaceutical company, the establishment of other funding facilities, licensing arrangements, asset sales or other means, in order to continue the development and commercialization of AFREZZA and other product candidates and to support its other ongoing activities. However, the Company cannot provide assurances that such additional capital will be available whether through the sale of equity or debt securities, a strategic business collaboration with a pharmaceutical company, the establishment of other funding facilities, licensing arrangements, asset sales or other means. This raises substantial doubt about the Company’s ability to continue as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 going concern. The financial statements do not include any adjustments that might result from the outcome of these uncertainties.</w:t>
      </w:r>
    </w:p>
    <w:p>
      <w:pPr>
        <w:spacing w:after="0" w:line="90"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On December 12, 2001, the stockholders of AlleCure Corp. (“AlleCure”) and CTL ImmunoTherapies Corp. (“CTL”) voted to exchange their shares for shares of Pharmaceutical Discovery Corporation (“PDC”). Upon</w:t>
      </w:r>
    </w:p>
    <w:p>
      <w:pPr>
        <w:ind w:right="140"/>
        <w:spacing w:after="0" w:line="287" w:lineRule="auto"/>
        <w:rPr>
          <w:sz w:val="20"/>
          <w:szCs w:val="20"/>
          <w:color w:val="auto"/>
        </w:rPr>
      </w:pPr>
      <w:r>
        <w:rPr>
          <w:rFonts w:ascii="Arial" w:cs="Arial" w:eastAsia="Arial" w:hAnsi="Arial"/>
          <w:sz w:val="16"/>
          <w:szCs w:val="16"/>
          <w:color w:val="auto"/>
        </w:rPr>
        <w:t>approval of the merger, PDC then changed its name to MannKind Corporation. PDC was incorporated in the State of Delaware on February 14, 1991. The stockholders of PDC did not vote on the merger. At the date of the merger, Mr. Alfred Mann owned 76% of PDC, 59% of AlleCure and 69% of CTL. Accordingly, only the minority interest of AlleCure and CTL was stepped up to fair value using the purchase method of accounting. As a result of this purchase accounting, in-process research and development of $19.7 million and goodwill of $151.4 million were recorded at the entity level. The historical basis of PDC and the historical basis relating to the ownership interests of Mr. Mann in AlleCure and CTL have been reflected in the financial statements. For periods prior to December 12, 2001, the results of operations have been presented on a combined basis. All references in the accompanying financial statements and notes to the financial statements to number of shares, sales price and per share amounts of the Company’s capital stock have been retroactively restated to reflect the share exchange ratios for each of the entities that participated in the merger.</w:t>
      </w:r>
    </w:p>
    <w:p>
      <w:pPr>
        <w:spacing w:after="0" w:line="43" w:lineRule="exact"/>
        <w:rPr>
          <w:sz w:val="20"/>
          <w:szCs w:val="20"/>
          <w:color w:val="auto"/>
        </w:rPr>
      </w:pPr>
    </w:p>
    <w:p>
      <w:pPr>
        <w:ind w:right="300" w:firstLine="228"/>
        <w:spacing w:after="0" w:line="357" w:lineRule="auto"/>
        <w:rPr>
          <w:sz w:val="20"/>
          <w:szCs w:val="20"/>
          <w:color w:val="auto"/>
        </w:rPr>
      </w:pPr>
      <w:r>
        <w:rPr>
          <w:rFonts w:ascii="Arial" w:cs="Arial" w:eastAsia="Arial" w:hAnsi="Arial"/>
          <w:sz w:val="15"/>
          <w:szCs w:val="15"/>
          <w:color w:val="auto"/>
        </w:rPr>
        <w:t>For periods subsequent to December 12, 2001, the accompanying financial statements have been presented on a consolidated basis and include the wholly-owned subsidiaries, AlleCure and CTL. On December 31, 2002, AlleCure and CTL merged with and into MannKind and ceased to be separate entities.</w:t>
      </w:r>
    </w:p>
    <w:p>
      <w:pPr>
        <w:ind w:right="260" w:firstLine="228"/>
        <w:spacing w:after="0" w:line="268"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consolidated financial statements include the accounts of the Company and its wholly-owned subsidiaries.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and transactions have been eliminated.</w:t>
      </w:r>
    </w:p>
    <w:p>
      <w:pPr>
        <w:spacing w:after="0" w:line="51" w:lineRule="exact"/>
        <w:rPr>
          <w:sz w:val="20"/>
          <w:szCs w:val="20"/>
          <w:color w:val="auto"/>
        </w:rPr>
      </w:pPr>
    </w:p>
    <w:p>
      <w:pPr>
        <w:ind w:right="160" w:firstLine="228"/>
        <w:spacing w:after="0" w:line="256" w:lineRule="auto"/>
        <w:rPr>
          <w:sz w:val="20"/>
          <w:szCs w:val="20"/>
          <w:color w:val="auto"/>
        </w:rPr>
      </w:pPr>
      <w:r>
        <w:rPr>
          <w:rFonts w:ascii="Arial" w:cs="Arial" w:eastAsia="Arial" w:hAnsi="Arial"/>
          <w:sz w:val="18"/>
          <w:szCs w:val="18"/>
          <w:i w:val="1"/>
          <w:iCs w:val="1"/>
          <w:color w:val="auto"/>
        </w:rPr>
        <w:t xml:space="preserve">Segment Information </w:t>
      </w:r>
      <w:r>
        <w:rPr>
          <w:rFonts w:ascii="Arial" w:cs="Arial" w:eastAsia="Arial" w:hAnsi="Arial"/>
          <w:sz w:val="18"/>
          <w:szCs w:val="18"/>
          <w:color w:val="auto"/>
        </w:rPr>
        <w:t>— In accordance with Accounting Standards Codification (“ASC”) 280-10-50</w:t>
      </w:r>
      <w:r>
        <w:rPr>
          <w:rFonts w:ascii="Arial" w:cs="Arial" w:eastAsia="Arial" w:hAnsi="Arial"/>
          <w:sz w:val="18"/>
          <w:szCs w:val="18"/>
          <w:i w:val="1"/>
          <w:iCs w:val="1"/>
          <w:color w:val="auto"/>
        </w:rPr>
        <w:t xml:space="preserve"> Segment Reporting</w:t>
      </w:r>
      <w:r>
        <w:rPr>
          <w:rFonts w:ascii="Arial" w:cs="Arial" w:eastAsia="Arial" w:hAnsi="Arial"/>
          <w:sz w:val="18"/>
          <w:szCs w:val="18"/>
          <w:color w:val="auto"/>
        </w:rPr>
        <w:t>, operating segments are identified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an enterprise about which separate discrete financial information is available for evaluation by the chief operating decision-maker in making decisions regarding resource allocation and assessing performance. To date, the Company has viewed its operations and manages its business as one segment operating primarily in the United States of America.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i w:val="1"/>
          <w:iCs w:val="1"/>
          <w:color w:val="auto"/>
        </w:rPr>
        <w:t xml:space="preserve">Financial Statement Estimates </w:t>
      </w:r>
      <w:r>
        <w:rPr>
          <w:rFonts w:ascii="Arial" w:cs="Arial" w:eastAsia="Arial" w:hAnsi="Arial"/>
          <w:sz w:val="18"/>
          <w:szCs w:val="18"/>
          <w:color w:val="auto"/>
        </w:rPr>
        <w:t>— The preparation of financial statements in conformity with accounting principles generally accepted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(“GAAP”) requires management to make estimates and assumptions that affect the amounts reported in the financial statements and accompanying notes. Actual results could differ from those estimates. The more significant estimates reflected in these accompanying financial statements involve assessing long-lived assets for impairment, accrued expenses, including clinical trial expenses, valuation of forward purchase contracts, valuation of stock-based compensation and the determination of the provision for income taxes and corresponding deferred tax assets and liabilities and any valuation allowance recorded against net deferred tax assets.</w:t>
      </w:r>
    </w:p>
    <w:p>
      <w:pPr>
        <w:spacing w:after="0" w:line="63"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original or remaining maturities of 90 days or less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that are readily convertible into cash to be cash equivalents.</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Concentration of Credit Risk </w:t>
      </w:r>
      <w:r>
        <w:rPr>
          <w:rFonts w:ascii="Arial" w:cs="Arial" w:eastAsia="Arial" w:hAnsi="Arial"/>
          <w:sz w:val="16"/>
          <w:szCs w:val="16"/>
          <w:color w:val="auto"/>
        </w:rPr>
        <w:t>— Financial instruments that potentially subject the Company to concentration of credit risk consist of cash and cash equivalents.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consist primarily of interest-bearing accounts and are regularly monitored by management and held in high credit quality institutions.</w:t>
      </w:r>
    </w:p>
    <w:p>
      <w:pPr>
        <w:spacing w:after="0" w:line="107"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i w:val="1"/>
          <w:iCs w:val="1"/>
          <w:color w:val="auto"/>
        </w:rPr>
        <w:t xml:space="preserve">State Research and Development Credit Exchange Receivable </w:t>
      </w:r>
      <w:r>
        <w:rPr>
          <w:rFonts w:ascii="Arial" w:cs="Arial" w:eastAsia="Arial" w:hAnsi="Arial"/>
          <w:sz w:val="18"/>
          <w:szCs w:val="18"/>
          <w:color w:val="auto"/>
        </w:rPr>
        <w:t>— The State of Connecticut provides certain companies with the opportunity to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research and development income tax credit carryforwards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cash in exchange for foregoing the carryforward of the research and development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w:t>
      </w:r>
    </w:p>
    <w:p>
      <w:pPr>
        <w:spacing w:after="0" w:line="59"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utilizes fair value measurement guidance prescribed by GAAP to value its financial instruments.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includes a definition of fair value, prescribes methods for measuring fair value, establishes a fair value hierarchy based on the inputs used to measure fair value and expands disclosures about the use of fair value measurements. 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90"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90"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i w:val="1"/>
          <w:iCs w:val="1"/>
          <w:color w:val="auto"/>
        </w:rPr>
        <w:t xml:space="preserve">Goodwill and Identifiable Intangibles </w:t>
      </w:r>
      <w:r>
        <w:rPr>
          <w:rFonts w:ascii="Arial" w:cs="Arial" w:eastAsia="Arial" w:hAnsi="Arial"/>
          <w:sz w:val="16"/>
          <w:szCs w:val="16"/>
          <w:color w:val="auto"/>
        </w:rPr>
        <w:t>— As a result of the merger with AlleCure and CTL on December 12, 2001, as described in Note 1, goodwill of $151.4</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was recorded at the entity level in 2001. Upon adoption of ASC 350-10 </w:t>
      </w:r>
      <w:r>
        <w:rPr>
          <w:rFonts w:ascii="Arial" w:cs="Arial" w:eastAsia="Arial" w:hAnsi="Arial"/>
          <w:sz w:val="16"/>
          <w:szCs w:val="16"/>
          <w:i w:val="1"/>
          <w:iCs w:val="1"/>
          <w:color w:val="auto"/>
        </w:rPr>
        <w:t>Intangibles- Goodwill and Other,</w:t>
      </w:r>
      <w:r>
        <w:rPr>
          <w:rFonts w:ascii="Arial" w:cs="Arial" w:eastAsia="Arial" w:hAnsi="Arial"/>
          <w:sz w:val="16"/>
          <w:szCs w:val="16"/>
          <w:color w:val="auto"/>
        </w:rPr>
        <w:t xml:space="preserve"> the Company adopted a policy of testing goodwill and intangible assets with indefinite lives for impairment at least annually, as of December 31, with any related impairment losses being recognized in earnings when identified. In December 2002 the Company concluded that the major AlleCure product development program should be terminated and that the clinical trials of the CTL product should be halted and returned to the research stage. As a result of this determination, the Company closed the CTL facility and reduced headcount for AlleCure and CTL by approximately 50%. In connection with the annual test for impairment of goodwill as of December 31, 2002, the Company determined that on the basis of the internal study, the goodwill recorded for the AlleCure and CTL units was potentially impaired. The Company performed the second step of the annual impairment test as of December 31, 2002 for each of the potentially impaired reporting units and estimated the fair value of the AlleCure and CTL programs using the expected present value of future cash flows which were expected to be negligible. Accordingly, the goodwill balance of $151.4 million was determined to be fully impaired and an impairment loss was recorded in 2002. Subsequent to December 31, 2002, the Company had no goodwill or intangibles with indefinite lives included on its balance sheets.</w:t>
      </w:r>
    </w:p>
    <w:p>
      <w:pPr>
        <w:spacing w:after="0" w:line="46" w:lineRule="exact"/>
        <w:rPr>
          <w:sz w:val="20"/>
          <w:szCs w:val="20"/>
          <w:color w:val="auto"/>
        </w:rPr>
      </w:pPr>
    </w:p>
    <w:p>
      <w:pPr>
        <w:ind w:right="160" w:firstLine="228"/>
        <w:spacing w:after="0" w:line="259"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recorded at cost and depreciated using the straight-line method over the estimated useful lives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assets. Leasehold improvements are amortized over the term of the lease or the service lives of the improvements, whichever is shorter. Assets under construction are not depreciated until placed into service.</w:t>
      </w:r>
    </w:p>
    <w:p>
      <w:pPr>
        <w:spacing w:after="0" w:line="59" w:lineRule="exact"/>
        <w:rPr>
          <w:sz w:val="20"/>
          <w:szCs w:val="20"/>
          <w:color w:val="auto"/>
        </w:rPr>
      </w:pPr>
    </w:p>
    <w:p>
      <w:pPr>
        <w:jc w:val="both"/>
        <w:ind w:right="120" w:firstLine="228"/>
        <w:spacing w:after="0" w:line="306"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carrying value of an asset may not be recoverable in accordance with ASC 360-10-35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Assets are considered to be impaired if the carrying value may not be recoverable based upon management’s assessment of the following events or changes in circumstances:</w:t>
      </w:r>
    </w:p>
    <w:p>
      <w:pPr>
        <w:spacing w:after="0" w:line="26" w:lineRule="exact"/>
        <w:rPr>
          <w:sz w:val="20"/>
          <w:szCs w:val="20"/>
          <w:color w:val="auto"/>
        </w:rPr>
      </w:pPr>
    </w:p>
    <w:p>
      <w:pPr>
        <w:ind w:left="440" w:hanging="216"/>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changes in the Company’s strategic business objectives and utilization of the assets;</w:t>
      </w:r>
    </w:p>
    <w:p>
      <w:pPr>
        <w:spacing w:after="0" w:line="90" w:lineRule="exact"/>
        <w:rPr>
          <w:rFonts w:ascii="Arial" w:cs="Arial" w:eastAsia="Arial" w:hAnsi="Arial"/>
          <w:sz w:val="18"/>
          <w:szCs w:val="18"/>
          <w:color w:val="auto"/>
        </w:rPr>
      </w:pPr>
    </w:p>
    <w:p>
      <w:pPr>
        <w:ind w:left="440" w:hanging="216"/>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determination that the carrying value of such assets can not be recovered through undiscounted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40" w:hanging="216"/>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legal ownership or title to the assets;</w:t>
      </w:r>
    </w:p>
    <w:p>
      <w:pPr>
        <w:spacing w:after="0" w:line="90" w:lineRule="exact"/>
        <w:rPr>
          <w:rFonts w:ascii="Arial" w:cs="Arial" w:eastAsia="Arial" w:hAnsi="Arial"/>
          <w:sz w:val="18"/>
          <w:szCs w:val="18"/>
          <w:color w:val="auto"/>
        </w:rPr>
      </w:pPr>
    </w:p>
    <w:p>
      <w:pPr>
        <w:ind w:left="440" w:right="220" w:hanging="216"/>
        <w:spacing w:after="0" w:line="268"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a long-lived asset (asset group), including an adverse action or assessment by a regulator; or</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significant negative industry or economic trends.</w:t>
      </w:r>
    </w:p>
    <w:p>
      <w:pPr>
        <w:spacing w:after="0" w:line="90"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If the Company believes an asset to be impaired, the impairment recognized is the amount by which the carrying value of the assets exceeds the fair value of the assets. Any write-downs would be treated as permanent reductions in the carrying amount of the asset and an operating loss would be recognized. No asset impairment was recognized during the years ended December 31, 2010, 2011 and 2012, respectively.</w:t>
      </w:r>
    </w:p>
    <w:p>
      <w:pPr>
        <w:spacing w:after="0" w:line="26"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i w:val="1"/>
          <w:iCs w:val="1"/>
          <w:color w:val="auto"/>
        </w:rPr>
        <w:t xml:space="preserve">Accounts Payable and Accrued Expenses </w:t>
      </w:r>
      <w:r>
        <w:rPr>
          <w:rFonts w:ascii="Arial" w:cs="Arial" w:eastAsia="Arial" w:hAnsi="Arial"/>
          <w:sz w:val="18"/>
          <w:szCs w:val="18"/>
          <w:color w:val="auto"/>
        </w:rPr>
        <w:t>— All liabilities, including accounts payable and accrued expenses, are recorded consistent with the definition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and accrual accounting</w:t>
      </w:r>
      <w:r>
        <w:rPr>
          <w:rFonts w:ascii="Arial" w:cs="Arial" w:eastAsia="Arial" w:hAnsi="Arial"/>
          <w:sz w:val="18"/>
          <w:szCs w:val="18"/>
          <w:i w:val="1"/>
          <w:iCs w:val="1"/>
          <w:color w:val="auto"/>
        </w:rPr>
        <w:t>.</w:t>
      </w:r>
    </w:p>
    <w:p>
      <w:pPr>
        <w:spacing w:after="0" w:line="51" w:lineRule="exact"/>
        <w:rPr>
          <w:sz w:val="20"/>
          <w:szCs w:val="20"/>
          <w:color w:val="auto"/>
        </w:rPr>
      </w:pPr>
    </w:p>
    <w:p>
      <w:pPr>
        <w:ind w:right="200" w:firstLine="228"/>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Provisions for federal, foreign, state, and local income taxes are calculated on pre-tax income based on current tax law and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effect of any changes in tax rates from those used previously in determining deferred tax assets and liabilities. Deferred income tax assets and liabilities are recorded for the expected future tax consequences of temporary differences between the financial statement carrying amounts and the income tax basis of assets and liabilities. A valuation allowance is recorded to reduce net deferred income tax assets to amounts that are more likely than not to be realized (see Note 15).</w:t>
      </w:r>
    </w:p>
    <w:p>
      <w:pPr>
        <w:spacing w:after="0" w:line="62"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 xml:space="preserve">Income tax positions are considered for uncertainty in accordance with ASC 740-10-25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if any. Penalties, if probable and reasonably estimable, are recognized as a component of income tax expense.</w:t>
      </w:r>
    </w:p>
    <w:p>
      <w:pPr>
        <w:spacing w:after="0" w:line="39"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Significant management judgment is involved in determining the provision for income taxes, deferred tax assets and liabilities and any valuation allowance recorded against net deferred tax assets. Due to uncertainties related to the realization of the Company’s deferred tax assets as a result of its history of operating losses, a valuation allowance has been established against the gross deferred tax asset balance. The valuation allowance is based on management’s estimates of taxable income by jurisdiction in which the Company operates and the period over which deferred tax assets will be recoverable. In the event that actual results differ from these estimates or the Company adjusts these estimates in future periods, a change in the valuation allowance may be needed, which could materially impact the Company’s financial position and results of operations.</w:t>
      </w:r>
    </w:p>
    <w:p>
      <w:pPr>
        <w:spacing w:after="0" w:line="39"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Contingencies are recorded in accordance with ASC 450</w:t>
      </w:r>
      <w:r>
        <w:rPr>
          <w:rFonts w:ascii="Arial" w:cs="Arial" w:eastAsia="Arial" w:hAnsi="Arial"/>
          <w:sz w:val="18"/>
          <w:szCs w:val="18"/>
          <w:i w:val="1"/>
          <w:iCs w:val="1"/>
          <w:color w:val="auto"/>
        </w:rPr>
        <w:t xml:space="preserve"> Contingencies. </w:t>
      </w:r>
      <w:r>
        <w:rPr>
          <w:rFonts w:ascii="Arial" w:cs="Arial" w:eastAsia="Arial" w:hAnsi="Arial"/>
          <w:sz w:val="18"/>
          <w:szCs w:val="18"/>
          <w:color w:val="auto"/>
        </w:rPr>
        <w:t>Accordingly, the Company records a loss contingency for a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when it is both probable that a liability has been incurred and the amount of the loss can be reasonably estimated.</w:t>
      </w:r>
    </w:p>
    <w:p>
      <w:pPr>
        <w:spacing w:after="0" w:line="51" w:lineRule="exact"/>
        <w:rPr>
          <w:sz w:val="20"/>
          <w:szCs w:val="20"/>
          <w:color w:val="auto"/>
        </w:rPr>
      </w:pPr>
    </w:p>
    <w:p>
      <w:pPr>
        <w:ind w:right="180" w:firstLine="228"/>
        <w:spacing w:after="0" w:line="291"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As of December 31, 2012, the Company had three active stock-based compensation plans, which are described more fully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 12. The Company accounts for all share-based payments to employees, including grants of stock awards and the compensatory elements of the employee stock purchase plan in accordance with ASC 718 </w:t>
      </w:r>
      <w:r>
        <w:rPr>
          <w:rFonts w:ascii="Arial" w:cs="Arial" w:eastAsia="Arial" w:hAnsi="Arial"/>
          <w:sz w:val="16"/>
          <w:szCs w:val="16"/>
          <w:i w:val="1"/>
          <w:iCs w:val="1"/>
          <w:color w:val="auto"/>
        </w:rPr>
        <w:t>Compensation- Stock Compensation</w:t>
      </w:r>
      <w:r>
        <w:rPr>
          <w:rFonts w:ascii="Arial" w:cs="Arial" w:eastAsia="Arial" w:hAnsi="Arial"/>
          <w:sz w:val="16"/>
          <w:szCs w:val="16"/>
          <w:color w:val="auto"/>
        </w:rPr>
        <w:t xml:space="preserve"> (“ASC 718”)</w:t>
      </w:r>
      <w:r>
        <w:rPr>
          <w:rFonts w:ascii="Arial" w:cs="Arial" w:eastAsia="Arial" w:hAnsi="Arial"/>
          <w:sz w:val="16"/>
          <w:szCs w:val="16"/>
          <w:i w:val="1"/>
          <w:iCs w:val="1"/>
          <w:color w:val="auto"/>
        </w:rPr>
        <w:t>.</w:t>
      </w:r>
      <w:r>
        <w:rPr>
          <w:rFonts w:ascii="Arial" w:cs="Arial" w:eastAsia="Arial" w:hAnsi="Arial"/>
          <w:sz w:val="16"/>
          <w:szCs w:val="16"/>
          <w:color w:val="auto"/>
        </w:rPr>
        <w:t xml:space="preserve"> ASC 718 requires all share-based payments to employees, including grants of stock options, restricted stock units, performance-based awards and the compensatory elements of employee stock purchase plans, to be recognized in the income statement based upon the fair value of the awards at the grant date. The Company uses the Black-Scholes option valuation model to estimate the grant date fair value of employee stock options and the compensatory elements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of employee stock purchase plans. Restricted stock units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59"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 The Company has issued warrants to purchase shares of its common stock. Warrants have been accounted for within equity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provisions of ASC 815-40 Derivatives and Hedging, Contracts in an Entity’s Own Stock, previously EITF Issue No. 00-19: Accounting for Derivative Financial Instruments Indexed to, and Potentially Settled in, a Company’s Own Stock.</w:t>
      </w:r>
    </w:p>
    <w:p>
      <w:pPr>
        <w:spacing w:after="0" w:line="59"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i w:val="1"/>
          <w:iCs w:val="1"/>
          <w:color w:val="auto"/>
        </w:rPr>
        <w:t xml:space="preserve">Forward Contracts </w:t>
      </w:r>
      <w:r>
        <w:rPr>
          <w:rFonts w:ascii="Arial" w:cs="Arial" w:eastAsia="Arial" w:hAnsi="Arial"/>
          <w:sz w:val="16"/>
          <w:szCs w:val="16"/>
          <w:color w:val="auto"/>
        </w:rPr>
        <w:t>— The Company has entered into agreements with The Mann Group whereby the Company agreed to sell and The Mann Group agreed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purchase common stock and/or warrants. These agreements have been accounted for as forward contracts, having met the definition of derivative instruments in accordance with the provisions of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Company determines the fair value of the forward contract upon its issuance, records fair value adjustments of the forward contract to Other income (expense) during the reporting period and through the settlement of the forward contract, and reclassifies the forward contract to equity upon settlement of the forward contract.</w:t>
      </w:r>
    </w:p>
    <w:p>
      <w:pPr>
        <w:spacing w:after="0" w:line="35"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i w:val="1"/>
          <w:iCs w:val="1"/>
          <w:color w:val="auto"/>
        </w:rPr>
        <w:t xml:space="preserve">Comprehensive Income (Loss) </w:t>
      </w:r>
      <w:r>
        <w:rPr>
          <w:rFonts w:ascii="Arial" w:cs="Arial" w:eastAsia="Arial" w:hAnsi="Arial"/>
          <w:sz w:val="18"/>
          <w:szCs w:val="18"/>
          <w:color w:val="auto"/>
        </w:rPr>
        <w:t>— Other comprehensive income (loss) (OCI) is recorded in accordance with ASC 220-10-45</w:t>
      </w:r>
      <w:r>
        <w:rPr>
          <w:rFonts w:ascii="Arial" w:cs="Arial" w:eastAsia="Arial" w:hAnsi="Arial"/>
          <w:sz w:val="18"/>
          <w:szCs w:val="18"/>
          <w:i w:val="1"/>
          <w:iCs w:val="1"/>
          <w:color w:val="auto"/>
        </w:rPr>
        <w:t xml:space="preserve"> Comprehensive Income, </w:t>
      </w:r>
      <w:r>
        <w:rPr>
          <w:rFonts w:ascii="Arial" w:cs="Arial" w:eastAsia="Arial" w:hAnsi="Arial"/>
          <w:sz w:val="18"/>
          <w:szCs w:val="18"/>
          <w:color w:val="auto"/>
        </w:rPr>
        <w:t>which</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that all components of comprehensive income (loss) be reported in the financial statements in the period in which they are recognized. OCI includes certain changes in stockholders’ equity that are excluded from net income. Specifically, the Company includes in OCI unrealized gains and losses on its available-for-sale securities and cumulative translation gains and losses.</w:t>
      </w:r>
    </w:p>
    <w:p>
      <w:pPr>
        <w:spacing w:after="0" w:line="62" w:lineRule="exact"/>
        <w:rPr>
          <w:sz w:val="20"/>
          <w:szCs w:val="20"/>
          <w:color w:val="auto"/>
        </w:rPr>
      </w:pPr>
    </w:p>
    <w:p>
      <w:pPr>
        <w:jc w:val="both"/>
        <w:ind w:right="140" w:firstLine="228"/>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 Research and development expenses consist primarily of costs associated with the clinical trials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 candidates, manufacturing supplies and other development materials, including raw material purchases of insulin, 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 consistent with ASC 730-10 </w:t>
      </w:r>
      <w:r>
        <w:rPr>
          <w:rFonts w:ascii="Arial" w:cs="Arial" w:eastAsia="Arial" w:hAnsi="Arial"/>
          <w:sz w:val="18"/>
          <w:szCs w:val="18"/>
          <w:i w:val="1"/>
          <w:iCs w:val="1"/>
          <w:color w:val="auto"/>
        </w:rPr>
        <w:t>Research and Development.</w:t>
      </w:r>
    </w:p>
    <w:p>
      <w:pPr>
        <w:spacing w:after="0" w:line="62"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i w:val="1"/>
          <w:iCs w:val="1"/>
          <w:color w:val="auto"/>
        </w:rPr>
        <w:t xml:space="preserve">Clinical Trial Expenses </w:t>
      </w:r>
      <w:r>
        <w:rPr>
          <w:rFonts w:ascii="Arial" w:cs="Arial" w:eastAsia="Arial" w:hAnsi="Arial"/>
          <w:sz w:val="16"/>
          <w:szCs w:val="16"/>
          <w:color w:val="auto"/>
        </w:rPr>
        <w:t>— Clinical trial expenses, which are reflected in research and development expenses in the accompanying statements of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 The date on which certain services commence, the level of services performed on or before a given date and the cost of the services are often judgmental.</w:t>
      </w:r>
    </w:p>
    <w:p>
      <w:pPr>
        <w:spacing w:after="0" w:line="42" w:lineRule="exact"/>
        <w:rPr>
          <w:sz w:val="20"/>
          <w:szCs w:val="20"/>
          <w:color w:val="auto"/>
        </w:rPr>
      </w:pPr>
    </w:p>
    <w:p>
      <w:pPr>
        <w:ind w:right="320" w:firstLine="22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costs are expensed as incurred, except to the extent such interest is related to construction in progress, in which case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Interest expense, net of interest capitalized, for the years ended December 31, 2010, 2011 and 2012 was $17.4 million, $21.8 million and $21.6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respectively. Interest costs capitalized was not significant for the year ended December 31, 2010 and were $0.4 million and $0.3 million for the years ended December 31, 2011 and 2012, respectively.</w:t>
      </w:r>
    </w:p>
    <w:p>
      <w:pPr>
        <w:spacing w:after="0" w:line="51" w:lineRule="exact"/>
        <w:rPr>
          <w:sz w:val="20"/>
          <w:szCs w:val="20"/>
          <w:color w:val="auto"/>
        </w:rPr>
      </w:pPr>
    </w:p>
    <w:p>
      <w:pPr>
        <w:ind w:right="160" w:firstLine="228"/>
        <w:spacing w:after="0" w:line="294" w:lineRule="auto"/>
        <w:rPr>
          <w:sz w:val="20"/>
          <w:szCs w:val="20"/>
          <w:color w:val="auto"/>
        </w:rPr>
      </w:pPr>
      <w:r>
        <w:rPr>
          <w:rFonts w:ascii="Arial" w:cs="Arial" w:eastAsia="Arial" w:hAnsi="Arial"/>
          <w:sz w:val="16"/>
          <w:szCs w:val="16"/>
          <w:i w:val="1"/>
          <w:iCs w:val="1"/>
          <w:color w:val="auto"/>
        </w:rPr>
        <w:t xml:space="preserve">Net Loss Per Share of Common Stock </w:t>
      </w:r>
      <w:r>
        <w:rPr>
          <w:rFonts w:ascii="Arial" w:cs="Arial" w:eastAsia="Arial" w:hAnsi="Arial"/>
          <w:sz w:val="16"/>
          <w:szCs w:val="16"/>
          <w:color w:val="auto"/>
        </w:rPr>
        <w:t>— Basic net loss per share excludes dilution for potentially dilutive securities and is computed by dividing loss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w:t>
      </w:r>
    </w:p>
    <w:p>
      <w:pPr>
        <w:spacing w:after="0" w:line="35" w:lineRule="exact"/>
        <w:rPr>
          <w:sz w:val="20"/>
          <w:szCs w:val="20"/>
          <w:color w:val="auto"/>
        </w:rPr>
      </w:pPr>
    </w:p>
    <w:p>
      <w:pPr>
        <w:jc w:val="both"/>
        <w:ind w:right="240" w:firstLine="228"/>
        <w:spacing w:after="0" w:line="306" w:lineRule="auto"/>
        <w:rPr>
          <w:sz w:val="20"/>
          <w:szCs w:val="20"/>
          <w:color w:val="auto"/>
        </w:rPr>
      </w:pPr>
      <w:r>
        <w:rPr>
          <w:rFonts w:ascii="Arial" w:cs="Arial" w:eastAsia="Arial" w:hAnsi="Arial"/>
          <w:sz w:val="16"/>
          <w:szCs w:val="16"/>
          <w:i w:val="1"/>
          <w:iCs w:val="1"/>
          <w:color w:val="auto"/>
        </w:rPr>
        <w:t xml:space="preserve">Exit or Disposal Activities </w:t>
      </w:r>
      <w:r>
        <w:rPr>
          <w:rFonts w:ascii="Arial" w:cs="Arial" w:eastAsia="Arial" w:hAnsi="Arial"/>
          <w:sz w:val="16"/>
          <w:szCs w:val="16"/>
          <w:color w:val="auto"/>
        </w:rPr>
        <w:t>— The obligations related to exit or disposal activities, including reductions in force, are accounted for in accordance with ASC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420-10-30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xml:space="preserve"> (“ASC 420-10-30”)</w:t>
      </w:r>
      <w:r>
        <w:rPr>
          <w:rFonts w:ascii="Arial" w:cs="Arial" w:eastAsia="Arial" w:hAnsi="Arial"/>
          <w:sz w:val="16"/>
          <w:szCs w:val="16"/>
          <w:i w:val="1"/>
          <w:iCs w:val="1"/>
          <w:color w:val="auto"/>
        </w:rPr>
        <w:t>.</w:t>
      </w:r>
      <w:r>
        <w:rPr>
          <w:rFonts w:ascii="Arial" w:cs="Arial" w:eastAsia="Arial" w:hAnsi="Arial"/>
          <w:sz w:val="16"/>
          <w:szCs w:val="16"/>
          <w:color w:val="auto"/>
        </w:rPr>
        <w:t xml:space="preserve"> In accordance with ASC 420-10-30, a liability for costs associated with an exit or disposal activity is recognized when the liability is incurred and establishes that fair value is the objective for initial measurements of the liability.</w:t>
      </w:r>
    </w:p>
    <w:p>
      <w:pPr>
        <w:spacing w:after="0" w:line="26"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i w:val="1"/>
          <w:iCs w:val="1"/>
          <w:color w:val="auto"/>
        </w:rPr>
        <w:t xml:space="preserve">Recently Issued Accounting Standards — </w:t>
      </w:r>
      <w:r>
        <w:rPr>
          <w:rFonts w:ascii="Arial" w:cs="Arial" w:eastAsia="Arial" w:hAnsi="Arial"/>
          <w:sz w:val="16"/>
          <w:szCs w:val="16"/>
          <w:color w:val="auto"/>
        </w:rPr>
        <w:t>In June 2011, the FASB issued Accounting Standards Update (“ASU”) No. 2011-05,</w:t>
      </w:r>
      <w:r>
        <w:rPr>
          <w:rFonts w:ascii="Arial" w:cs="Arial" w:eastAsia="Arial" w:hAnsi="Arial"/>
          <w:sz w:val="16"/>
          <w:szCs w:val="16"/>
          <w:i w:val="1"/>
          <w:iCs w:val="1"/>
          <w:color w:val="auto"/>
        </w:rPr>
        <w:t xml:space="preserve"> Comprehensive Income (Topic 220): “Presentation of Comprehensive Income.” </w:t>
      </w:r>
      <w:r>
        <w:rPr>
          <w:rFonts w:ascii="Arial" w:cs="Arial" w:eastAsia="Arial" w:hAnsi="Arial"/>
          <w:sz w:val="16"/>
          <w:szCs w:val="16"/>
          <w:color w:val="auto"/>
        </w:rPr>
        <w:t>This update improves the comparability, consistency and transparency of financial reporting and increases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prominence of items reported in other comprehensive income. This update is effective for interim and annual periods beginning after December 15, 2011. In December 2011, the FASB issued ASU No. 2011-12, </w:t>
      </w:r>
      <w:r>
        <w:rPr>
          <w:rFonts w:ascii="Arial" w:cs="Arial" w:eastAsia="Arial" w:hAnsi="Arial"/>
          <w:sz w:val="16"/>
          <w:szCs w:val="16"/>
          <w:i w:val="1"/>
          <w:iCs w:val="1"/>
          <w:color w:val="auto"/>
        </w:rPr>
        <w:t>Comprehensive Income (Topic 220): Deferral of the Effective Date for Amendments to the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Reclassifications of Items Out of Accumulated Other Comprehensive Income in ASU No. 2011-05. </w:t>
      </w:r>
      <w:r>
        <w:rPr>
          <w:rFonts w:ascii="Arial" w:cs="Arial" w:eastAsia="Arial" w:hAnsi="Arial"/>
          <w:sz w:val="16"/>
          <w:szCs w:val="16"/>
          <w:color w:val="auto"/>
        </w:rPr>
        <w:t>This update deferred only those changes in ASU No. 2011-05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related to the presentation of reclassification adjustments. In February 2013, the FASB issued ASU 2013-02, </w:t>
      </w:r>
      <w:r>
        <w:rPr>
          <w:rFonts w:ascii="Arial" w:cs="Arial" w:eastAsia="Arial" w:hAnsi="Arial"/>
          <w:sz w:val="16"/>
          <w:szCs w:val="16"/>
          <w:i w:val="1"/>
          <w:iCs w:val="1"/>
          <w:color w:val="auto"/>
        </w:rPr>
        <w:t>Comprehensive Income (Topic 220) –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Amounts Reclassified Out of Accumulated Other Comprehensive Income. </w:t>
      </w:r>
      <w:r>
        <w:rPr>
          <w:rFonts w:ascii="Arial" w:cs="Arial" w:eastAsia="Arial" w:hAnsi="Arial"/>
          <w:sz w:val="16"/>
          <w:szCs w:val="16"/>
          <w:color w:val="auto"/>
        </w:rPr>
        <w:t>These amendments do not change the current requirements for reporting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comprehensive income in the financial statements. These amendments provide for additional disclosure requirements for amounts reclassified out of accumulated other comprehensive income. These amendments are effective prospectively for interim and annual periods beginning after December 15, 2012. Early adoption is permitted. Effective January 1, 2012, the Company adopted the new requirements as set forth in ASU No. 2011-05 in the disclosure of comprehensive income on the Company’s consolidated financial statements. The Company is evaluating the impact, if any, of the adoption of ASU No. 2013-02 will have on the Company’s consolidated financial statements.</w:t>
      </w:r>
    </w:p>
    <w:p>
      <w:pPr>
        <w:spacing w:after="0" w:line="43" w:lineRule="exact"/>
        <w:rPr>
          <w:sz w:val="20"/>
          <w:szCs w:val="20"/>
          <w:color w:val="auto"/>
        </w:rPr>
      </w:pPr>
    </w:p>
    <w:p>
      <w:pPr>
        <w:ind w:right="60" w:firstLine="228"/>
        <w:spacing w:after="0" w:line="298" w:lineRule="auto"/>
        <w:rPr>
          <w:sz w:val="20"/>
          <w:szCs w:val="20"/>
          <w:color w:val="auto"/>
        </w:rPr>
      </w:pPr>
      <w:r>
        <w:rPr>
          <w:rFonts w:ascii="Arial" w:cs="Arial" w:eastAsia="Arial" w:hAnsi="Arial"/>
          <w:sz w:val="16"/>
          <w:szCs w:val="16"/>
          <w:color w:val="auto"/>
        </w:rPr>
        <w:t>In May 2011, the FASB issued Accounting Standards Update No. 2011-04 for Fair Value Measurement (Topic 820): “Amendments to Achieve Common Fair Value Measurement and Disclosure Requirements in U.S. GAAP and IFRSs”. This update addresses how to measure fair value and requires new disclosures about fair value measurements. The amendments in this update are effective for interim and annual periods beginning after December 15, 2011. Effective the quarter ended March 31, 2012, the Company adopted the requirements as set forth in this guidance.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State research and development credit exchange receivable</w:t>
      </w:r>
    </w:p>
    <w:p>
      <w:pPr>
        <w:spacing w:after="0" w:line="96"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During the years ended December 31, 2010, 2011 and 2012, research and development expenses were offset by $385,000, $609,000 and $289,000, respectively, in connection with the program.</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and equipment consist of the following (dollar amounts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Estimated</w:t>
            </w:r>
          </w:p>
        </w:tc>
        <w:tc>
          <w:tcPr>
            <w:tcW w:w="100" w:type="dxa"/>
            <w:vAlign w:val="bottom"/>
          </w:tcPr>
          <w:p>
            <w:pPr>
              <w:spacing w:after="0"/>
              <w:rPr>
                <w:sz w:val="14"/>
                <w:szCs w:val="14"/>
                <w:color w:val="auto"/>
              </w:rPr>
            </w:pPr>
          </w:p>
        </w:tc>
        <w:tc>
          <w:tcPr>
            <w:tcW w:w="196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11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4"/>
              </w:rPr>
              <w:t>Useful</w:t>
            </w:r>
          </w:p>
        </w:tc>
        <w:tc>
          <w:tcPr>
            <w:tcW w:w="100" w:type="dxa"/>
            <w:vAlign w:val="bottom"/>
          </w:tcPr>
          <w:p>
            <w:pPr>
              <w:spacing w:after="0"/>
              <w:rPr>
                <w:sz w:val="12"/>
                <w:szCs w:val="12"/>
                <w:color w:val="auto"/>
              </w:rPr>
            </w:pPr>
          </w:p>
        </w:tc>
        <w:tc>
          <w:tcPr>
            <w:tcW w:w="19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20" w:type="dxa"/>
            <w:vAlign w:val="bottom"/>
          </w:tcPr>
          <w:p>
            <w:pPr>
              <w:spacing w:after="0"/>
              <w:rPr>
                <w:sz w:val="11"/>
                <w:szCs w:val="11"/>
                <w:color w:val="auto"/>
              </w:rPr>
            </w:pPr>
          </w:p>
        </w:tc>
        <w:tc>
          <w:tcPr>
            <w:tcW w:w="112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(Years)</w:t>
            </w: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Buildings</w:t>
            </w:r>
          </w:p>
        </w:tc>
        <w:tc>
          <w:tcPr>
            <w:tcW w:w="600" w:type="dxa"/>
            <w:vAlign w:val="bottom"/>
          </w:tcPr>
          <w:p>
            <w:pPr>
              <w:jc w:val="right"/>
              <w:spacing w:after="0"/>
              <w:rPr>
                <w:sz w:val="20"/>
                <w:szCs w:val="20"/>
                <w:color w:val="auto"/>
              </w:rPr>
            </w:pPr>
            <w:r>
              <w:rPr>
                <w:rFonts w:ascii="Arial" w:cs="Arial" w:eastAsia="Arial" w:hAnsi="Arial"/>
                <w:sz w:val="18"/>
                <w:szCs w:val="18"/>
                <w:color w:val="auto"/>
              </w:rPr>
              <w:t>39-40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54,948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114,247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00" w:type="dxa"/>
            <w:vAlign w:val="bottom"/>
          </w:tcPr>
          <w:p>
            <w:pPr>
              <w:jc w:val="right"/>
              <w:spacing w:after="0"/>
              <w:rPr>
                <w:sz w:val="20"/>
                <w:szCs w:val="20"/>
                <w:color w:val="auto"/>
              </w:rPr>
            </w:pPr>
            <w:r>
              <w:rPr>
                <w:rFonts w:ascii="Arial" w:cs="Arial" w:eastAsia="Arial" w:hAnsi="Arial"/>
                <w:sz w:val="18"/>
                <w:szCs w:val="18"/>
                <w:color w:val="auto"/>
              </w:rPr>
              <w:t>3-15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83,476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284,793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285,210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(91,764)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193,029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183,961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Leasehold improvements are amortized over four years which is the shorter of the term of the lease or the service lives of the improvements. Depreciation and amortization expense related to property and equipment for the years ended December 31, 2010, 2011 and 2012, and the cumulative period from February 14, 1991 (date of inception) to December 31, 2012 was $16.5 million, $14.6 million, $13.0 million and $121.8 million, respectively.</w:t>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asset impairment was recognized during the years ended December 31, 2010, 2011 and 2012.</w:t>
      </w:r>
    </w:p>
    <w:p>
      <w:pPr>
        <w:spacing w:after="0" w:line="90" w:lineRule="exact"/>
        <w:rPr>
          <w:sz w:val="20"/>
          <w:szCs w:val="20"/>
          <w:color w:val="auto"/>
        </w:rPr>
      </w:pPr>
    </w:p>
    <w:p>
      <w:pPr>
        <w:ind w:right="360" w:firstLine="228"/>
        <w:spacing w:after="0" w:line="259" w:lineRule="auto"/>
        <w:rPr>
          <w:sz w:val="20"/>
          <w:szCs w:val="20"/>
          <w:color w:val="auto"/>
        </w:rPr>
      </w:pPr>
      <w:r>
        <w:rPr>
          <w:rFonts w:ascii="Arial" w:cs="Arial" w:eastAsia="Arial" w:hAnsi="Arial"/>
          <w:sz w:val="18"/>
          <w:szCs w:val="18"/>
          <w:color w:val="auto"/>
        </w:rPr>
        <w:t>In December 2009, the Company recognized a loss on disposal of approximately $12.8 million in research and development expense related to the abandonment of first-generation inhaler specific assets which would no longer be used as the Company pursued the commercialization of the next-generation device.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9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Salary and related expenses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2,383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5,995</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00" w:type="dxa"/>
            <w:vAlign w:val="bottom"/>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Pr>
          <w:p>
            <w:pPr>
              <w:spacing w:after="0"/>
              <w:rPr>
                <w:sz w:val="18"/>
                <w:szCs w:val="18"/>
                <w:color w:val="auto"/>
              </w:rPr>
            </w:pPr>
          </w:p>
        </w:tc>
      </w:tr>
      <w:tr>
        <w:trPr>
          <w:trHeight w:val="216"/>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8"/>
                <w:szCs w:val="18"/>
                <w:color w:val="auto"/>
              </w:rPr>
            </w:pPr>
          </w:p>
        </w:tc>
      </w:tr>
      <w:tr>
        <w:trPr>
          <w:trHeight w:val="222"/>
        </w:trPr>
        <w:tc>
          <w:tcPr>
            <w:tcW w:w="97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20,736</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25,777</w:t>
            </w:r>
          </w:p>
        </w:tc>
        <w:tc>
          <w:tcPr>
            <w:tcW w:w="100" w:type="dxa"/>
            <w:vAlign w:val="bottom"/>
          </w:tcPr>
          <w:p>
            <w:pPr>
              <w:spacing w:after="0"/>
              <w:rPr>
                <w:sz w:val="19"/>
                <w:szCs w:val="19"/>
                <w:color w:val="auto"/>
              </w:rPr>
            </w:pPr>
          </w:p>
        </w:tc>
      </w:tr>
      <w:tr>
        <w:trPr>
          <w:trHeight w:val="20"/>
        </w:trPr>
        <w:tc>
          <w:tcPr>
            <w:tcW w:w="9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Related-party arrangements</w:t>
      </w:r>
    </w:p>
    <w:p>
      <w:pPr>
        <w:spacing w:after="0" w:line="96"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In October 2007, the Company entered into a $350.0 million loan arrangement with its principal stockholder. In February 2009, the promissory note underlying the loan arrangement was revised as a result of the principal stockholder being licensed as a finance lender under the California Finance Lenders Law. Accordingly, the lender was revised to The Mann Group. Until January 1, 2013, interest on outstanding principal amounts accrued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at a fixed rate equal to the one-year London Interbank Offered Rate (LIBOR) rate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date of such advance plus 3% per annum. The borrowing rate was 4.5% at December 31, 2012. The promissory note underlying the loan arrangement was amended at various dates during 2012. The most recent amendment occurred in October 2012 to extend the maturity date to January 1, 2014, extend the date through which the Company can borrow under the promissory note to September 30, 2013, and adjust the annual interest rate on all outstanding principal to the one-year LIBOR rate on December 31, 2012 plus 5%, effective beginning on January 1, 2013.</w:t>
      </w:r>
    </w:p>
    <w:p>
      <w:pPr>
        <w:spacing w:after="0" w:line="62"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As of December 31, 2012, the total principal amount outstanding under the credit facility was $119.6 million, and the amount available for future borrowings was $125.4 million. Interest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at any time upon mutual agreement of both parties. The Mann Group can require the Company to prepay up to $200.0 million in advances that have been outstanding for at least 12 months. If The Mann Group exercises this right, the Company will have 90 days after The Mann Group provides written notice (or the number of days to maturity of the note if less than 90 days) to prepay such advances (see discussion regarding letter agreement below).</w:t>
      </w:r>
    </w:p>
    <w:p>
      <w:pPr>
        <w:spacing w:after="0" w:line="39"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In August 2010, the Company entered into a letter agreement confirming a previous commitment by The Mann Group to not require the Company to prepay amounts outstanding under the amended and restated promissory note if the prepayment would require the Company to use its working capital resources. In the event of a default, all unpaid principal and interest either becomes immediately due and payable or may be accelerated at The Mann Group’s option, and the interest rate will increase to the one-year LIBOR rate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On August 10, 2010, the Company entered into a common stock purchase agreement with The Mann Group. Under this common stock purchase agreement,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required to issue and sell, and The Mann Group was obligated to purchase, the same number of shares of the Company’s common stock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Seaside 88, LP (“Seaside”) purchased on each closing date under its agreement with the Company. The price of the shares that the Company sold to The Mann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Group under the agreement was equal to the greater of $7.15 per share (the closing bid price of the Company’s common stock on August 10, 2010)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closing bid price of the Company’s common stock on the trading day immediately preceding the applicable closing date. The aggregate purchase price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the Company issued and sold to The Mann Group was paid by cancelling an equal amount of the outstanding principal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$350.0 million loan arrangement provided by The Mann Group. The August 2010 amendment and restatement of the Company’s promissory note issued to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Mann Group in connection with the loan arrangement also provided for the cancellation of indebtedness under the note as described above and the elimination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Company’s ability to reborrow under the note the amount of any indebtedness that was cancelled. The common stock purchase agreement with The Mann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Group terminated upon termination of the Seaside agreement in the quarter ended September 30, 2011.</w:t>
      </w:r>
    </w:p>
    <w:p>
      <w:pPr>
        <w:spacing w:after="0" w:line="84"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 the fourth quarter of 2010, the Company issued and sold a total of 2,100,000 shares of common stock to Seaside for net proceeds of $14.1 million in accordance with the Company’s common stock purchase agreement with Seaside. During the quarter ended March 31, 2011, the Company issued and sold a total of 1,400,000 shares of common stock to Seaside for net proceeds of $9.7 million. No additional shares of common stock were sold to Seaside under this agreement subsequent to the quarter ended March 31, 2011. As of December 31, 2011, the Company had issued and sold a total of 3,500,000 shares of common stock to Seaside for net proceeds of $23.8 million in accordance with the agreement. The agreement with Seaside terminated during the quarter ended September 30, 2011. Concurrently, with the sales to Seaside, the Company issued and sold a total of 2,100,000</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459" w:right="3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and 1,400,000 shares of common stock to The Mann Group, an entity controlled by the Company’s principal stockholder, in 2010 and 2011, respectively, for a total purchase price of $16.7 million and $11.1 million, respectively, which was paid by the cancellation of outstanding principal under the Company’s amended and restated promissory note with The Mann Group.</w:t>
      </w:r>
    </w:p>
    <w:p>
      <w:pPr>
        <w:spacing w:after="0" w:line="59"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On February 8, 2012, the Company sold $86.3 million worth of units in an underwritten public offering, with each unit consisting of one share of common stock and a warrant to purchase 0.6 of a share of common stock. Concurrent with this public offering, The Mann Group agreed to purchase $77.2 million worth of restricted shares of common stock to be paid, at the discretion of the Company, by cash or by cancellation of principal indebtedness under the amended loan arrangement, subject to stockholder approval to increase the number of authorized shares. In May 2012, the Company’s stockholders approved an increase in the authorized shares of common stock from 250,000,000 to 350,000,000. On June 27, 2012, the Company completed the closing of the sale of 31,250,000 share of its common stock through the cancellation of outstanding indebtedness under the loan agreement (see Note 10 – Common and preferred stock).</w:t>
      </w:r>
    </w:p>
    <w:p>
      <w:pPr>
        <w:spacing w:after="0" w:line="39"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In October 2012, the Company sold $92.0 million worth of units in an underwritten public offering, with each unit to purchase one share of common stock and a warrant to purchase at 0.75 of a share of common stock. Concurrent with the underwritten public offering, the Company entered into a Common Stock and Warrant Purchase Agreement on October 18, 2012, in which the Company was required to issue and sell and The Mann Group was obligated to purchase 40,000,000 restricted shares of the Company’s common stock at a purchase price of $2.59 per share (the consolidated closing bid price of the Company’s common stock on October 17, 2012), and 40,000,000 warrants to purchase up to an aggregate of 30,000,000 restricted shares of the Company’s common stock at a purchase price of $0.125 for each share of the Company’s common stock underlying the warrants, in exchange for cancellation of outstanding principal under the $350 million amended and restated promissory note with The Mann Group.</w:t>
      </w:r>
    </w:p>
    <w:p>
      <w:pPr>
        <w:spacing w:after="0" w:line="37" w:lineRule="exact"/>
        <w:rPr>
          <w:sz w:val="20"/>
          <w:szCs w:val="20"/>
          <w:color w:val="auto"/>
        </w:rPr>
      </w:pPr>
    </w:p>
    <w:p>
      <w:pPr>
        <w:jc w:val="both"/>
        <w:ind w:right="160" w:firstLine="228"/>
        <w:spacing w:after="0" w:line="259" w:lineRule="auto"/>
        <w:rPr>
          <w:sz w:val="20"/>
          <w:szCs w:val="20"/>
          <w:color w:val="auto"/>
        </w:rPr>
      </w:pPr>
      <w:r>
        <w:rPr>
          <w:rFonts w:ascii="Arial" w:cs="Arial" w:eastAsia="Arial" w:hAnsi="Arial"/>
          <w:sz w:val="18"/>
          <w:szCs w:val="18"/>
          <w:color w:val="auto"/>
        </w:rPr>
        <w:t>The restricted shares sold to The Mann Group may not be sold, pledged, assigned or transferred unless (i) the shares have been registered with the Securities and Exchange Commission (“SEC”) or (ii) the restricted shares are exempt from SEC registration requirements and the company has obtained an opinion from the company’s counsel that the shares may be sold lawfully without registration.</w:t>
      </w:r>
    </w:p>
    <w:p>
      <w:pPr>
        <w:spacing w:after="0" w:line="59" w:lineRule="exact"/>
        <w:rPr>
          <w:sz w:val="20"/>
          <w:szCs w:val="20"/>
          <w:color w:val="auto"/>
        </w:rPr>
      </w:pPr>
    </w:p>
    <w:p>
      <w:pPr>
        <w:ind w:right="160" w:firstLine="228"/>
        <w:spacing w:after="0" w:line="290" w:lineRule="auto"/>
        <w:rPr>
          <w:sz w:val="20"/>
          <w:szCs w:val="20"/>
          <w:color w:val="auto"/>
        </w:rPr>
      </w:pPr>
      <w:r>
        <w:rPr>
          <w:rFonts w:ascii="Arial" w:cs="Arial" w:eastAsia="Arial" w:hAnsi="Arial"/>
          <w:sz w:val="16"/>
          <w:szCs w:val="16"/>
          <w:color w:val="auto"/>
        </w:rPr>
        <w:t>As a result of the special meeting of the Company’s stockholders held on December 20, 2012 in which the Company’s stockholders approved an amendment to its Amended and Restated Certificate of Incorporation to increase the authorized shares of its common stock from 350,000,000 shares to 550,000,000 shares, the Company completed the closing of the Common Stock and Warrant Purchase Agreement entered into with The Mann Group on October 18, 2012. The aggregate purchase price for the shares and warrants that the Company issued to The Mann Group was approximately $107.4 million and was paid for by cancelling principal indebtedness owed to The Mann Group under the amended and restated promissory note. The cancelled principal amount became available for reborrowing. Additionally, in accordance with the terms of the note, the Company elected to capitalize the accrued and unpaid interest on the cancelled principal amount that became due upon the closing (see Note 10 – Common and preferred stock).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The principal amount outstanding under the loan arrangement as of December 31, 2011 and 2012, respectively, subsequent to the completion of the common stock purchase agreements was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outstanding at December 31, 2011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$ 277,203</w:t>
            </w: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Borrowings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12,750</w:t>
            </w: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accrued and unpaid interest due and payable as of June 27, 2012</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11,876</w:t>
            </w:r>
          </w:p>
        </w:tc>
      </w:tr>
      <w:tr>
        <w:trPr>
          <w:trHeight w:val="208"/>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Reduction of principal indebtedness related to the issuance of common stock pursuant to common stock purchase agreement completed on</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June 27, 2012</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(77,187)</w:t>
            </w:r>
          </w:p>
        </w:tc>
      </w:tr>
      <w:tr>
        <w:trPr>
          <w:trHeight w:val="218"/>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accrued and unpaid interest due and payable as of October 18, 2012</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2,343</w:t>
            </w:r>
          </w:p>
        </w:tc>
      </w:tr>
      <w:tr>
        <w:trPr>
          <w:trHeight w:val="208"/>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Reduction of principal indebtedness related to the issuance of common stock pursuant to common stock purchase agreement completed on</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October 18, 2012</w:t>
            </w:r>
          </w:p>
        </w:tc>
        <w:tc>
          <w:tcPr>
            <w:tcW w:w="4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(107,350)</w:t>
            </w: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 outstanding at December 31, 2012</w:t>
            </w: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$ 119,635</w:t>
            </w:r>
          </w:p>
        </w:tc>
        <w:tc>
          <w:tcPr>
            <w:tcW w:w="100" w:type="dxa"/>
            <w:vAlign w:val="bottom"/>
            <w:shd w:val="clear" w:color="auto" w:fill="CCEEFF"/>
          </w:tcPr>
          <w:p>
            <w:pPr>
              <w:spacing w:after="0"/>
              <w:rPr>
                <w:sz w:val="18"/>
                <w:szCs w:val="18"/>
                <w:color w:val="auto"/>
              </w:rPr>
            </w:pPr>
          </w:p>
        </w:tc>
      </w:tr>
    </w:tbl>
    <w:p>
      <w:pPr>
        <w:spacing w:after="0" w:line="86" w:lineRule="exact"/>
        <w:rPr>
          <w:sz w:val="20"/>
          <w:szCs w:val="20"/>
          <w:color w:val="auto"/>
        </w:rPr>
      </w:pPr>
    </w:p>
    <w:p>
      <w:pPr>
        <w:jc w:val="both"/>
        <w:ind w:right="100" w:firstLine="228"/>
        <w:spacing w:after="0" w:line="256" w:lineRule="auto"/>
        <w:rPr>
          <w:sz w:val="20"/>
          <w:szCs w:val="20"/>
          <w:color w:val="auto"/>
        </w:rPr>
      </w:pPr>
      <w:r>
        <w:rPr>
          <w:rFonts w:ascii="Arial" w:cs="Arial" w:eastAsia="Arial" w:hAnsi="Arial"/>
          <w:sz w:val="18"/>
          <w:szCs w:val="18"/>
          <w:color w:val="auto"/>
        </w:rPr>
        <w:t>As of December 31, 2011, the Company had accrued and unpaid interest of $5.9 million related to the amount outstanding and had $45.0 million of available borrowings under the loan agreement. As of December 31, 2012, the Company had accrued and unpaid interest of $2.2 million related to the amount outstanding and had $125.4 million of available borrowings. Interest expense on the Company’s note payable to a related party for the years ended December 31, 2010, 2011 and 2012 was $10.2 million, $10.9 million and $10.5 million, respectively.</w:t>
      </w:r>
    </w:p>
    <w:p>
      <w:pPr>
        <w:spacing w:after="0" w:line="62" w:lineRule="exact"/>
        <w:rPr>
          <w:sz w:val="20"/>
          <w:szCs w:val="20"/>
          <w:color w:val="auto"/>
        </w:rPr>
      </w:pPr>
    </w:p>
    <w:p>
      <w:pPr>
        <w:ind w:right="200" w:firstLine="228"/>
        <w:spacing w:after="0" w:line="298" w:lineRule="auto"/>
        <w:rPr>
          <w:sz w:val="20"/>
          <w:szCs w:val="20"/>
          <w:color w:val="auto"/>
        </w:rPr>
      </w:pPr>
      <w:r>
        <w:rPr>
          <w:rFonts w:ascii="Arial" w:cs="Arial" w:eastAsia="Arial" w:hAnsi="Arial"/>
          <w:sz w:val="16"/>
          <w:szCs w:val="16"/>
          <w:color w:val="auto"/>
        </w:rPr>
        <w:t>In connection with certain meetings of the Company’s board of directors and on other occasions when the Company’s business necessitated air travel for the Company’s principal stockholder and other Company employees, the Company utilized the principal stockholder’s private aircraft, and the Company paid the charter company that manages the aircraft on behalf of the Company’s majority stockholder approximately $230,000, $111,000 and $200,000, respectively, for the years ended December 31, 2010, 2011 and 2012 on the basis of the corresponding cost of commercial airfare.</w:t>
      </w:r>
    </w:p>
    <w:p>
      <w:pPr>
        <w:spacing w:after="0" w:line="32"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in addition to the indemnification provided for in its amended and restated certificate of incorporation and amended and restated bylaws (see Note 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convertible notes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Senior convertible notes consist of the following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68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 notes</w:t>
            </w:r>
          </w:p>
        </w:tc>
        <w:tc>
          <w:tcPr>
            <w:tcW w:w="5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amount</w:t>
            </w:r>
          </w:p>
        </w:tc>
        <w:tc>
          <w:tcPr>
            <w:tcW w:w="6420" w:type="dxa"/>
            <w:vAlign w:val="bottom"/>
            <w:gridSpan w:val="3"/>
          </w:tcPr>
          <w:p>
            <w:pPr>
              <w:jc w:val="right"/>
              <w:ind w:right="240"/>
              <w:spacing w:after="0"/>
              <w:rPr>
                <w:sz w:val="20"/>
                <w:szCs w:val="20"/>
                <w:color w:val="auto"/>
              </w:rPr>
            </w:pPr>
            <w:r>
              <w:rPr>
                <w:rFonts w:ascii="Arial" w:cs="Arial" w:eastAsia="Arial" w:hAnsi="Arial"/>
                <w:sz w:val="18"/>
                <w:szCs w:val="18"/>
                <w:color w:val="auto"/>
              </w:rPr>
              <w:t>$ 115,000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$ 115,000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5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5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113,860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 notes</w:t>
            </w:r>
          </w:p>
        </w:tc>
        <w:tc>
          <w:tcPr>
            <w:tcW w:w="5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amount</w:t>
            </w:r>
          </w:p>
        </w:tc>
        <w:tc>
          <w:tcPr>
            <w:tcW w:w="6420" w:type="dxa"/>
            <w:vAlign w:val="bottom"/>
            <w:gridSpan w:val="3"/>
          </w:tcPr>
          <w:p>
            <w:pPr>
              <w:jc w:val="right"/>
              <w:ind w:right="240"/>
              <w:spacing w:after="0"/>
              <w:rPr>
                <w:sz w:val="20"/>
                <w:szCs w:val="20"/>
                <w:color w:val="auto"/>
              </w:rPr>
            </w:pPr>
            <w:r>
              <w:rPr>
                <w:rFonts w:ascii="Arial" w:cs="Arial" w:eastAsia="Arial" w:hAnsi="Arial"/>
                <w:sz w:val="18"/>
                <w:szCs w:val="18"/>
                <w:color w:val="auto"/>
              </w:rPr>
              <w:t>$100,000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5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(2,417)</w:t>
            </w: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Net carrying amount</w:t>
            </w:r>
          </w:p>
        </w:tc>
        <w:tc>
          <w:tcPr>
            <w:tcW w:w="5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6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210,642</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500" w:type="dxa"/>
            <w:vAlign w:val="bottom"/>
            <w:vMerge w:val="restart"/>
          </w:tcPr>
          <w:p>
            <w:pPr>
              <w:jc w:val="right"/>
              <w:ind w:right="3632"/>
              <w:spacing w:after="0"/>
              <w:rPr>
                <w:sz w:val="20"/>
                <w:szCs w:val="20"/>
                <w:color w:val="auto"/>
              </w:rPr>
            </w:pPr>
            <w:r>
              <w:rPr>
                <w:rFonts w:ascii="Arial" w:cs="Arial" w:eastAsia="Arial" w:hAnsi="Arial"/>
                <w:sz w:val="18"/>
                <w:szCs w:val="18"/>
                <w:color w:val="auto"/>
              </w:rPr>
              <w:t>83</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228"/>
        <w:spacing w:after="0" w:line="282" w:lineRule="auto"/>
        <w:rPr>
          <w:sz w:val="20"/>
          <w:szCs w:val="20"/>
          <w:color w:val="auto"/>
        </w:rPr>
      </w:pPr>
      <w:r>
        <w:rPr>
          <w:rFonts w:ascii="Arial" w:cs="Arial" w:eastAsia="Arial" w:hAnsi="Arial"/>
          <w:sz w:val="16"/>
          <w:szCs w:val="16"/>
          <w:color w:val="auto"/>
        </w:rPr>
        <w:t>On August 18, 2010, the Company completed a Rule 144A offering of $100.0 million aggregate principal amount of 5.75% Senior Convertible Notes due 2015 (the “2015 notes”). The 2015 notes are governed by the terms of an indenture dated as of August 24, 2010 (the “2015 Note Indenture”). The 2015 notes bear interest at the rate of 5.75% per year on the principal amount, payable in cash semi-annually in arrears on February 15 and August 15 of each year, beginning February 15, 2011. The Company had accrued interest of $2.2 million as of December 31, 2011 and 2012 related to the 2015 notes. The 2015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2015 notes is August 15, 2015 and payment is due in full on that date for unconverted securities. Holders of the 2015 notes may convert, at any time prior to the close of business on the business day immediately preceding the stated maturity date, any outstanding principal into shares of the Company’s common stock at an initial conversion rate of</w:t>
      </w:r>
    </w:p>
    <w:p>
      <w:pPr>
        <w:spacing w:after="0" w:line="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147.0859 shares per $1,000 principal amount, which is equal to a conversion price of approximately $6.80 per share, subject to adjustment. Except in certain circumstances, if the Company undergoes a fundamental change: (1) the Company will pay a make-whole premium on the 2015 notes converted in connection with a fundamental change by increasing the conversion rate on such Notes, which amount, if any, will be based on the Company’s common stock price and the effective date of the fundamental change, and (2) each holder of 2015 notes will have the option to require the Company to repurchase all or any portion of such holder’s Notes at a repurchase price of 100% of the principal amount of the Notes to be repurchased plus accrued and unpaid interest, if any. The Company may elect to redeem some or all of the 2015 notes if the closing stock price has equaled 150% of the conversion price for at least 20 of the 30 consecutive trading days ending on the trading day before the Company’s redemption notice. The redemption price will equal 100% of the principal amount of the 2015 notes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2015 notes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 the 2015 notes and each reporting date since and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47" w:lineRule="exact"/>
        <w:rPr>
          <w:sz w:val="20"/>
          <w:szCs w:val="20"/>
          <w:color w:val="auto"/>
        </w:rPr>
      </w:pPr>
    </w:p>
    <w:p>
      <w:pPr>
        <w:ind w:right="600" w:firstLine="228"/>
        <w:spacing w:after="0" w:line="357" w:lineRule="auto"/>
        <w:rPr>
          <w:sz w:val="20"/>
          <w:szCs w:val="20"/>
          <w:color w:val="auto"/>
        </w:rPr>
      </w:pPr>
      <w:r>
        <w:rPr>
          <w:rFonts w:ascii="Arial" w:cs="Arial" w:eastAsia="Arial" w:hAnsi="Arial"/>
          <w:sz w:val="15"/>
          <w:szCs w:val="15"/>
          <w:color w:val="auto"/>
        </w:rPr>
        <w:t>The Company incurred approximately $4.2 million in issuance costs which are recorded as an offset to the 2015 notes in the accompanying condensed consolidated balance sheets. These costs are being charged to interest expense using the effective interest method over the term of the 2015 notes.</w:t>
      </w:r>
    </w:p>
    <w:p>
      <w:pPr>
        <w:ind w:right="20" w:firstLine="228"/>
        <w:spacing w:after="0" w:line="290"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“2013 notes”), including $15.0 million aggregate principal amount of the 2013 notes sold pursuant to the underwriters’ over-allotment option that was exercised in full. The 2013 notes are governed by the terms of an indenture dated as of November 1, 2006 and a First Supplemental Indenture, dated as of December 12, 2006 (the “2013 Note Indenture”). The 2013 notes bear interest at the rate of 3.75% per year on the principal amount, payable in cash semi-annually in arrears on June 15 and December 15 of each year, beginning June 15, 2007. The Company had accrued interest of $192,000 as of December 31, 2011 and 2012. The 2013 notes are general, unsecured, senior obligations of the Company and effectively rank junior in right of payment to all of the Company’s secured debt, to the extent of the value of the assets securing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debt, and to the debt and all other liabilities of the Company. The maturity date of the 2013 notes is December 15, 2013 and payment is due in full on that date for unconverted securities. Holders may convert, at any time prior to the close of business on the business day immediately preceding the stated maturity date, any outstanding 2013 notes into shares of the Company’s common stock at an initial conversion rate of 44.5002 shares per $1,000 principal amount of 2013 notes, which is equal to a conversion price of approximately $22.47 per share, subject to adjustment. Except in certain circumstances, if the Company undergoes a fundamental change: (1) the Company will pay a make-whole premium on the 2013 notes converted in connection with a fundamental change by increasing the conversion rate on such 2013 notes, which amount, if any, will be based on the Company’s common stock price and the effective date of the fundamental change, and (2) each holder of the 2013 notes will have the option to require the Company to repurchase all or any portion of such holder’s 2013 notes at a repurchase price of 100% of the principal amount of the 2013 notes to be repurchased plus accrued and unpaid interest, if any. Under the terms of the 2013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 the 2013 notes and each reporting date since and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47"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The Company incurred approximately $3.7 million in debt issuance costs which are recorded as an offset to the debt in the accompanying balance sheet. These costs are being charged to interest expense using the effective interest method over the term of the 2013 notes.</w:t>
      </w:r>
    </w:p>
    <w:p>
      <w:pPr>
        <w:spacing w:after="0" w:line="51"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Accretion of debt issuance expense in connection with the Notes offerings during the years ended December 31, 2011 and 2012 were $1.3 million and $1.4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Restructuring charges</w:t>
      </w:r>
    </w:p>
    <w:p>
      <w:pPr>
        <w:spacing w:after="0" w:line="96"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On February 10, 2011, the Company announced that following receipt of the Complete Response letter from the United States Food and Drug Administration (“FDA”) regarding the new drug application (“NDA”) for AFREZZA, it implemented a restructuring to streamline operations, reduce operating expenses, extend the cash runway and focus its resources on securing the FDA’s approval of the NDA for AFREZZA. In connection with the restructuring, the Company reduced its total workforce by approximately 41% to 257 employees. The Company recorded charges of approximately $6.7 million for employee severance and other related termination benefits and recognized an initial liability of $6.7 million in February 2011, which approximated fair value.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w w:val="98"/>
              </w:rPr>
              <w:t>Workforce</w:t>
            </w:r>
          </w:p>
        </w:tc>
        <w:tc>
          <w:tcPr>
            <w:tcW w:w="0" w:type="dxa"/>
            <w:vAlign w:val="bottom"/>
          </w:tcPr>
          <w:p>
            <w:pPr>
              <w:spacing w:after="0"/>
              <w:rPr>
                <w:sz w:val="1"/>
                <w:szCs w:val="1"/>
                <w:color w:val="auto"/>
              </w:rPr>
            </w:pPr>
          </w:p>
        </w:tc>
      </w:tr>
      <w:tr>
        <w:trPr>
          <w:trHeight w:val="161"/>
        </w:trPr>
        <w:tc>
          <w:tcPr>
            <w:tcW w:w="10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w w:val="99"/>
              </w:rPr>
              <w:t>Reduction</w:t>
            </w:r>
          </w:p>
        </w:tc>
        <w:tc>
          <w:tcPr>
            <w:tcW w:w="0" w:type="dxa"/>
            <w:vAlign w:val="bottom"/>
          </w:tcPr>
          <w:p>
            <w:pPr>
              <w:spacing w:after="0"/>
              <w:rPr>
                <w:sz w:val="1"/>
                <w:szCs w:val="1"/>
                <w:color w:val="auto"/>
              </w:rPr>
            </w:pPr>
          </w:p>
        </w:tc>
      </w:tr>
      <w:tr>
        <w:trPr>
          <w:trHeight w:val="210"/>
        </w:trPr>
        <w:tc>
          <w:tcPr>
            <w:tcW w:w="10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Balance, February 10, 2011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00" w:type="dxa"/>
            <w:vAlign w:val="bottom"/>
          </w:tcPr>
          <w:p>
            <w:pPr>
              <w:spacing w:after="0"/>
              <w:rPr>
                <w:sz w:val="20"/>
                <w:szCs w:val="20"/>
                <w:color w:val="auto"/>
              </w:rPr>
            </w:pPr>
            <w:r>
              <w:rPr>
                <w:rFonts w:ascii="Arial" w:cs="Arial" w:eastAsia="Arial" w:hAnsi="Arial"/>
                <w:sz w:val="18"/>
                <w:szCs w:val="18"/>
                <w:color w:val="auto"/>
              </w:rPr>
              <w:t>Cash payments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(6,189)</w:t>
            </w:r>
          </w:p>
        </w:tc>
        <w:tc>
          <w:tcPr>
            <w:tcW w:w="0" w:type="dxa"/>
            <w:vAlign w:val="bottom"/>
          </w:tcPr>
          <w:p>
            <w:pPr>
              <w:spacing w:after="0"/>
              <w:rPr>
                <w:sz w:val="1"/>
                <w:szCs w:val="1"/>
                <w:color w:val="auto"/>
              </w:rPr>
            </w:pPr>
          </w:p>
        </w:tc>
      </w:tr>
      <w:tr>
        <w:trPr>
          <w:trHeight w:val="216"/>
        </w:trPr>
        <w:tc>
          <w:tcPr>
            <w:tcW w:w="107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10700" w:type="dxa"/>
            <w:vAlign w:val="bottom"/>
            <w:vMerge w:val="restart"/>
          </w:tcPr>
          <w:p>
            <w:pPr>
              <w:spacing w:after="0"/>
              <w:rPr>
                <w:sz w:val="20"/>
                <w:szCs w:val="20"/>
                <w:color w:val="auto"/>
              </w:rPr>
            </w:pPr>
            <w:r>
              <w:rPr>
                <w:rFonts w:ascii="Arial" w:cs="Arial" w:eastAsia="Arial" w:hAnsi="Arial"/>
                <w:sz w:val="18"/>
                <w:szCs w:val="18"/>
                <w:color w:val="auto"/>
              </w:rPr>
              <w:t>Restructuring Balance, December 31, 2011</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70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070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0700" w:type="dxa"/>
            <w:vAlign w:val="bottom"/>
            <w:vMerge w:val="restart"/>
          </w:tcPr>
          <w:p>
            <w:pPr>
              <w:spacing w:after="0"/>
              <w:rPr>
                <w:sz w:val="20"/>
                <w:szCs w:val="20"/>
                <w:color w:val="auto"/>
              </w:rPr>
            </w:pPr>
            <w:r>
              <w:rPr>
                <w:rFonts w:ascii="Arial" w:cs="Arial" w:eastAsia="Arial" w:hAnsi="Arial"/>
                <w:sz w:val="18"/>
                <w:szCs w:val="18"/>
                <w:color w:val="auto"/>
              </w:rPr>
              <w:t>Restructuring Balance, December 31, 2012</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70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During the year ended December 31, 2011, the Company adjusted the restructuring balance based on the election of certain termination benefits by a portion of the terminated employees.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remaining restructuring balance as of December 31, 2011 consists of severance and related termination benefits for employees still to be terminated.</w:t>
      </w:r>
    </w:p>
    <w:p>
      <w:pPr>
        <w:spacing w:after="0" w:line="113" w:lineRule="exact"/>
        <w:rPr>
          <w:sz w:val="20"/>
          <w:szCs w:val="20"/>
          <w:color w:val="auto"/>
        </w:rPr>
      </w:pPr>
    </w:p>
    <w:p>
      <w:pPr>
        <w:ind w:right="560" w:firstLine="228"/>
        <w:spacing w:after="0" w:line="332" w:lineRule="auto"/>
        <w:rPr>
          <w:sz w:val="20"/>
          <w:szCs w:val="20"/>
          <w:color w:val="auto"/>
        </w:rPr>
      </w:pPr>
      <w:r>
        <w:rPr>
          <w:rFonts w:ascii="Arial" w:cs="Arial" w:eastAsia="Arial" w:hAnsi="Arial"/>
          <w:sz w:val="16"/>
          <w:szCs w:val="16"/>
          <w:color w:val="auto"/>
        </w:rPr>
        <w:t>The net $6.3 million of costs associated with the restructuring are included in “Research and development” and “General and administrative” operating expenses in the consolidated statements of operations as $4.7 million and $1.6 million, respectively, for the year ended December 31, 2011.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96" w:lineRule="exact"/>
        <w:rPr>
          <w:sz w:val="20"/>
          <w:szCs w:val="20"/>
          <w:color w:val="auto"/>
        </w:rPr>
      </w:pPr>
    </w:p>
    <w:p>
      <w:pPr>
        <w:ind w:right="60" w:firstLine="228"/>
        <w:spacing w:after="0" w:line="259" w:lineRule="auto"/>
        <w:rPr>
          <w:sz w:val="20"/>
          <w:szCs w:val="20"/>
          <w:color w:val="auto"/>
        </w:rPr>
      </w:pPr>
      <w:r>
        <w:rPr>
          <w:rFonts w:ascii="Arial" w:cs="Arial" w:eastAsia="Arial" w:hAnsi="Arial"/>
          <w:sz w:val="18"/>
          <w:szCs w:val="18"/>
          <w:color w:val="auto"/>
        </w:rPr>
        <w:t>The carrying amounts of financial instruments, which include cash equivalents and accounts payable, approximate their fair values due to their relatively short maturities. The fair value of the note payable to related party cannot be reasonably estimated as the Company would not be able to obtain a similar credit arrangement in the current economic environment.</w:t>
      </w:r>
    </w:p>
    <w:p>
      <w:pPr>
        <w:spacing w:after="0" w:line="59"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Cash equivalents consist of highly liquid investments with original or remaining maturities of 90 days or less at the time of purchase that are readily convertible into cash. As of December 31, 2011 and 2012, the Company held $2.7 million and $61.8 million, respectively of cash and cash equivalents, consisting of money market funds of $0.6 million and $60.8 million, respectively, and the remaining funds in non-interest bearing checking accounts. The fair value of these money market funds was determined by using quoted prices for identical investments in an active market (Level 1 in the fair value hierarchy).</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is a summary of the carrying values and estimated fair values of the Company’s senior convertible notes due in 2013 and 2015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85"/>
              </w:rPr>
              <w:t>December 31, 2011</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84"/>
              </w:rPr>
              <w:t>December 31, 2012</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24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Estimated</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Carrying</w:t>
            </w: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Estimated</w:t>
            </w:r>
          </w:p>
        </w:tc>
        <w:tc>
          <w:tcPr>
            <w:tcW w:w="100" w:type="dxa"/>
            <w:vAlign w:val="bottom"/>
          </w:tcPr>
          <w:p>
            <w:pPr>
              <w:spacing w:after="0"/>
              <w:rPr>
                <w:sz w:val="11"/>
                <w:szCs w:val="11"/>
                <w:color w:val="auto"/>
              </w:rPr>
            </w:pPr>
          </w:p>
        </w:tc>
      </w:tr>
      <w:tr>
        <w:trPr>
          <w:trHeight w:val="161"/>
        </w:trPr>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 notes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113.9</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61.0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114.4</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2015 notes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96.8</w:t>
            </w:r>
          </w:p>
        </w:tc>
        <w:tc>
          <w:tcPr>
            <w:tcW w:w="5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60.8</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97.6</w:t>
            </w:r>
          </w:p>
        </w:tc>
        <w:tc>
          <w:tcPr>
            <w:tcW w:w="6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63.2</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right="100" w:firstLine="228"/>
        <w:spacing w:after="0" w:line="253" w:lineRule="auto"/>
        <w:rPr>
          <w:sz w:val="20"/>
          <w:szCs w:val="20"/>
          <w:color w:val="auto"/>
        </w:rPr>
      </w:pPr>
      <w:r>
        <w:rPr>
          <w:rFonts w:ascii="Arial" w:cs="Arial" w:eastAsia="Arial" w:hAnsi="Arial"/>
          <w:sz w:val="18"/>
          <w:szCs w:val="18"/>
          <w:color w:val="auto"/>
        </w:rPr>
        <w:t>The estimated fair value of the senior convertible notes due 2013 was calculated based on quoted prices in an active market (Level 1 in the fair value hierarchy). The estimated fair value of the senior convertible notes due 2015 was calculated based on model derived valuations whose inputs were observable, such as the Company’s stock price, and non-observable, such as the Company’s long-term historical volatility (Level 3 in the fair value hierarchy). As there is no current observable market for the senior convertible notes due 2015,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w:t>
      </w:r>
    </w:p>
    <w:p>
      <w:pPr>
        <w:spacing w:after="0" w:line="66"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Derivative financial instruments are recognized as other assets or other current liabilities in the financial statements and measured at fair value. The fair value of foreign exchange hedging contracts equals the carrying value at each balance sheet date. The fair value of these contracts are determined using methodologies based on market observable inputs (Level 2 in the fair value hierarchy), including foreign currency spot rates. The Company used derivative financial instruments to manage its exposure to foreign currency exchange risks related to quarterly purchases on insulin. The Company does not use derivative financial instruments for trading or speculative purposes, nor does it use leveraged financial instruments. Credit risk related to derivative financial instruments was considered minimal and was managed by requiring high credit standards for counterparties and through periodic settlements of positions.</w:t>
      </w:r>
    </w:p>
    <w:p>
      <w:pPr>
        <w:spacing w:after="0" w:line="39"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The Company’s derivative financial instruments are not designated as hedging instruments, and gains or losses resulting from changes in the fair value are reported in other income (expense), in the consolidated statements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operations. The Company entered into foreign exchange hedging contracts with notional amounts totaling $25.5 million and zero at December 31, 2010 and 2011, respectively. The Company recorded an unrealized loss on the foreign exchange hedging contracts of $0.2 million at December 31, 2010. The Company recorded a realized loss of $1.6 million and a realized gain of $1.3 million for the years ended December 31, 2010 and 2011, respectively, on the execution of quarterly foreign exchange hedging contracts. The Company terminated these contracts during the quarter ended March 31, 2011.</w:t>
      </w:r>
    </w:p>
    <w:p>
      <w:pPr>
        <w:spacing w:after="0" w:line="32" w:lineRule="exact"/>
        <w:rPr>
          <w:sz w:val="20"/>
          <w:szCs w:val="20"/>
          <w:color w:val="auto"/>
        </w:rPr>
      </w:pPr>
    </w:p>
    <w:p>
      <w:pPr>
        <w:ind w:right="60" w:firstLine="228"/>
        <w:spacing w:after="0" w:line="335" w:lineRule="auto"/>
        <w:rPr>
          <w:sz w:val="20"/>
          <w:szCs w:val="20"/>
          <w:color w:val="auto"/>
        </w:rPr>
      </w:pPr>
      <w:r>
        <w:rPr>
          <w:rFonts w:ascii="Arial" w:cs="Arial" w:eastAsia="Arial" w:hAnsi="Arial"/>
          <w:sz w:val="15"/>
          <w:szCs w:val="15"/>
          <w:color w:val="auto"/>
        </w:rPr>
        <w:t xml:space="preserve">The estimated fair values in connection with the February 2012 The Mann Group Common Stock Purchase Agreement (“The February 2012 Forward Purchase Contract”) and the October 2012 The Mann Group Common Stock and Warrant Purchase Agreement (“The October 2012 Forward Purchase Contract”) was based on forward purchase contract valuations (Level 3 in the fair value hierarchy). See Note 10 </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Common and preferred stock for further discussion.</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roll-forward provides a summary of the changes in fair value of the Company’s Level 3 forward purchase contracts during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 :</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The February 2012</w:t>
            </w:r>
          </w:p>
        </w:tc>
        <w:tc>
          <w:tcPr>
            <w:tcW w:w="16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8"/>
              </w:rPr>
              <w:t>The October 2012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Forward Purchase</w:t>
            </w:r>
          </w:p>
        </w:tc>
        <w:tc>
          <w:tcPr>
            <w:tcW w:w="1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Forward Purchase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rPr>
              <w:t>Contract</w:t>
            </w:r>
          </w:p>
        </w:tc>
        <w:tc>
          <w:tcPr>
            <w:tcW w:w="180" w:type="dxa"/>
            <w:vAlign w:val="bottom"/>
          </w:tcPr>
          <w:p>
            <w:pPr>
              <w:spacing w:after="0"/>
              <w:rPr>
                <w:sz w:val="14"/>
                <w:szCs w:val="14"/>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Contract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Issuance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1,080</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28,237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fair value included in other income (expense)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(13,248)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Transfers to additional paid-in-capital</w:t>
            </w:r>
          </w:p>
        </w:tc>
        <w:tc>
          <w:tcPr>
            <w:tcW w:w="200" w:type="dxa"/>
            <w:vAlign w:val="bottom"/>
          </w:tcPr>
          <w:p>
            <w:pPr>
              <w:spacing w:after="0"/>
              <w:rPr>
                <w:sz w:val="18"/>
                <w:szCs w:val="18"/>
                <w:color w:val="auto"/>
              </w:rPr>
            </w:pPr>
          </w:p>
        </w:tc>
        <w:tc>
          <w:tcPr>
            <w:tcW w:w="1960" w:type="dxa"/>
            <w:vAlign w:val="bottom"/>
            <w:gridSpan w:val="2"/>
          </w:tcPr>
          <w:p>
            <w:pPr>
              <w:jc w:val="right"/>
              <w:ind w:right="980"/>
              <w:spacing w:after="0"/>
              <w:rPr>
                <w:sz w:val="20"/>
                <w:szCs w:val="20"/>
                <w:color w:val="auto"/>
              </w:rPr>
            </w:pPr>
            <w:r>
              <w:rPr>
                <w:rFonts w:ascii="Arial" w:cs="Arial" w:eastAsia="Arial" w:hAnsi="Arial"/>
                <w:sz w:val="18"/>
                <w:szCs w:val="18"/>
                <w:color w:val="auto"/>
              </w:rPr>
              <w:t>(13,091)</w:t>
            </w:r>
          </w:p>
        </w:tc>
        <w:tc>
          <w:tcPr>
            <w:tcW w:w="18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(14,989)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(28,080)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and preferred stock</w:t>
      </w:r>
    </w:p>
    <w:p>
      <w:pPr>
        <w:spacing w:after="0" w:line="96"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i w:val="1"/>
          <w:iCs w:val="1"/>
          <w:color w:val="auto"/>
        </w:rPr>
        <w:t xml:space="preserve">Private Placements </w:t>
      </w:r>
      <w:r>
        <w:rPr>
          <w:rFonts w:ascii="Arial" w:cs="Arial" w:eastAsia="Arial" w:hAnsi="Arial"/>
          <w:sz w:val="16"/>
          <w:szCs w:val="16"/>
          <w:color w:val="auto"/>
        </w:rPr>
        <w:t>— On August 5, 2005, the Company closed a $175.0 million private placement of common stock and the concurrent issuance of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purchase of additional shares of common stock to accredited investors including the Company’s principal stockholder who purchased $87.3 million of the private placement. The Company sold 17,132,000 shares of common stock in the private placement, together with warrants to purchase up to 3,426,000 shares of common stock at an exercise price of $12.228 per share which became exercisable on February 1, 2006 and expired on August 5, 2010. In connection with this private placement, the Company paid $4.5 million in commissions to the placement agents and incurred $300,000 in other offering expenses which resulted in net proceeds of approximately $170.2 million.</w:t>
      </w:r>
    </w:p>
    <w:p>
      <w:pPr>
        <w:spacing w:after="0" w:line="39"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i w:val="1"/>
          <w:iCs w:val="1"/>
          <w:color w:val="auto"/>
        </w:rPr>
        <w:t xml:space="preserve">Public Equity Offerings </w:t>
      </w:r>
      <w:r>
        <w:rPr>
          <w:rFonts w:ascii="Arial" w:cs="Arial" w:eastAsia="Arial" w:hAnsi="Arial"/>
          <w:sz w:val="18"/>
          <w:szCs w:val="18"/>
          <w:color w:val="auto"/>
        </w:rPr>
        <w:t>— On August 5, 2009, the Company sold 8,360,000 shares of its common stock, including 960,000 shares sold pursuant to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 over-allotment option granted to the underwriters of the offering, at a public offering price of $7.35 per share. The Company’s principal stockholder purchased 1,000,000 of these shares from the underwriters at a price per share of $8.11. The sale of common stock resulted in aggregate net proceeds to the Company of approximately $59.7 million after deducting offering expenses.</w:t>
      </w:r>
    </w:p>
    <w:p>
      <w:pPr>
        <w:spacing w:after="0" w:line="62"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Included in the common stock outstanding as of December 31, 2010, 2011 and 2012 are 9,000,000 shares of common stock loaned to Bank of America under a share lending agreement in connection with the offering of the $100.0 million aggregate principal amount of 2015 notes (see Note 7). Bank of America is obligated to return the borrowed shares (or, in certain circumstances, the cash value thereof) to the Company on or about the 45</w:t>
      </w:r>
      <w:r>
        <w:rPr>
          <w:rFonts w:ascii="Arial" w:cs="Arial" w:eastAsia="Arial" w:hAnsi="Arial"/>
          <w:sz w:val="10"/>
          <w:szCs w:val="10"/>
          <w:color w:val="auto"/>
        </w:rPr>
        <w:t>th</w:t>
      </w:r>
      <w:r>
        <w:rPr>
          <w:rFonts w:ascii="Arial" w:cs="Arial" w:eastAsia="Arial" w:hAnsi="Arial"/>
          <w:sz w:val="16"/>
          <w:szCs w:val="16"/>
          <w:color w:val="auto"/>
        </w:rPr>
        <w:t xml:space="preserve"> business day following the date as of which the entire principal amount of the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228"/>
        <w:spacing w:after="0" w:line="305" w:lineRule="auto"/>
        <w:rPr>
          <w:sz w:val="20"/>
          <w:szCs w:val="20"/>
          <w:color w:val="auto"/>
        </w:rPr>
      </w:pPr>
      <w:r>
        <w:rPr>
          <w:rFonts w:ascii="Arial" w:cs="Arial" w:eastAsia="Arial" w:hAnsi="Arial"/>
          <w:sz w:val="15"/>
          <w:szCs w:val="15"/>
          <w:color w:val="auto"/>
        </w:rPr>
        <w:t>On August 10, 2010, the Company entered into an agreement with Seaside for the sale of up to 18,200,000 shares of common stock in increments of 700,000 shares on a bi-weekly basis with the first closing date scheduled for September 22, 2010 provided that certain conditions are met, including for a particular closing to take place, the ten-day volume weighted average trading price for the Company’s common stock immediately prior to such closing must be at least $6.50 per share. If the ten-day volume weighted average trading price for a particular closing was below $6.50 per share, then that closing did not occur and the aggregate number of shares to be purchased was reduced by 700,000 shares. The purchase price per share at each closing was equal to 92% of that 10-day volume weighted average price. During the years ended December 31, 2010 and 2011, the Company issued and sold a total of 2,100,000 and 1,400,000 shares of common stock, respectively, to Seaside for net proceeds of $14.1 million and $9.7 million, respectively, in accordance with the agreement. The agreement with Seaside terminated during the quarter ended September 30, 2011. During the agreement, the Company issued and sold a total of 3,500,000 shares of common stock to Seaside for net proceeds of $23.8 million. In conjunction with the Seaside agreement, on August 10, 2010, the Company entered into a common stock purchase agreement with The Mann Group. Under this common stock purchase agreement, the Company was required to issue and sell, and The Mann Group was obligated to purchase at a price equal to the greater of $7.15 per share (the closing bid price of the Company’s common stock on August 10, 2010) and the closing bid price of common stock on the trading day immediately preceding the applicable closing date, the same number of shares of the Company’s common stock that Seaside purchased on each closing date under its agreement with the Company (see Note 6). Concurrently with the Seaside closing, the Company issued and sold 2,100,000 and 1,400,000 shares to The Mann Group as of December 31, 2010 and 2011, respectively, for a total purchase price of $16.7 million and $11.1 million, respectively, which was paid by the cancellation of outstanding principal under the Company’s loan agreement with The Mann Group. The agreement with The Mann Group terminated during the quarter ended September 30, 2011. During the agreement, the Company issued and sold a total of 3,500,000 shares of common stock to The Mann Group that had resulted in total reduction in the note payable to related party of $27.8 million.</w:t>
      </w:r>
    </w:p>
    <w:p>
      <w:pPr>
        <w:spacing w:after="0" w:line="247"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On February 8, 2012, the Company sold 35,937,500 units in an underwritten public offering, including 4,687,500 units sold pursuant to the full exercise of an over-allotment option granted to the underwriters, with each unit consisting of one share of common stock and a warrant to purchase 0.6 of a share of common stock. All of the securities were offered by the Company at a combined price to the public of $2.40 per unit and the underwriters purchased the units at a price of $2.256 per unit. Net proceeds from this offering were approximately $80.6 million, excluding any warrant exercises. The 21,562,500 shares of common stock underlying the warrants are exercisable at $2.40 per share and expire four years from the date of the issuance. The shares of common stock and warrants are immediately separable and were issued separately. Concurrent with the February 2012 underwritten public offering, the Company entered into a common stock purchase agreement with The Mann Group, pursuant to which the Company agreed to sell and The Mann Group agreed to purchase 31,250,000 shares of the Company’s restricted common stock at a price of $2.47 per share, the closing of which was subject to the expiration or termination of the waiting period under the Hart-Scott-Rodino Antitrust Improvements Act of 1976, as amended (“HSR Clearance”), and the Company’s receipt of stockholder approval to increase the authorized number of shares of our common stock. In June 2012, following HSR Clearance and the Company’s receipt of such stockholder approval, The Mann Group purchased $77.2 million worth of restricted shares of common stock which were paid through the cancellation of principal indebtedness under the revolving amended loan arrangement with The Mann Group (see Note 6 — Related-party arrangements).</w:t>
      </w:r>
    </w:p>
    <w:p>
      <w:pPr>
        <w:spacing w:after="0" w:line="43" w:lineRule="exact"/>
        <w:rPr>
          <w:sz w:val="20"/>
          <w:szCs w:val="20"/>
          <w:color w:val="auto"/>
        </w:rPr>
      </w:pPr>
    </w:p>
    <w:p>
      <w:pPr>
        <w:jc w:val="both"/>
        <w:ind w:right="80" w:firstLine="228"/>
        <w:spacing w:after="0" w:line="256" w:lineRule="auto"/>
        <w:rPr>
          <w:sz w:val="20"/>
          <w:szCs w:val="20"/>
          <w:color w:val="auto"/>
        </w:rPr>
      </w:pPr>
      <w:r>
        <w:rPr>
          <w:rFonts w:ascii="Arial" w:cs="Arial" w:eastAsia="Arial" w:hAnsi="Arial"/>
          <w:sz w:val="18"/>
          <w:szCs w:val="18"/>
          <w:color w:val="auto"/>
        </w:rPr>
        <w:t xml:space="preserve">The Company concluded that The Mann Group common stock purchase agreement represented a contingent forward purchase contract that met the definition of a derivative instrument in accordance with ASC 815 </w:t>
      </w:r>
      <w:r>
        <w:rPr>
          <w:rFonts w:ascii="Arial" w:cs="Arial" w:eastAsia="Arial" w:hAnsi="Arial"/>
          <w:sz w:val="18"/>
          <w:szCs w:val="18"/>
          <w:i w:val="1"/>
          <w:iCs w:val="1"/>
          <w:color w:val="auto"/>
        </w:rPr>
        <w:t>Derivatives and Hedging (“ASC 815”).</w:t>
      </w:r>
      <w:r>
        <w:rPr>
          <w:rFonts w:ascii="Arial" w:cs="Arial" w:eastAsia="Arial" w:hAnsi="Arial"/>
          <w:sz w:val="18"/>
          <w:szCs w:val="18"/>
          <w:color w:val="auto"/>
        </w:rPr>
        <w:t xml:space="preserve"> Of the 31,250,000 shares issuable pursuant to the common stock purchase agreement, the portion of the derivative instrument representing 14.7 million shares were recorded as equity (“Equity Portion”) as they met the criteria for equity classification under ASC 815-40 </w:t>
      </w:r>
      <w:r>
        <w:rPr>
          <w:rFonts w:ascii="Arial" w:cs="Arial" w:eastAsia="Arial" w:hAnsi="Arial"/>
          <w:sz w:val="18"/>
          <w:szCs w:val="18"/>
          <w:i w:val="1"/>
          <w:iCs w:val="1"/>
          <w:color w:val="auto"/>
        </w:rPr>
        <w:t>Derivatives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Hedging, Contracts in an Entity’s Own Stock. </w:t>
      </w:r>
      <w:r>
        <w:rPr>
          <w:rFonts w:ascii="Arial" w:cs="Arial" w:eastAsia="Arial" w:hAnsi="Arial"/>
          <w:sz w:val="18"/>
          <w:szCs w:val="18"/>
          <w:color w:val="auto"/>
        </w:rPr>
        <w:t>The remaining 16.5 million shares (“Non-Equity Portion”) required classification outside of equity as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did not have sufficient available shares at the time of issuance. The Company revalued the Non-Equity Portion of the forward purchase contract at each reporting date and recorded a fair value adjustment within “Other income (expense)”. At the time of issuance, the fair value of the forward purchase contract was $2.0 million. The Equity Portion of $0.9 million was classified as equity, and the Non-Equity Portion of $1.1 million was initially recorded to “Prepaid expenses and other current assets.”</w:t>
      </w:r>
    </w:p>
    <w:p>
      <w:pPr>
        <w:spacing w:after="0" w:line="62" w:lineRule="exact"/>
        <w:rPr>
          <w:sz w:val="20"/>
          <w:szCs w:val="20"/>
          <w:color w:val="auto"/>
        </w:rPr>
      </w:pPr>
    </w:p>
    <w:p>
      <w:pPr>
        <w:ind w:firstLine="228"/>
        <w:spacing w:after="0" w:line="305" w:lineRule="auto"/>
        <w:rPr>
          <w:sz w:val="20"/>
          <w:szCs w:val="20"/>
          <w:color w:val="auto"/>
        </w:rPr>
      </w:pPr>
      <w:r>
        <w:rPr>
          <w:rFonts w:ascii="Arial" w:cs="Arial" w:eastAsia="Arial" w:hAnsi="Arial"/>
          <w:sz w:val="15"/>
          <w:szCs w:val="15"/>
          <w:color w:val="auto"/>
        </w:rPr>
        <w:t>On May 17, 2012, the Company’s stockholders approved an increase in its authorized shares of common stock from 250,000,000 to 350,000,000. Accordingly, the shares of common stock needed to consummate The Mann Group common stock purchase agreement dated February 2, 2012 became available. As of</w:t>
      </w:r>
    </w:p>
    <w:p>
      <w:pPr>
        <w:jc w:val="both"/>
        <w:ind w:right="60"/>
        <w:spacing w:after="0" w:line="255" w:lineRule="auto"/>
        <w:rPr>
          <w:sz w:val="20"/>
          <w:szCs w:val="20"/>
          <w:color w:val="auto"/>
        </w:rPr>
      </w:pPr>
      <w:r>
        <w:rPr>
          <w:rFonts w:ascii="Arial" w:cs="Arial" w:eastAsia="Arial" w:hAnsi="Arial"/>
          <w:sz w:val="18"/>
          <w:szCs w:val="18"/>
          <w:color w:val="auto"/>
        </w:rPr>
        <w:t>May 17, 2012, the fair value of the Non-Equity Portion was $13.1 million. As of result of receiving stockholder approval of the increase in authorized shares, the Non-Equity Portion met the criteria for equity classification. Consequently, the Company reclassified the $13.1 million from “Prepaid expenses and other current assets” to “Additional paid-in capital.”</w:t>
      </w:r>
    </w:p>
    <w:p>
      <w:pPr>
        <w:spacing w:after="0" w:line="63"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The fair value of the forward purchase contract is highly sensitive to the discount applied for lack of marketability and the stock price, and changes in this discount and/or the stock price caused the value of the forward purchase contract to change significantly. As of and for the year ended December 31, 2012, the Company recognized the change in fair value of $12.0 million in “Other income (expense).” The Company revalued the Non-Equity Portion using a forward contract valuation formula, in which the forward contract was estimated to be equal to the valuation date stock price of $2.40 at issuance and $1.69 at May 17, 2012 minus the strike price discounted to the valuation date using a risk-free rate of 0.08% at issuance and 0.18% at May 17, 2012. As the shares which would be received upon settlement were unregistered, the Company applied a discount for lack of marketability of 2.57% at issuance and 0.42% at May 17, 2012 based on quantitative put models, adjusted to take into account qualitative factors, including the fact that the Company’s stock was publicly traded and the fact that there was no contractual restriction on the unregistered shares being registered.</w:t>
      </w:r>
    </w:p>
    <w:p>
      <w:pPr>
        <w:spacing w:after="0" w:line="37" w:lineRule="exact"/>
        <w:rPr>
          <w:sz w:val="20"/>
          <w:szCs w:val="20"/>
          <w:color w:val="auto"/>
        </w:rPr>
      </w:pPr>
    </w:p>
    <w:p>
      <w:pPr>
        <w:ind w:right="40" w:firstLine="228"/>
        <w:spacing w:after="0" w:line="288" w:lineRule="auto"/>
        <w:rPr>
          <w:sz w:val="20"/>
          <w:szCs w:val="20"/>
          <w:color w:val="auto"/>
        </w:rPr>
      </w:pPr>
      <w:r>
        <w:rPr>
          <w:rFonts w:ascii="Arial" w:cs="Arial" w:eastAsia="Arial" w:hAnsi="Arial"/>
          <w:sz w:val="16"/>
          <w:szCs w:val="16"/>
          <w:color w:val="auto"/>
        </w:rPr>
        <w:t>In October 2012, pursuant to a previously filed Shelf Registration, which was declared effective by the SEC on September 24, 2012, the Company sold in an underwritten public offering 40,000,000 shares of its common stock, together with warrants to purchase up to 30,000,000 shares of the Company’s common stock. In addition, the Company sold pursuant to the full exercise of an over-allotment option granted to the underwriters, an additional 6,000,000 shares of common stock , together with warrants to purchase up to an aggregate of 4,500,000 shares of common stock. All of the securities were sold together with a warrant for a combined purchase price of $2.00 per unit. The shares of common stock and warrants are immediately separable and were issued separately. Net proceeds from this offering were approximately $86.3 million (after deducting discounts and commissions to the underwriters and offering expenses), excluding any future proceeds from the exercise of the warrants. Each warrant entitles the holder to purchase 0.75 of a share of common stock. The warrants are exercisable at $2.60 per share and will expire in October 2013. The Company performed an analysis of the warrants to determine their appropriate classification and concluded that the warrants should be classified within equity.</w:t>
      </w:r>
    </w:p>
    <w:p>
      <w:pPr>
        <w:spacing w:after="0" w:line="39"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Concurrent with the underwritten public offering, the Company entered into a Common Stock and Warrant Purchase agreement, in which the Company was required to issue and sell and The Mann Group was obligated to purchase 40,000,000 restricted shares of the Company’s common stock and 40,000,000 warrants to purchase up to an aggregate of 30,000,000 restricted shares of the Company’s common stock in a separate private placement. The restricted shares were sold to The Mann Group at $2.59 per share (the consolidated closing bid price of the Company’s common stock on October 17, 2012), and the warrants were sold to The Mann Group at a purchase price of $0.125 for each share of the Company’s common stock underlying the warrants, in exchange for cancellation of outstanding principal under the $350 million amended and restated promissory note with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Mann Group. The restricted shares and warrants were sold to The Mann Group for an aggregate purchase price of $107.4 million. Following receipt of stockholder approval, in December 2012, to increase the Company’s authorized shares of common stock from 350,000,000 to 550,000,000, the Common Stock and Warrant Purchase agreement was consummated, and the shares of common stock and warrants were issued to The Mann Group.</w:t>
      </w:r>
    </w:p>
    <w:p>
      <w:pPr>
        <w:spacing w:after="0" w:line="26"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On the date the Common Stock and Warrant Purchase agreement was entered into with The Mann Group, the Company did not have a sufficient number of authorized, unissued and available common shares to satisfy their commitments under this agreement. The Company characterized the Common Stock and Warrant Purchase agreement as a forward contract, in accordance with ASC 815-40, to deliver a single unit comprising 40,000,000 shares of restricted common stock and 40,000,000 warrants to purchase 30,000,000 shares of restricted common stock that should be classified as assets or liabilities accounted for at fair value.</w:t>
      </w:r>
    </w:p>
    <w:p>
      <w:pPr>
        <w:spacing w:after="0" w:line="62"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At the time of issuance, the Company determined the fair value of the forward contract to be $28.2 million and recorded a current asset. On December 20, 2012, the date at which a sufficient number of authorized and unissued common shares became available following approval by the stockholders to increase its authorized shares of common stock, the Company re-valued the forward contract and recorded a fair value adjustment to “Other income (expense)” of $13.2 million expense. Therefore, having met the criteria for equity classification, the Company reclassified the remaining balance of the forward contract of $15.0 million to additional paid in capital. In addition, the Company performed an analysis of the warrants to determine their appropriate classification once the forward contract settled and concluded that the warrants should be classified within equity.</w:t>
      </w:r>
    </w:p>
    <w:p>
      <w:pPr>
        <w:spacing w:after="0" w:line="39"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The fair value of the forward purchase contract is highly sensitive to the discount applied for lack of marketability and the stock price, and changes in this discount and/or the stock price caused the value of the Forward Contract to change significantly. The value of the derivative instrument was calculated using a forward contract valuation formula in which the forward contract is estimated to be equal to the valuation date stock price minus the strike price discounted to the valuation date using a risk-free rate of 0.11% at issuance on October 18, 2012 and 0.00% at closing on December 20, 2012. As the shares which would be received upon settlement are currently unregistered, the Company applied a discount for lack of marketability of 2.3% at October 18, 2012 and 1.5% at December 20, 2012 to reflect this lack of marketability based on quantitative put models, adjusted to take into account qualitative factors, including the fact that the Company’s stock is publicly traded and the fact that there is no contractual restriction on the unregistered shares being registered.</w:t>
      </w:r>
    </w:p>
    <w:p>
      <w:pPr>
        <w:spacing w:after="0" w:line="37" w:lineRule="exact"/>
        <w:rPr>
          <w:sz w:val="20"/>
          <w:szCs w:val="20"/>
          <w:color w:val="auto"/>
        </w:rPr>
      </w:pPr>
    </w:p>
    <w:p>
      <w:pPr>
        <w:jc w:val="both"/>
        <w:ind w:right="100" w:firstLine="228"/>
        <w:spacing w:after="0" w:line="335" w:lineRule="auto"/>
        <w:rPr>
          <w:sz w:val="20"/>
          <w:szCs w:val="20"/>
          <w:color w:val="auto"/>
        </w:rPr>
      </w:pPr>
      <w:r>
        <w:rPr>
          <w:rFonts w:ascii="Arial" w:cs="Arial" w:eastAsia="Arial" w:hAnsi="Arial"/>
          <w:sz w:val="15"/>
          <w:szCs w:val="15"/>
          <w:color w:val="auto"/>
        </w:rPr>
        <w:t>The Company then determined that upon the settlement of the forward contracts, the common stock and warrants represent freestanding financial instruments and should be initially recorded at their relative fair values based on the total consideration received. The total consideration received equaled the $107.4 million principal amount of indebtedness cancelled less the recorded value of the forward contracts on December 20, 2012, the date immediately before settlement.</w:t>
      </w:r>
    </w:p>
    <w:p>
      <w:pPr>
        <w:spacing w:after="0" w:line="7"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The Company is authorized to issue 550,000,000 shares of common stock, par value $0.01 per share, and 10,000,000 shares of undesignated preferred stock, par value $0.01 per share, issuable in one or more series designated by the Company’s board of directors. No other class of capital stock is authorized. As of December 31, 2011 and 2012, 131,522,945 and 286,035,082 shares of common stock, respectively, were issued and outstanding and no shares of preferred stock were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common share</w:t>
      </w:r>
    </w:p>
    <w:p>
      <w:pPr>
        <w:spacing w:after="0" w:line="96"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Basic net loss per share excludes dilution for potentially dilutive securities and is computed by dividing loss applicable to common stockholders by the weighted average number of common shares outstanding during the period excluding the shares loaned under the share lending arrangement (see Note 10). As of December 31, 2010,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2011 and 2012, 9,000,000 shares of the Company’s common stock, which were loaned to a share borrower pursuant to the terms of a share lending agreement, as described in Note 10,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30,858,590 shares, 34,048,852 and 128,324,123 shares of the Company’s common stock as of December 31 2010, 2011 and 2012, respectively, and exclude the 9,000,000 shares of the Company’s common stock loaned under the share lending arrangement as of December 31, 2011 and 2012.</w:t>
      </w:r>
    </w:p>
    <w:p>
      <w:pPr>
        <w:spacing w:after="0" w:line="2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Potentially dilutive securities outstanding are summarized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7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of common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7,760,833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10,082,351</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18,674,539</w:t>
            </w:r>
          </w:p>
        </w:tc>
        <w:tc>
          <w:tcPr>
            <w:tcW w:w="120" w:type="dxa"/>
            <w:vAlign w:val="bottom"/>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Arial" w:cs="Arial" w:eastAsia="Arial" w:hAnsi="Arial"/>
                <w:sz w:val="18"/>
                <w:szCs w:val="18"/>
                <w:color w:val="auto"/>
              </w:rPr>
              <w:t>Conversion of senior convertible notes into common stock</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19,826,113</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19,826,113</w:t>
            </w:r>
          </w:p>
        </w:tc>
        <w:tc>
          <w:tcPr>
            <w:tcW w:w="1060" w:type="dxa"/>
            <w:vAlign w:val="bottom"/>
          </w:tcPr>
          <w:p>
            <w:pPr>
              <w:jc w:val="right"/>
              <w:spacing w:after="0"/>
              <w:rPr>
                <w:sz w:val="20"/>
                <w:szCs w:val="20"/>
                <w:color w:val="auto"/>
              </w:rPr>
            </w:pPr>
            <w:r>
              <w:rPr>
                <w:rFonts w:ascii="Arial" w:cs="Arial" w:eastAsia="Arial" w:hAnsi="Arial"/>
                <w:sz w:val="18"/>
                <w:szCs w:val="18"/>
                <w:color w:val="auto"/>
              </w:rPr>
              <w:t>19,826,113</w:t>
            </w:r>
          </w:p>
        </w:tc>
        <w:tc>
          <w:tcPr>
            <w:tcW w:w="120" w:type="dxa"/>
            <w:vAlign w:val="bottom"/>
          </w:tcPr>
          <w:p>
            <w:pPr>
              <w:spacing w:after="0"/>
              <w:rPr>
                <w:sz w:val="18"/>
                <w:szCs w:val="18"/>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warrants</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86,062,440</w:t>
            </w:r>
          </w:p>
        </w:tc>
        <w:tc>
          <w:tcPr>
            <w:tcW w:w="120" w:type="dxa"/>
            <w:vAlign w:val="bottom"/>
            <w:shd w:val="clear" w:color="auto" w:fill="CCEEFF"/>
          </w:tcPr>
          <w:p>
            <w:pPr>
              <w:spacing w:after="0"/>
              <w:rPr>
                <w:sz w:val="18"/>
                <w:szCs w:val="18"/>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3,271,644</w:t>
            </w:r>
          </w:p>
        </w:tc>
        <w:tc>
          <w:tcPr>
            <w:tcW w:w="3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4,140,388</w:t>
            </w:r>
          </w:p>
        </w:tc>
        <w:tc>
          <w:tcPr>
            <w:tcW w:w="3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3,761,031</w:t>
            </w:r>
          </w:p>
        </w:tc>
        <w:tc>
          <w:tcPr>
            <w:tcW w:w="120" w:type="dxa"/>
            <w:vAlign w:val="bottom"/>
          </w:tcPr>
          <w:p>
            <w:pPr>
              <w:spacing w:after="0"/>
              <w:rPr>
                <w:sz w:val="19"/>
                <w:szCs w:val="19"/>
                <w:color w:val="auto"/>
              </w:rPr>
            </w:pPr>
          </w:p>
        </w:tc>
      </w:tr>
      <w:tr>
        <w:trPr>
          <w:trHeight w:val="216"/>
        </w:trPr>
        <w:tc>
          <w:tcPr>
            <w:tcW w:w="77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30,858,590</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34,048,852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128,324,123</w:t>
            </w:r>
          </w:p>
        </w:tc>
        <w:tc>
          <w:tcPr>
            <w:tcW w:w="120" w:type="dxa"/>
            <w:vAlign w:val="bottom"/>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award plans</w:t>
      </w:r>
    </w:p>
    <w:p>
      <w:pPr>
        <w:spacing w:after="0" w:line="96"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As of December 31, 2012, the Company has three active stock-based compensation plans— the 2004 Equity Incentive Plan (the “Plan”), the 2004 Non-Employee Directors’ Stock Option Plan (the “NED Plan”), and the 2004 Employee Stock Purchase Plan (the “ESPP”). The Plan provides for the granting of stock awards including stock options and restricted stock units, to employees, directors and consultants. The NED Plan provides for the automatic, non-discretionary grant of options to the Company’s non-employee directors. The following table summarizes information about the Company’s stock-based award plans as of December 31, 2012: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Outstanding</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Restricted</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Options</w:t>
            </w: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Stock Units</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4"/>
              </w:rPr>
              <w:t>2004</w:t>
            </w:r>
          </w:p>
        </w:tc>
        <w:tc>
          <w:tcPr>
            <w:tcW w:w="748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Equity Incentive Plan</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17,983,708</w:t>
            </w: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3,761,031</w:t>
            </w:r>
          </w:p>
        </w:tc>
        <w:tc>
          <w:tcPr>
            <w:tcW w:w="4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6,521,347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2004</w:t>
            </w:r>
          </w:p>
        </w:tc>
        <w:tc>
          <w:tcPr>
            <w:tcW w:w="7480" w:type="dxa"/>
            <w:vAlign w:val="bottom"/>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860" w:type="dxa"/>
            <w:vAlign w:val="bottom"/>
          </w:tcPr>
          <w:p>
            <w:pPr>
              <w:jc w:val="right"/>
              <w:spacing w:after="0"/>
              <w:rPr>
                <w:sz w:val="20"/>
                <w:szCs w:val="20"/>
                <w:color w:val="auto"/>
              </w:rPr>
            </w:pPr>
            <w:r>
              <w:rPr>
                <w:rFonts w:ascii="Arial" w:cs="Arial" w:eastAsia="Arial" w:hAnsi="Arial"/>
                <w:sz w:val="18"/>
                <w:szCs w:val="18"/>
                <w:color w:val="auto"/>
              </w:rPr>
              <w:t>690,831</w:t>
            </w:r>
          </w:p>
        </w:tc>
        <w:tc>
          <w:tcPr>
            <w:tcW w:w="4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Total</w:t>
            </w:r>
          </w:p>
        </w:tc>
        <w:tc>
          <w:tcPr>
            <w:tcW w:w="7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18,674,539</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3,761,031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6,630,516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228"/>
        <w:spacing w:after="0" w:line="318" w:lineRule="auto"/>
        <w:rPr>
          <w:sz w:val="20"/>
          <w:szCs w:val="20"/>
          <w:color w:val="auto"/>
        </w:rPr>
      </w:pPr>
      <w:r>
        <w:rPr>
          <w:rFonts w:ascii="Arial" w:cs="Arial" w:eastAsia="Arial" w:hAnsi="Arial"/>
          <w:sz w:val="15"/>
          <w:szCs w:val="15"/>
          <w:color w:val="auto"/>
        </w:rPr>
        <w:t>The Company’s board of directors determines eligibility, vesting schedules and exercise prices for stock awards granted under the Plan. The NED Plan provides for automatic, non-discretionary grant of options to the Company’s non-employee directors. Options and other stock awards under the Plan and the NED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at a rate of 25% per year over four years with consideration satisfied by service to the Company. Performance-based awards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vest upon achieving pre-determined performance milestones which are expected to occur over periods ranging from 13 months to 96 months from the date of grant. All but one of the milestones is considered probable as of December 31, 2012. The Plan provides for full acceleration of vesting if an employee is terminated within thirteen months of a change in control, as defined in the Plan.</w:t>
      </w:r>
    </w:p>
    <w:p>
      <w:pPr>
        <w:spacing w:after="0" w:line="59"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On May 17, 2012, the Compensation Committee also approved a management proposal designed to encourage employee retention. The proposal involved the grant of stock options and restricted stock units to employees, including executive officers of the Company. 3,942,500 options were granted with vesting terms subject to MannKind Corporation’s achievement of specified regulatory and business development milestones related to AFREZZA. 3,892,500 options were granted with time-based vesting terms of 25% every 6 months beginning November 1, 2012, to be fully vested on May 1, 2014. The performance-based options and time-based stock options had a grant date fair value of $0.60 and $1.12, respectively and stock compensation expense associated with these grants will be approximately $6.7 million over the award period.</w:t>
      </w:r>
    </w:p>
    <w:p>
      <w:pPr>
        <w:spacing w:after="0" w:line="39"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On March 3, 2011, the Compensation Committee approved a management proposal designed to encourage employee retention. The proposal involved the issuance of restricted stock units and stock options to the majority of employees and executive officers of the Company. A total of 1,177,300 restricted stock units and 1,467,500 stock options were granted under the Plan. These units vest 50% annually for two years and will be fully vested on March 3, 2013. Stock compensation expense associated with these grants will be recorded on a straight line basis from March 3, 2011 through March 3, 2013 and will be approximately $8.2 million over the award period.</w:t>
      </w:r>
    </w:p>
    <w:p>
      <w:pPr>
        <w:spacing w:after="0" w:line="62" w:lineRule="exact"/>
        <w:rPr>
          <w:sz w:val="20"/>
          <w:szCs w:val="20"/>
          <w:color w:val="auto"/>
        </w:rPr>
      </w:pPr>
    </w:p>
    <w:p>
      <w:pPr>
        <w:ind w:right="640" w:firstLine="228"/>
        <w:spacing w:after="0" w:line="332" w:lineRule="auto"/>
        <w:rPr>
          <w:sz w:val="20"/>
          <w:szCs w:val="20"/>
          <w:color w:val="auto"/>
        </w:rPr>
      </w:pPr>
      <w:r>
        <w:rPr>
          <w:rFonts w:ascii="Arial" w:cs="Arial" w:eastAsia="Arial" w:hAnsi="Arial"/>
          <w:sz w:val="16"/>
          <w:szCs w:val="16"/>
          <w:color w:val="auto"/>
        </w:rPr>
        <w:t>On May 21, 2009, June 2, 2011, and May 17, 2012 the Company’s stockholders approved amendments to the Plan to increase the number of shares of common stock available for issuance under the plan by 5,000,000, 6,000,000, and 10,000,000 shares, respectively.</w:t>
      </w:r>
    </w:p>
    <w:p>
      <w:pPr>
        <w:spacing w:after="0" w:line="4"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On July 9, 2008, the Company announced an Offer to Exchange Outstanding Options to Purchase Common Stock (the “Offer”) under which the Company offered eligible employees the opportunity to exchange out-of-the money stock options covering up to an aggregate of 5,417,840 shares on a grant by grant basis for a reduced number of restricted stock units. The Offer expired on August 6, 2008. Pursuant to the Offer, the Company accepted for exchange options to purchase an aggregate of 4,493,509 shares of the Company’s common stock and issued restricted stock units covering an aggregate of 2,246,781 shares of the Company’s common stock. For the restricted stock units issued pursuant to the offer, both the remaining estimated unamortized stock compensation expense related to the exchanged options of approximately $13.9 million and the estimated incremental stock compensation expense resulting from the exchange of approximately $3.7 million was amortized over the vesting period ending on August 1, 2010.</w:t>
      </w:r>
    </w:p>
    <w:p>
      <w:pPr>
        <w:spacing w:after="0" w:line="37"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In March 2004, the Company’s board of directors approved the ESPP, which became effective upon the closing of the Company’s initial public offering. Initially, the aggregate number of shares that could be sold under the plan was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ESPP to exceed 10% of the total number of shares of capital stock outstanding on December 31 of the prior year. On January 1, 2010, 2011 and 2012 the ESPP share reserve was increased by 700,000, 700,000 and 700,000 shares, respectively. As of December 31, 2012, 2,674,003 shares were available for issuance under the ESPP. For the years ended December 31, 2010, 2011 and 2012 the Company sold 287,597, 282,816 and 422,260 shares, respectively, of its common stock to employees participating in the ESPP. The ESPP purchase for the period ending December 31, 2012 was initiated prior to year end but did not settle until January 3, 2013. As a result, the shares sold are reflected in the ESPP share reserves but is excluded from common stock outstanding as of December 31, 2012.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In accordance with ASC 718, share-based payment transactions are recognized as compensation cost based on the fair value of the instrument on the date of grant. The Company accounts for non-employee stock-based compensation expense based on the estimated fair value of the options, which is determined using the Black-Scholes option valuation model and amortizes such expense on a straight-line basis over the service period for time-based awards and over the expected dates of achievement for performance-based awards. These awards are subject to re-measurement until service is complete. As of December 31, 2012, there were options to purchase 243,033 shares of common stock outstanding to consultants.</w:t>
      </w:r>
    </w:p>
    <w:p>
      <w:pPr>
        <w:spacing w:after="0" w:line="35"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During the years ended December 31, 2010, 2011 and 2012 the Company recorded stock-based compensation expense related to its stock award plans and the ESPP of $13.6 million, $11.2 million, and $13.3 million, respectively.</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stock-based compensation expense recognized in the accompanying statements of operations is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700" w:type="dxa"/>
            <w:vAlign w:val="bottom"/>
            <w:gridSpan w:val="7"/>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Employee-related</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$13,478</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$11,202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Consultant-related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13,580</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11,204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13,292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Total stock-based compensation expense recognized in the accompanying statements of operations is included in the following categories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13,580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11,204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13,292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The Company uses the Black-Scholes option valuation model to estimate the grant date fair value of employee stock options. The expected term of an option granted is based on combining historical exercise data with expected weighted time outstanding. Expected weighted time outstanding is calculated by assuming the settlement of outstanding awards is at the midpoint between the remaining weighted average vesting date and the expiration date.</w:t>
      </w:r>
    </w:p>
    <w:p>
      <w:pPr>
        <w:spacing w:after="0" w:line="26" w:lineRule="exact"/>
        <w:rPr>
          <w:sz w:val="20"/>
          <w:szCs w:val="20"/>
          <w:color w:val="auto"/>
        </w:rPr>
      </w:pPr>
    </w:p>
    <w:p>
      <w:pPr>
        <w:ind w:firstLine="228"/>
        <w:spacing w:after="0" w:line="323" w:lineRule="auto"/>
        <w:rPr>
          <w:sz w:val="20"/>
          <w:szCs w:val="20"/>
          <w:color w:val="auto"/>
        </w:rPr>
      </w:pPr>
      <w:r>
        <w:rPr>
          <w:rFonts w:ascii="Arial" w:cs="Arial" w:eastAsia="Arial" w:hAnsi="Arial"/>
          <w:sz w:val="15"/>
          <w:szCs w:val="15"/>
          <w:color w:val="auto"/>
        </w:rPr>
        <w:t>The Company estimates volatility using the historical volatility of its stock.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granted during the years ended December 31, 2010, 2011 and 2012 using the following assumptions: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1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5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 — 3.14%</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 — 2.43%</w:t>
            </w:r>
          </w:p>
        </w:tc>
        <w:tc>
          <w:tcPr>
            <w:tcW w:w="3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 — 1.16%</w:t>
            </w:r>
          </w:p>
        </w:tc>
        <w:tc>
          <w:tcPr>
            <w:tcW w:w="12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Expected lives</w:t>
            </w:r>
          </w:p>
        </w:tc>
        <w:tc>
          <w:tcPr>
            <w:tcW w:w="2580" w:type="dxa"/>
            <w:vAlign w:val="bottom"/>
          </w:tcPr>
          <w:p>
            <w:pPr>
              <w:spacing w:after="0"/>
              <w:rPr>
                <w:sz w:val="18"/>
                <w:szCs w:val="18"/>
                <w:color w:val="auto"/>
              </w:rPr>
            </w:pPr>
          </w:p>
        </w:tc>
        <w:tc>
          <w:tcPr>
            <w:tcW w:w="1800" w:type="dxa"/>
            <w:vAlign w:val="bottom"/>
            <w:gridSpan w:val="2"/>
          </w:tcPr>
          <w:p>
            <w:pPr>
              <w:ind w:left="360"/>
              <w:spacing w:after="0"/>
              <w:rPr>
                <w:sz w:val="20"/>
                <w:szCs w:val="20"/>
                <w:color w:val="auto"/>
              </w:rPr>
            </w:pPr>
            <w:r>
              <w:rPr>
                <w:rFonts w:ascii="Arial" w:cs="Arial" w:eastAsia="Arial" w:hAnsi="Arial"/>
                <w:sz w:val="18"/>
                <w:szCs w:val="18"/>
                <w:color w:val="auto"/>
              </w:rPr>
              <w:t>2.6 — 6.1 years</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1.1 — 6.1 years</w:t>
            </w:r>
          </w:p>
        </w:tc>
        <w:tc>
          <w:tcPr>
            <w:tcW w:w="1640" w:type="dxa"/>
            <w:vAlign w:val="bottom"/>
            <w:gridSpan w:val="2"/>
          </w:tcPr>
          <w:p>
            <w:pPr>
              <w:ind w:left="400"/>
              <w:spacing w:after="0"/>
              <w:rPr>
                <w:sz w:val="20"/>
                <w:szCs w:val="20"/>
                <w:color w:val="auto"/>
              </w:rPr>
            </w:pPr>
            <w:r>
              <w:rPr>
                <w:rFonts w:ascii="Arial" w:cs="Arial" w:eastAsia="Arial" w:hAnsi="Arial"/>
                <w:sz w:val="18"/>
                <w:szCs w:val="18"/>
                <w:color w:val="auto"/>
                <w:w w:val="95"/>
              </w:rPr>
              <w:t>1.4 — 6.1 years</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5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 — 102%</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 — 83%</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 — 84%</w:t>
            </w:r>
          </w:p>
        </w:tc>
      </w:t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Dividends</w:t>
            </w:r>
          </w:p>
        </w:tc>
        <w:tc>
          <w:tcPr>
            <w:tcW w:w="2580" w:type="dxa"/>
            <w:vAlign w:val="bottom"/>
          </w:tcPr>
          <w:p>
            <w:pPr>
              <w:spacing w:after="0"/>
              <w:rPr>
                <w:sz w:val="19"/>
                <w:szCs w:val="19"/>
                <w:color w:val="auto"/>
              </w:rPr>
            </w:pPr>
          </w:p>
        </w:tc>
        <w:tc>
          <w:tcPr>
            <w:tcW w:w="18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160"/>
              <w:spacing w:after="0"/>
              <w:rPr>
                <w:sz w:val="20"/>
                <w:szCs w:val="20"/>
                <w:color w:val="auto"/>
              </w:rPr>
            </w:pPr>
            <w:r>
              <w:rPr>
                <w:rFonts w:ascii="Arial" w:cs="Arial" w:eastAsia="Arial" w:hAnsi="Arial"/>
                <w:sz w:val="18"/>
                <w:szCs w:val="18"/>
                <w:color w:val="auto"/>
              </w:rPr>
              <w:t>—</w:t>
            </w:r>
          </w:p>
        </w:tc>
      </w:tr>
      <w:tr>
        <w:trPr>
          <w:trHeight w:val="356"/>
        </w:trPr>
        <w:tc>
          <w:tcPr>
            <w:tcW w:w="3580" w:type="dxa"/>
            <w:vAlign w:val="bottom"/>
          </w:tcPr>
          <w:p>
            <w:pPr>
              <w:spacing w:after="0"/>
              <w:rPr>
                <w:sz w:val="24"/>
                <w:szCs w:val="24"/>
                <w:color w:val="auto"/>
              </w:rPr>
            </w:pPr>
          </w:p>
        </w:tc>
        <w:tc>
          <w:tcPr>
            <w:tcW w:w="2580" w:type="dxa"/>
            <w:vAlign w:val="bottom"/>
          </w:tcPr>
          <w:p>
            <w:pPr>
              <w:jc w:val="right"/>
              <w:ind w:right="272"/>
              <w:spacing w:after="0"/>
              <w:rPr>
                <w:sz w:val="20"/>
                <w:szCs w:val="20"/>
                <w:color w:val="auto"/>
              </w:rPr>
            </w:pPr>
            <w:r>
              <w:rPr>
                <w:rFonts w:ascii="Arial" w:cs="Arial" w:eastAsia="Arial" w:hAnsi="Arial"/>
                <w:sz w:val="18"/>
                <w:szCs w:val="18"/>
                <w:color w:val="auto"/>
              </w:rPr>
              <w:t>93</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12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Number</w:t>
            </w:r>
          </w:p>
        </w:tc>
        <w:tc>
          <w:tcPr>
            <w:tcW w:w="11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812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w:t>
            </w: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812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Shares</w:t>
            </w: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per Share</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7"/>
              </w:rPr>
              <w:t xml:space="preserve">Value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000)</w:t>
            </w:r>
          </w:p>
        </w:tc>
      </w:tr>
      <w:tr>
        <w:trPr>
          <w:trHeight w:val="210"/>
        </w:trPr>
        <w:tc>
          <w:tcPr>
            <w:tcW w:w="8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10,082,351</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9,795,600</w:t>
            </w: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220"/>
              <w:spacing w:after="0"/>
              <w:rPr>
                <w:sz w:val="20"/>
                <w:szCs w:val="20"/>
                <w:color w:val="auto"/>
              </w:rPr>
            </w:pPr>
            <w:r>
              <w:rPr>
                <w:rFonts w:ascii="Arial" w:cs="Arial" w:eastAsia="Arial" w:hAnsi="Arial"/>
                <w:sz w:val="18"/>
                <w:szCs w:val="18"/>
                <w:color w:val="auto"/>
              </w:rPr>
              <w:t>Forfeit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(715,131)</w:t>
            </w:r>
          </w:p>
        </w:tc>
        <w:tc>
          <w:tcPr>
            <w:tcW w:w="560" w:type="dxa"/>
            <w:vAlign w:val="bottom"/>
          </w:tcPr>
          <w:p>
            <w:pPr>
              <w:jc w:val="right"/>
              <w:spacing w:after="0"/>
              <w:rPr>
                <w:sz w:val="20"/>
                <w:szCs w:val="20"/>
                <w:color w:val="auto"/>
              </w:rPr>
            </w:pPr>
            <w:r>
              <w:rPr>
                <w:rFonts w:ascii="Arial" w:cs="Arial" w:eastAsia="Arial" w:hAnsi="Arial"/>
                <w:sz w:val="18"/>
                <w:szCs w:val="18"/>
                <w:color w:val="auto"/>
              </w:rPr>
              <w:t>3.96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(485,065)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Outstanding at December 31, 2012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18,674,539</w:t>
            </w: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3.46</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17,546,663</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00" w:type="dxa"/>
            <w:vAlign w:val="bottom"/>
            <w:shd w:val="clear" w:color="auto" w:fill="CCEEFF"/>
          </w:tcPr>
          <w:p>
            <w:pPr>
              <w:spacing w:after="0"/>
              <w:rPr>
                <w:sz w:val="18"/>
                <w:szCs w:val="18"/>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Exercisable at December 31, 2012</w:t>
            </w:r>
          </w:p>
        </w:tc>
        <w:tc>
          <w:tcPr>
            <w:tcW w:w="840" w:type="dxa"/>
            <w:vAlign w:val="bottom"/>
          </w:tcPr>
          <w:p>
            <w:pPr>
              <w:jc w:val="right"/>
              <w:spacing w:after="0"/>
              <w:rPr>
                <w:sz w:val="20"/>
                <w:szCs w:val="20"/>
                <w:color w:val="auto"/>
              </w:rPr>
            </w:pPr>
            <w:r>
              <w:rPr>
                <w:rFonts w:ascii="Arial" w:cs="Arial" w:eastAsia="Arial" w:hAnsi="Arial"/>
                <w:sz w:val="18"/>
                <w:szCs w:val="18"/>
                <w:color w:val="auto"/>
              </w:rPr>
              <w:t>7,199,768</w:t>
            </w: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5.26</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weighted average grant date fair value of the stock options granted during the years ended December 31, 2010, 2011 and 2012 was $4.06, $2.04,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$0.99 per option, respectively. The total intrinsic value of options exercised during the years ended December 31, 2010, 2011 and 2012 was $1.6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$443,000, and $1,000, respectively. Intrinsic value is measured using the fair market value at the date of exercise (for options exercised) or at December 31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outstanding options), less the applicable exercise price.</w:t>
      </w:r>
    </w:p>
    <w:p>
      <w:pPr>
        <w:spacing w:after="0" w:line="84"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Cash received from the exercise of options during the years ended December 31, 2010, 2011 and 2012 was approximately $924,000, $625,000, and $9,200, respectively. The weighted-average remaining contractual terms for options outstanding, vested and expected to vest, and exercisable at December 31, 2012 was 8.1 years, 8.0 years and 6.5 years, respectively.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summary of restricted stock unit activity for the year ended December 31, 2012 is presented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49"/>
        </w:trPr>
        <w:tc>
          <w:tcPr>
            <w:tcW w:w="20" w:type="dxa"/>
            <w:vAlign w:val="bottom"/>
          </w:tcPr>
          <w:p>
            <w:pPr>
              <w:spacing w:after="0"/>
              <w:rPr>
                <w:sz w:val="12"/>
                <w:szCs w:val="12"/>
                <w:color w:val="auto"/>
              </w:rPr>
            </w:pPr>
          </w:p>
        </w:tc>
        <w:tc>
          <w:tcPr>
            <w:tcW w:w="9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75"/>
              </w:rPr>
              <w:t>of</w:t>
            </w:r>
          </w:p>
        </w:tc>
        <w:tc>
          <w:tcPr>
            <w:tcW w:w="24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per Share</w:t>
            </w:r>
          </w:p>
        </w:tc>
      </w:tr>
      <w:tr>
        <w:trPr>
          <w:trHeight w:val="210"/>
        </w:trPr>
        <w:tc>
          <w:tcPr>
            <w:tcW w:w="20" w:type="dxa"/>
            <w:vAlign w:val="bottom"/>
          </w:tcPr>
          <w:p>
            <w:pPr>
              <w:spacing w:after="0"/>
              <w:rPr>
                <w:sz w:val="18"/>
                <w:szCs w:val="18"/>
                <w:color w:val="auto"/>
              </w:rPr>
            </w:pPr>
          </w:p>
        </w:tc>
        <w:tc>
          <w:tcPr>
            <w:tcW w:w="9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4,137,688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1,371,455</w:t>
            </w:r>
          </w:p>
        </w:tc>
        <w:tc>
          <w:tcPr>
            <w:tcW w:w="30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(1,277,572)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(470,540)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3,761,031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right="400" w:firstLine="228"/>
        <w:spacing w:after="0" w:line="259" w:lineRule="auto"/>
        <w:rPr>
          <w:sz w:val="20"/>
          <w:szCs w:val="20"/>
          <w:color w:val="auto"/>
        </w:rPr>
      </w:pPr>
      <w:r>
        <w:rPr>
          <w:rFonts w:ascii="Arial" w:cs="Arial" w:eastAsia="Arial" w:hAnsi="Arial"/>
          <w:sz w:val="18"/>
          <w:szCs w:val="18"/>
          <w:color w:val="auto"/>
        </w:rPr>
        <w:t>The total restricted stock units expected to vest as of December 31, 2012 was 3,254,819 with a weighted average grant date fair value of $3.74. The total intrinsic value of restricted stock units expected to vest as of December 31, 2012 was $7.5 million. Intrinsic value of restricted stock units expected to vest is measured using the closing share price at December 31, 2012.</w:t>
      </w:r>
    </w:p>
    <w:p>
      <w:pPr>
        <w:spacing w:after="0" w:line="59"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Total intrinsic value of restricted stock units vested during the years ended December 31, 2010, 2011 and 2012 was $10.5 million, $1.7 million, and $2.9 million, respectively. Intrinsic value of restricted stock units vested is measured using the closing share price on the day prior to the vest date. The total fair value of restricted stock units vested during the years ended December 31, 2010, 2011 and 2012 was $11.4 million, $1.6 million, and $3.0 million,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0" w:firstLine="228"/>
        <w:spacing w:after="0" w:line="318" w:lineRule="auto"/>
        <w:rPr>
          <w:sz w:val="20"/>
          <w:szCs w:val="20"/>
          <w:color w:val="auto"/>
        </w:rPr>
      </w:pPr>
      <w:r>
        <w:rPr>
          <w:rFonts w:ascii="Arial" w:cs="Arial" w:eastAsia="Arial" w:hAnsi="Arial"/>
          <w:sz w:val="15"/>
          <w:szCs w:val="15"/>
          <w:color w:val="auto"/>
        </w:rPr>
        <w:t>As of December 31, 2012, there was $12.2 million and $7.8 million of unrecognized compensation expense related to options and restricted stock units, respectively, which is expected to be recognized over the weighted average vesting period of 2.3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December 31, 2012, there was $107,000 and $3.7 million of unrecognized expenses related to performance-based options and restricted stock units, respectively, for milestones not considered probable of achievement.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right="200" w:firstLine="228"/>
        <w:spacing w:after="0" w:line="332" w:lineRule="auto"/>
        <w:rPr>
          <w:sz w:val="20"/>
          <w:szCs w:val="20"/>
          <w:color w:val="auto"/>
        </w:rPr>
      </w:pPr>
      <w:r>
        <w:rPr>
          <w:rFonts w:ascii="Arial" w:cs="Arial" w:eastAsia="Arial" w:hAnsi="Arial"/>
          <w:sz w:val="16"/>
          <w:szCs w:val="16"/>
          <w:i w:val="1"/>
          <w:iCs w:val="1"/>
          <w:color w:val="auto"/>
        </w:rPr>
        <w:t xml:space="preserve">Operating Leases </w:t>
      </w:r>
      <w:r>
        <w:rPr>
          <w:rFonts w:ascii="Arial" w:cs="Arial" w:eastAsia="Arial" w:hAnsi="Arial"/>
          <w:sz w:val="16"/>
          <w:szCs w:val="16"/>
          <w:color w:val="auto"/>
        </w:rPr>
        <w:t>— The Company leases certain facilities and equipment under various operating leases, which expire at various dates through 2013.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2012, future minimum rental payments required under operating leases consist of $21,000 for the year ending December 31, 2013.</w:t>
      </w:r>
    </w:p>
    <w:p>
      <w:pPr>
        <w:spacing w:after="0" w:line="4"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color w:val="auto"/>
        </w:rPr>
        <w:t>Rent expense under all operating leases for the years ended December 31, 2010, 2011 and 2012 was approximately $1.2 million, $766,000 and $675,000, respectively.</w:t>
      </w:r>
    </w:p>
    <w:p>
      <w:pPr>
        <w:spacing w:after="0" w:line="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 The Company’s capital leases were not material for the years ended December 31, 2010, 2011 and 2012.</w:t>
      </w:r>
    </w:p>
    <w:p>
      <w:pPr>
        <w:spacing w:after="0" w:line="90"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i w:val="1"/>
          <w:iCs w:val="1"/>
          <w:color w:val="auto"/>
        </w:rPr>
        <w:t xml:space="preserve">Supply Agreement — </w:t>
      </w:r>
      <w:r>
        <w:rPr>
          <w:rFonts w:ascii="Arial" w:cs="Arial" w:eastAsia="Arial" w:hAnsi="Arial"/>
          <w:sz w:val="16"/>
          <w:szCs w:val="16"/>
          <w:color w:val="auto"/>
        </w:rPr>
        <w:t>In November 2007, the Company entered into a long-term supply agreement (the “Supply Agreement”) with N.V. Organon (“Organon”),</w:t>
      </w:r>
      <w:r>
        <w:rPr>
          <w:rFonts w:ascii="Arial" w:cs="Arial" w:eastAsia="Arial" w:hAnsi="Arial"/>
          <w:sz w:val="16"/>
          <w:szCs w:val="16"/>
          <w:i w:val="1"/>
          <w:iCs w:val="1"/>
          <w:color w:val="auto"/>
        </w:rPr>
        <w:t xml:space="preserve"> </w:t>
      </w:r>
      <w:r>
        <w:rPr>
          <w:rFonts w:ascii="Arial" w:cs="Arial" w:eastAsia="Arial" w:hAnsi="Arial"/>
          <w:sz w:val="16"/>
          <w:szCs w:val="16"/>
          <w:color w:val="auto"/>
        </w:rPr>
        <w:t>now a subsidiary of Merck &amp; Co., Inc., pursuant to which Organon manufactured and supplied specified quantities of recombinant human insulin to the Company. In June 2011, the Company entered into a letter agreement (the “Letter Agreement”) with Organon to settle a dispute that arose between the Company and Organon in connection with the termination by the Company of the Supply Agreement. Under the terms of the Letter Agreement, the Company paid Organon an aggregate of $16.0 million in two installments, each of which was paid after the Company received certain quantities of recombinant human insulin manufactured and supplied by Organon. The Letter Agreement is in full and final settlement of, and the Company and Organon agreed to release each other from, any and all actions and claims that the Company and Organon had or may have against each other in connection with the dispute regarding the Supply Agreement and related matters. The Company has concluded that the Letter Agreement represents a multiple element arrangement consisting of two elements representing the purchase of insulin and a contract cancellation fee. The Company has allocated the $16.0 million settlement in the following manner: first to the fair value of the insulin received, which was recorded as expense of $8.4 million and the remaining $7.6 million to the contract cancellation fee. These charges were recorded to “Research and development” operating expenses in the consolidated statements of operations.</w:t>
      </w:r>
    </w:p>
    <w:p>
      <w:pPr>
        <w:spacing w:after="0" w:line="46"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 guarantees under which</w:t>
      </w:r>
      <w:r>
        <w:rPr>
          <w:rFonts w:ascii="Arial" w:cs="Arial" w:eastAsia="Arial" w:hAnsi="Arial"/>
          <w:sz w:val="16"/>
          <w:szCs w:val="16"/>
          <w:i w:val="1"/>
          <w:iCs w:val="1"/>
          <w:color w:val="auto"/>
        </w:rPr>
        <w:t xml:space="preserve"> </w:t>
      </w:r>
      <w:r>
        <w:rPr>
          <w:rFonts w:ascii="Arial" w:cs="Arial" w:eastAsia="Arial" w:hAnsi="Arial"/>
          <w:sz w:val="16"/>
          <w:szCs w:val="16"/>
          <w:color w:val="auto"/>
        </w:rPr>
        <w:t>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 The Company is subject to legal proceedings and claims which arise in the ordinary course of its business. As of the date hereof,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believes that the final disposition of such matters will not have a material adverse effect on the financial position, results of operations or cash flows of the Company. The Company maintains liability insurance coverage to protect the Company’s assets from losses arising out of or involving activities associated with ongoing and normal business operations.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the Company records a provision for a liability when it is both probable that a liability has been incurred and the amount of the loss can be reasonably estimated. The Company’s policy is to accrue for legal expenses in connection with legal proceeding and claims as they are incurred.</w:t>
      </w:r>
    </w:p>
    <w:p>
      <w:pPr>
        <w:spacing w:after="0" w:line="33" w:lineRule="exact"/>
        <w:rPr>
          <w:sz w:val="20"/>
          <w:szCs w:val="20"/>
          <w:color w:val="auto"/>
        </w:rPr>
      </w:pPr>
    </w:p>
    <w:p>
      <w:pPr>
        <w:ind w:right="80" w:firstLine="228"/>
        <w:spacing w:after="0" w:line="293" w:lineRule="auto"/>
        <w:rPr>
          <w:sz w:val="20"/>
          <w:szCs w:val="20"/>
          <w:color w:val="auto"/>
        </w:rPr>
      </w:pPr>
      <w:r>
        <w:rPr>
          <w:rFonts w:ascii="Arial" w:cs="Arial" w:eastAsia="Arial" w:hAnsi="Arial"/>
          <w:sz w:val="16"/>
          <w:szCs w:val="16"/>
          <w:b w:val="1"/>
          <w:bCs w:val="1"/>
          <w:color w:val="auto"/>
        </w:rPr>
        <w:t>The Securities Action</w:t>
      </w:r>
      <w:r>
        <w:rPr>
          <w:rFonts w:ascii="Arial" w:cs="Arial" w:eastAsia="Arial" w:hAnsi="Arial"/>
          <w:sz w:val="16"/>
          <w:szCs w:val="16"/>
          <w:color w:val="auto"/>
        </w:rPr>
        <w:t>. Beginning January 31, 2011, several complaints were filed in the U.S. District Court for the Central District of California against us</w:t>
      </w:r>
      <w:r>
        <w:rPr>
          <w:rFonts w:ascii="Arial" w:cs="Arial" w:eastAsia="Arial" w:hAnsi="Arial"/>
          <w:sz w:val="16"/>
          <w:szCs w:val="16"/>
          <w:b w:val="1"/>
          <w:bCs w:val="1"/>
          <w:color w:val="auto"/>
        </w:rPr>
        <w:t xml:space="preserve"> </w:t>
      </w:r>
      <w:r>
        <w:rPr>
          <w:rFonts w:ascii="Arial" w:cs="Arial" w:eastAsia="Arial" w:hAnsi="Arial"/>
          <w:sz w:val="16"/>
          <w:szCs w:val="16"/>
          <w:color w:val="auto"/>
        </w:rPr>
        <w:t>and four of our officers – Alfred E. Mann, Hakan S. Edstrom, Dr. Peter C. Richardson (a former officer) and Matthew J. Pfeffer – on behalf of certain purchasers of our common stock. The complaints include claims asserted under Sections 10(b) and 20(a) of the Exchange Act and were brought as purported shareholder class actions. In general, the complaints alleged that the defendants violated federal securities laws by making materially false and misleading statements regarding our business and prospects for AFREZZA, thereby artificially inflating the price of the Company’s common stock. The U.S. District Court for the Central District of California consolidated the pending actions for all purposes. The consolidated action is referred to as the Securities Action.</w:t>
      </w:r>
    </w:p>
    <w:p>
      <w:pPr>
        <w:spacing w:after="0" w:line="36" w:lineRule="exact"/>
        <w:rPr>
          <w:sz w:val="20"/>
          <w:szCs w:val="20"/>
          <w:color w:val="auto"/>
        </w:rPr>
      </w:pPr>
    </w:p>
    <w:p>
      <w:pPr>
        <w:jc w:val="both"/>
        <w:ind w:right="520" w:firstLine="228"/>
        <w:spacing w:after="0" w:line="306" w:lineRule="auto"/>
        <w:rPr>
          <w:sz w:val="20"/>
          <w:szCs w:val="20"/>
          <w:color w:val="auto"/>
        </w:rPr>
      </w:pPr>
      <w:r>
        <w:rPr>
          <w:rFonts w:ascii="Arial" w:cs="Arial" w:eastAsia="Arial" w:hAnsi="Arial"/>
          <w:sz w:val="16"/>
          <w:szCs w:val="16"/>
          <w:color w:val="auto"/>
        </w:rPr>
        <w:t>On July 23, 2012, the Company, while continuing to deny all allegations of wrongdoing or liability whatsoever arising out of the Securities Action, and without in any way admitting fault or liability, entered into a stipulation of settlement to resolve the Securities Action. The current and former officers and directors named as individual defendants in the consolidated lawsuits also entered into the stipulation of settlement.</w:t>
      </w:r>
    </w:p>
    <w:p>
      <w:pPr>
        <w:spacing w:after="0" w:line="26"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In exchange for a release of all claims by the class members, among others, and a dismissal of the consolidated lawsuits, the Company agreed (i) to cause the Company’s insurers to pay class members and their attorneys a total of $16.0 million; and (ii) to issue to class members and their attorneys 2,777,778 shares of the Company’s common stock. The Company also agreed that if the consolidated closing bid price for the Company’s common stock is below $1.00 per share on the date the U.S. District Court enters an order of final judgment, then the Company will issue into the Escrow Account an additional 1,000,000 shares of its common stock. On September 12, 2012, the U.S. District Court preliminarily approved the settlement.</w:t>
      </w:r>
    </w:p>
    <w:p>
      <w:pPr>
        <w:spacing w:after="0" w:line="35" w:lineRule="exact"/>
        <w:rPr>
          <w:sz w:val="20"/>
          <w:szCs w:val="20"/>
          <w:color w:val="auto"/>
        </w:rPr>
      </w:pPr>
    </w:p>
    <w:p>
      <w:pPr>
        <w:ind w:right="80" w:firstLine="228"/>
        <w:spacing w:after="0" w:line="253" w:lineRule="auto"/>
        <w:rPr>
          <w:sz w:val="20"/>
          <w:szCs w:val="20"/>
          <w:color w:val="auto"/>
        </w:rPr>
      </w:pPr>
      <w:r>
        <w:rPr>
          <w:rFonts w:ascii="Arial" w:cs="Arial" w:eastAsia="Arial" w:hAnsi="Arial"/>
          <w:sz w:val="18"/>
          <w:szCs w:val="18"/>
          <w:color w:val="auto"/>
        </w:rPr>
        <w:t>On December 21, 2012, the U.S. District Court issued the Order and Final Judgment, providing final approval of the settlement for the securities action. The Order and Final Judgment consisted of requiring the Company to cause its insurers to pay $16.0 million and to issue the 2,777,778 shares of its common stock in accordance with the stipulation of settlement. The Order and Final Judgment did not include the requirement of the Company to issue the additional 1,000,000 shares of its common stock. In late September and in early October, following the preliminary approval of the settlement, the Company’s insurers remitted payment of the $16.0 million into the Escrow Account. On December 31, 2012, following final approval of the settlement, the Company initiated the transfer of the 2,777,778 shares of its common stock into the Escrow Account. The stock transfer settled on January 2, 2013. The shares were issued pursuant to an exemption from registration provided by Section 3(a)(10) of the Securities Act of 1933, as amended. As of December 31, 2012, the Securities Action was concluded.</w:t>
      </w:r>
    </w:p>
    <w:p>
      <w:pPr>
        <w:spacing w:after="0" w:line="58" w:lineRule="exact"/>
        <w:rPr>
          <w:sz w:val="20"/>
          <w:szCs w:val="20"/>
          <w:color w:val="auto"/>
        </w:rPr>
      </w:pPr>
    </w:p>
    <w:p>
      <w:pPr>
        <w:ind w:firstLine="228"/>
        <w:spacing w:after="0" w:line="296" w:lineRule="auto"/>
        <w:rPr>
          <w:sz w:val="20"/>
          <w:szCs w:val="20"/>
          <w:color w:val="auto"/>
        </w:rPr>
      </w:pPr>
      <w:r>
        <w:rPr>
          <w:rFonts w:ascii="Arial" w:cs="Arial" w:eastAsia="Arial" w:hAnsi="Arial"/>
          <w:sz w:val="16"/>
          <w:szCs w:val="16"/>
          <w:b w:val="1"/>
          <w:bCs w:val="1"/>
          <w:color w:val="auto"/>
        </w:rPr>
        <w:t>The Derivative Actions</w:t>
      </w:r>
      <w:r>
        <w:rPr>
          <w:rFonts w:ascii="Arial" w:cs="Arial" w:eastAsia="Arial" w:hAnsi="Arial"/>
          <w:sz w:val="16"/>
          <w:szCs w:val="16"/>
          <w:color w:val="auto"/>
        </w:rPr>
        <w:t>. Beginning in February 2011, several shareholder derivative complaints were filed in the Superior Court of California for the County</w:t>
      </w:r>
      <w:r>
        <w:rPr>
          <w:rFonts w:ascii="Arial" w:cs="Arial" w:eastAsia="Arial" w:hAnsi="Arial"/>
          <w:sz w:val="16"/>
          <w:szCs w:val="16"/>
          <w:b w:val="1"/>
          <w:bCs w:val="1"/>
          <w:color w:val="auto"/>
        </w:rPr>
        <w:t xml:space="preserve"> </w:t>
      </w:r>
      <w:r>
        <w:rPr>
          <w:rFonts w:ascii="Arial" w:cs="Arial" w:eastAsia="Arial" w:hAnsi="Arial"/>
          <w:sz w:val="16"/>
          <w:szCs w:val="16"/>
          <w:color w:val="auto"/>
        </w:rPr>
        <w:t>of Los Angeles and in the U.S. District Court for the Central District of California against all of the Company’s directors and certain of its officers. The complaints in the shareholder derivative actions allege breaches of fiduciary duties by the defendants and other violations of law. In general, the complaints allege that the defendants caused or allowed for the dissemination of materially false and misleading statements regarding its business and prospects for AFREZZA, thereby artificially inflating the price of its common stock. The Superior Court of California for the County of Los Angeles consolidated the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actions pending before it. The consolidated state derivative actions are referred to as the State Derivative Action. The U.S. District Court for the Central District of California has also consolidated the derivative actions pending before it. The consolidated federal derivative actions are referred to as the Federal Derivative Action. The State Derivative Action and the Federal Derivative Action are collectively referred to as the Derivative Actions.</w:t>
      </w:r>
    </w:p>
    <w:p>
      <w:pPr>
        <w:spacing w:after="0" w:line="26" w:lineRule="exact"/>
        <w:rPr>
          <w:sz w:val="20"/>
          <w:szCs w:val="20"/>
          <w:color w:val="auto"/>
        </w:rPr>
      </w:pPr>
    </w:p>
    <w:p>
      <w:pPr>
        <w:ind w:right="120" w:firstLine="228"/>
        <w:spacing w:after="0" w:line="291" w:lineRule="auto"/>
        <w:rPr>
          <w:sz w:val="20"/>
          <w:szCs w:val="20"/>
          <w:color w:val="auto"/>
        </w:rPr>
      </w:pPr>
      <w:r>
        <w:rPr>
          <w:rFonts w:ascii="Arial" w:cs="Arial" w:eastAsia="Arial" w:hAnsi="Arial"/>
          <w:sz w:val="16"/>
          <w:szCs w:val="16"/>
          <w:color w:val="auto"/>
        </w:rPr>
        <w:t>On August 3, 2012, the Company, while continuing to deny all allegations of wrongdoing or liability whatsoever arising out of the Derivative Actions and without in any way admitting fault or liability, entered into a stipulation of settlement to resolve the Derivative Action. Subject to preliminary and final approval of the settlement by the U.S. District Court and notice to shareholders, and in an exchange for a release of all claims by the plaintiffs, among others, and a dismissal of the Derivative Actions, the Company agreed (i) to adopt certain corporate governance measures, (ii) to cause the Company’s insurers to pay the plaintiffs’ attorneys a total of $800,000, and (iii) to issue plaintiffs’ attorneys 225,000 shares of the Company’s common stock. On September 12, 2012, the U.S. District Court preliminarily approved the settlement.</w:t>
      </w:r>
    </w:p>
    <w:p>
      <w:pPr>
        <w:spacing w:after="0" w:line="39"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On November 19, 2012, the U.S. District Court issued the Order and Final Judgment, providing final approval of the settlement for the derivative action. The Order and Final Judgment consisted of requiring the Company to cause its insurers to pay $800,000 and to issue the 225,000 shares of its common stock in accordance with the stipulation of settlement. In late September and in early October, following the preliminary approval of the settlement, the Company’s insurers remitted payment of the $800,000 into an account established by the plaintiffs’ attorneys. In December 2012, following final approval of the settlement, the Company transferred the 225,000 shares of its common stock into an investment brokerage account established by the plaintiffs’ attorneys. The shares were issued pursuant to an exemption from registration provided by Section 3(a)(10) of the Securities Act of 1933, as amended. As of December 31, 2012, the Derivative Actions were concluded.</w:t>
      </w:r>
    </w:p>
    <w:p>
      <w:pPr>
        <w:spacing w:after="0" w:line="37" w:lineRule="exact"/>
        <w:rPr>
          <w:sz w:val="20"/>
          <w:szCs w:val="20"/>
          <w:color w:val="auto"/>
        </w:rPr>
      </w:pPr>
    </w:p>
    <w:p>
      <w:pPr>
        <w:ind w:right="120" w:firstLine="228"/>
        <w:spacing w:after="0" w:line="303" w:lineRule="auto"/>
        <w:rPr>
          <w:sz w:val="20"/>
          <w:szCs w:val="20"/>
          <w:color w:val="auto"/>
        </w:rPr>
      </w:pPr>
      <w:r>
        <w:rPr>
          <w:rFonts w:ascii="Arial" w:cs="Arial" w:eastAsia="Arial" w:hAnsi="Arial"/>
          <w:sz w:val="15"/>
          <w:szCs w:val="15"/>
          <w:color w:val="auto"/>
        </w:rPr>
        <w:t>As a result of settlement discussions with the plaintiffs taking place in the latter part of the quarter ended June 30, 2012 and entering into the stipulation of settlement for the Securities Action on July 23, 2012 and for the Derivative Action on August 3, 2012, the Company determined that the liabilities pertaining to both the securities and derivative lawsuits were probable as of June 30, 2012. The Company’s financial statements as of and for the three months ended June 30,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2012 reflect the following accruals:</w:t>
      </w:r>
    </w:p>
    <w:p>
      <w:pPr>
        <w:spacing w:after="0" w:line="84" w:lineRule="exact"/>
        <w:rPr>
          <w:sz w:val="20"/>
          <w:szCs w:val="20"/>
          <w:color w:val="auto"/>
        </w:rPr>
      </w:pPr>
    </w:p>
    <w:p>
      <w:pPr>
        <w:ind w:left="900" w:right="8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Cash consideration</w:t>
      </w:r>
      <w:r>
        <w:rPr>
          <w:rFonts w:ascii="Arial" w:cs="Arial" w:eastAsia="Arial" w:hAnsi="Arial"/>
          <w:sz w:val="18"/>
          <w:szCs w:val="18"/>
          <w:color w:val="auto"/>
        </w:rPr>
        <w:t>. The Company recorded a current liability of $16.8 million under “Accrued expense and other current liabilities” and a</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current asset under “Prepaid expenses and other current asset” to reflect a receivable from the Company’s insurers. The Company has determined that the collectability of the receivable from the insurers is probable. The cash obligation resulted in no charge to the Company’s Condensed Consolidated Statements of Operations for the period.</w:t>
      </w:r>
    </w:p>
    <w:p>
      <w:pPr>
        <w:spacing w:after="0" w:line="62"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Stock consideration</w:t>
      </w:r>
      <w:r>
        <w:rPr>
          <w:rFonts w:ascii="Arial" w:cs="Arial" w:eastAsia="Arial" w:hAnsi="Arial"/>
          <w:sz w:val="18"/>
          <w:szCs w:val="18"/>
          <w:color w:val="auto"/>
        </w:rPr>
        <w:t>. The Company recorded a charge to “General and administrative” expenses and an estimated current liability under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other current liabilities” of $7.7 million representing the estimated fair value of the 3,002,778 common shares to be issued in the aggregate subject to court approval.</w:t>
      </w:r>
    </w:p>
    <w:p>
      <w:pPr>
        <w:spacing w:after="0" w:line="59"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Additional stock consideration</w:t>
      </w:r>
      <w:r>
        <w:rPr>
          <w:rFonts w:ascii="Arial" w:cs="Arial" w:eastAsia="Arial" w:hAnsi="Arial"/>
          <w:sz w:val="16"/>
          <w:szCs w:val="16"/>
          <w:color w:val="auto"/>
        </w:rPr>
        <w:t>. The Company concluded that the contingent obligation to issue an additional 1,000,000 shares of its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defined in the stipulation of settlement agreement for the Securities Action, met the definition of a derivative instrument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Company estimated the fair value of the derivative instrument using the Monte Carlo simulation model to forecast the contingent obligation applying probabilities that the stock price will be lower than $1.00 based on the following assumptions: expected volatility of 60%, risk free interest rate of 0.16% and final judgment dates ranging from four to six months. As a result, the Company estimated the fair value of this contingent obligation to be immaterial.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 of September 30, 2012, the Company estimated the aggregate fair value of the stock consideration at $8.6 million and recognized an increase in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contingent liability of $901,000 during the quarter ended September 30, 2012. During the quarter ended September 30, 2012, the Company remeasured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stock consideration using the Monte Carlo simulation model to forecast the contingent obligation applying probabilities that the stock price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lower than $1.00 based on the following assumptions: expected volatility of 54%, risk free interest rate of 0.1% and final judgment date on or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2012. As a result, the Company estimated the fair value of this contingent obligation related to the additional stock consideration to be immaterial.</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considered the following in its financial statements as of and for the year ended December 31, 2012:</w:t>
      </w:r>
    </w:p>
    <w:p>
      <w:pPr>
        <w:spacing w:after="0" w:line="90" w:lineRule="exact"/>
        <w:rPr>
          <w:sz w:val="20"/>
          <w:szCs w:val="20"/>
          <w:color w:val="auto"/>
        </w:rPr>
      </w:pPr>
    </w:p>
    <w:p>
      <w:pPr>
        <w:ind w:left="900" w:right="2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Cash consideration</w:t>
      </w:r>
      <w:r>
        <w:rPr>
          <w:rFonts w:ascii="Arial" w:cs="Arial" w:eastAsia="Arial" w:hAnsi="Arial"/>
          <w:sz w:val="16"/>
          <w:szCs w:val="16"/>
          <w:color w:val="auto"/>
        </w:rPr>
        <w:t>. Upon satisfying the conditions of cash payment during the fourth quarter of 2012 and receiving final approvals of settlement,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relieved from its balance sheet the $16.8 million of current liability and current receivable from insurers as of December 31, 2012.</w:t>
      </w:r>
    </w:p>
    <w:p>
      <w:pPr>
        <w:spacing w:after="0" w:line="4"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Stock consideration</w:t>
      </w:r>
      <w:r>
        <w:rPr>
          <w:rFonts w:ascii="Arial" w:cs="Arial" w:eastAsia="Arial" w:hAnsi="Arial"/>
          <w:sz w:val="16"/>
          <w:szCs w:val="16"/>
          <w:color w:val="auto"/>
        </w:rPr>
        <w:t>. As of December 31, 2012, the Company satisfied the conditions of issuing 225,000 shares of its common stock 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Derivative Action. With respect to the Securities Action, the issuance of 2,777,778 shares was initiated prior to year end and subsequently settled after year end. The Company concluded that the requirement to deliver these shares of common stock met the definition of a financial instrument representing a contingent forward contract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that the forward contract met the criteria for equity classification, and further remeasurement through settlement was not required. The forward contract to issue shares settled on January 2, 2013, upon consummation of the delivery of these shares. The final fair values of the stock consideration are summarized in the following table:</w:t>
      </w:r>
    </w:p>
    <w:p>
      <w:pPr>
        <w:spacing w:after="0" w:line="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Closing Price</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Per Share on</w:t>
            </w:r>
          </w:p>
        </w:tc>
        <w:tc>
          <w:tcPr>
            <w:tcW w:w="42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Final Fair Value</w:t>
            </w:r>
          </w:p>
        </w:tc>
      </w:tr>
      <w:tr>
        <w:trPr>
          <w:trHeight w:val="149"/>
        </w:trPr>
        <w:tc>
          <w:tcPr>
            <w:tcW w:w="53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Final</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r>
      <w:tr>
        <w:trPr>
          <w:trHeight w:val="149"/>
        </w:trPr>
        <w:tc>
          <w:tcPr>
            <w:tcW w:w="53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Approval</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Stock</w:t>
            </w:r>
          </w:p>
        </w:tc>
      </w:tr>
      <w:tr>
        <w:trPr>
          <w:trHeight w:val="161"/>
        </w:trPr>
        <w:tc>
          <w:tcPr>
            <w:tcW w:w="53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Date</w:t>
            </w:r>
          </w:p>
        </w:tc>
        <w:tc>
          <w:tcPr>
            <w:tcW w:w="420" w:type="dxa"/>
            <w:vAlign w:val="bottom"/>
          </w:tcPr>
          <w:p>
            <w:pPr>
              <w:spacing w:after="0"/>
              <w:rPr>
                <w:sz w:val="14"/>
                <w:szCs w:val="1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Consideration</w:t>
            </w:r>
          </w:p>
        </w:tc>
      </w:tr>
      <w:tr>
        <w:trPr>
          <w:trHeight w:val="210"/>
        </w:trPr>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Derivative Action</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Securities Action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2,777,778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2.18</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6,055,556</w:t>
            </w:r>
          </w:p>
        </w:tc>
        <w:tc>
          <w:tcPr>
            <w:tcW w:w="100" w:type="dxa"/>
            <w:vAlign w:val="bottom"/>
          </w:tcPr>
          <w:p>
            <w:pPr>
              <w:spacing w:after="0"/>
              <w:rPr>
                <w:sz w:val="19"/>
                <w:szCs w:val="19"/>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3,002,778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6,492,056</w:t>
            </w:r>
          </w:p>
        </w:tc>
        <w:tc>
          <w:tcPr>
            <w:tcW w:w="10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920" w:right="80"/>
        <w:spacing w:after="0" w:line="306" w:lineRule="auto"/>
        <w:rPr>
          <w:sz w:val="20"/>
          <w:szCs w:val="20"/>
          <w:color w:val="auto"/>
        </w:rPr>
      </w:pPr>
      <w:r>
        <w:rPr>
          <w:rFonts w:ascii="Arial" w:cs="Arial" w:eastAsia="Arial" w:hAnsi="Arial"/>
          <w:sz w:val="16"/>
          <w:szCs w:val="16"/>
          <w:color w:val="auto"/>
        </w:rPr>
        <w:t>In recognizing the fair value of the total stock consideration to equity on the date of final approval of the respective settlements, the Company released the previously recorded litigation accrual of $8.6 million, recognized the fair value of the total stock consideration of $6.5 million to equity, and recorded an adjustment to decrease legal expense by $2.1 million in the fourth quarter of 2012.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96" w:lineRule="exact"/>
        <w:rPr>
          <w:sz w:val="20"/>
          <w:szCs w:val="20"/>
          <w:color w:val="auto"/>
        </w:rPr>
      </w:pPr>
    </w:p>
    <w:p>
      <w:pPr>
        <w:ind w:right="220" w:firstLine="228"/>
        <w:spacing w:after="0" w:line="332" w:lineRule="auto"/>
        <w:rPr>
          <w:sz w:val="20"/>
          <w:szCs w:val="20"/>
          <w:color w:val="auto"/>
        </w:rPr>
      </w:pPr>
      <w:r>
        <w:rPr>
          <w:rFonts w:ascii="Arial" w:cs="Arial" w:eastAsia="Arial" w:hAnsi="Arial"/>
          <w:sz w:val="16"/>
          <w:szCs w:val="16"/>
          <w:color w:val="auto"/>
        </w:rPr>
        <w:t>The Company administers a 401(k) Savings Retirement Plan (the “MannKind Retirement Plan”) for its employees. For the years ended December 31, 2010, 2011 and 2012, the Company contributed $752,000, $777,000 and $571,000 respectively, to the MannKind Retirement Plan.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 as of December 31, 2011 and 2012 are approximately as follows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Net operating loss carryforwards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557,427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609,471</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credits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65,315</w:t>
            </w: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Capitalized research</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31,490</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w:t>
            </w:r>
          </w:p>
        </w:tc>
        <w:tc>
          <w:tcPr>
            <w:tcW w:w="0" w:type="dxa"/>
            <w:vAlign w:val="bottom"/>
          </w:tcPr>
          <w:p>
            <w:pPr>
              <w:spacing w:after="0"/>
              <w:rPr>
                <w:sz w:val="1"/>
                <w:szCs w:val="1"/>
                <w:color w:val="auto"/>
              </w:rPr>
            </w:pPr>
          </w:p>
        </w:tc>
      </w:tr>
      <w:tr>
        <w:trPr>
          <w:trHeight w:val="216"/>
        </w:trPr>
        <w:tc>
          <w:tcPr>
            <w:tcW w:w="9320" w:type="dxa"/>
            <w:vAlign w:val="bottom"/>
          </w:tcPr>
          <w:p>
            <w:pPr>
              <w:ind w:left="220"/>
              <w:spacing w:after="0"/>
              <w:rPr>
                <w:sz w:val="20"/>
                <w:szCs w:val="20"/>
                <w:color w:val="auto"/>
              </w:rPr>
            </w:pPr>
            <w:r>
              <w:rPr>
                <w:rFonts w:ascii="Arial" w:cs="Arial" w:eastAsia="Arial" w:hAnsi="Arial"/>
                <w:sz w:val="18"/>
                <w:szCs w:val="18"/>
                <w:color w:val="auto"/>
              </w:rPr>
              <w:t>Non-qualified stock option expense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27,964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30,928</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ind w:left="220"/>
              <w:spacing w:after="0"/>
              <w:rPr>
                <w:sz w:val="20"/>
                <w:szCs w:val="20"/>
                <w:color w:val="auto"/>
              </w:rPr>
            </w:pPr>
            <w:r>
              <w:rPr>
                <w:rFonts w:ascii="Arial" w:cs="Arial" w:eastAsia="Arial" w:hAnsi="Arial"/>
                <w:sz w:val="18"/>
                <w:szCs w:val="18"/>
                <w:color w:val="auto"/>
              </w:rPr>
              <w:t>Total net deferred tax assets</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689,412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750,151</w:t>
            </w:r>
          </w:p>
        </w:tc>
        <w:tc>
          <w:tcPr>
            <w:tcW w:w="0" w:type="dxa"/>
            <w:vAlign w:val="bottom"/>
          </w:tcPr>
          <w:p>
            <w:pPr>
              <w:spacing w:after="0"/>
              <w:rPr>
                <w:sz w:val="1"/>
                <w:szCs w:val="1"/>
                <w:color w:val="auto"/>
              </w:rPr>
            </w:pPr>
          </w:p>
        </w:tc>
      </w:tr>
      <w:tr>
        <w:trPr>
          <w:trHeight w:val="217"/>
        </w:trPr>
        <w:tc>
          <w:tcPr>
            <w:tcW w:w="9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(689,412)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(750,151)</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color w:val="auto"/>
              </w:rPr>
              <w:t>Net deferred tax assets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228"/>
        <w:spacing w:after="0" w:line="259" w:lineRule="auto"/>
        <w:rPr>
          <w:sz w:val="20"/>
          <w:szCs w:val="20"/>
          <w:color w:val="auto"/>
        </w:rPr>
      </w:pPr>
      <w:r>
        <w:rPr>
          <w:rFonts w:ascii="Arial" w:cs="Arial" w:eastAsia="Arial" w:hAnsi="Arial"/>
          <w:sz w:val="18"/>
          <w:szCs w:val="18"/>
          <w:color w:val="auto"/>
        </w:rPr>
        <w:t>The Company’s net deferred tax assets as of December 31, 2011, consist of $718.2 million of gross deferred tax assets and $28.8 million of gross deferred tax liabilities. The Company’s net deferred tax assets as of December 31, 2012, consist of $784.6 million of gross deferred tax assets and $34.4 million of gross deferred tax liabilities.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effective income tax rate differs from the statutory federal income tax rate as follows for the years ended December 31, 2010,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tax benefit rate</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State tax benefit, net of federal benefit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Intercompany transfer of intellectual property</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(5.0)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(30.0)</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(30.0)</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vMerge w:val="continue"/>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228"/>
        <w:spacing w:after="0" w:line="294" w:lineRule="auto"/>
        <w:rPr>
          <w:sz w:val="20"/>
          <w:szCs w:val="20"/>
          <w:color w:val="auto"/>
        </w:rPr>
      </w:pPr>
      <w:r>
        <w:rPr>
          <w:rFonts w:ascii="Arial" w:cs="Arial" w:eastAsia="Arial" w:hAnsi="Arial"/>
          <w:sz w:val="16"/>
          <w:szCs w:val="16"/>
          <w:color w:val="auto"/>
        </w:rPr>
        <w:t xml:space="preserve">As required by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due to net losses since inception. Accordingly, the net deferred tax assets have been fully reserved. Management reevaluates the positive and negative evidence on an annual basis. During the years ended December 31, 2010, 2011 and 2012, the change in the valuation allowance was $56.5 million, $57.2 million and $60.7 million, respectively, for income taxes.</w:t>
      </w:r>
    </w:p>
    <w:p>
      <w:pPr>
        <w:spacing w:after="0" w:line="35"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At December 31, 2012, the Company had federal and state net operating loss carryforwards of approximately $1.6 billion and $1.1 billion available, respectively, to reduce future taxable income and which will expire at various dates beginning in 2013 and 2014, respectively. As a result of the Company’s initial public offering, an ownership change within the meaning of Internal Revenue Code Section 382 occurred in August 2004. As a</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the Company’s initial public offering in August 2004 are currently not subject to any such limitation as there have been no ownership changes since August 2004 within the meaning of Internal Revenue Code Section 382. At December 31, 2012, the Company had research and development credits of $77.4 million that expire at various dates through 2033.</w:t>
      </w:r>
    </w:p>
    <w:p>
      <w:pPr>
        <w:spacing w:after="0" w:line="35" w:lineRule="exact"/>
        <w:rPr>
          <w:sz w:val="20"/>
          <w:szCs w:val="20"/>
          <w:color w:val="auto"/>
        </w:rPr>
      </w:pPr>
    </w:p>
    <w:p>
      <w:pPr>
        <w:ind w:right="20" w:firstLine="228"/>
        <w:spacing w:after="0" w:line="286" w:lineRule="auto"/>
        <w:rPr>
          <w:sz w:val="20"/>
          <w:szCs w:val="20"/>
          <w:color w:val="auto"/>
        </w:rPr>
      </w:pPr>
      <w:r>
        <w:rPr>
          <w:rFonts w:ascii="Arial" w:cs="Arial" w:eastAsia="Arial" w:hAnsi="Arial"/>
          <w:sz w:val="16"/>
          <w:szCs w:val="16"/>
          <w:color w:val="auto"/>
        </w:rPr>
        <w:t>The Company has evaluated the impact of ASC 740 on its financial statements, which was effective beginning January 1, 2007. The evaluation of a tax position in accordance with this guidance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Tax years since 1993 remain subject to examination by the major tax jurisdictions in which the Company is subject to tax.</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96" w:lineRule="exact"/>
        <w:rPr>
          <w:sz w:val="20"/>
          <w:szCs w:val="20"/>
          <w:color w:val="auto"/>
        </w:rPr>
      </w:pPr>
    </w:p>
    <w:p>
      <w:pPr>
        <w:ind w:right="160" w:firstLine="228"/>
        <w:spacing w:after="0" w:line="255" w:lineRule="auto"/>
        <w:rPr>
          <w:sz w:val="20"/>
          <w:szCs w:val="20"/>
          <w:color w:val="auto"/>
        </w:rPr>
      </w:pPr>
      <w:r>
        <w:rPr>
          <w:rFonts w:ascii="Arial" w:cs="Arial" w:eastAsia="Arial" w:hAnsi="Arial"/>
          <w:sz w:val="18"/>
          <w:szCs w:val="18"/>
          <w:color w:val="auto"/>
        </w:rPr>
        <w:t>The following unaudited selected quarterly financial data has been prepared on the same basis as the audited information and includes all adjustments necessary to present fairly the information set forth in the Company’s consolidated financial statements and notes herein. As a development stage enterprise, the Company has experienced fluctuations in its quarterly results related to the development of its lead product candidate, AFREZZA, and in its expansion of the product candidate portfolio. The Company expects these fluctuations to continue in the future. Due to these and other factors, the quarterly operating results are not indicative of the Company’s future performance.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March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June 30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7"/>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(In thousands, except per share data)</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(41,525)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(44,480)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(38,402)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(36,397)</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(41,525)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(44,480)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(38,402)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(36,397)</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(0.31)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6"/>
              </w:rPr>
              <w:t>Weighted average common shares used to compute basic and diluted net loss per share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applicable to common stockholders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121,057</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121,708</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122,130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122,357</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5580"/>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March 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June 30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7"/>
          </w:tcPr>
          <w:p>
            <w:pPr>
              <w:jc w:val="right"/>
              <w:ind w:right="200"/>
              <w:spacing w:after="0" w:line="142" w:lineRule="exact"/>
              <w:rPr>
                <w:sz w:val="20"/>
                <w:szCs w:val="20"/>
                <w:color w:val="auto"/>
              </w:rPr>
            </w:pPr>
            <w:r>
              <w:rPr>
                <w:rFonts w:ascii="Arial" w:cs="Arial" w:eastAsia="Arial" w:hAnsi="Arial"/>
                <w:sz w:val="14"/>
                <w:szCs w:val="14"/>
                <w:b w:val="1"/>
                <w:bCs w:val="1"/>
                <w:color w:val="auto"/>
                <w:w w:val="94"/>
              </w:rPr>
              <w:t>(In thousands, except per share data)</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(38,173)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(36,578)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(42,834)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(51,781)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(38,173)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(36,578)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(42,834)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(51,781)</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(0.22)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6"/>
              </w:rPr>
              <w:t>Weighted average common shares used to compute basic and diluted net loss per share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applicable to common stockholders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143,154</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159,859</w:t>
            </w: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190,534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229,234</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96"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On March 18, 2013, the Company entered into at-the-market issuance sales agreements (the “ATM Agreements”) with two sales agents, under which the Company may issue and sell shares of its common stock having an aggregate offering price of up to $50.0 million under each ATM Agreement (provided that in no event may the Company issue and sell more than $50.0 million of shares of its common stock under both ATM Agreements in the aggregate) from time to time through either of the sales agents. Neither the Company nor either of the sales agents has any obligation to sell shares of the Company’s common stock under the ATM Agreements. Any sales of common stock made under the ATM Agreements will be made in “at the market” offerings as defined in Rule 415 of the Securities Act of 1933, as amended.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8" w:name="page109"/>
    <w:bookmarkEnd w:id="108"/>
    <w:p>
      <w:pPr>
        <w:ind w:left="9400"/>
        <w:spacing w:after="0"/>
        <w:rPr>
          <w:sz w:val="20"/>
          <w:szCs w:val="20"/>
          <w:color w:val="auto"/>
        </w:rPr>
      </w:pPr>
      <w:r>
        <w:rPr>
          <w:rFonts w:ascii="Arial" w:cs="Arial" w:eastAsia="Arial" w:hAnsi="Arial"/>
          <w:sz w:val="16"/>
          <w:szCs w:val="16"/>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158115</wp:posOffset>
            </wp:positionV>
            <wp:extent cx="7134860" cy="49485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494855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037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7503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ind w:left="10520"/>
        <w:spacing w:after="0"/>
        <w:rPr>
          <w:sz w:val="20"/>
          <w:szCs w:val="20"/>
          <w:color w:val="auto"/>
        </w:rPr>
      </w:pPr>
      <w:r>
        <w:rPr>
          <w:rFonts w:ascii="Arial" w:cs="Arial" w:eastAsia="Arial" w:hAnsi="Arial"/>
          <w:sz w:val="16"/>
          <w:szCs w:val="16"/>
          <w:b w:val="1"/>
          <w:bCs w:val="1"/>
          <w:color w:val="auto"/>
        </w:rPr>
        <w:t>Exhibit 4.10</w:t>
      </w:r>
    </w:p>
    <w:p>
      <w:pPr>
        <w:spacing w:after="0" w:line="1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color w:val="auto"/>
        </w:rPr>
        <w:t>THIS WARRANT AND THE UNDERLYING SECURITIES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 THE COMPANY SHALL BE ENTITLED TO REQUIRE AN OPINION OF COUNSEL SATISFACTORY TO THE COMPANY THAT SUCH REGISTRATION IS NOT REQUIRED TO THE EXTENT THAT AN OPINION IS REQUIRED PURSUANT TO THE AGREEMENT UNDER WHICH THE SECURITIES WERE ISSUED.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Warrant No.: 2012-CW122112—1</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Number of Warrants: 40,000,000</w:t>
      </w:r>
    </w:p>
    <w:p>
      <w:pPr>
        <w:spacing w:after="0" w:line="49" w:lineRule="exact"/>
        <w:rPr>
          <w:sz w:val="20"/>
          <w:szCs w:val="20"/>
          <w:color w:val="auto"/>
        </w:rPr>
      </w:pPr>
    </w:p>
    <w:p>
      <w:pPr>
        <w:sectPr>
          <w:pgSz w:w="11900" w:h="16838" w:orient="portrait"/>
          <w:cols w:equalWidth="0" w:num="2">
            <w:col w:w="7680" w:space="720"/>
            <w:col w:w="302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color w:val="auto"/>
        </w:rPr>
        <w:t>Date of Issuance: December 21, 2012</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 December 27, 2013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Expiration Date</w:t>
      </w:r>
      <w:r>
        <w:rPr>
          <w:rFonts w:ascii="Arial" w:cs="Arial" w:eastAsia="Arial" w:hAnsi="Arial"/>
          <w:sz w:val="16"/>
          <w:szCs w:val="16"/>
          <w:color w:val="auto"/>
        </w:rPr>
        <w:t>”)</w:t>
      </w:r>
    </w:p>
    <w:p>
      <w:pPr>
        <w:spacing w:after="0" w:line="182" w:lineRule="exact"/>
        <w:rPr>
          <w:sz w:val="20"/>
          <w:szCs w:val="20"/>
          <w:color w:val="auto"/>
        </w:rPr>
      </w:pPr>
    </w:p>
    <w:p>
      <w:pPr>
        <w:sectPr>
          <w:pgSz w:w="11900" w:h="16838" w:orient="portrait"/>
          <w:cols w:equalWidth="0" w:num="2">
            <w:col w:w="2660" w:space="340"/>
            <w:col w:w="8420"/>
          </w:cols>
          <w:pgMar w:left="240" w:top="125" w:right="239" w:bottom="1440" w:gutter="0" w:footer="0" w:header="0"/>
          <w:type w:val="continuous"/>
        </w:sectPr>
      </w:pPr>
    </w:p>
    <w:p>
      <w:pPr>
        <w:ind w:right="280"/>
        <w:spacing w:after="0" w:line="254" w:lineRule="auto"/>
        <w:rPr>
          <w:sz w:val="20"/>
          <w:szCs w:val="20"/>
          <w:color w:val="auto"/>
        </w:rPr>
      </w:pPr>
      <w:r>
        <w:rPr>
          <w:rFonts w:ascii="Arial" w:cs="Arial" w:eastAsia="Arial" w:hAnsi="Arial"/>
          <w:sz w:val="18"/>
          <w:szCs w:val="18"/>
          <w:color w:val="auto"/>
        </w:rPr>
        <w:t>MannKind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certifies that, for good and valuable consideration, the receipt and sufficiency of which are acknowledged, The Mann Group LLC, the registered holder hereof or its permitted assigns (the “</w:t>
      </w:r>
      <w:r>
        <w:rPr>
          <w:rFonts w:ascii="Arial" w:cs="Arial" w:eastAsia="Arial" w:hAnsi="Arial"/>
          <w:sz w:val="18"/>
          <w:szCs w:val="18"/>
          <w:b w:val="1"/>
          <w:bCs w:val="1"/>
          <w:color w:val="auto"/>
        </w:rPr>
        <w:t>Holder</w:t>
      </w:r>
      <w:r>
        <w:rPr>
          <w:rFonts w:ascii="Arial" w:cs="Arial" w:eastAsia="Arial" w:hAnsi="Arial"/>
          <w:sz w:val="18"/>
          <w:szCs w:val="18"/>
          <w:color w:val="auto"/>
        </w:rPr>
        <w:t>”), is entitled, subject to the terms set forth below, to purchase from the Company, at the Exercise Price (as defined below) then in effect, upon surrender of this Warrant to Purchase Common Stock (including any Warrants to Purchase Common Stock issued in exchange, transfer or replacement hereof, the “</w:t>
      </w:r>
      <w:r>
        <w:rPr>
          <w:rFonts w:ascii="Arial" w:cs="Arial" w:eastAsia="Arial" w:hAnsi="Arial"/>
          <w:sz w:val="18"/>
          <w:szCs w:val="18"/>
          <w:b w:val="1"/>
          <w:bCs w:val="1"/>
          <w:color w:val="auto"/>
        </w:rPr>
        <w:t>Warrant</w:t>
      </w:r>
      <w:r>
        <w:rPr>
          <w:rFonts w:ascii="Arial" w:cs="Arial" w:eastAsia="Arial" w:hAnsi="Arial"/>
          <w:sz w:val="18"/>
          <w:szCs w:val="18"/>
          <w:color w:val="auto"/>
        </w:rPr>
        <w:t>”), at any time or times on or after the date hereof (the “</w:t>
      </w:r>
      <w:r>
        <w:rPr>
          <w:rFonts w:ascii="Arial" w:cs="Arial" w:eastAsia="Arial" w:hAnsi="Arial"/>
          <w:sz w:val="18"/>
          <w:szCs w:val="18"/>
          <w:b w:val="1"/>
          <w:bCs w:val="1"/>
          <w:color w:val="auto"/>
        </w:rPr>
        <w:t>Exercisability Date</w:t>
      </w:r>
      <w:r>
        <w:rPr>
          <w:rFonts w:ascii="Arial" w:cs="Arial" w:eastAsia="Arial" w:hAnsi="Arial"/>
          <w:sz w:val="18"/>
          <w:szCs w:val="18"/>
          <w:color w:val="auto"/>
        </w:rPr>
        <w:t>”), but not after 5:30 p.m., New York Time, on the Expiration Date, thirty million (30,000,000) fully paid and nonassessable shares of Common Stock (as defined below) (the “</w:t>
      </w:r>
      <w:r>
        <w:rPr>
          <w:rFonts w:ascii="Arial" w:cs="Arial" w:eastAsia="Arial" w:hAnsi="Arial"/>
          <w:sz w:val="18"/>
          <w:szCs w:val="18"/>
          <w:b w:val="1"/>
          <w:bCs w:val="1"/>
          <w:color w:val="auto"/>
        </w:rPr>
        <w:t>Warrant Shares</w:t>
      </w:r>
      <w:r>
        <w:rPr>
          <w:rFonts w:ascii="Arial" w:cs="Arial" w:eastAsia="Arial" w:hAnsi="Arial"/>
          <w:sz w:val="18"/>
          <w:szCs w:val="18"/>
          <w:color w:val="auto"/>
        </w:rPr>
        <w:t>”). Except as otherwise defined herein, capitalized terms in this Warrant shall have the meanings set forth in Section 15.</w:t>
      </w:r>
    </w:p>
    <w:p>
      <w:pPr>
        <w:spacing w:after="0" w:line="147" w:lineRule="exact"/>
        <w:rPr>
          <w:sz w:val="20"/>
          <w:szCs w:val="20"/>
          <w:color w:val="auto"/>
        </w:rPr>
      </w:pPr>
    </w:p>
    <w:p>
      <w:pPr>
        <w:ind w:left="1100" w:hanging="179"/>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90" w:lineRule="exact"/>
        <w:rPr>
          <w:sz w:val="20"/>
          <w:szCs w:val="20"/>
          <w:color w:val="auto"/>
        </w:rPr>
      </w:pPr>
    </w:p>
    <w:p>
      <w:pPr>
        <w:ind w:left="460" w:right="180" w:firstLine="443"/>
        <w:spacing w:after="0" w:line="284" w:lineRule="auto"/>
        <w:tabs>
          <w:tab w:leader="none" w:pos="1137"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1(d)), this Warrant may be exercised by the Holder on any day on or after the Exercisability Date, in whole or in part (but not as to fractional shares), by (i) delivery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if both</w:t>
      </w:r>
    </w:p>
    <w:p>
      <w:pPr>
        <w:spacing w:after="0" w:line="1" w:lineRule="exact"/>
        <w:rPr>
          <w:rFonts w:ascii="Arial" w:cs="Arial" w:eastAsia="Arial" w:hAnsi="Arial"/>
          <w:sz w:val="16"/>
          <w:szCs w:val="16"/>
          <w:color w:val="auto"/>
        </w:rPr>
      </w:pPr>
    </w:p>
    <w:p>
      <w:pPr>
        <w:ind w:left="460" w:right="20" w:firstLine="4"/>
        <w:spacing w:after="0" w:line="286" w:lineRule="auto"/>
        <w:tabs>
          <w:tab w:leader="none" w:pos="74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Holder is not electing a Cashless Exercise (as defined below) pursuant to Section 1(c) of this Warrant and (B) a registration statement registering the issuance of the Warrant Shares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effective and available for the issuance of the Warrant Shares, or an exemption from registration under the Securities Act is available for the issuance of the Warrant Shares,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w:t>
      </w:r>
      <w:r>
        <w:rPr>
          <w:rFonts w:ascii="Arial" w:cs="Arial" w:eastAsia="Arial" w:hAnsi="Arial"/>
          <w:sz w:val="16"/>
          <w:szCs w:val="16"/>
          <w:color w:val="auto"/>
        </w:rPr>
        <w:t xml:space="preserve"> </w:t>
      </w:r>
      <w:r>
        <w:rPr>
          <w:rFonts w:ascii="Arial" w:cs="Arial" w:eastAsia="Arial" w:hAnsi="Arial"/>
          <w:sz w:val="16"/>
          <w:szCs w:val="16"/>
          <w:b w:val="1"/>
          <w:bCs w:val="1"/>
          <w:color w:val="auto"/>
        </w:rPr>
        <w:t>Exercise Price</w:t>
      </w:r>
      <w:r>
        <w:rPr>
          <w:rFonts w:ascii="Arial" w:cs="Arial" w:eastAsia="Arial" w:hAnsi="Arial"/>
          <w:sz w:val="16"/>
          <w:szCs w:val="16"/>
          <w:color w:val="auto"/>
        </w:rPr>
        <w:t>”) in cash or wire transfer of immediately available funds (a “</w:t>
      </w:r>
      <w:r>
        <w:rPr>
          <w:rFonts w:ascii="Arial" w:cs="Arial" w:eastAsia="Arial" w:hAnsi="Arial"/>
          <w:sz w:val="16"/>
          <w:szCs w:val="16"/>
          <w:b w:val="1"/>
          <w:bCs w:val="1"/>
          <w:color w:val="auto"/>
        </w:rPr>
        <w:t>Cash Exercise</w:t>
      </w:r>
      <w:r>
        <w:rPr>
          <w:rFonts w:ascii="Arial" w:cs="Arial" w:eastAsia="Arial" w:hAnsi="Arial"/>
          <w:sz w:val="16"/>
          <w:szCs w:val="16"/>
          <w:color w:val="auto"/>
        </w:rPr>
        <w:t>”). The Holder shall not be required to surrender this Warrant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order to effect an exercise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an exercise of this Warrant for all Warrant Shares then issuable hereunder, this Warrant is surrendered to the Company by the second (2nd) Trading Day following the date on which the Company has received each of the Exercise Notice and, if this Warrant is being exercised pursuant to a Cash Exercise, the Aggregate Exercise Price (the “</w:t>
      </w:r>
      <w:r>
        <w:rPr>
          <w:rFonts w:ascii="Arial" w:cs="Arial" w:eastAsia="Arial" w:hAnsi="Arial"/>
          <w:sz w:val="16"/>
          <w:szCs w:val="16"/>
          <w:b w:val="1"/>
          <w:bCs w:val="1"/>
          <w:color w:val="auto"/>
        </w:rPr>
        <w:t>Exercise Delivery Documents</w:t>
      </w:r>
      <w:r>
        <w:rPr>
          <w:rFonts w:ascii="Arial" w:cs="Arial" w:eastAsia="Arial" w:hAnsi="Arial"/>
          <w:sz w:val="16"/>
          <w:szCs w:val="16"/>
          <w:color w:val="auto"/>
        </w:rPr>
        <w:t>”). On or before the first (1st) Trading Day following the date on which the Company has received the Exercise Delivery Documents, the Company shall transmit by email or facsimile an acknowledgment of confirmation of receipt of the Exercise Delivery Documents to the Holder and the Company’s transfer agent for the Common Stock (the “</w:t>
      </w:r>
      <w:r>
        <w:rPr>
          <w:rFonts w:ascii="Arial" w:cs="Arial" w:eastAsia="Arial" w:hAnsi="Arial"/>
          <w:sz w:val="16"/>
          <w:szCs w:val="16"/>
          <w:b w:val="1"/>
          <w:bCs w:val="1"/>
          <w:color w:val="auto"/>
        </w:rPr>
        <w:t>Transfer Agent</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deliver any objection to the Exercise Delivery Documents on or before the first (1st) Trading Day following the date on which the Company has received all of the Exercise Delivery Documents. In the event of any discrepancy or dispute, the records of the Company shall be controlling and determinative in the absence of manifest error. On or before the third (3rd) Trading Day following the date on which the Company has received the Exercise Notice duly completed and executed by the Holder, and in the case of a Cash Exercise, the Aggregate Exercise Price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xml:space="preserve">”), the Company shall, upon the request of the Holder, instruct the Transfer Agent to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Upon delivery of the Exercise Delivery Documents and surrender of this Warrant, the Holder shall be deemed for all corporate purposes to have become the holder of record of the Warrant Shares with respect to which this Warrant has been exercised, irrespective of the date of delivery of the certificates evidencing such Warrant Shares.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five (5) Trading Days after any exercise and at its own expense, issue a new Warrant (in accordance with Section 7(e)) representing the right to purchase the number of Warrant Shares purchasable immediately prior to such exercise under this Warrant, less the number of Warrant Shares with respect to which this Warrant is exercised. The Company shall pay any and all taxes that may be payable with respect to the issuance and delivery of Warrant Shares upon exercise of this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pay any tax which may be payable based on the income of the Holder or in respect of any transfer involved in the registration of any certificates for Warrant Shares or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52" w:lineRule="exact"/>
        <w:rPr>
          <w:sz w:val="20"/>
          <w:szCs w:val="20"/>
          <w:color w:val="auto"/>
        </w:rPr>
      </w:pPr>
    </w:p>
    <w:p>
      <w:pPr>
        <w:ind w:right="20" w:firstLine="438"/>
        <w:spacing w:after="0" w:line="302" w:lineRule="auto"/>
        <w:rPr>
          <w:sz w:val="20"/>
          <w:szCs w:val="20"/>
          <w:color w:val="auto"/>
        </w:rPr>
      </w:pPr>
      <w:r>
        <w:rPr>
          <w:rFonts w:ascii="Arial" w:cs="Arial" w:eastAsia="Arial" w:hAnsi="Arial"/>
          <w:sz w:val="15"/>
          <w:szCs w:val="15"/>
          <w:color w:val="auto"/>
        </w:rPr>
        <w:t>In addition to any other rights available to the Holder, if the Company fails to cause the Transfer Agent to transmit to the Holder certificates representing the Warrant Shares or to credit the Holder’s balance account with The Depository Trust Company for such number of Warrant Shares to which the Holder is entitled upon the Holder’s exercise pursuant to an exercise on or before the Share Delivery Date, and if after such date the Holder purchases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5"/>
          <w:szCs w:val="15"/>
          <w:b w:val="1"/>
          <w:bCs w:val="1"/>
          <w:color w:val="auto"/>
        </w:rPr>
        <w:t>Buy-In</w:t>
      </w:r>
      <w:r>
        <w:rPr>
          <w:rFonts w:ascii="Arial" w:cs="Arial" w:eastAsia="Arial" w:hAnsi="Arial"/>
          <w:sz w:val="15"/>
          <w:szCs w:val="15"/>
          <w:color w:val="auto"/>
        </w:rPr>
        <w:t>”), then the Company shall within five</w:t>
      </w:r>
    </w:p>
    <w:p>
      <w:pPr>
        <w:spacing w:after="0" w:line="2" w:lineRule="exact"/>
        <w:rPr>
          <w:sz w:val="20"/>
          <w:szCs w:val="20"/>
          <w:color w:val="auto"/>
        </w:rPr>
      </w:pPr>
    </w:p>
    <w:p>
      <w:pPr>
        <w:ind w:right="140" w:firstLine="4"/>
        <w:spacing w:after="0" w:line="290" w:lineRule="auto"/>
        <w:tabs>
          <w:tab w:leader="none" w:pos="24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Trading Days after the Holder’s request and in the Holder’s discretion, either (i) pay cash to the Holder in an amount equal to the Holder’s total purchase price (including brokerage commissions,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certificate and to issue such Warrant Shares shall terminate, or (ii) promptly honor its obligation to deliver to the Holder a certificate or certificates representing such Warrant Shares or credit such Holder’s balance account with DTC and pay cash to the Holder in an amount equal to the excess (if any) of the Buy-In Price over the product of (A) such number of shares of Common Stock, times (B) the Weighted Average Price of a share of Common Stock on the date of exercise.</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For purposes of this Warrant, “</w:t>
      </w:r>
      <w:r>
        <w:rPr>
          <w:rFonts w:ascii="Arial" w:cs="Arial" w:eastAsia="Arial" w:hAnsi="Arial"/>
          <w:sz w:val="16"/>
          <w:szCs w:val="16"/>
          <w:b w:val="1"/>
          <w:bCs w:val="1"/>
          <w:color w:val="auto"/>
        </w:rPr>
        <w:t>Exercise Price</w:t>
      </w:r>
      <w:r>
        <w:rPr>
          <w:rFonts w:ascii="Arial" w:cs="Arial" w:eastAsia="Arial" w:hAnsi="Arial"/>
          <w:sz w:val="16"/>
          <w:szCs w:val="16"/>
          <w:color w:val="auto"/>
        </w:rPr>
        <w:t>” means $2.60 per share of Common Stock, subject to adjustment as provided</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83" w:lineRule="exact"/>
        <w:rPr>
          <w:rFonts w:ascii="Arial" w:cs="Arial" w:eastAsia="Arial" w:hAnsi="Arial"/>
          <w:sz w:val="16"/>
          <w:szCs w:val="16"/>
          <w:color w:val="auto"/>
        </w:rPr>
      </w:pPr>
    </w:p>
    <w:p>
      <w:pPr>
        <w:ind w:right="20" w:firstLine="443"/>
        <w:spacing w:after="0" w:line="318" w:lineRule="auto"/>
        <w:tabs>
          <w:tab w:leader="none" w:pos="677" w:val="left"/>
        </w:tabs>
        <w:numPr>
          <w:ilvl w:val="1"/>
          <w:numId w:val="40"/>
        </w:numPr>
        <w:rPr>
          <w:rFonts w:ascii="Arial" w:cs="Arial" w:eastAsia="Arial" w:hAnsi="Arial"/>
          <w:sz w:val="15"/>
          <w:szCs w:val="15"/>
          <w:color w:val="auto"/>
        </w:rPr>
      </w:pPr>
      <w:r>
        <w:rPr>
          <w:rFonts w:ascii="Arial" w:cs="Arial" w:eastAsia="Arial" w:hAnsi="Arial"/>
          <w:sz w:val="15"/>
          <w:szCs w:val="15"/>
          <w:u w:val="single" w:color="auto"/>
          <w:color w:val="auto"/>
        </w:rPr>
        <w:t>Cashless Exercise</w:t>
      </w:r>
      <w:r>
        <w:rPr>
          <w:rFonts w:ascii="Arial" w:cs="Arial" w:eastAsia="Arial" w:hAnsi="Arial"/>
          <w:sz w:val="15"/>
          <w:szCs w:val="15"/>
          <w:color w:val="auto"/>
        </w:rPr>
        <w:t>. Notwithstanding anything contained herein to the contrary, if a registration statement registering the issuance of the Warrant Shares under the Securities Act is not effective or available for the issuance of the Warrant Shares and an exemption from registration under the Securities Act is not available for the issuance of the Warrant Shares,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5"/>
          <w:szCs w:val="15"/>
          <w:b w:val="1"/>
          <w:bCs w:val="1"/>
          <w:color w:val="auto"/>
        </w:rPr>
        <w:t>Cashless Exercise</w:t>
      </w:r>
      <w:r>
        <w:rPr>
          <w:rFonts w:ascii="Arial" w:cs="Arial" w:eastAsia="Arial" w:hAnsi="Arial"/>
          <w:sz w:val="15"/>
          <w:szCs w:val="15"/>
          <w:color w:val="auto"/>
        </w:rPr>
        <w:t>”):</w:t>
      </w:r>
    </w:p>
    <w:p>
      <w:pPr>
        <w:spacing w:after="0" w:line="1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 xml:space="preserve">Net Number = </w:t>
      </w:r>
      <w:r>
        <w:rPr>
          <w:rFonts w:ascii="Arial" w:cs="Arial" w:eastAsia="Arial" w:hAnsi="Arial"/>
          <w:sz w:val="18"/>
          <w:szCs w:val="18"/>
          <w:u w:val="single" w:color="auto"/>
          <w:color w:val="auto"/>
        </w:rPr>
        <w:t>(A x B) - (A x C)</w:t>
      </w:r>
    </w:p>
    <w:p>
      <w:pPr>
        <w:spacing w:after="0" w:line="1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B</w:t>
      </w:r>
    </w:p>
    <w:p>
      <w:pPr>
        <w:sectPr>
          <w:pgSz w:w="11900" w:h="16838" w:orient="portrait"/>
          <w:cols w:equalWidth="0" w:num="1">
            <w:col w:w="10960"/>
          </w:cols>
          <w:pgMar w:left="700" w:top="280"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180" w:type="dxa"/>
            <w:vAlign w:val="bottom"/>
          </w:tcPr>
          <w:p>
            <w:pPr>
              <w:ind w:left="380"/>
              <w:spacing w:after="0"/>
              <w:rPr>
                <w:sz w:val="20"/>
                <w:szCs w:val="20"/>
                <w:color w:val="auto"/>
              </w:rPr>
            </w:pPr>
            <w:r>
              <w:rPr>
                <w:rFonts w:ascii="Arial" w:cs="Arial" w:eastAsia="Arial" w:hAnsi="Arial"/>
                <w:sz w:val="18"/>
                <w:szCs w:val="18"/>
                <w:color w:val="auto"/>
              </w:rPr>
              <w:t>For purposes of the foregoing formula:</w:t>
            </w:r>
          </w:p>
        </w:tc>
      </w:tr>
      <w:tr>
        <w:trPr>
          <w:trHeight w:val="205"/>
        </w:trPr>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216"/>
        </w:trPr>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A=</w:t>
            </w:r>
          </w:p>
        </w:tc>
        <w:tc>
          <w:tcPr>
            <w:tcW w:w="11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the total number of shares with respect to which this Warrant is then being exercised.</w:t>
            </w:r>
          </w:p>
        </w:tc>
      </w:tr>
      <w:tr>
        <w:trPr>
          <w:trHeight w:val="316"/>
        </w:trPr>
        <w:tc>
          <w:tcPr>
            <w:tcW w:w="360" w:type="dxa"/>
            <w:vAlign w:val="bottom"/>
          </w:tcPr>
          <w:p>
            <w:pPr>
              <w:jc w:val="right"/>
              <w:ind w:right="12"/>
              <w:spacing w:after="0"/>
              <w:rPr>
                <w:sz w:val="20"/>
                <w:szCs w:val="20"/>
                <w:color w:val="auto"/>
              </w:rPr>
            </w:pPr>
            <w:r>
              <w:rPr>
                <w:rFonts w:ascii="Arial" w:cs="Arial" w:eastAsia="Arial" w:hAnsi="Arial"/>
                <w:sz w:val="18"/>
                <w:szCs w:val="18"/>
                <w:color w:val="auto"/>
              </w:rPr>
              <w:t>B=</w:t>
            </w:r>
          </w:p>
        </w:tc>
        <w:tc>
          <w:tcPr>
            <w:tcW w:w="11060" w:type="dxa"/>
            <w:vAlign w:val="bottom"/>
            <w:gridSpan w:val="3"/>
          </w:tcPr>
          <w:p>
            <w:pPr>
              <w:ind w:left="120"/>
              <w:spacing w:after="0"/>
              <w:rPr>
                <w:sz w:val="20"/>
                <w:szCs w:val="20"/>
                <w:color w:val="auto"/>
              </w:rPr>
            </w:pPr>
            <w:r>
              <w:rPr>
                <w:rFonts w:ascii="Arial" w:cs="Arial" w:eastAsia="Arial" w:hAnsi="Arial"/>
                <w:sz w:val="18"/>
                <w:szCs w:val="18"/>
                <w:color w:val="auto"/>
              </w:rPr>
              <w:t>the Weighted Average Price of the shares of Common Stock (as reported by Bloomberg) on the date immediately</w:t>
            </w:r>
          </w:p>
        </w:tc>
      </w:tr>
      <w:tr>
        <w:trPr>
          <w:trHeight w:val="222"/>
        </w:trPr>
        <w:tc>
          <w:tcPr>
            <w:tcW w:w="360" w:type="dxa"/>
            <w:vAlign w:val="bottom"/>
          </w:tcPr>
          <w:p>
            <w:pPr>
              <w:spacing w:after="0"/>
              <w:rPr>
                <w:sz w:val="19"/>
                <w:szCs w:val="19"/>
                <w:color w:val="auto"/>
              </w:rPr>
            </w:pPr>
          </w:p>
        </w:tc>
        <w:tc>
          <w:tcPr>
            <w:tcW w:w="11060" w:type="dxa"/>
            <w:vAlign w:val="bottom"/>
            <w:gridSpan w:val="3"/>
          </w:tcPr>
          <w:p>
            <w:pPr>
              <w:ind w:left="120"/>
              <w:spacing w:after="0"/>
              <w:rPr>
                <w:sz w:val="20"/>
                <w:szCs w:val="20"/>
                <w:color w:val="auto"/>
              </w:rPr>
            </w:pPr>
            <w:r>
              <w:rPr>
                <w:rFonts w:ascii="Arial" w:cs="Arial" w:eastAsia="Arial" w:hAnsi="Arial"/>
                <w:sz w:val="18"/>
                <w:szCs w:val="18"/>
                <w:color w:val="auto"/>
              </w:rPr>
              <w:t>preceding the date of the Exercise Notice.</w:t>
            </w:r>
          </w:p>
        </w:tc>
      </w:tr>
      <w:tr>
        <w:trPr>
          <w:trHeight w:val="110"/>
        </w:trPr>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8180" w:type="dxa"/>
            <w:vAlign w:val="bottom"/>
          </w:tcPr>
          <w:p>
            <w:pPr>
              <w:spacing w:after="0"/>
              <w:rPr>
                <w:sz w:val="9"/>
                <w:szCs w:val="9"/>
                <w:color w:val="auto"/>
              </w:rPr>
            </w:pPr>
          </w:p>
        </w:tc>
      </w:tr>
      <w:tr>
        <w:trPr>
          <w:trHeight w:val="216"/>
        </w:trPr>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C=</w:t>
            </w:r>
          </w:p>
        </w:tc>
        <w:tc>
          <w:tcPr>
            <w:tcW w:w="110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the Exercise Price then in effect for the applicable Warrant Shares at the time of such exercise.</w:t>
            </w:r>
          </w:p>
        </w:tc>
      </w:tr>
      <w:tr>
        <w:trPr>
          <w:trHeight w:val="257"/>
        </w:trPr>
        <w:tc>
          <w:tcPr>
            <w:tcW w:w="360" w:type="dxa"/>
            <w:vAlign w:val="bottom"/>
          </w:tcPr>
          <w:p>
            <w:pPr>
              <w:spacing w:after="0"/>
              <w:rPr>
                <w:sz w:val="22"/>
                <w:szCs w:val="22"/>
                <w:color w:val="auto"/>
              </w:rPr>
            </w:pPr>
          </w:p>
        </w:tc>
        <w:tc>
          <w:tcPr>
            <w:tcW w:w="11060" w:type="dxa"/>
            <w:vAlign w:val="bottom"/>
            <w:gridSpan w:val="3"/>
          </w:tcPr>
          <w:p>
            <w:pPr>
              <w:ind w:left="540"/>
              <w:spacing w:after="0"/>
              <w:rPr>
                <w:sz w:val="20"/>
                <w:szCs w:val="20"/>
                <w:color w:val="auto"/>
              </w:rPr>
            </w:pPr>
            <w:r>
              <w:rPr>
                <w:rFonts w:ascii="Arial" w:cs="Arial" w:eastAsia="Arial" w:hAnsi="Arial"/>
                <w:sz w:val="18"/>
                <w:szCs w:val="18"/>
                <w:color w:val="auto"/>
                <w:w w:val="88"/>
              </w:rPr>
              <w:t>(d) No Fractional Shares or Scrip. No fractional shares or scrip representing fractional shares shall be issued upon the exercise of this Warrant. As to</w:t>
            </w:r>
          </w:p>
        </w:tc>
      </w:tr>
      <w:tr>
        <w:trPr>
          <w:trHeight w:val="20"/>
        </w:trPr>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28"/>
        </w:trPr>
        <w:tc>
          <w:tcPr>
            <w:tcW w:w="360" w:type="dxa"/>
            <w:vAlign w:val="bottom"/>
          </w:tcPr>
          <w:p>
            <w:pPr>
              <w:spacing w:after="0"/>
              <w:rPr>
                <w:sz w:val="19"/>
                <w:szCs w:val="19"/>
                <w:color w:val="auto"/>
              </w:rPr>
            </w:pP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w w:val="88"/>
              </w:rPr>
              <w:t>any fraction of a share that the Holder would otherwise be entitled to purchase upon such exercise, the Company shall pay a cash adjustment in respect of</w:t>
            </w:r>
          </w:p>
        </w:tc>
      </w:tr>
      <w:tr>
        <w:trPr>
          <w:trHeight w:val="222"/>
        </w:trPr>
        <w:tc>
          <w:tcPr>
            <w:tcW w:w="360" w:type="dxa"/>
            <w:vAlign w:val="bottom"/>
          </w:tcPr>
          <w:p>
            <w:pPr>
              <w:spacing w:after="0"/>
              <w:rPr>
                <w:sz w:val="19"/>
                <w:szCs w:val="19"/>
                <w:color w:val="auto"/>
              </w:rPr>
            </w:pPr>
          </w:p>
        </w:tc>
        <w:tc>
          <w:tcPr>
            <w:tcW w:w="11060" w:type="dxa"/>
            <w:vAlign w:val="bottom"/>
            <w:gridSpan w:val="3"/>
          </w:tcPr>
          <w:p>
            <w:pPr>
              <w:ind w:left="100"/>
              <w:spacing w:after="0"/>
              <w:rPr>
                <w:sz w:val="20"/>
                <w:szCs w:val="20"/>
                <w:color w:val="auto"/>
              </w:rPr>
            </w:pPr>
            <w:r>
              <w:rPr>
                <w:rFonts w:ascii="Arial" w:cs="Arial" w:eastAsia="Arial" w:hAnsi="Arial"/>
                <w:sz w:val="18"/>
                <w:szCs w:val="18"/>
                <w:color w:val="auto"/>
              </w:rPr>
              <w:t>such final fraction in an amount equal to such fraction multiplied by the Exercise Price.</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40" w:firstLine="921"/>
        <w:spacing w:after="0" w:line="268" w:lineRule="auto"/>
        <w:tabs>
          <w:tab w:leader="none" w:pos="108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51" w:lineRule="exact"/>
        <w:rPr>
          <w:sz w:val="20"/>
          <w:szCs w:val="20"/>
          <w:color w:val="auto"/>
        </w:rPr>
      </w:pPr>
    </w:p>
    <w:p>
      <w:pPr>
        <w:ind w:left="460" w:right="40" w:firstLine="443"/>
        <w:spacing w:after="0" w:line="290" w:lineRule="auto"/>
        <w:tabs>
          <w:tab w:leader="none" w:pos="113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Adjustment upon Subdivision or Combination of Shares of Common Stock</w:t>
      </w:r>
      <w:r>
        <w:rPr>
          <w:rFonts w:ascii="Arial" w:cs="Arial" w:eastAsia="Arial" w:hAnsi="Arial"/>
          <w:sz w:val="16"/>
          <w:szCs w:val="16"/>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2(a) shall become effective at the close of business on the date the subdivision or combination becomes effective.</w:t>
      </w:r>
    </w:p>
    <w:p>
      <w:pPr>
        <w:spacing w:after="0" w:line="37" w:lineRule="exact"/>
        <w:rPr>
          <w:rFonts w:ascii="Arial" w:cs="Arial" w:eastAsia="Arial" w:hAnsi="Arial"/>
          <w:sz w:val="16"/>
          <w:szCs w:val="16"/>
          <w:color w:val="auto"/>
        </w:rPr>
      </w:pPr>
    </w:p>
    <w:p>
      <w:pPr>
        <w:ind w:left="460" w:right="20" w:firstLine="443"/>
        <w:spacing w:after="0" w:line="294" w:lineRule="auto"/>
        <w:tabs>
          <w:tab w:leader="none" w:pos="114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xml:space="preserve">. If any event occurs of the type contemplated by the provisions of Section 2(a) but not expressly provided for by such provisions (including, without limitation, the granting of stock appreciation rights, phantom stock rights or other rights with equity features to the holders of the Company’s equity securities), then the Company’s Board of Directors will make an appropriate adjustment in the Exercise Price and the number of Warrant Shares so as to protect the rights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adjustment pursuant to this Section 2(b) will increase the Exercise Price or decrease the number of Warrant Shares as otherwise determined pursuant to this Section 2.</w:t>
      </w:r>
    </w:p>
    <w:p>
      <w:pPr>
        <w:spacing w:after="0" w:line="34" w:lineRule="exact"/>
        <w:rPr>
          <w:rFonts w:ascii="Arial" w:cs="Arial" w:eastAsia="Arial" w:hAnsi="Arial"/>
          <w:sz w:val="16"/>
          <w:szCs w:val="16"/>
          <w:color w:val="auto"/>
        </w:rPr>
      </w:pPr>
    </w:p>
    <w:p>
      <w:pPr>
        <w:ind w:left="460" w:right="300" w:firstLine="443"/>
        <w:spacing w:after="0" w:line="268" w:lineRule="auto"/>
        <w:tabs>
          <w:tab w:leader="none" w:pos="113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Par Value</w:t>
      </w:r>
      <w:r>
        <w:rPr>
          <w:rFonts w:ascii="Arial" w:cs="Arial" w:eastAsia="Arial" w:hAnsi="Arial"/>
          <w:sz w:val="18"/>
          <w:szCs w:val="18"/>
          <w:color w:val="auto"/>
        </w:rPr>
        <w:t>. Notwithstanding anything to the contrary in this Warrant, in no event shall the Exercise Price be reduced below the par value of the Company’s Common Stock.</w:t>
      </w:r>
    </w:p>
    <w:p>
      <w:pPr>
        <w:spacing w:after="0" w:line="132" w:lineRule="exact"/>
        <w:rPr>
          <w:sz w:val="20"/>
          <w:szCs w:val="20"/>
          <w:color w:val="auto"/>
        </w:rPr>
      </w:pPr>
    </w:p>
    <w:p>
      <w:pPr>
        <w:ind w:right="40" w:firstLine="921"/>
        <w:spacing w:after="0" w:line="290" w:lineRule="auto"/>
        <w:tabs>
          <w:tab w:leader="none" w:pos="1088"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but excluding any event resulting in an adjustment pursuant to Section 2 or Section 4(a) of this Warrant)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upon exercise of this Warrant for the purchase of any or all of the Warrant Shares, to receive the amount of distributed property which would have been payable to the Holder had the Holder been the holder of such Warrant Shares on the record date for the determination of stockholders entitled to participate in the Distribution.</w:t>
      </w:r>
    </w:p>
    <w:p>
      <w:pPr>
        <w:spacing w:after="0" w:line="118" w:lineRule="exact"/>
        <w:rPr>
          <w:rFonts w:ascii="Arial" w:cs="Arial" w:eastAsia="Arial" w:hAnsi="Arial"/>
          <w:sz w:val="16"/>
          <w:szCs w:val="16"/>
          <w:color w:val="auto"/>
        </w:rPr>
      </w:pPr>
    </w:p>
    <w:p>
      <w:pPr>
        <w:ind w:left="1100" w:hanging="179"/>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90" w:lineRule="exact"/>
        <w:rPr>
          <w:sz w:val="20"/>
          <w:szCs w:val="20"/>
          <w:color w:val="auto"/>
        </w:rPr>
      </w:pPr>
    </w:p>
    <w:p>
      <w:pPr>
        <w:ind w:left="460" w:right="180" w:firstLine="443"/>
        <w:spacing w:after="0" w:line="259" w:lineRule="auto"/>
        <w:tabs>
          <w:tab w:leader="none" w:pos="113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Purchase Rights</w:t>
      </w:r>
      <w:r>
        <w:rPr>
          <w:rFonts w:ascii="Arial" w:cs="Arial" w:eastAsia="Arial" w:hAnsi="Arial"/>
          <w:sz w:val="18"/>
          <w:szCs w:val="18"/>
          <w:color w:val="auto"/>
        </w:rPr>
        <w:t>. In addition to any adjustments pursuant to Section 2 above, if at any time prior to the Expiration Date the Company grants, issues or sells any Options, Convertible Securities or rights to purchase stock, warrants, securities or other property pro rata to all of the record holders of any class of</w:t>
      </w:r>
    </w:p>
    <w:p>
      <w:pPr>
        <w:sectPr>
          <w:pgSz w:w="11900" w:h="16838" w:orient="portrait"/>
          <w:cols w:equalWidth="0" w:num="1">
            <w:col w:w="11420"/>
          </w:cols>
          <w:pgMar w:left="240" w:top="280" w:right="239" w:bottom="1440" w:gutter="0" w:footer="0" w:header="0"/>
        </w:sectPr>
      </w:pPr>
    </w:p>
    <w:bookmarkStart w:id="113" w:name="page114"/>
    <w:bookmarkEnd w:id="113"/>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the exercise of this Warrant)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33" w:lineRule="exact"/>
        <w:rPr>
          <w:sz w:val="20"/>
          <w:szCs w:val="20"/>
          <w:color w:val="auto"/>
        </w:rPr>
      </w:pPr>
    </w:p>
    <w:p>
      <w:pPr>
        <w:ind w:firstLine="443"/>
        <w:spacing w:after="0" w:line="285" w:lineRule="auto"/>
        <w:tabs>
          <w:tab w:leader="none" w:pos="687"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Upon the occurrence of any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Upon consummation of the Fundamental Transaction, the Successor Entity shall deliver to the Holder confirmation that there shall be issued upon exercise of this Warrant at any time after the consummation of the Fundamental Transaction, in lieu of the shares of the Common Stock (or other securities, cash, assets or other property purchasable upon the exercise of the Warrant prior to such Fundamental Transaction), such shares of stock, securities, cash, assets or any other property whatsoever (including warrants or other purchase or subscription rights), if any, that the Holder would have been entitled to receive upon the happening of such Fundamental Transaction had this Warrant been exercised immediately prior to such Fundamental Transaction, as adjusted in accordance with the provisions of this Warrant.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exercise of this Warrant within 90 days after the consummation of the Fundamental Transaction but, in any event, prior to the Expiration Date, in lieu of the shares of the Common Stock (or other securities, cash, assets or other property) purchasable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such Fundamental Transaction had the Warrant been exercised immediately prior to such Fundamental Transaction.</w:t>
      </w:r>
    </w:p>
    <w:p>
      <w:pPr>
        <w:spacing w:after="0" w:line="121" w:lineRule="exact"/>
        <w:rPr>
          <w:sz w:val="20"/>
          <w:szCs w:val="20"/>
          <w:color w:val="auto"/>
        </w:rPr>
      </w:pPr>
    </w:p>
    <w:p>
      <w:pPr>
        <w:ind w:left="-460" w:right="20" w:firstLine="921"/>
        <w:spacing w:after="0" w:line="288" w:lineRule="auto"/>
        <w:tabs>
          <w:tab w:leader="none" w:pos="62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RESERVATION OF WARRANT SHARES</w:t>
      </w:r>
      <w:r>
        <w:rPr>
          <w:rFonts w:ascii="Arial" w:cs="Arial" w:eastAsia="Arial" w:hAnsi="Arial"/>
          <w:sz w:val="16"/>
          <w:szCs w:val="16"/>
          <w:color w:val="auto"/>
        </w:rPr>
        <w:t>. The Company covenants that it will at all times reserve and keep available out of the aggregate of its authorized but unissued and otherwise unreserved Common Stock, solely for the purpose of enabling it to issue Warrant Shares upon exercise of this Warrant as herein provided, the number of shares of Common Stock which are then issuable and deliverable upon the exercise of this entire Warrant, free from preemptive or any other contingent purchase rights of Persons other than the Holder (taking into account the adjustments and restrictions in Section 2). Such reservation shall comply with the provisions of Section 1. The Company covenants that all shares of Common Stock so issuable and deliverable shall, upon issuance and the payment of the applicable Exercise Price in accordance with the terms hereof, be duly and validly authorized, issued and fully paid and nonassessable. The Company will take all such actions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w:t>
      </w:r>
    </w:p>
    <w:p>
      <w:pPr>
        <w:spacing w:after="0" w:line="119" w:lineRule="exact"/>
        <w:rPr>
          <w:rFonts w:ascii="Arial" w:cs="Arial" w:eastAsia="Arial" w:hAnsi="Arial"/>
          <w:sz w:val="16"/>
          <w:szCs w:val="16"/>
          <w:color w:val="auto"/>
        </w:rPr>
      </w:pPr>
    </w:p>
    <w:p>
      <w:pPr>
        <w:ind w:left="640" w:hanging="179"/>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REPRESENTATIONS AND ACKNOWLEDGMENTS OF HOLDER</w:t>
      </w:r>
      <w:r>
        <w:rPr>
          <w:rFonts w:ascii="Arial" w:cs="Arial" w:eastAsia="Arial" w:hAnsi="Arial"/>
          <w:sz w:val="18"/>
          <w:szCs w:val="18"/>
          <w:color w:val="auto"/>
        </w:rPr>
        <w:t>.</w:t>
      </w:r>
    </w:p>
    <w:p>
      <w:pPr>
        <w:spacing w:after="0" w:line="90" w:lineRule="exact"/>
        <w:rPr>
          <w:sz w:val="20"/>
          <w:szCs w:val="20"/>
          <w:color w:val="auto"/>
        </w:rPr>
      </w:pPr>
    </w:p>
    <w:p>
      <w:pPr>
        <w:ind w:left="-460" w:right="20" w:firstLine="921"/>
        <w:spacing w:after="0" w:line="255" w:lineRule="auto"/>
        <w:tabs>
          <w:tab w:leader="none" w:pos="69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Acquisition of Warrant for Personal Account</w:t>
      </w:r>
      <w:r>
        <w:rPr>
          <w:rFonts w:ascii="Arial" w:cs="Arial" w:eastAsia="Arial" w:hAnsi="Arial"/>
          <w:sz w:val="18"/>
          <w:szCs w:val="18"/>
          <w:color w:val="auto"/>
        </w:rPr>
        <w:t>. The Holder represents and warrants that it is acquiring this Warrant and the Warrant Shares solely for its account for investment and not with a present view toward the public distribution of this Warrant or Warrant Shares or any part thereof and has no present intention of selling or distributing this Warrant or Warrant Shares or any arrangement or understanding with any other persons regarding the sale or distribution of this Warrant or the Warrant Shares. The Holder will not, directly or indirectly, offer, sell, pledge, transfer or otherwise dispose of (or solicit any offers to buy, purchase or otherwise</w:t>
      </w:r>
    </w:p>
    <w:p>
      <w:pPr>
        <w:sectPr>
          <w:pgSz w:w="11900" w:h="16838" w:orient="portrait"/>
          <w:cols w:equalWidth="0" w:num="1">
            <w:col w:w="10940"/>
          </w:cols>
          <w:pgMar w:left="700" w:top="274" w:right="259" w:bottom="1440" w:gutter="0" w:footer="0" w:header="0"/>
        </w:sectPr>
      </w:pPr>
    </w:p>
    <w:bookmarkStart w:id="114" w:name="page115"/>
    <w:bookmarkEnd w:id="11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acquire or take a pledge of) this Warrant or the Warrant Shares except in accordance with the Securities Act. The Holder represents and warrants that (i) it is aware of the Company’s business affairs and financial condition and has acquired sufficient information about the Company to reach an informed and knowledgeable decision regarding its investment in this Warrant and, upon exercise of this Warrant, any Warrant Shares and (ii) it is experienced in making investments of this type and has such knowledge and background in financial and business matters that the Holder is capable of evaluating the merits and risks of this investment and protecting the Holder’s own interests.</w:t>
      </w:r>
    </w:p>
    <w:p>
      <w:pPr>
        <w:spacing w:after="0" w:line="143" w:lineRule="exact"/>
        <w:rPr>
          <w:sz w:val="20"/>
          <w:szCs w:val="20"/>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Securities Not Registered</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1492"/>
        <w:spacing w:after="0" w:line="298" w:lineRule="auto"/>
        <w:tabs>
          <w:tab w:leader="none" w:pos="1693"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Holder understands that the offer and sale of this Warrant and the Warrant Shares have not been registered under the Securities Act on the basis that no distribution or public offering of the stock of the Company is to be effected. The Holder realizes that the basis for the exemption may not be present if, notwithstanding its representations, the Holder has a present intention of acquiring the securities for a fixed or determinable period in the future, selling (in connection with a distribution or otherwise), granting any participation in, or otherwise distributing the securities. The Holder has no such present intention.</w:t>
      </w:r>
    </w:p>
    <w:p>
      <w:pPr>
        <w:spacing w:after="0" w:line="112" w:lineRule="exact"/>
        <w:rPr>
          <w:rFonts w:ascii="Arial" w:cs="Arial" w:eastAsia="Arial" w:hAnsi="Arial"/>
          <w:sz w:val="16"/>
          <w:szCs w:val="16"/>
          <w:color w:val="auto"/>
        </w:rPr>
      </w:pPr>
    </w:p>
    <w:p>
      <w:pPr>
        <w:jc w:val="both"/>
        <w:ind w:right="160" w:firstLine="1492"/>
        <w:spacing w:after="0" w:line="259" w:lineRule="auto"/>
        <w:tabs>
          <w:tab w:leader="none" w:pos="1742"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Holder recognizes that this Warrant and the Warrant Shares must be held indefinitely unless they are subsequently registered under the Securities Act or an exemption from such registration is available. The Holder recognizes that the Company has no obligation to register this Warrant or the Warrant Shares.</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Disposition of Warrant Shares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Holder further agrees not to make any disposition of all or any part of this Warrant or Warrant Shares in any event unless and until:</w:t>
      </w:r>
    </w:p>
    <w:p>
      <w:pPr>
        <w:spacing w:after="0" w:line="194" w:lineRule="exact"/>
        <w:rPr>
          <w:sz w:val="20"/>
          <w:szCs w:val="20"/>
          <w:color w:val="auto"/>
        </w:rPr>
      </w:pPr>
    </w:p>
    <w:p>
      <w:pPr>
        <w:ind w:right="340" w:firstLine="1948"/>
        <w:spacing w:after="0" w:line="268" w:lineRule="auto"/>
        <w:tabs>
          <w:tab w:leader="none" w:pos="2228"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Company shall have received a letter secured by the Holder from the United States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stating that no action will be recommended to the SEC with respect to the proposed disposition;</w:t>
      </w:r>
    </w:p>
    <w:p>
      <w:pPr>
        <w:spacing w:after="0" w:line="131" w:lineRule="exact"/>
        <w:rPr>
          <w:rFonts w:ascii="Arial" w:cs="Arial" w:eastAsia="Arial" w:hAnsi="Arial"/>
          <w:sz w:val="18"/>
          <w:szCs w:val="18"/>
          <w:color w:val="auto"/>
        </w:rPr>
      </w:pPr>
    </w:p>
    <w:p>
      <w:pPr>
        <w:ind w:right="80" w:firstLine="1948"/>
        <w:spacing w:after="0" w:line="268" w:lineRule="auto"/>
        <w:tabs>
          <w:tab w:leader="none" w:pos="2215"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Securities Act covering such proposed disposition and such disposition is made in accordance with said registration statement; or</w:t>
      </w:r>
    </w:p>
    <w:p>
      <w:pPr>
        <w:spacing w:after="0" w:line="131" w:lineRule="exact"/>
        <w:rPr>
          <w:rFonts w:ascii="Arial" w:cs="Arial" w:eastAsia="Arial" w:hAnsi="Arial"/>
          <w:sz w:val="18"/>
          <w:szCs w:val="18"/>
          <w:color w:val="auto"/>
        </w:rPr>
      </w:pPr>
    </w:p>
    <w:p>
      <w:pPr>
        <w:ind w:right="120" w:firstLine="1948"/>
        <w:spacing w:after="0" w:line="255" w:lineRule="auto"/>
        <w:tabs>
          <w:tab w:leader="none" w:pos="2218"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The Holder shall have notified the Company of the proposed disposition and shall have furnished the Company with a detailed statement of the circumstances surrounding the proposed disposition, and if reasonably requested by the Company, the Holder shall have furnished the Company with an opinion of counsel, reasonably satisfactory to the Company, for the Holder to the effect that such disposition will not require registration of this Warrant or Warrant Shares under the Securities Act or any applicable state securities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opinion shall be required for any disposition made or to be made in accordance with the provisions of Rule 144.</w:t>
      </w:r>
    </w:p>
    <w:p>
      <w:pPr>
        <w:spacing w:after="0" w:line="142" w:lineRule="exact"/>
        <w:rPr>
          <w:rFonts w:ascii="Arial" w:cs="Arial" w:eastAsia="Arial" w:hAnsi="Arial"/>
          <w:sz w:val="18"/>
          <w:szCs w:val="18"/>
          <w:color w:val="auto"/>
        </w:rPr>
      </w:pPr>
    </w:p>
    <w:p>
      <w:pPr>
        <w:ind w:right="320" w:firstLine="1492"/>
        <w:spacing w:after="0" w:line="268" w:lineRule="auto"/>
        <w:tabs>
          <w:tab w:leader="none" w:pos="174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 understands and agrees that all certificates evidencing the Warrant Shares to be issued to the Holder may bear a legend in substantially the following form:</w:t>
      </w:r>
    </w:p>
    <w:p>
      <w:pPr>
        <w:spacing w:after="0" w:line="132"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 THE COMPANY SHALL BE ENTITLED TO REQUIRE AN OPINION OF COUNSEL SATISFACTORY TO THE COMPANY THAT SUCH REGISTRATION IS NOT REQUIRED TO THE EXTENT THAT SUCH OPINION IS REQUIRED PURSUANT TO THAT CERTAIN SECURITIES PURCHASE AGREEMENT UNDER WHICH THE SECURITIES WERE ISSUED.</w:t>
      </w:r>
    </w:p>
    <w:p>
      <w:pPr>
        <w:sectPr>
          <w:pgSz w:w="11900" w:h="16838" w:orient="portrait"/>
          <w:cols w:equalWidth="0" w:num="1">
            <w:col w:w="11420"/>
          </w:cols>
          <w:pgMar w:left="240" w:top="280" w:right="239" w:bottom="1440" w:gutter="0" w:footer="0" w:header="0"/>
        </w:sectPr>
      </w:pPr>
    </w:p>
    <w:bookmarkStart w:id="115" w:name="page116"/>
    <w:bookmarkEnd w:id="115"/>
    <w:p>
      <w:pPr>
        <w:ind w:left="-460" w:right="40" w:firstLine="921"/>
        <w:spacing w:after="0" w:line="289" w:lineRule="auto"/>
        <w:tabs>
          <w:tab w:leader="none" w:pos="701"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Not Deemed a Stockholder</w:t>
      </w:r>
      <w:r>
        <w:rPr>
          <w:rFonts w:ascii="Arial" w:cs="Arial" w:eastAsia="Arial" w:hAnsi="Arial"/>
          <w:sz w:val="16"/>
          <w:szCs w:val="16"/>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18" w:lineRule="exact"/>
        <w:rPr>
          <w:sz w:val="20"/>
          <w:szCs w:val="20"/>
          <w:color w:val="auto"/>
        </w:rPr>
      </w:pPr>
    </w:p>
    <w:p>
      <w:pPr>
        <w:ind w:left="640" w:hanging="179"/>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REGISTRATION AND REISSUANCE OF WARRANTS</w:t>
      </w:r>
      <w:r>
        <w:rPr>
          <w:rFonts w:ascii="Arial" w:cs="Arial" w:eastAsia="Arial" w:hAnsi="Arial"/>
          <w:sz w:val="18"/>
          <w:szCs w:val="18"/>
          <w:color w:val="auto"/>
        </w:rPr>
        <w: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Registration of Warrant</w:t>
      </w:r>
      <w:r>
        <w:rPr>
          <w:rFonts w:ascii="Arial" w:cs="Arial" w:eastAsia="Arial" w:hAnsi="Arial"/>
          <w:sz w:val="16"/>
          <w:szCs w:val="16"/>
          <w:color w:val="auto"/>
        </w:rPr>
        <w:t>. The Company shall register this Warrant, upon the records to be maintained by the Company for that purpose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 Register</w:t>
      </w:r>
      <w:r>
        <w:rPr>
          <w:rFonts w:ascii="Arial" w:cs="Arial" w:eastAsia="Arial" w:hAnsi="Arial"/>
          <w:sz w:val="16"/>
          <w:szCs w:val="16"/>
          <w:color w:val="auto"/>
        </w:rPr>
        <w:t>”), in the name of the record Holder hereof from time to time. The Company may deem and treat the registered Holder of this Warrant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absolute owner hereof for the purpose of any exercise hereof or any distribution to the Holder, and for all other purposes, absent actual notice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contrary. The Company shall also register any transfer, exchange, reissuance or cancellation of any portion of this Warrant in the Warrant Register.</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Transfer of Warrant</w:t>
      </w:r>
      <w:r>
        <w:rPr>
          <w:rFonts w:ascii="Arial" w:cs="Arial" w:eastAsia="Arial" w:hAnsi="Arial"/>
          <w:sz w:val="16"/>
          <w:szCs w:val="16"/>
          <w:color w:val="auto"/>
        </w:rPr>
        <w:t>. This Warrant may be offered for sale, sold, transferred or assigned without the consent of the Company, subject to</w:t>
      </w:r>
    </w:p>
    <w:p>
      <w:pPr>
        <w:spacing w:after="0" w:line="3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Section 6(c) and except as may otherwise be required by applicable securities laws. Subject to applicable securities laws, if this Warrant is to be transferred, the Holder shall surrender this Warrant to the Company or its Transfer Agent, as directed by the Company, together with all applicable transfer taxes, whereupon the Company will, or will cause its Transfer Agent to, forthwith issue and deliver upon the order of the Holder a new Warrant (in accordance with Section 7(e)), registered as the Holder may request, representing the right to purchase the number of Warrant Shares being transferred by the Holder and, if less than the total number of Warrant Shares then underlying this Warrant is being transferred, a new Warrant (in accordance with Section 7(e)) to the Holder representing the right to purchase the number of Warrant Shares not being transferred. The acceptance of the new Warrant by the transferee thereof shall be deemed the acceptance by such transferee of all of the rights and obligations in respect of the new Warrant that the Holder has in respect of this Warrant.</w:t>
      </w:r>
    </w:p>
    <w:p>
      <w:pPr>
        <w:spacing w:after="0" w:line="43" w:lineRule="exact"/>
        <w:rPr>
          <w:sz w:val="20"/>
          <w:szCs w:val="20"/>
          <w:color w:val="auto"/>
        </w:rPr>
      </w:pPr>
    </w:p>
    <w:p>
      <w:pPr>
        <w:ind w:left="680" w:hanging="237"/>
        <w:spacing w:after="0"/>
        <w:tabs>
          <w:tab w:leader="none" w:pos="68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w:t>
      </w:r>
    </w:p>
    <w:p>
      <w:pPr>
        <w:spacing w:after="0" w:line="38"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destruction or mutilation of this Warrant, and, in the case of loss, theft or destruction, of any indemnification undertaking by the Holder to the Company in customary form or the provision of reasonable security by the Holder to the Company and, in the case of mutilation, upon surrender and cancellation of this Warrant, the Company or its Transfer Agent, as directed by the Company, shall execute and deliver to the Holder a new Warrant (in accordance with Section 7(e)) representing the right to purchase the Warrant Shares then underlying this Warrant.</w:t>
      </w:r>
    </w:p>
    <w:p>
      <w:pPr>
        <w:spacing w:after="0" w:line="34" w:lineRule="exact"/>
        <w:rPr>
          <w:rFonts w:ascii="Arial" w:cs="Arial" w:eastAsia="Arial" w:hAnsi="Arial"/>
          <w:sz w:val="16"/>
          <w:szCs w:val="16"/>
          <w:color w:val="auto"/>
        </w:rPr>
      </w:pPr>
    </w:p>
    <w:p>
      <w:pPr>
        <w:ind w:right="80" w:firstLine="443"/>
        <w:spacing w:after="0" w:line="254" w:lineRule="auto"/>
        <w:tabs>
          <w:tab w:leader="none" w:pos="68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Exchangeable for Multiple Warrants</w:t>
      </w:r>
      <w:r>
        <w:rPr>
          <w:rFonts w:ascii="Arial" w:cs="Arial" w:eastAsia="Arial" w:hAnsi="Arial"/>
          <w:sz w:val="18"/>
          <w:szCs w:val="18"/>
          <w:color w:val="auto"/>
        </w:rPr>
        <w:t xml:space="preserve">. This Warrant is exchangeable, upon the surrender hereof by the Holder at the principal office of the Company or its Transfer Agent, as directed by the Company, together with all applicable transfer taxes, for a new Warrant or Warrants (in accordance with Section 7(e))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or its Transfer Agent, as directed by the Company, shall not be required to issue Warrants for fractional shares of Common Stock hereunder.</w:t>
      </w:r>
    </w:p>
    <w:p>
      <w:pPr>
        <w:spacing w:after="0" w:line="63" w:lineRule="exact"/>
        <w:rPr>
          <w:rFonts w:ascii="Arial" w:cs="Arial" w:eastAsia="Arial" w:hAnsi="Arial"/>
          <w:sz w:val="18"/>
          <w:szCs w:val="18"/>
          <w:color w:val="auto"/>
        </w:rPr>
      </w:pPr>
    </w:p>
    <w:p>
      <w:pPr>
        <w:ind w:right="300" w:firstLine="443"/>
        <w:spacing w:after="0" w:line="298" w:lineRule="auto"/>
        <w:tabs>
          <w:tab w:leader="none" w:pos="67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Whenever the Company or its Transfer Agent, as directed by the Company, is required to issue a new Warrant pursuant to the terms of this Warrant, such new Warrant shall (i) be of like tenor with this Warrant, (ii) represent, as indicated on the face of such new Warrant, the right to purchase the Warrant Shares then underlying this Warrant (or in the case of a new Warrant being issued pursuant to Section 7(b) or Section 7(c), the Warrant Shares designated by the Holder which, when added to</w:t>
      </w:r>
    </w:p>
    <w:p>
      <w:pPr>
        <w:sectPr>
          <w:pgSz w:w="11900" w:h="16838" w:orient="portrait"/>
          <w:cols w:equalWidth="0" w:num="1">
            <w:col w:w="10940"/>
          </w:cols>
          <w:pgMar w:left="700" w:top="280" w:right="259" w:bottom="1440" w:gutter="0" w:footer="0" w:header="0"/>
        </w:sectPr>
      </w:pPr>
    </w:p>
    <w:bookmarkStart w:id="116" w:name="page117"/>
    <w:bookmarkEnd w:id="116"/>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number of shares of Common Stock underlying the other new Warrants issued in connection with such issuance, does not exceed the number of Warrant Shares then underlying this Warrant), (iii) have an issuance date, as indicated on the face of such new Warrant which is the same as the Issuance Date and (iv) have the same rights and conditions as this Warrant.</w:t>
      </w:r>
    </w:p>
    <w:p>
      <w:pPr>
        <w:spacing w:after="0" w:line="140" w:lineRule="exact"/>
        <w:rPr>
          <w:sz w:val="20"/>
          <w:szCs w:val="20"/>
          <w:color w:val="auto"/>
        </w:rPr>
      </w:pPr>
    </w:p>
    <w:p>
      <w:pPr>
        <w:ind w:left="-460" w:right="20" w:firstLine="921"/>
        <w:spacing w:after="0" w:line="290" w:lineRule="auto"/>
        <w:tabs>
          <w:tab w:leader="none" w:pos="628"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Whenever notice is required to be given under this Warrant, unless otherwise provided herein, such notice shall be given in accordance with the information set forth in the Warrant Register. The Company shall give written notice to the Holder (i) reasonably promptly following any adjustment of the Exercise Price, setting forth in reasonable detail, and certifying, the calculation of such adjustment and (ii) at least ten (10)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pro rata to the record holders of any class of shares of Common Stock or (C) for determining rights to vote with respect to any Fundamental Transaction, dissolution or liquidation;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case, such information shall be made known to the public prior to or in conjunction with such notice being provided to the Holder.</w:t>
      </w:r>
    </w:p>
    <w:p>
      <w:pPr>
        <w:spacing w:after="0" w:line="118" w:lineRule="exact"/>
        <w:rPr>
          <w:rFonts w:ascii="Arial" w:cs="Arial" w:eastAsia="Arial" w:hAnsi="Arial"/>
          <w:sz w:val="16"/>
          <w:szCs w:val="16"/>
          <w:color w:val="auto"/>
        </w:rPr>
      </w:pPr>
    </w:p>
    <w:p>
      <w:pPr>
        <w:jc w:val="both"/>
        <w:ind w:left="-460" w:firstLine="921"/>
        <w:spacing w:after="0" w:line="332" w:lineRule="auto"/>
        <w:tabs>
          <w:tab w:leader="none" w:pos="628"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may be amended and the Company may take any action herein prohibited, or omit to perform any act herein required to be performed by it, only if the Company has obtained the written consent of the Holder.</w:t>
      </w:r>
    </w:p>
    <w:p>
      <w:pPr>
        <w:spacing w:after="0" w:line="85" w:lineRule="exact"/>
        <w:rPr>
          <w:rFonts w:ascii="Arial" w:cs="Arial" w:eastAsia="Arial" w:hAnsi="Arial"/>
          <w:sz w:val="16"/>
          <w:szCs w:val="16"/>
          <w:color w:val="auto"/>
        </w:rPr>
      </w:pPr>
    </w:p>
    <w:p>
      <w:pPr>
        <w:ind w:left="-460" w:right="320" w:firstLine="921"/>
        <w:spacing w:after="0" w:line="306" w:lineRule="auto"/>
        <w:tabs>
          <w:tab w:leader="none" w:pos="716"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Holder to exercise this Warrant to purchase Warrant Shares, and no enumeration herein of the rights or privileges of Holder, shall give rise to any liability of Holder for the purchase price of any Warrant Shares or as a stockholder of the Company, whether such liability is asserted by the Company or by creditors of the Company.</w:t>
      </w:r>
    </w:p>
    <w:p>
      <w:pPr>
        <w:spacing w:after="0" w:line="106" w:lineRule="exact"/>
        <w:rPr>
          <w:rFonts w:ascii="Arial" w:cs="Arial" w:eastAsia="Arial" w:hAnsi="Arial"/>
          <w:sz w:val="16"/>
          <w:szCs w:val="16"/>
          <w:color w:val="auto"/>
        </w:rPr>
      </w:pPr>
    </w:p>
    <w:p>
      <w:pPr>
        <w:ind w:left="-460" w:firstLine="921"/>
        <w:spacing w:after="0" w:line="298" w:lineRule="auto"/>
        <w:tabs>
          <w:tab w:leader="none" w:pos="71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w:t>
      </w:r>
    </w:p>
    <w:p>
      <w:pPr>
        <w:spacing w:after="0" w:line="112" w:lineRule="exact"/>
        <w:rPr>
          <w:rFonts w:ascii="Arial" w:cs="Arial" w:eastAsia="Arial" w:hAnsi="Arial"/>
          <w:sz w:val="16"/>
          <w:szCs w:val="16"/>
          <w:color w:val="auto"/>
        </w:rPr>
      </w:pPr>
    </w:p>
    <w:p>
      <w:pPr>
        <w:ind w:left="-460" w:right="100" w:firstLine="921"/>
        <w:spacing w:after="0" w:line="259" w:lineRule="auto"/>
        <w:tabs>
          <w:tab w:leader="none" w:pos="71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40" w:lineRule="exact"/>
        <w:rPr>
          <w:rFonts w:ascii="Arial" w:cs="Arial" w:eastAsia="Arial" w:hAnsi="Arial"/>
          <w:sz w:val="18"/>
          <w:szCs w:val="18"/>
          <w:color w:val="auto"/>
        </w:rPr>
      </w:pPr>
    </w:p>
    <w:p>
      <w:pPr>
        <w:ind w:left="-460" w:right="80" w:firstLine="921"/>
        <w:spacing w:after="0" w:line="286" w:lineRule="auto"/>
        <w:tabs>
          <w:tab w:leader="none" w:pos="716"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or the arithmetic calculation of the Warrant Shares, the Company shall submit the disputed determinations or arithmetic calculations via email or facsimile within two (2) Trading Days of receipt of the Exercise Notice giving rise to such dispute, as the case may be, to the Holder. If the Holder and the Company are unable to agree upon such determination or calculation of the Exercise Price or the Warrant Shares within five (5) Trading Days of such disputed determination or arithmetic calculation being submitted to the Holder, then the Company shall, within two (2) Trading Days submit via email or facsimile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the investment bank or the accountant, as the case may be, to perform the determinations or calculations and notify the Company and the Holder of the results no later than ten (10) Trading Days from the time it receives the disputed determinations or calculations. Such investment bank’s or accountant’s determination or calculation, as the case may be, shall be binding upon all parties absent demonstrable error. The expenses of the investment bank and accountant will be borne by the Company unless the investment bank or accountant determines that the determination of the Exercise Price or the arithmetic calculation of the Warrant Shares by the Holder was incorrect, in which case the expenses of the investment bank and accountant will be borne by the Holder.</w:t>
      </w:r>
    </w:p>
    <w:p>
      <w:pPr>
        <w:sectPr>
          <w:pgSz w:w="11900" w:h="16838" w:orient="portrait"/>
          <w:cols w:equalWidth="0" w:num="1">
            <w:col w:w="10960"/>
          </w:cols>
          <w:pgMar w:left="700" w:top="280" w:right="239" w:bottom="1440" w:gutter="0" w:footer="0" w:header="0"/>
        </w:sectPr>
      </w:pPr>
    </w:p>
    <w:bookmarkStart w:id="117" w:name="page118"/>
    <w:bookmarkEnd w:id="117"/>
    <w:p>
      <w:pPr>
        <w:ind w:left="-460" w:right="120" w:firstLine="921"/>
        <w:spacing w:after="0" w:line="289" w:lineRule="auto"/>
        <w:tabs>
          <w:tab w:leader="none" w:pos="716" w:val="left"/>
        </w:tabs>
        <w:numPr>
          <w:ilvl w:val="2"/>
          <w:numId w:val="5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 OTHER OBLIGATIONS, BREACHES AND INJUNCTIVE RELIEF</w:t>
      </w:r>
      <w:r>
        <w:rPr>
          <w:rFonts w:ascii="Arial" w:cs="Arial" w:eastAsia="Arial" w:hAnsi="Arial"/>
          <w:sz w:val="16"/>
          <w:szCs w:val="16"/>
          <w:color w:val="auto"/>
        </w:rPr>
        <w:t>. The remedies provided in this Warrant shall be cumulative and in addition to all other remedies available under this Warrant,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may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seek an injunction restraining any breach. Notwithstanding the foregoing or anything else herein to the contrary, if the Company is for any reason unable to issue and deliver Warrant Shares upon exercise of this Warrant as required pursuant to the terms hereof, the Company shall have no obligation to pay to the Holder any cash or other consideration or otherwise “net cash settle” this Warrant.</w:t>
      </w:r>
    </w:p>
    <w:p>
      <w:pPr>
        <w:spacing w:after="0" w:line="118" w:lineRule="exact"/>
        <w:rPr>
          <w:rFonts w:ascii="Arial" w:cs="Arial" w:eastAsia="Arial" w:hAnsi="Arial"/>
          <w:sz w:val="16"/>
          <w:szCs w:val="16"/>
          <w:color w:val="auto"/>
        </w:rPr>
      </w:pPr>
    </w:p>
    <w:p>
      <w:pPr>
        <w:ind w:left="720" w:hanging="259"/>
        <w:spacing w:after="0"/>
        <w:tabs>
          <w:tab w:leader="none" w:pos="720" w:val="left"/>
        </w:tabs>
        <w:numPr>
          <w:ilvl w:val="2"/>
          <w:numId w:val="5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84" w:lineRule="exact"/>
        <w:rPr>
          <w:rFonts w:ascii="Arial" w:cs="Arial" w:eastAsia="Arial" w:hAnsi="Arial"/>
          <w:sz w:val="18"/>
          <w:szCs w:val="18"/>
          <w:color w:val="auto"/>
        </w:rPr>
      </w:pPr>
    </w:p>
    <w:p>
      <w:pPr>
        <w:ind w:left="680" w:hanging="237"/>
        <w:spacing w:after="0"/>
        <w:tabs>
          <w:tab w:leader="none" w:pos="6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90" w:lineRule="exact"/>
        <w:rPr>
          <w:rFonts w:ascii="Arial" w:cs="Arial" w:eastAsia="Arial" w:hAnsi="Arial"/>
          <w:sz w:val="18"/>
          <w:szCs w:val="18"/>
          <w:color w:val="auto"/>
        </w:rPr>
      </w:pPr>
    </w:p>
    <w:p>
      <w:pPr>
        <w:ind w:right="180" w:firstLine="443"/>
        <w:spacing w:after="0" w:line="285" w:lineRule="auto"/>
        <w:tabs>
          <w:tab w:leader="none" w:pos="687" w:val="left"/>
        </w:tabs>
        <w:numPr>
          <w:ilvl w:val="1"/>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pursuant to a migratory merger effected solely for the purpose of changing the jurisdiction of incorporation of the Company.</w:t>
      </w:r>
    </w:p>
    <w:p>
      <w:pPr>
        <w:spacing w:after="0" w:line="77" w:lineRule="exact"/>
        <w:rPr>
          <w:rFonts w:ascii="Arial" w:cs="Arial" w:eastAsia="Arial" w:hAnsi="Arial"/>
          <w:sz w:val="18"/>
          <w:szCs w:val="18"/>
          <w:color w:val="auto"/>
        </w:rPr>
      </w:pPr>
    </w:p>
    <w:p>
      <w:pPr>
        <w:ind w:right="520" w:firstLine="443"/>
        <w:spacing w:after="0" w:line="334" w:lineRule="auto"/>
        <w:tabs>
          <w:tab w:leader="none" w:pos="677"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(i) the Company’s shares of Common Stock, $0.01 par value per share, and (ii) any share capital into which such Common Stock shall have been changed or any share capital resulting from a reclassification of such Common Stock.</w:t>
      </w:r>
    </w:p>
    <w:p>
      <w:pPr>
        <w:spacing w:after="0" w:line="1" w:lineRule="exact"/>
        <w:rPr>
          <w:rFonts w:ascii="Arial" w:cs="Arial" w:eastAsia="Arial" w:hAnsi="Arial"/>
          <w:sz w:val="16"/>
          <w:szCs w:val="16"/>
          <w:color w:val="auto"/>
        </w:rPr>
      </w:pPr>
    </w:p>
    <w:p>
      <w:pPr>
        <w:ind w:right="20" w:firstLine="443"/>
        <w:spacing w:after="0" w:line="275" w:lineRule="auto"/>
        <w:tabs>
          <w:tab w:leader="none" w:pos="687"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38" w:lineRule="exact"/>
        <w:rPr>
          <w:rFonts w:ascii="Arial" w:cs="Arial" w:eastAsia="Arial" w:hAnsi="Arial"/>
          <w:sz w:val="18"/>
          <w:szCs w:val="18"/>
          <w:color w:val="auto"/>
        </w:rPr>
      </w:pPr>
    </w:p>
    <w:p>
      <w:pPr>
        <w:ind w:right="220" w:firstLine="443"/>
        <w:spacing w:after="0" w:line="275" w:lineRule="auto"/>
        <w:tabs>
          <w:tab w:leader="none" w:pos="677"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Principal Market, The New York Stock Exchange, Inc., the NYSE Amex LLC, The Nasdaq Stock Market, or the OTC Bulletin Board</w:t>
      </w:r>
      <w:r>
        <w:rPr>
          <w:rFonts w:ascii="Arial" w:cs="Arial" w:eastAsia="Arial" w:hAnsi="Arial"/>
          <w:sz w:val="11"/>
          <w:szCs w:val="11"/>
          <w:color w:val="auto"/>
        </w:rPr>
        <w:t>®</w:t>
      </w:r>
      <w:r>
        <w:rPr>
          <w:rFonts w:ascii="Arial" w:cs="Arial" w:eastAsia="Arial" w:hAnsi="Arial"/>
          <w:sz w:val="18"/>
          <w:szCs w:val="18"/>
          <w:color w:val="auto"/>
        </w:rPr>
        <w:t>.</w:t>
      </w:r>
    </w:p>
    <w:p>
      <w:pPr>
        <w:spacing w:after="0" w:line="38" w:lineRule="exact"/>
        <w:rPr>
          <w:rFonts w:ascii="Arial" w:cs="Arial" w:eastAsia="Arial" w:hAnsi="Arial"/>
          <w:sz w:val="18"/>
          <w:szCs w:val="18"/>
          <w:color w:val="auto"/>
        </w:rPr>
      </w:pPr>
    </w:p>
    <w:p>
      <w:pPr>
        <w:ind w:firstLine="443"/>
        <w:spacing w:after="0" w:line="283" w:lineRule="auto"/>
        <w:tabs>
          <w:tab w:leader="none" w:pos="657"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(A) the Company shall, directly or indirectly, in one or more related transactions, (i) consolidate or merge with or into (whether or not the Company is the surviving corporation) another Person, or (ii) sell, assign, transfer, convey or otherwise dispose of all or substantially all of the properties or assets of the Company to another Person, or (iii) allow another Person providing to make a purchase, tender or exchange offer that is accepted by the holders of more than 50% of the outstanding shares of Common Stock (not including any shares of Common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purchase agreement or other business combination), or (v) reorganize, recapitalize or reclassify the Common Stock or</w:t>
      </w:r>
    </w:p>
    <w:p>
      <w:pPr>
        <w:spacing w:after="0" w:line="4"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(B)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57" w:lineRule="exact"/>
        <w:rPr>
          <w:rFonts w:ascii="Arial" w:cs="Arial" w:eastAsia="Arial" w:hAnsi="Arial"/>
          <w:sz w:val="16"/>
          <w:szCs w:val="16"/>
          <w:color w:val="auto"/>
        </w:rPr>
      </w:pPr>
    </w:p>
    <w:p>
      <w:pPr>
        <w:ind w:left="700" w:hanging="257"/>
        <w:spacing w:after="0"/>
        <w:tabs>
          <w:tab w:leader="none" w:pos="7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ectPr>
          <w:pgSz w:w="11900" w:h="16838" w:orient="portrait"/>
          <w:cols w:equalWidth="0" w:num="1">
            <w:col w:w="10960"/>
          </w:cols>
          <w:pgMar w:left="700" w:top="280" w:right="239" w:bottom="1440" w:gutter="0" w:footer="0" w:header="0"/>
        </w:sectPr>
      </w:pPr>
    </w:p>
    <w:bookmarkStart w:id="118" w:name="page119"/>
    <w:bookmarkEnd w:id="118"/>
    <w:p>
      <w:pPr>
        <w:ind w:right="240" w:firstLine="443"/>
        <w:spacing w:after="0" w:line="310" w:lineRule="auto"/>
        <w:tabs>
          <w:tab w:leader="none" w:pos="687"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Parent Entity</w:t>
      </w:r>
      <w:r>
        <w:rPr>
          <w:rFonts w:ascii="Arial" w:cs="Arial" w:eastAsia="Arial" w:hAnsi="Arial"/>
          <w:sz w:val="16"/>
          <w:szCs w:val="16"/>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6" w:lineRule="exact"/>
        <w:rPr>
          <w:rFonts w:ascii="Arial" w:cs="Arial" w:eastAsia="Arial" w:hAnsi="Arial"/>
          <w:sz w:val="16"/>
          <w:szCs w:val="16"/>
          <w:color w:val="auto"/>
        </w:rPr>
      </w:pPr>
    </w:p>
    <w:p>
      <w:pPr>
        <w:ind w:right="220" w:firstLine="443"/>
        <w:spacing w:after="0" w:line="275"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38" w:lineRule="exact"/>
        <w:rPr>
          <w:rFonts w:ascii="Arial" w:cs="Arial" w:eastAsia="Arial" w:hAnsi="Arial"/>
          <w:sz w:val="18"/>
          <w:szCs w:val="18"/>
          <w:color w:val="auto"/>
        </w:rPr>
      </w:pPr>
    </w:p>
    <w:p>
      <w:pPr>
        <w:ind w:left="660" w:hanging="217"/>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Market.</w:t>
      </w:r>
    </w:p>
    <w:p>
      <w:pPr>
        <w:spacing w:after="0" w:line="90" w:lineRule="exact"/>
        <w:rPr>
          <w:rFonts w:ascii="Arial" w:cs="Arial" w:eastAsia="Arial" w:hAnsi="Arial"/>
          <w:sz w:val="18"/>
          <w:szCs w:val="18"/>
          <w:color w:val="auto"/>
        </w:rPr>
      </w:pPr>
    </w:p>
    <w:p>
      <w:pPr>
        <w:ind w:right="60" w:firstLine="443"/>
        <w:spacing w:after="0" w:line="357" w:lineRule="auto"/>
        <w:tabs>
          <w:tab w:leader="none" w:pos="687" w:val="left"/>
        </w:tabs>
        <w:numPr>
          <w:ilvl w:val="0"/>
          <w:numId w:val="5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ind w:right="40" w:firstLine="443"/>
        <w:spacing w:after="0" w:line="296" w:lineRule="auto"/>
        <w:tabs>
          <w:tab w:leader="none" w:pos="6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26" w:lineRule="exact"/>
        <w:rPr>
          <w:rFonts w:ascii="Arial" w:cs="Arial" w:eastAsia="Arial" w:hAnsi="Arial"/>
          <w:sz w:val="16"/>
          <w:szCs w:val="16"/>
          <w:color w:val="auto"/>
        </w:rPr>
      </w:pPr>
    </w:p>
    <w:p>
      <w:pPr>
        <w:ind w:firstLine="443"/>
        <w:spacing w:after="0" w:line="287" w:lineRule="auto"/>
        <w:tabs>
          <w:tab w:leader="none" w:pos="736" w:val="left"/>
        </w:tabs>
        <w:numPr>
          <w:ilvl w:val="0"/>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Price</w:t>
      </w:r>
      <w:r>
        <w:rPr>
          <w:rFonts w:ascii="Arial" w:cs="Arial" w:eastAsia="Arial" w:hAnsi="Arial"/>
          <w:sz w:val="16"/>
          <w:szCs w:val="16"/>
          <w:color w:val="auto"/>
        </w:rPr>
        <w:t>” means, for any security as of any date, the dollar volume-weighted average price for such security on the Principal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OTC Markets Inc. If the Weighted Average Price cannot be calculated for such security on such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13 with the term “Weighted Average Price” being substituted for the term “Exercise Price.” All such determinations shall be appropriately adjusted for any share dividend, share split or other similar transaction during such period.</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i w:val="1"/>
          <w:iCs w:val="1"/>
          <w:color w:val="auto"/>
        </w:rPr>
        <w:t>[Signature Page Follows]</w:t>
      </w:r>
    </w:p>
    <w:p>
      <w:pPr>
        <w:sectPr>
          <w:pgSz w:w="11900" w:h="16838" w:orient="portrait"/>
          <w:cols w:equalWidth="0" w:num="1">
            <w:col w:w="10940"/>
          </w:cols>
          <w:pgMar w:left="700" w:top="274" w:right="259" w:bottom="1440" w:gutter="0" w:footer="0" w:header="0"/>
        </w:sectPr>
      </w:pPr>
    </w:p>
    <w:bookmarkStart w:id="119" w:name="page120"/>
    <w:bookmarkEnd w:id="119"/>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Arial" w:cs="Arial" w:eastAsia="Arial" w:hAnsi="Arial"/>
          <w:sz w:val="15"/>
          <w:szCs w:val="15"/>
          <w:color w:val="auto"/>
        </w:rPr>
        <w:t>the Company has caused this Warrant to Purchase Common Stock to be duly executed as of the Issuance Date set out above.</w:t>
      </w:r>
    </w:p>
    <w:p>
      <w:pPr>
        <w:spacing w:after="0" w:line="24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MANNKIND CORPORATION</w:t>
      </w:r>
    </w:p>
    <w:p>
      <w:pPr>
        <w:spacing w:after="0" w:line="23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10795</wp:posOffset>
            </wp:positionV>
            <wp:extent cx="2718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David Thomson, Corporate Vice President,</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0800"/>
          </w:cols>
          <w:pgMar w:left="480" w:top="274" w:right="6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EXERCISE NOTICE</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171"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The undersigned holder hereby exercises the right to purchase</w:t>
      </w:r>
      <w:r>
        <w:rPr>
          <w:sz w:val="20"/>
          <w:szCs w:val="20"/>
          <w:color w:val="auto"/>
        </w:rPr>
        <w:tab/>
      </w:r>
      <w:r>
        <w:rPr>
          <w:rFonts w:ascii="Arial" w:cs="Arial" w:eastAsia="Arial" w:hAnsi="Arial"/>
          <w:sz w:val="16"/>
          <w:szCs w:val="16"/>
          <w:color w:val="auto"/>
        </w:rPr>
        <w:t>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MannKind Corporation, a</w:t>
      </w:r>
    </w:p>
    <w:p>
      <w:pPr>
        <w:spacing w:after="0" w:line="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evidenced by the attached Warrant to Purchase Common Stock (the “</w:t>
      </w:r>
      <w:r>
        <w:rPr>
          <w:rFonts w:ascii="Arial" w:cs="Arial" w:eastAsia="Arial" w:hAnsi="Arial"/>
          <w:sz w:val="18"/>
          <w:szCs w:val="18"/>
          <w:b w:val="1"/>
          <w:bCs w:val="1"/>
          <w:color w:val="auto"/>
        </w:rPr>
        <w:t>Warrant</w:t>
      </w:r>
      <w:r>
        <w:rPr>
          <w:rFonts w:ascii="Arial" w:cs="Arial" w:eastAsia="Arial" w:hAnsi="Arial"/>
          <w:sz w:val="18"/>
          <w:szCs w:val="18"/>
          <w:color w:val="auto"/>
        </w:rPr>
        <w:t>”). Capitalized terms used herein and not otherwise defined shall have the respective meanings set forth in the Warrant.</w:t>
      </w:r>
    </w:p>
    <w:p>
      <w:pPr>
        <w:spacing w:after="0" w:line="138" w:lineRule="exact"/>
        <w:rPr>
          <w:sz w:val="20"/>
          <w:szCs w:val="20"/>
          <w:color w:val="auto"/>
        </w:rPr>
      </w:pPr>
    </w:p>
    <w:p>
      <w:pPr>
        <w:ind w:left="420" w:hanging="184"/>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Holder intends that payment of the Exercise Price shall be made as (check one):</w:t>
      </w:r>
    </w:p>
    <w:p>
      <w:pPr>
        <w:spacing w:after="0" w:line="90" w:lineRule="exact"/>
        <w:rPr>
          <w:rFonts w:ascii="Arial" w:cs="Arial" w:eastAsia="Arial" w:hAnsi="Arial"/>
          <w:sz w:val="18"/>
          <w:szCs w:val="18"/>
          <w:color w:val="auto"/>
        </w:rPr>
      </w:pPr>
    </w:p>
    <w:p>
      <w:pPr>
        <w:ind w:left="800" w:hanging="336"/>
        <w:spacing w:after="0"/>
        <w:tabs>
          <w:tab w:leader="none" w:pos="800" w:val="left"/>
        </w:tabs>
        <w:numPr>
          <w:ilvl w:val="1"/>
          <w:numId w:val="59"/>
        </w:numPr>
        <w:rPr>
          <w:rFonts w:ascii="MS PGothic" w:cs="MS PGothic" w:eastAsia="MS PGothic" w:hAnsi="MS PGothic"/>
          <w:sz w:val="18"/>
          <w:szCs w:val="18"/>
          <w:color w:val="auto"/>
        </w:rPr>
      </w:pPr>
      <w:r>
        <w:rPr>
          <w:rFonts w:ascii="Arial" w:cs="Arial" w:eastAsia="Arial" w:hAnsi="Arial"/>
          <w:sz w:val="18"/>
          <w:szCs w:val="18"/>
          <w:color w:val="auto"/>
        </w:rPr>
        <w:t>Cash Exercise under Section 1(a).</w:t>
      </w:r>
    </w:p>
    <w:p>
      <w:pPr>
        <w:spacing w:after="0" w:line="90" w:lineRule="exact"/>
        <w:rPr>
          <w:rFonts w:ascii="MS PGothic" w:cs="MS PGothic" w:eastAsia="MS PGothic" w:hAnsi="MS PGothic"/>
          <w:sz w:val="18"/>
          <w:szCs w:val="18"/>
          <w:color w:val="auto"/>
        </w:rPr>
      </w:pPr>
    </w:p>
    <w:p>
      <w:pPr>
        <w:ind w:left="800" w:hanging="336"/>
        <w:spacing w:after="0"/>
        <w:tabs>
          <w:tab w:leader="none" w:pos="800" w:val="left"/>
        </w:tabs>
        <w:numPr>
          <w:ilvl w:val="1"/>
          <w:numId w:val="59"/>
        </w:numPr>
        <w:rPr>
          <w:rFonts w:ascii="MS PGothic" w:cs="MS PGothic" w:eastAsia="MS PGothic" w:hAnsi="MS PGothic"/>
          <w:sz w:val="18"/>
          <w:szCs w:val="18"/>
          <w:color w:val="auto"/>
        </w:rPr>
      </w:pPr>
      <w:r>
        <w:rPr>
          <w:rFonts w:ascii="Arial" w:cs="Arial" w:eastAsia="Arial" w:hAnsi="Arial"/>
          <w:sz w:val="18"/>
          <w:szCs w:val="18"/>
          <w:color w:val="auto"/>
        </w:rPr>
        <w:t>Cashless Exercise under Section 1(c).</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jc w:val="center"/>
              <w:ind w:left="92"/>
              <w:spacing w:after="0"/>
              <w:rPr>
                <w:sz w:val="20"/>
                <w:szCs w:val="20"/>
                <w:color w:val="auto"/>
              </w:rPr>
            </w:pPr>
            <w:r>
              <w:rPr>
                <w:rFonts w:ascii="Arial" w:cs="Arial" w:eastAsia="Arial" w:hAnsi="Arial"/>
                <w:sz w:val="18"/>
                <w:szCs w:val="18"/>
                <w:color w:val="auto"/>
                <w:w w:val="79"/>
              </w:rPr>
              <w:t>2.</w:t>
            </w:r>
          </w:p>
        </w:tc>
        <w:tc>
          <w:tcPr>
            <w:tcW w:w="6680" w:type="dxa"/>
            <w:vAlign w:val="bottom"/>
            <w:gridSpan w:val="4"/>
          </w:tcPr>
          <w:p>
            <w:pPr>
              <w:spacing w:after="0"/>
              <w:rPr>
                <w:sz w:val="20"/>
                <w:szCs w:val="20"/>
                <w:color w:val="auto"/>
              </w:rPr>
            </w:pPr>
            <w:r>
              <w:rPr>
                <w:rFonts w:ascii="Arial" w:cs="Arial" w:eastAsia="Arial" w:hAnsi="Arial"/>
                <w:sz w:val="18"/>
                <w:szCs w:val="18"/>
                <w:color w:val="auto"/>
                <w:w w:val="91"/>
              </w:rPr>
              <w:t>Cash Exercise. If the Holder has elected a Cash Exercise, the Holder shall pay the sum of $</w:t>
            </w:r>
          </w:p>
        </w:tc>
        <w:tc>
          <w:tcPr>
            <w:tcW w:w="3920" w:type="dxa"/>
            <w:vAlign w:val="bottom"/>
          </w:tcPr>
          <w:p>
            <w:pPr>
              <w:ind w:left="280"/>
              <w:spacing w:after="0"/>
              <w:rPr>
                <w:sz w:val="20"/>
                <w:szCs w:val="20"/>
                <w:color w:val="auto"/>
              </w:rPr>
            </w:pPr>
            <w:r>
              <w:rPr>
                <w:rFonts w:ascii="Arial" w:cs="Arial" w:eastAsia="Arial" w:hAnsi="Arial"/>
                <w:sz w:val="18"/>
                <w:szCs w:val="18"/>
                <w:color w:val="auto"/>
                <w:w w:val="88"/>
              </w:rPr>
              <w:t>to the Company in accordance with the terms of the</w:t>
            </w:r>
          </w:p>
        </w:tc>
      </w:tr>
      <w:tr>
        <w:trPr>
          <w:trHeight w:val="20"/>
        </w:trPr>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35"/>
        </w:trPr>
        <w:tc>
          <w:tcPr>
            <w:tcW w:w="5560" w:type="dxa"/>
            <w:vAlign w:val="bottom"/>
            <w:gridSpan w:val="4"/>
          </w:tcPr>
          <w:p>
            <w:pPr>
              <w:jc w:val="center"/>
              <w:ind w:right="4940"/>
              <w:spacing w:after="0"/>
              <w:rPr>
                <w:sz w:val="20"/>
                <w:szCs w:val="20"/>
                <w:color w:val="auto"/>
              </w:rPr>
            </w:pPr>
            <w:r>
              <w:rPr>
                <w:rFonts w:ascii="Arial" w:cs="Arial" w:eastAsia="Arial" w:hAnsi="Arial"/>
                <w:sz w:val="18"/>
                <w:szCs w:val="18"/>
                <w:color w:val="auto"/>
                <w:w w:val="89"/>
              </w:rPr>
              <w:t>Warrant.</w:t>
            </w:r>
          </w:p>
        </w:tc>
        <w:tc>
          <w:tcPr>
            <w:tcW w:w="15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40"/>
        </w:trPr>
        <w:tc>
          <w:tcPr>
            <w:tcW w:w="420" w:type="dxa"/>
            <w:vAlign w:val="bottom"/>
          </w:tcPr>
          <w:p>
            <w:pPr>
              <w:jc w:val="center"/>
              <w:ind w:left="92"/>
              <w:spacing w:after="0"/>
              <w:rPr>
                <w:sz w:val="20"/>
                <w:szCs w:val="20"/>
                <w:color w:val="auto"/>
              </w:rPr>
            </w:pPr>
            <w:r>
              <w:rPr>
                <w:rFonts w:ascii="Arial" w:cs="Arial" w:eastAsia="Arial" w:hAnsi="Arial"/>
                <w:sz w:val="18"/>
                <w:szCs w:val="18"/>
                <w:color w:val="auto"/>
                <w:w w:val="79"/>
              </w:rPr>
              <w:t>3.</w:t>
            </w:r>
          </w:p>
        </w:tc>
        <w:tc>
          <w:tcPr>
            <w:tcW w:w="5140" w:type="dxa"/>
            <w:vAlign w:val="bottom"/>
            <w:gridSpan w:val="3"/>
          </w:tcPr>
          <w:p>
            <w:pPr>
              <w:spacing w:after="0"/>
              <w:rPr>
                <w:sz w:val="20"/>
                <w:szCs w:val="20"/>
                <w:color w:val="auto"/>
              </w:rPr>
            </w:pPr>
            <w:r>
              <w:rPr>
                <w:rFonts w:ascii="Arial" w:cs="Arial" w:eastAsia="Arial" w:hAnsi="Arial"/>
                <w:sz w:val="18"/>
                <w:szCs w:val="18"/>
                <w:color w:val="auto"/>
                <w:w w:val="94"/>
              </w:rPr>
              <w:t>Delivery of Warrant Shares. The Company shall deliver to the holder</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Warrant Shares in accordance with the terms of the Warrant.</w:t>
            </w:r>
          </w:p>
        </w:tc>
      </w:tr>
      <w:tr>
        <w:trPr>
          <w:trHeight w:val="20"/>
        </w:trPr>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181" w:lineRule="exact"/>
        <w:rPr>
          <w:sz w:val="20"/>
          <w:szCs w:val="20"/>
          <w:color w:val="auto"/>
        </w:rPr>
      </w:pPr>
    </w:p>
    <w:p>
      <w:pPr>
        <w:ind w:right="40" w:firstLine="236"/>
        <w:spacing w:after="0" w:line="259" w:lineRule="auto"/>
        <w:tabs>
          <w:tab w:leader="none" w:pos="40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By its delivery of this Exercise Notice, the undersigned represents and warrants to the Company that the representations set forth in Section 6 are true and correct on the date hereof, and acknowledges and agrees to the transfer limitations with respect to the Warrant Shares set forth in Section 6.</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DATED:</w:t>
      </w:r>
    </w:p>
    <w:p>
      <w:pPr>
        <w:spacing w:after="0" w:line="212" w:lineRule="exact"/>
        <w:rPr>
          <w:sz w:val="20"/>
          <w:szCs w:val="20"/>
          <w:color w:val="auto"/>
        </w:rPr>
      </w:pPr>
    </w:p>
    <w:p>
      <w:pPr>
        <w:ind w:left="6180"/>
        <w:spacing w:after="0"/>
        <w:rPr>
          <w:sz w:val="20"/>
          <w:szCs w:val="20"/>
          <w:color w:val="auto"/>
        </w:rPr>
      </w:pPr>
      <w:r>
        <w:rPr>
          <w:rFonts w:ascii="Arial" w:cs="Arial" w:eastAsia="Arial" w:hAnsi="Arial"/>
          <w:sz w:val="15"/>
          <w:szCs w:val="15"/>
          <w:color w:val="auto"/>
        </w:rPr>
        <w:t>(Signature must conform in all respects to name of the Holder as specified</w:t>
      </w:r>
    </w:p>
    <w:p>
      <w:pPr>
        <w:spacing w:after="0" w:line="5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144145</wp:posOffset>
            </wp:positionV>
            <wp:extent cx="33274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Registered Holder</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148590</wp:posOffset>
            </wp:positionV>
            <wp:extent cx="33274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-13970</wp:posOffset>
            </wp:positionV>
            <wp:extent cx="20624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6248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Company hereby acknowledges this Exercise Notice.</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MANNKIND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Sean M. Clayton</w:t>
      </w:r>
    </w:p>
    <w:p>
      <w:pPr>
        <w:spacing w:after="0" w:line="15" w:lineRule="exact"/>
        <w:rPr>
          <w:sz w:val="20"/>
          <w:szCs w:val="20"/>
          <w:color w:val="auto"/>
        </w:rPr>
      </w:pPr>
    </w:p>
    <w:p>
      <w:pPr>
        <w:ind w:right="9860" w:firstLine="8"/>
        <w:spacing w:after="0" w:line="323" w:lineRule="auto"/>
        <w:tabs>
          <w:tab w:leader="none" w:pos="191" w:val="left"/>
        </w:tabs>
        <w:numPr>
          <w:ilvl w:val="0"/>
          <w:numId w:val="61"/>
        </w:numPr>
        <w:rPr>
          <w:rFonts w:ascii="Arial" w:cs="Arial" w:eastAsia="Arial" w:hAnsi="Arial"/>
          <w:sz w:val="16"/>
          <w:szCs w:val="16"/>
          <w:color w:val="auto"/>
        </w:rPr>
      </w:pPr>
      <w:r>
        <w:rPr>
          <w:rFonts w:ascii="Arial" w:cs="Arial" w:eastAsia="Arial" w:hAnsi="Arial"/>
          <w:sz w:val="16"/>
          <w:szCs w:val="16"/>
          <w:color w:val="auto"/>
        </w:rPr>
        <w:t>+1 858 550 6034 sclayton@cooley.com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28903 North Avenue Paine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Valencia, CA 91355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You have requested our opinion with respect to certain matters in connection with the offering by MannKind Corporation, a Delaware corporation (the</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of the lesser of (i) $50,000,000 of shares or (ii) 25,000,000 shares of the Company’s common stock, par value $0.01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xml:space="preserve">”), pursuant to a Registration Statement on Form S-3 (No. 333-183679)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Registration Statement</w:t>
      </w:r>
      <w:r>
        <w:rPr>
          <w:rFonts w:ascii="Arial" w:cs="Arial" w:eastAsia="Arial" w:hAnsi="Arial"/>
          <w:sz w:val="16"/>
          <w:szCs w:val="16"/>
          <w:i w:val="1"/>
          <w:iCs w:val="1"/>
          <w:color w:val="auto"/>
        </w:rPr>
        <w:t>”</w:t>
      </w:r>
      <w:r>
        <w:rPr>
          <w:rFonts w:ascii="Arial" w:cs="Arial" w:eastAsia="Arial" w:hAnsi="Arial"/>
          <w:sz w:val="16"/>
          <w:szCs w:val="16"/>
          <w:color w:val="auto"/>
        </w:rPr>
        <w:t xml:space="preserve">), filed with the Securities and Exchange Commission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i w:val="1"/>
          <w:iCs w:val="1"/>
          <w:color w:val="auto"/>
        </w:rPr>
        <w: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i w:val="1"/>
          <w:iCs w:val="1"/>
          <w:color w:val="auto"/>
        </w:rPr>
        <w:t>”</w:t>
      </w:r>
      <w:r>
        <w:rPr>
          <w:rFonts w:ascii="Arial" w:cs="Arial" w:eastAsia="Arial" w:hAnsi="Arial"/>
          <w:sz w:val="16"/>
          <w:szCs w:val="16"/>
          <w:color w:val="auto"/>
        </w:rPr>
        <w:t>), the prospectus included within the Registration Statement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and the prospectus supplement dated March 18, 2013, filed with the Commission pursuant to Rule 424(b) of the Rules and Regulations of the Act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The Base Prospectus and the Prospectus Supplement are collectively referred to as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The Shares are to be sold by the Company in accordance with (i) an At-The-Market Issuance Sales Agreement, dated March 18, 2013, between the Company and MLV &amp; Co. LLC (the “</w:t>
      </w:r>
      <w:r>
        <w:rPr>
          <w:rFonts w:ascii="Arial" w:cs="Arial" w:eastAsia="Arial" w:hAnsi="Arial"/>
          <w:sz w:val="16"/>
          <w:szCs w:val="16"/>
          <w:b w:val="1"/>
          <w:bCs w:val="1"/>
          <w:i w:val="1"/>
          <w:iCs w:val="1"/>
          <w:color w:val="auto"/>
        </w:rPr>
        <w:t>MLV Agreement</w:t>
      </w:r>
      <w:r>
        <w:rPr>
          <w:rFonts w:ascii="Arial" w:cs="Arial" w:eastAsia="Arial" w:hAnsi="Arial"/>
          <w:sz w:val="16"/>
          <w:szCs w:val="16"/>
          <w:color w:val="auto"/>
        </w:rPr>
        <w:t>”) and (ii) an At-The-Market Issuance Sales Agreement, dated March 18, 2013, between the Company and Brinson Patrick Securities Corporation (the “</w:t>
      </w:r>
      <w:r>
        <w:rPr>
          <w:rFonts w:ascii="Arial" w:cs="Arial" w:eastAsia="Arial" w:hAnsi="Arial"/>
          <w:sz w:val="16"/>
          <w:szCs w:val="16"/>
          <w:b w:val="1"/>
          <w:bCs w:val="1"/>
          <w:i w:val="1"/>
          <w:iCs w:val="1"/>
          <w:color w:val="auto"/>
        </w:rPr>
        <w:t>Brinson Patrick</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as described in the Prospectus.</w:t>
      </w:r>
    </w:p>
    <w:p>
      <w:pPr>
        <w:spacing w:after="0" w:line="12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connection with this opinion, we have examined and relied upon the Registration Statement and the Prospectus, the MLV Agreement, the Brinson Patrick Agreement, the Company’s Amended and Restated Certificate of Incorporation, as amended, its Amended and Restated Bylaws, and the originals or copies certified to our satisfaction of such records, documents, certificates, memoranda and other instruments as in our judgment are necessary or appropriate to enable us to render the opinion expressed below. In rendering this opinion, we have assumed the genuineness and authenticity of all signatures on original documents; the genuineness and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prerequisites to the effectiveness of such documents.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opinion herein is expressed solely with respect to the federal laws of the United States of America and the General Corporation Law of the State of Delaware. Our opinion is based on these laws as in effect on the date hereof. We express no opinion as to whether the laws of any particular jurisdiction other than those identified above are applicable to the subject matter 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4401 EASTGATE MALL, SAN DIEGO, CA 92121 T: (858) 550-6000 F: (858) 550-6420 WWW.COOLEY.COM</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MannKind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in accordance with the MLV Agreement or the Brinson Patrick Agreement, as applicable, the Registration Statement and the Prospectus, will be validly issued, fully paid and nonassessable.</w:t>
      </w:r>
    </w:p>
    <w:p>
      <w:pPr>
        <w:spacing w:after="0" w:line="14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We consent to the reference to our firm under the caption “Legal Matters” in the Prospectus and to the filing of this opinion as an exhibit to the Company’s Annual Report on Form 10-K for the year ended December 31, 2012 to be filed with the Commission for incorporation by reference into the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Cooley </w:t>
      </w:r>
      <w:r>
        <w:rPr>
          <w:rFonts w:ascii="Arial" w:cs="Arial" w:eastAsia="Arial" w:hAnsi="Arial"/>
          <w:sz w:val="14"/>
          <w:szCs w:val="14"/>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Sean M. Clayton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Sean M. Clayton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4401 EASTGATE MALL, SAN DIEGO, CA 92121 T: (858) 550-6000 F: (858) 550-6420 WWW.COOLEY.COM</w:t>
      </w:r>
    </w:p>
    <w:p>
      <w:pPr>
        <w:sectPr>
          <w:pgSz w:w="11900" w:h="16838" w:orient="portrait"/>
          <w:cols w:equalWidth="0" w:num="1">
            <w:col w:w="11400"/>
          </w:cols>
          <w:pgMar w:left="240" w:top="334" w:right="25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10.38</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MANNKIND CORPORATION</w:t>
      </w:r>
    </w:p>
    <w:p>
      <w:pPr>
        <w:spacing w:after="0" w:line="1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Common Stock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 value $0.01 per share)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At-The-Market Issuance Sales Agreement</w:t>
      </w:r>
    </w:p>
    <w:p>
      <w:pPr>
        <w:spacing w:after="0" w:line="177"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18,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MLV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MannKind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confirms its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with MLV &amp; Co. LLC (“</w:t>
      </w:r>
      <w:r>
        <w:rPr>
          <w:rFonts w:ascii="Arial" w:cs="Arial" w:eastAsia="Arial" w:hAnsi="Arial"/>
          <w:sz w:val="16"/>
          <w:szCs w:val="16"/>
          <w:u w:val="single" w:color="auto"/>
          <w:color w:val="auto"/>
        </w:rPr>
        <w:t>MLV</w:t>
      </w:r>
      <w:r>
        <w:rPr>
          <w:rFonts w:ascii="Arial" w:cs="Arial" w:eastAsia="Arial" w:hAnsi="Arial"/>
          <w:sz w:val="16"/>
          <w:szCs w:val="16"/>
          <w:color w:val="auto"/>
        </w:rPr>
        <w:t>”), as follows:</w:t>
      </w:r>
    </w:p>
    <w:p>
      <w:pPr>
        <w:spacing w:after="0" w:line="194" w:lineRule="exact"/>
        <w:rPr>
          <w:sz w:val="20"/>
          <w:szCs w:val="20"/>
          <w:color w:val="auto"/>
        </w:rPr>
      </w:pPr>
    </w:p>
    <w:p>
      <w:pPr>
        <w:ind w:right="20" w:firstLine="464"/>
        <w:spacing w:after="0" w:line="286"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Issuance and Sale of Shares</w:t>
      </w:r>
      <w:r>
        <w:rPr>
          <w:rFonts w:ascii="Arial" w:cs="Arial" w:eastAsia="Arial" w:hAnsi="Arial"/>
          <w:sz w:val="16"/>
          <w:szCs w:val="16"/>
          <w:color w:val="auto"/>
        </w:rPr>
        <w:t>. The Company agrees that, from time to time during the term of this Agreement, on the terms and subject to the conditions set forth herein, it may issue and sell through MLV, shares (the “</w:t>
      </w:r>
      <w:r>
        <w:rPr>
          <w:rFonts w:ascii="Arial" w:cs="Arial" w:eastAsia="Arial" w:hAnsi="Arial"/>
          <w:sz w:val="16"/>
          <w:szCs w:val="16"/>
          <w:u w:val="single" w:color="auto"/>
          <w:color w:val="auto"/>
        </w:rPr>
        <w:t>Placement Shares</w:t>
      </w:r>
      <w:r>
        <w:rPr>
          <w:rFonts w:ascii="Arial" w:cs="Arial" w:eastAsia="Arial" w:hAnsi="Arial"/>
          <w:sz w:val="16"/>
          <w:szCs w:val="16"/>
          <w:color w:val="auto"/>
        </w:rPr>
        <w:t>”) of the Company’s common stock, par value $0.01 per share (the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xml:space="preserve">”), up to an aggregate offering price of $50,000,000 less the aggregate offering price of any Common Stock sold pursuant to the Concurrent Facility Agreement (as defined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that in no event shall the Company issue or sell through MLV such number of Placement Shares that (a) would cause the Company to not satisfy the eligibility requirements for use of Form S-3 (including Instruction I.B.6. thereof), (b) exceeds the number of shares of Common Stock registered on the effective Registration Statement (as defined below) pursuant to which the offering is being made or (c) exceeds the number of authorized but unissued shares of the Company’s Common Stock (the lesser of (a), (b) and (c), the “</w:t>
      </w:r>
      <w:r>
        <w:rPr>
          <w:rFonts w:ascii="Arial" w:cs="Arial" w:eastAsia="Arial" w:hAnsi="Arial"/>
          <w:sz w:val="16"/>
          <w:szCs w:val="16"/>
          <w:u w:val="single" w:color="auto"/>
          <w:color w:val="auto"/>
        </w:rPr>
        <w:t>Maximum Amount</w:t>
      </w:r>
      <w:r>
        <w:rPr>
          <w:rFonts w:ascii="Arial" w:cs="Arial" w:eastAsia="Arial" w:hAnsi="Arial"/>
          <w:sz w:val="16"/>
          <w:szCs w:val="16"/>
          <w:color w:val="auto"/>
        </w:rPr>
        <w:t>”). Notwithstanding anything to the contrary contained herein, the parties hereto agree that compliance with the limitations set forth in this Section 1 on the amount of Placement Shares issued and sold under this Agreement shall be the sole responsibility of the Company and that MLV shall have no obligation in connection with such compliance. The issuance and sale of Placement Shares through MLV will be effected pursuant to the Registration Statement filed by the Company and declared effective by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although nothing in this Agreement shall be construed as requiring the Company to use the Registration Statement to issue any Placement Shares.</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 has filed, in accordance with the provisions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rules and regulations thereunder (the “</w:t>
      </w:r>
      <w:r>
        <w:rPr>
          <w:rFonts w:ascii="Arial" w:cs="Arial" w:eastAsia="Arial" w:hAnsi="Arial"/>
          <w:sz w:val="16"/>
          <w:szCs w:val="16"/>
          <w:u w:val="single" w:color="auto"/>
          <w:color w:val="auto"/>
        </w:rPr>
        <w:t>Securities Act Regulations</w:t>
      </w:r>
      <w:r>
        <w:rPr>
          <w:rFonts w:ascii="Arial" w:cs="Arial" w:eastAsia="Arial" w:hAnsi="Arial"/>
          <w:sz w:val="16"/>
          <w:szCs w:val="16"/>
          <w:color w:val="auto"/>
        </w:rPr>
        <w:t>”), with the Commission a registration statement on Form S-3 (File No. 333-183679), including a base prospectus, relating to certain securities, including the Placement Shares to be issued from time to time by the Company, and which incorporates by reference</w:t>
      </w:r>
    </w:p>
    <w:p>
      <w:pPr>
        <w:sectPr>
          <w:pgSz w:w="11900" w:h="16838" w:orient="portrait"/>
          <w:cols w:equalWidth="0" w:num="1">
            <w:col w:w="11420"/>
          </w:cols>
          <w:pgMar w:left="240" w:top="125" w:right="239" w:bottom="1440" w:gutter="0" w:footer="0" w:header="0"/>
        </w:sectPr>
      </w:pPr>
    </w:p>
    <w:bookmarkStart w:id="124" w:name="page125"/>
    <w:bookmarkEnd w:id="124"/>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 that the Company has filed or will file in accordance with the provisions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thereunder. The Company has prepared a prospectus supplement specifically relating to the Placement Shares (the “</w:t>
      </w:r>
      <w:r>
        <w:rPr>
          <w:rFonts w:ascii="Arial" w:cs="Arial" w:eastAsia="Arial" w:hAnsi="Arial"/>
          <w:sz w:val="16"/>
          <w:szCs w:val="16"/>
          <w:u w:val="single" w:color="auto"/>
          <w:color w:val="auto"/>
        </w:rPr>
        <w:t>Prospectus</w:t>
      </w:r>
      <w:r>
        <w:rPr>
          <w:rFonts w:ascii="Arial" w:cs="Arial" w:eastAsia="Arial" w:hAnsi="Arial"/>
          <w:sz w:val="16"/>
          <w:szCs w:val="16"/>
          <w:color w:val="auto"/>
        </w:rPr>
        <w:t xml:space="preserve"> </w:t>
      </w:r>
      <w:r>
        <w:rPr>
          <w:rFonts w:ascii="Arial" w:cs="Arial" w:eastAsia="Arial" w:hAnsi="Arial"/>
          <w:sz w:val="16"/>
          <w:szCs w:val="16"/>
          <w:u w:val="single" w:color="auto"/>
          <w:color w:val="auto"/>
        </w:rPr>
        <w:t>Supplement</w:t>
      </w:r>
      <w:r>
        <w:rPr>
          <w:rFonts w:ascii="Arial" w:cs="Arial" w:eastAsia="Arial" w:hAnsi="Arial"/>
          <w:sz w:val="16"/>
          <w:szCs w:val="16"/>
          <w:color w:val="auto"/>
        </w:rPr>
        <w:t>”) to the base prospectus included as part of such registration statement. The Company will furnish to MLV, for use by MLV, copies of the prospectus included as part of such registration statement, as supplemented by the Prospectus Supplement, relating to the Placement Shares.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Regulations,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(the “</w:t>
      </w:r>
      <w:r>
        <w:rPr>
          <w:rFonts w:ascii="Arial" w:cs="Arial" w:eastAsia="Arial" w:hAnsi="Arial"/>
          <w:sz w:val="16"/>
          <w:szCs w:val="16"/>
          <w:u w:val="single" w:color="auto"/>
          <w:color w:val="auto"/>
        </w:rPr>
        <w:t>Incorporated Documents</w:t>
      </w:r>
      <w:r>
        <w:rPr>
          <w:rFonts w:ascii="Arial" w:cs="Arial" w:eastAsia="Arial" w:hAnsi="Arial"/>
          <w:sz w:val="16"/>
          <w:szCs w:val="16"/>
          <w:color w:val="auto"/>
        </w:rPr>
        <w:t>”).</w:t>
      </w:r>
    </w:p>
    <w:p>
      <w:pPr>
        <w:spacing w:after="0" w:line="12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8"/>
          <w:szCs w:val="18"/>
          <w:u w:val="single" w:color="auto"/>
          <w:color w:val="auto"/>
        </w:rPr>
        <w:t>EDGAR</w:t>
      </w:r>
      <w:r>
        <w:rPr>
          <w:rFonts w:ascii="Arial" w:cs="Arial" w:eastAsia="Arial" w:hAnsi="Arial"/>
          <w:sz w:val="18"/>
          <w:szCs w:val="18"/>
          <w:color w:val="auto"/>
        </w:rPr>
        <w:t>”).</w:t>
      </w:r>
    </w:p>
    <w:p>
      <w:pPr>
        <w:spacing w:after="0" w:line="140" w:lineRule="exact"/>
        <w:rPr>
          <w:sz w:val="20"/>
          <w:szCs w:val="20"/>
          <w:color w:val="auto"/>
        </w:rPr>
      </w:pPr>
    </w:p>
    <w:p>
      <w:pPr>
        <w:ind w:firstLine="464"/>
        <w:spacing w:after="0" w:line="286" w:lineRule="auto"/>
        <w:tabs>
          <w:tab w:leader="none" w:pos="63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Placement Shares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MLV by email notice (or other method mutually agreed to in writing by the parties) of the proposed terms of such Placement, which shall include at a minimum the number of Placement Shares to be issued, the time period during which sales are requested to be made, any limitation on the number of Placement Shares that may be sold in any one day and any minimum price below which sales may not be made (a “</w:t>
      </w:r>
      <w:r>
        <w:rPr>
          <w:rFonts w:ascii="Arial" w:cs="Arial" w:eastAsia="Arial" w:hAnsi="Arial"/>
          <w:sz w:val="16"/>
          <w:szCs w:val="16"/>
          <w:u w:val="single" w:color="auto"/>
          <w:color w:val="auto"/>
        </w:rPr>
        <w:t>Placement Notice</w:t>
      </w:r>
      <w:r>
        <w:rPr>
          <w:rFonts w:ascii="Arial" w:cs="Arial" w:eastAsia="Arial" w:hAnsi="Arial"/>
          <w:sz w:val="16"/>
          <w:szCs w:val="16"/>
          <w:color w:val="auto"/>
        </w:rPr>
        <w:t>”), the form of which is attached hereto as Schedule 1. The Placement Notice shall originate from any of the individuals from the Company set forth on Schedule 3 (with a copy to each of the other individuals from the Company listed on such schedule), and shall be addressed to each of the individuals from MLV set forth on Schedule 3, as such Schedule 3 may be amended from time to time. The Placement Notice shall be effective unless and until (i) MLV declines to accept the terms contained therein for any reason, in its sole discretion by email notice to the Company within one Business Day (as defined below) from the time the Placement Notice is received, (ii) the entire amount of the Placement Shares thereunder have been sold, (iii) the Company suspends or terminates the Placement Notice or (iv) this Agreement has been terminated under the provisions of Section 13. The amount of any discount, commission or other compensation to be paid by the Company to MLV in connection with the sale of the Placement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5" w:name="page126"/>
    <w:bookmarkEnd w:id="125"/>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shall be calculated in accordance with the terms set forth in Schedule 2. It is expressly acknowledged and agreed that neither the Company nor MLV will have any obligation whatsoever with respect to a Placement or any Placement Shares unless and until the Company delivers a Placement Notice to MLV and MLV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13" w:lineRule="exact"/>
        <w:rPr>
          <w:sz w:val="20"/>
          <w:szCs w:val="20"/>
          <w:color w:val="auto"/>
        </w:rPr>
      </w:pPr>
    </w:p>
    <w:p>
      <w:pPr>
        <w:ind w:left="640" w:hanging="17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Sale of Placement Shares by MLV</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86" w:lineRule="auto"/>
        <w:tabs>
          <w:tab w:leader="none" w:pos="1152" w:val="left"/>
        </w:tabs>
        <w:numPr>
          <w:ilvl w:val="1"/>
          <w:numId w:val="64"/>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for the period specified in the Placement Notice, MLV will use its commercially reasonable efforts consistent with its normal trading and sales practices and applicable state and federal laws, rules and regulations and the rules of the NASDAQ Global Market (the “</w:t>
      </w:r>
      <w:r>
        <w:rPr>
          <w:rFonts w:ascii="Arial" w:cs="Arial" w:eastAsia="Arial" w:hAnsi="Arial"/>
          <w:sz w:val="16"/>
          <w:szCs w:val="16"/>
          <w:u w:val="single" w:color="auto"/>
          <w:color w:val="auto"/>
        </w:rPr>
        <w:t>Exchange</w:t>
      </w:r>
      <w:r>
        <w:rPr>
          <w:rFonts w:ascii="Arial" w:cs="Arial" w:eastAsia="Arial" w:hAnsi="Arial"/>
          <w:sz w:val="16"/>
          <w:szCs w:val="16"/>
          <w:color w:val="auto"/>
        </w:rPr>
        <w:t>”), to sell the Placement Shares up to the amount specified, and otherwise in accordance with the terms of such Placement Notice. MLV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MLV pursuant to Section 2 with respect to such sales, and the Net Proceeds (as defined below) payable to the Company, with an itemization of the deductions made by MLV (as set forth in Section 5(b)) from the gross proceeds that it receives from such sales. Subject to the terms of the Placement Notice, MLV shall sell Placement Shares only by methods deemed to be an “at the market” offering as defined in Rule 415 of the Securities Act Regulations, including without limitation sales made directly on the Exchange, on any other existing trading market for the Common Stock or to or through a market maker. Subject to the terms of the Placement Notice and only with the Company’s prior written consent, MLV may also sell Placement Shares by any other method permitted by law, including but not limited to in negotiated transactions. “</w:t>
      </w:r>
      <w:r>
        <w:rPr>
          <w:rFonts w:ascii="Arial" w:cs="Arial" w:eastAsia="Arial" w:hAnsi="Arial"/>
          <w:sz w:val="16"/>
          <w:szCs w:val="16"/>
          <w:u w:val="single" w:color="auto"/>
          <w:color w:val="auto"/>
        </w:rPr>
        <w:t>Trading Day</w:t>
      </w:r>
      <w:r>
        <w:rPr>
          <w:rFonts w:ascii="Arial" w:cs="Arial" w:eastAsia="Arial" w:hAnsi="Arial"/>
          <w:sz w:val="16"/>
          <w:szCs w:val="16"/>
          <w:color w:val="auto"/>
        </w:rPr>
        <w:t>” means any day on which shares of Common Stock are purchased and sold on the Exchange.</w:t>
      </w:r>
    </w:p>
    <w:p>
      <w:pPr>
        <w:spacing w:after="0" w:line="124" w:lineRule="exact"/>
        <w:rPr>
          <w:rFonts w:ascii="Arial" w:cs="Arial" w:eastAsia="Arial" w:hAnsi="Arial"/>
          <w:sz w:val="16"/>
          <w:szCs w:val="16"/>
          <w:color w:val="auto"/>
        </w:rPr>
      </w:pPr>
    </w:p>
    <w:p>
      <w:pPr>
        <w:ind w:right="160" w:firstLine="921"/>
        <w:spacing w:after="0" w:line="294" w:lineRule="auto"/>
        <w:tabs>
          <w:tab w:leader="none" w:pos="1162" w:val="left"/>
        </w:tabs>
        <w:numPr>
          <w:ilvl w:val="1"/>
          <w:numId w:val="64"/>
        </w:numPr>
        <w:rPr>
          <w:rFonts w:ascii="Arial" w:cs="Arial" w:eastAsia="Arial" w:hAnsi="Arial"/>
          <w:sz w:val="16"/>
          <w:szCs w:val="16"/>
          <w:color w:val="auto"/>
        </w:rPr>
      </w:pPr>
      <w:r>
        <w:rPr>
          <w:rFonts w:ascii="Arial" w:cs="Arial" w:eastAsia="Arial" w:hAnsi="Arial"/>
          <w:sz w:val="16"/>
          <w:szCs w:val="16"/>
          <w:color w:val="auto"/>
        </w:rPr>
        <w:t>During the term of this Agreement, neither MLV nor any of its affiliates or subsidiaries shall engage in (i) any short sale of any security of the Company, (ii) any sale of any security of the Company that MLV does not own or any sale which is consummated by the delivery of a security of the Company borrowed by, or for the account of, MLV or (iii) any market making bidding, stabilization or other trading activity with respect to the Common Stock or related derivative securities if such activity would be prohibited under Regulation M or other anti-manipulation rules under the Securities Act. Neither MLV nor any of its affiliates or subsidiaries shall engage in any proprietary trading or trading for MLV’s (or its affiliates’ or subsidiaries’) own account.</w:t>
      </w:r>
    </w:p>
    <w:p>
      <w:pPr>
        <w:spacing w:after="0" w:line="115" w:lineRule="exact"/>
        <w:rPr>
          <w:rFonts w:ascii="Arial" w:cs="Arial" w:eastAsia="Arial" w:hAnsi="Arial"/>
          <w:sz w:val="16"/>
          <w:szCs w:val="16"/>
          <w:color w:val="auto"/>
        </w:rPr>
      </w:pPr>
    </w:p>
    <w:p>
      <w:pPr>
        <w:ind w:right="40" w:firstLine="464"/>
        <w:spacing w:after="0" w:line="256" w:lineRule="auto"/>
        <w:tabs>
          <w:tab w:leader="none" w:pos="63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Suspension of Sales</w:t>
      </w:r>
      <w:r>
        <w:rPr>
          <w:rFonts w:ascii="Arial" w:cs="Arial" w:eastAsia="Arial" w:hAnsi="Arial"/>
          <w:sz w:val="18"/>
          <w:szCs w:val="18"/>
          <w:color w:val="auto"/>
        </w:rPr>
        <w:t>. The Company or MLV may, upon notice to the other party in writing (including by email correspondence to each of the individuals of the other party set forth on Schedule 3,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Schedule 3), suspend any sale of Placement Shares;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26" w:name="page127"/>
    <w:bookmarkEnd w:id="12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however, that such suspension shall not affect or impair any party’s obligations with respect to any Placement Shares sold hereunder prior to the receipt of such notice. Each of the parties agrees that no such notice under this Section 4 shall be effective against any other party unless it is made to one of the individuals named on Schedule 3 hereto, as such Schedule may be amended from time to time.</w:t>
      </w:r>
    </w:p>
    <w:p>
      <w:pPr>
        <w:spacing w:after="0" w:line="140"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Sale and Delivery to MLV; Settlement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88" w:lineRule="auto"/>
        <w:tabs>
          <w:tab w:leader="none" w:pos="1152"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Sale of Placement Shares.</w:t>
      </w:r>
      <w:r>
        <w:rPr>
          <w:rFonts w:ascii="Arial" w:cs="Arial" w:eastAsia="Arial" w:hAnsi="Arial"/>
          <w:sz w:val="16"/>
          <w:szCs w:val="16"/>
          <w:color w:val="auto"/>
        </w:rPr>
        <w:t xml:space="preserve"> On the basis of the representations and warranties herein contained and subject to the terms and conditions herein set forth, unless MLV declines to accept the terms of a Placement Notice, and unless the sale of the Placement Shares described therein has been declined, suspended, or otherwise terminated in accordance with the terms of this Agreement, MLV, for the period specified in the Placement Notice, will use its commercially reasonable efforts consistent with its normal trading and sales practices to sell such Placement Shares up to the amount specified in, and otherwise in accordance with, the terms of such Placement Notice. The Company acknowledges and agrees that (i) there can be no assurance that MLV will be successful in selling Placement Shares, (ii) MLV will incur no liability or obligation to the Company or any other person or entity if it does not sell Placement Shares for any reason other than a failure by MLV to use its commercially reasonable efforts consistent with its normal trading and sales practices and applicable law and regulations to sell such Placement Shares as required under this Agreement and (iii) MLV shall be under no obligation to purchase Placement Shares on a principal basis pursuant to this Agreement, except as otherwise agreed by MLV and the Company.</w:t>
      </w:r>
    </w:p>
    <w:p>
      <w:pPr>
        <w:spacing w:after="0" w:line="119" w:lineRule="exact"/>
        <w:rPr>
          <w:rFonts w:ascii="Arial" w:cs="Arial" w:eastAsia="Arial" w:hAnsi="Arial"/>
          <w:sz w:val="16"/>
          <w:szCs w:val="16"/>
          <w:color w:val="auto"/>
        </w:rPr>
      </w:pPr>
    </w:p>
    <w:p>
      <w:pPr>
        <w:ind w:right="100" w:firstLine="921"/>
        <w:spacing w:after="0" w:line="254" w:lineRule="auto"/>
        <w:tabs>
          <w:tab w:leader="none" w:pos="1161"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Settlement of Placement Shares.</w:t>
      </w:r>
      <w:r>
        <w:rPr>
          <w:rFonts w:ascii="Arial" w:cs="Arial" w:eastAsia="Arial" w:hAnsi="Arial"/>
          <w:sz w:val="18"/>
          <w:szCs w:val="18"/>
          <w:color w:val="auto"/>
        </w:rPr>
        <w:t xml:space="preserve"> Unless otherwise specified in the applicable Placement Notice, settlement for sales of Placement Shares will occur on the third (3rd) Trading Day (or such earlier day as is industry practice for regular-way trading) following the date on which such sales are made (each, a “</w:t>
      </w:r>
      <w:r>
        <w:rPr>
          <w:rFonts w:ascii="Arial" w:cs="Arial" w:eastAsia="Arial" w:hAnsi="Arial"/>
          <w:sz w:val="18"/>
          <w:szCs w:val="18"/>
          <w:u w:val="single" w:color="auto"/>
          <w:color w:val="auto"/>
        </w:rPr>
        <w:t>Settlement Date</w:t>
      </w:r>
      <w:r>
        <w:rPr>
          <w:rFonts w:ascii="Arial" w:cs="Arial" w:eastAsia="Arial" w:hAnsi="Arial"/>
          <w:sz w:val="18"/>
          <w:szCs w:val="18"/>
          <w:color w:val="auto"/>
        </w:rPr>
        <w:t>”). The amount of proceeds to be delivered to the Company on a Settlement Date against receipt of the Placement Shares sold (the “</w:t>
      </w:r>
      <w:r>
        <w:rPr>
          <w:rFonts w:ascii="Arial" w:cs="Arial" w:eastAsia="Arial" w:hAnsi="Arial"/>
          <w:sz w:val="18"/>
          <w:szCs w:val="18"/>
          <w:u w:val="single" w:color="auto"/>
          <w:color w:val="auto"/>
        </w:rPr>
        <w:t>Net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Proceeds</w:t>
      </w:r>
      <w:r>
        <w:rPr>
          <w:rFonts w:ascii="Arial" w:cs="Arial" w:eastAsia="Arial" w:hAnsi="Arial"/>
          <w:sz w:val="18"/>
          <w:szCs w:val="18"/>
          <w:color w:val="auto"/>
        </w:rPr>
        <w:t>”) will be equal to the aggregate sales price received by MLV, after deduction for (i) MLV’s commission, discount or other compensation for such sales payable by the Company pursuant to Section 2 hereof, and (ii) any transaction fees imposed by any governmental or self-regulatory organization in respect of such sales.</w:t>
      </w:r>
    </w:p>
    <w:p>
      <w:pPr>
        <w:spacing w:after="0" w:line="144" w:lineRule="exact"/>
        <w:rPr>
          <w:rFonts w:ascii="Arial" w:cs="Arial" w:eastAsia="Arial" w:hAnsi="Arial"/>
          <w:sz w:val="18"/>
          <w:szCs w:val="18"/>
          <w:color w:val="auto"/>
        </w:rPr>
      </w:pPr>
    </w:p>
    <w:p>
      <w:pPr>
        <w:ind w:right="40" w:firstLine="921"/>
        <w:spacing w:after="0" w:line="289" w:lineRule="auto"/>
        <w:tabs>
          <w:tab w:leader="none" w:pos="1152"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Delivery of Placement Shares</w:t>
      </w:r>
      <w:r>
        <w:rPr>
          <w:rFonts w:ascii="Arial" w:cs="Arial" w:eastAsia="Arial" w:hAnsi="Arial"/>
          <w:sz w:val="16"/>
          <w:szCs w:val="16"/>
          <w:color w:val="auto"/>
        </w:rPr>
        <w:t>. On or before each Settlement Date, the Company will, or will cause its transfer agent to, electronically transfer the Placement Shares being sold by crediting MLV’s or its designee’s account (provided MLV shall have given the Company written notice of such designee a reasonable period of time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MLV will deliver the related Net Proceeds in same day funds to an account designated by the Company on, or prior to, the Settlement Date. If the Company, or its transfer agent (if applicable), defaults in its obligation to deliver Placement Shares on a Settlement Date through no fault of MLV, the Company agrees that in addition to and in no way limiting the rights and obligations set forth in Section 11(a) hereto, it will (i) hold MLV harmless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27" w:name="page128"/>
    <w:bookmarkEnd w:id="127"/>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against any loss, claim, damage, or expense (including reasonable legal fees and expenses), as incurred, arising out of or in connection with such default by the Company or its transfer agent (if applicable) and (ii) pay to MLV (without duplication) any commission, discount, or other compensation to which it would otherwise have been entitled absent such default.</w:t>
      </w:r>
    </w:p>
    <w:p>
      <w:pPr>
        <w:spacing w:after="0" w:line="140" w:lineRule="exact"/>
        <w:rPr>
          <w:sz w:val="20"/>
          <w:szCs w:val="20"/>
          <w:color w:val="auto"/>
        </w:rPr>
      </w:pPr>
    </w:p>
    <w:p>
      <w:pPr>
        <w:ind w:right="20" w:firstLine="921"/>
        <w:spacing w:after="0" w:line="290" w:lineRule="auto"/>
        <w:tabs>
          <w:tab w:leader="none" w:pos="1161"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Limitations on Offering Size</w:t>
      </w:r>
      <w:r>
        <w:rPr>
          <w:rFonts w:ascii="Arial" w:cs="Arial" w:eastAsia="Arial" w:hAnsi="Arial"/>
          <w:sz w:val="16"/>
          <w:szCs w:val="16"/>
          <w:color w:val="auto"/>
        </w:rPr>
        <w:t>.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MLV in writing. Under no circumstances shall the Company cause or request the offer or sale of any Placement Shares pursuant to this Agreement at a price lower than any minimum price authorized from time to time by the Company’s board of directors, a duly authorized committee thereof or a duly authorized executive committee, and notified to MLV in writing.</w:t>
      </w:r>
    </w:p>
    <w:p>
      <w:pPr>
        <w:spacing w:after="0" w:line="118" w:lineRule="exact"/>
        <w:rPr>
          <w:rFonts w:ascii="Arial" w:cs="Arial" w:eastAsia="Arial" w:hAnsi="Arial"/>
          <w:sz w:val="16"/>
          <w:szCs w:val="16"/>
          <w:color w:val="auto"/>
        </w:rPr>
      </w:pPr>
    </w:p>
    <w:p>
      <w:pPr>
        <w:ind w:right="320" w:firstLine="464"/>
        <w:spacing w:after="0" w:line="259" w:lineRule="auto"/>
        <w:tabs>
          <w:tab w:leader="none" w:pos="63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disclosed in the Registration Statement or the Prospectus (including Incorporated Documents), the Company represents and warrants to, and agrees with MLV that as of the date of this Agreement and as of each Applicable Time (as defined below), unless such representation, warranty or agreement specifies a different time:</w:t>
      </w:r>
    </w:p>
    <w:p>
      <w:pPr>
        <w:spacing w:after="0" w:line="140" w:lineRule="exact"/>
        <w:rPr>
          <w:rFonts w:ascii="Arial" w:cs="Arial" w:eastAsia="Arial" w:hAnsi="Arial"/>
          <w:sz w:val="18"/>
          <w:szCs w:val="18"/>
          <w:color w:val="auto"/>
        </w:rPr>
      </w:pPr>
    </w:p>
    <w:p>
      <w:pPr>
        <w:ind w:firstLine="921"/>
        <w:spacing w:after="0" w:line="285" w:lineRule="auto"/>
        <w:tabs>
          <w:tab w:leader="none" w:pos="1152"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The Company and, assuming no act or omission on the part of MLV that would make such statement untrue, the transactions contemplated by this Agreement meet the requirements for and comply with the conditions for the use of Form S-3 under the Securities Act. The Registration Statement has been filed with the Commission and has been declared effective under the Securities Act. The Prospectus Supplement will name MLV as an agent in the section entitled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MLV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MLV has consented, such consent not to be unreasonably withheld, conditioned or delayed. The Common Stock is currently quoted on the Exchange under the trading symbol “MNKD”. The Company has not, in the 12 months preceding the date hereof, received notice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28" w:name="page129"/>
    <w:bookmarkEnd w:id="128"/>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the Exchange to the effect that the Company is not in compliance with the listing or maintenance requirements and the Company has no reason to believe that it will not in the foreseeable future continue to be in compliance with all such listing and maintenance requirements.</w:t>
      </w:r>
    </w:p>
    <w:p>
      <w:pPr>
        <w:spacing w:after="0" w:line="132" w:lineRule="exact"/>
        <w:rPr>
          <w:sz w:val="20"/>
          <w:szCs w:val="20"/>
          <w:color w:val="auto"/>
        </w:rPr>
      </w:pPr>
    </w:p>
    <w:p>
      <w:pPr>
        <w:ind w:right="20" w:firstLine="921"/>
        <w:spacing w:after="0" w:line="286" w:lineRule="auto"/>
        <w:tabs>
          <w:tab w:leader="none" w:pos="1161"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No Misstatement or Omission</w:t>
      </w:r>
      <w:r>
        <w:rPr>
          <w:rFonts w:ascii="Arial" w:cs="Arial" w:eastAsia="Arial" w:hAnsi="Arial"/>
          <w:sz w:val="16"/>
          <w:szCs w:val="16"/>
          <w:color w:val="auto"/>
        </w:rPr>
        <w:t>. The Registration Statement, when it became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effective, did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MLV specifically for use in the preparation thereof.</w:t>
      </w:r>
    </w:p>
    <w:p>
      <w:pPr>
        <w:spacing w:after="0" w:line="124" w:lineRule="exact"/>
        <w:rPr>
          <w:rFonts w:ascii="Arial" w:cs="Arial" w:eastAsia="Arial" w:hAnsi="Arial"/>
          <w:sz w:val="16"/>
          <w:szCs w:val="16"/>
          <w:color w:val="auto"/>
        </w:rPr>
      </w:pPr>
    </w:p>
    <w:p>
      <w:pPr>
        <w:ind w:firstLine="921"/>
        <w:spacing w:after="0" w:line="298" w:lineRule="auto"/>
        <w:tabs>
          <w:tab w:leader="none" w:pos="115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Conformity with Securities Act and Exchange Act</w:t>
      </w:r>
      <w:r>
        <w:rPr>
          <w:rFonts w:ascii="Arial" w:cs="Arial" w:eastAsia="Arial" w:hAnsi="Arial"/>
          <w:sz w:val="16"/>
          <w:szCs w:val="16"/>
          <w:color w:val="auto"/>
        </w:rPr>
        <w:t>. The Registration Statement, the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12" w:lineRule="exact"/>
        <w:rPr>
          <w:rFonts w:ascii="Arial" w:cs="Arial" w:eastAsia="Arial" w:hAnsi="Arial"/>
          <w:sz w:val="16"/>
          <w:szCs w:val="16"/>
          <w:color w:val="auto"/>
        </w:rPr>
      </w:pPr>
    </w:p>
    <w:p>
      <w:pPr>
        <w:ind w:firstLine="921"/>
        <w:spacing w:after="0" w:line="289" w:lineRule="auto"/>
        <w:tabs>
          <w:tab w:leader="none" w:pos="1161"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The consolidated financial statements of the Company included or incorporated by reference in the Registration Statement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(subject, in the case of unaudited statements, to normal year-end audit adjustments) and have been prepared in compliance with the requirements of the Securities Act and Exchange Act, as applicable, and in conformity with GAAP (as defined below) applied on a consistent basis (except for such adjustments to accounting standards and practices as are noted therein and except in the case of unaudited financial statements to the extent they may exclude footnotes or may be condensed or summary statements) during the periods involved; the other financial and statistical data with respect to the Company and the Subsidiaries contained or incorporated by reference in the Registration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29" w:name="page130"/>
    <w:bookmarkEnd w:id="12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 and the Prospectus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off-balance sheet obligations), not described in the Registration Statement (including the exhibits thereto and Incorporated Documents) and the Prospectus which are required to be described in the Registration Statement or the Prospectus (including exhibits thereto and Incorporated Documents); and all disclosures contained or incorporated by reference in the Registration Statement and the Prospectus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118" w:lineRule="exact"/>
        <w:rPr>
          <w:sz w:val="20"/>
          <w:szCs w:val="20"/>
          <w:color w:val="auto"/>
        </w:rPr>
      </w:pPr>
    </w:p>
    <w:p>
      <w:pPr>
        <w:ind w:firstLine="921"/>
        <w:spacing w:after="0" w:line="259" w:lineRule="auto"/>
        <w:tabs>
          <w:tab w:leader="none" w:pos="115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Conformity with EDGAR Filing</w:t>
      </w:r>
      <w:r>
        <w:rPr>
          <w:rFonts w:ascii="Arial" w:cs="Arial" w:eastAsia="Arial" w:hAnsi="Arial"/>
          <w:sz w:val="18"/>
          <w:szCs w:val="18"/>
          <w:color w:val="auto"/>
        </w:rPr>
        <w:t>. The Prospectus delivered to MLV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40" w:lineRule="exact"/>
        <w:rPr>
          <w:rFonts w:ascii="Arial" w:cs="Arial" w:eastAsia="Arial" w:hAnsi="Arial"/>
          <w:sz w:val="18"/>
          <w:szCs w:val="18"/>
          <w:color w:val="auto"/>
        </w:rPr>
      </w:pPr>
    </w:p>
    <w:p>
      <w:pPr>
        <w:ind w:right="120" w:firstLine="921"/>
        <w:spacing w:after="0" w:line="288" w:lineRule="auto"/>
        <w:tabs>
          <w:tab w:leader="none" w:pos="1132"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and each of its Subsidiaries are, and will be, duly organized, validly existing as a corporation and in good standing under the laws of their respective jurisdictions of organization. The Company and each of its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 stockholders’ equity (as set forth on the Company’s most recent balance sheet included in the Incorporated Documents) or results of operations of the Company and the Subsidiaries (as defined below) taken as a whole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right="20" w:firstLine="921"/>
        <w:spacing w:after="0" w:line="255" w:lineRule="auto"/>
        <w:tabs>
          <w:tab w:leader="none" w:pos="116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Schedule 4 hereto sets forth each of the Company’s significant subsidiaries (as such term is defined in Rule 1-02 of Regulation S-X promulgated by the Commission), if any (each such significant subsidiary, a “</w:t>
      </w:r>
      <w:r>
        <w:rPr>
          <w:rFonts w:ascii="Arial" w:cs="Arial" w:eastAsia="Arial" w:hAnsi="Arial"/>
          <w:sz w:val="18"/>
          <w:szCs w:val="18"/>
          <w:u w:val="single" w:color="auto"/>
          <w:color w:val="auto"/>
        </w:rPr>
        <w:t>Subsidiary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Subsidiaries</w:t>
      </w:r>
      <w:r>
        <w:rPr>
          <w:rFonts w:ascii="Arial" w:cs="Arial" w:eastAsia="Arial" w:hAnsi="Arial"/>
          <w:sz w:val="18"/>
          <w:szCs w:val="18"/>
          <w:color w:val="auto"/>
        </w:rPr>
        <w:t>”). Except as set forth in the Registration Statement and in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spacing w:after="0" w:line="142" w:lineRule="exact"/>
        <w:rPr>
          <w:rFonts w:ascii="Arial" w:cs="Arial" w:eastAsia="Arial" w:hAnsi="Arial"/>
          <w:sz w:val="18"/>
          <w:szCs w:val="18"/>
          <w:color w:val="auto"/>
        </w:rPr>
      </w:pPr>
    </w:p>
    <w:p>
      <w:pPr>
        <w:ind w:right="380" w:firstLine="921"/>
        <w:spacing w:after="0" w:line="268" w:lineRule="auto"/>
        <w:tabs>
          <w:tab w:leader="none" w:pos="116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Violation or Default</w:t>
      </w:r>
      <w:r>
        <w:rPr>
          <w:rFonts w:ascii="Arial" w:cs="Arial" w:eastAsia="Arial" w:hAnsi="Arial"/>
          <w:sz w:val="18"/>
          <w:szCs w:val="18"/>
          <w:color w:val="auto"/>
        </w:rPr>
        <w:t>. Neither the Company nor any of its Subsidiaries is (i) in violation of its charter or by-laws or similar organizational documents; (ii) in default,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30" w:name="page131"/>
    <w:bookmarkEnd w:id="13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of its Subsidiaries is a party is in default in any respect thereunder where such default would have a Material Adverse Effect.</w:t>
      </w:r>
    </w:p>
    <w:p>
      <w:pPr>
        <w:spacing w:after="0" w:line="118" w:lineRule="exact"/>
        <w:rPr>
          <w:sz w:val="20"/>
          <w:szCs w:val="20"/>
          <w:color w:val="auto"/>
        </w:rPr>
      </w:pPr>
    </w:p>
    <w:p>
      <w:pPr>
        <w:jc w:val="both"/>
        <w:ind w:right="120" w:firstLine="921"/>
        <w:spacing w:after="0" w:line="303" w:lineRule="auto"/>
        <w:tabs>
          <w:tab w:leader="none" w:pos="1122" w:val="left"/>
        </w:tabs>
        <w:numPr>
          <w:ilvl w:val="1"/>
          <w:numId w:val="70"/>
        </w:numPr>
        <w:rPr>
          <w:rFonts w:ascii="Arial" w:cs="Arial" w:eastAsia="Arial" w:hAnsi="Arial"/>
          <w:sz w:val="15"/>
          <w:szCs w:val="15"/>
          <w:color w:val="auto"/>
        </w:rPr>
      </w:pPr>
      <w:r>
        <w:rPr>
          <w:rFonts w:ascii="Arial" w:cs="Arial" w:eastAsia="Arial" w:hAnsi="Arial"/>
          <w:sz w:val="15"/>
          <w:szCs w:val="15"/>
          <w:u w:val="single" w:color="auto"/>
          <w:color w:val="auto"/>
        </w:rPr>
        <w:t>No Material Adverse Change</w:t>
      </w:r>
      <w:r>
        <w:rPr>
          <w:rFonts w:ascii="Arial" w:cs="Arial" w:eastAsia="Arial" w:hAnsi="Arial"/>
          <w:sz w:val="15"/>
          <w:szCs w:val="15"/>
          <w:color w:val="auto"/>
        </w:rPr>
        <w:t>. Subsequent to December 31, 2012, and other than the Company’s execution of this Agreement and the sale of any Placement Shares hereunder and the Company’s execution of an At-The-Market Issuance Sales Agreement substantially similar to this Agreement with Brinson Patrick Securities Corporation (the “</w:t>
      </w:r>
      <w:r>
        <w:rPr>
          <w:rFonts w:ascii="Arial" w:cs="Arial" w:eastAsia="Arial" w:hAnsi="Arial"/>
          <w:sz w:val="15"/>
          <w:szCs w:val="15"/>
          <w:u w:val="single" w:color="auto"/>
          <w:color w:val="auto"/>
        </w:rPr>
        <w:t>Concurrent Facility Agreement</w:t>
      </w:r>
      <w:r>
        <w:rPr>
          <w:rFonts w:ascii="Arial" w:cs="Arial" w:eastAsia="Arial" w:hAnsi="Arial"/>
          <w:sz w:val="15"/>
          <w:szCs w:val="15"/>
          <w:color w:val="auto"/>
        </w:rPr>
        <w:t>”) and the sale of any shares of the Company’s common stock thereunder, there has not been</w:t>
      </w:r>
    </w:p>
    <w:p>
      <w:pPr>
        <w:spacing w:after="0" w:line="1" w:lineRule="exact"/>
        <w:rPr>
          <w:rFonts w:ascii="Arial" w:cs="Arial" w:eastAsia="Arial" w:hAnsi="Arial"/>
          <w:sz w:val="15"/>
          <w:szCs w:val="15"/>
          <w:color w:val="auto"/>
        </w:rPr>
      </w:pPr>
    </w:p>
    <w:p>
      <w:pPr>
        <w:ind w:right="40" w:firstLine="8"/>
        <w:spacing w:after="0" w:line="288" w:lineRule="auto"/>
        <w:tabs>
          <w:tab w:leader="none" w:pos="21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(A) in the ordinary course of business, (B) as otherwise disclosed in the Registration Statement or Prospectus (including any document deemed incorporated by reference therein) or (C) where such matter, item, change or development would not make the statements in the Registration Statement or the Prospectus contain an untrue statement of a material fact or omit to state a material fact required to be stated therein or necessary to make the statements therein not misleading.</w:t>
      </w:r>
    </w:p>
    <w:p>
      <w:pPr>
        <w:spacing w:after="0" w:line="122" w:lineRule="exact"/>
        <w:rPr>
          <w:rFonts w:ascii="Arial" w:cs="Arial" w:eastAsia="Arial" w:hAnsi="Arial"/>
          <w:sz w:val="16"/>
          <w:szCs w:val="16"/>
          <w:color w:val="auto"/>
        </w:rPr>
      </w:pPr>
    </w:p>
    <w:p>
      <w:pPr>
        <w:ind w:firstLine="921"/>
        <w:spacing w:after="0" w:line="288" w:lineRule="auto"/>
        <w:tabs>
          <w:tab w:leader="none" w:pos="1122"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issued and outstanding shares of capital stock of the Company have been validly issued, are fully paid and non-assessable and, other than as disclosed in or contemplated by the Registration Statement or the Prospectus, and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or other equity awards under the Company’s existing stock option plans, or changes in the number of outstanding shares of Common Stock of the Company due to the issuance of shares upon the exercise or conversion of securities exercisable for, or convertible into, shares of Common Stock outstanding on the date hereof or described in the Registration Statement and the Prospectus (including any document deemed incorporated by reference therein) or as a result of the issuance of Placement Shares or shares of the Company’s common stock under the Concurrent Facility Agreement) and such authorized capital stock conforms in all material respects to the description thereof set forth in the Registration Statement and the Prospectus. The description of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31" w:name="page132"/>
    <w:bookmarkEnd w:id="131"/>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Common Stock in the Registration Statement and the Prospectus (including any document deemed incorporated by reference therein) is complete and accurate in all material respects. Other than as set forth or described in the Registration Statement and the Prospectus, as of the dates referred to therein, the Company did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13" w:lineRule="exact"/>
        <w:rPr>
          <w:sz w:val="20"/>
          <w:szCs w:val="20"/>
          <w:color w:val="auto"/>
        </w:rPr>
      </w:pPr>
    </w:p>
    <w:p>
      <w:pPr>
        <w:ind w:right="200" w:firstLine="921"/>
        <w:spacing w:after="0" w:line="294" w:lineRule="auto"/>
        <w:tabs>
          <w:tab w:leader="none" w:pos="1161"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Section 11 hereof may be limited by federal or state securities laws and public policy considerations in respect thereof.</w:t>
      </w:r>
    </w:p>
    <w:p>
      <w:pPr>
        <w:spacing w:after="0" w:line="115" w:lineRule="exact"/>
        <w:rPr>
          <w:rFonts w:ascii="Arial" w:cs="Arial" w:eastAsia="Arial" w:hAnsi="Arial"/>
          <w:sz w:val="16"/>
          <w:szCs w:val="16"/>
          <w:color w:val="auto"/>
        </w:rPr>
      </w:pPr>
    </w:p>
    <w:p>
      <w:pPr>
        <w:ind w:right="60" w:firstLine="921"/>
        <w:spacing w:after="0" w:line="291" w:lineRule="auto"/>
        <w:tabs>
          <w:tab w:leader="none" w:pos="1122"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Authorization of Placement Shares</w:t>
      </w:r>
      <w:r>
        <w:rPr>
          <w:rFonts w:ascii="Arial" w:cs="Arial" w:eastAsia="Arial" w:hAnsi="Arial"/>
          <w:sz w:val="16"/>
          <w:szCs w:val="16"/>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(other than any pledge, lien, encumbrance, security interest or other claim arising from an act or omission of MLV or a purchaser),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120" w:lineRule="exact"/>
        <w:rPr>
          <w:rFonts w:ascii="Arial" w:cs="Arial" w:eastAsia="Arial" w:hAnsi="Arial"/>
          <w:sz w:val="16"/>
          <w:szCs w:val="16"/>
          <w:color w:val="auto"/>
        </w:rPr>
      </w:pPr>
    </w:p>
    <w:p>
      <w:pPr>
        <w:ind w:right="60" w:firstLine="921"/>
        <w:spacing w:after="0" w:line="294" w:lineRule="auto"/>
        <w:tabs>
          <w:tab w:leader="none" w:pos="121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No Consents Required</w:t>
      </w:r>
      <w:r>
        <w:rPr>
          <w:rFonts w:ascii="Arial" w:cs="Arial" w:eastAsia="Arial" w:hAnsi="Arial"/>
          <w:sz w:val="16"/>
          <w:szCs w:val="16"/>
          <w:color w:val="auto"/>
        </w:rPr>
        <w:t>. No consent, approval, authorization, order, registration or qualification of or with any court or arbitrator or any governmental or regulatory authority is required for the execution, delivery and performance by the Company of this Agreement, and the issuance and sale by the Company of the Placement Shares as contemplated hereby, except for the registration of the Placement Shares under the Securities Act and such consents, approvals, authorizations, orders and registrations or qualifications as may be required under applicable state securities laws or by the by-laws and rules of the Financial Industry Regulatory Authority (“</w:t>
      </w:r>
      <w:r>
        <w:rPr>
          <w:rFonts w:ascii="Arial" w:cs="Arial" w:eastAsia="Arial" w:hAnsi="Arial"/>
          <w:sz w:val="16"/>
          <w:szCs w:val="16"/>
          <w:u w:val="single" w:color="auto"/>
          <w:color w:val="auto"/>
        </w:rPr>
        <w:t>FINRA</w:t>
      </w:r>
      <w:r>
        <w:rPr>
          <w:rFonts w:ascii="Arial" w:cs="Arial" w:eastAsia="Arial" w:hAnsi="Arial"/>
          <w:sz w:val="16"/>
          <w:szCs w:val="16"/>
          <w:color w:val="auto"/>
        </w:rPr>
        <w:t>”) or the Exchange in connection with the sale of the Placement Shares by MLV.</w:t>
      </w:r>
    </w:p>
    <w:p>
      <w:pPr>
        <w:spacing w:after="0" w:line="115" w:lineRule="exact"/>
        <w:rPr>
          <w:rFonts w:ascii="Arial" w:cs="Arial" w:eastAsia="Arial" w:hAnsi="Arial"/>
          <w:sz w:val="16"/>
          <w:szCs w:val="16"/>
          <w:color w:val="auto"/>
        </w:rPr>
      </w:pPr>
    </w:p>
    <w:p>
      <w:pPr>
        <w:ind w:firstLine="921"/>
        <w:spacing w:after="0" w:line="255" w:lineRule="auto"/>
        <w:tabs>
          <w:tab w:leader="none" w:pos="116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 Preferential Rights</w:t>
      </w:r>
      <w:r>
        <w:rPr>
          <w:rFonts w:ascii="Arial" w:cs="Arial" w:eastAsia="Arial" w:hAnsi="Arial"/>
          <w:sz w:val="18"/>
          <w:szCs w:val="18"/>
          <w:color w:val="auto"/>
        </w:rPr>
        <w:t>. Except as set forth in the Registration Statement and the Prospectus, (i) no person, as such term is defined in Rule 1-02 of Regulation S-X promulgated under the Securities Act (each, a “</w:t>
      </w:r>
      <w:r>
        <w:rPr>
          <w:rFonts w:ascii="Arial" w:cs="Arial" w:eastAsia="Arial" w:hAnsi="Arial"/>
          <w:sz w:val="18"/>
          <w:szCs w:val="18"/>
          <w:u w:val="single" w:color="auto"/>
          <w:color w:val="auto"/>
        </w:rPr>
        <w:t>Person</w:t>
      </w:r>
      <w:r>
        <w:rPr>
          <w:rFonts w:ascii="Arial" w:cs="Arial" w:eastAsia="Arial" w:hAnsi="Arial"/>
          <w:sz w:val="18"/>
          <w:szCs w:val="18"/>
          <w:color w:val="auto"/>
        </w:rPr>
        <w:t>”), has the right, contractual or otherwise, to cause the Company to issue or sell to such Person any shares of Common Stock or shares of any other capital stock or other securities of the Company (other than upon the exercise of options or warrants to purchase Common Stock or upon the exercise of options or stock awards that may be granted from time to time under the Company’s stock option plans), (ii) no Person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2" w:name="page133"/>
    <w:bookmarkEnd w:id="132"/>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any preemptive rights, rights of first refusal, or any other rights (whether pursuant to a “poison pill” provision or otherwise) to purchase any shares of Common Stock or shares of any other capital stock or other securities of the Company from the Company which have not been duly waived with respect to the offering contemplated hereby, (iii) except as may be disclosed to MLV in writing, no Person has the right to act as an underwriter or as a financial advisor to the Company in connection with the offer and sale of the Common Stock, and (iv) no Person has the right, contractual or otherwise, to require the Company to register under the Securities Act any shares of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spacing w:after="0" w:line="118" w:lineRule="exact"/>
        <w:rPr>
          <w:sz w:val="20"/>
          <w:szCs w:val="20"/>
          <w:color w:val="auto"/>
        </w:rPr>
      </w:pPr>
    </w:p>
    <w:p>
      <w:pPr>
        <w:ind w:right="20" w:firstLine="921"/>
        <w:spacing w:after="0" w:line="294" w:lineRule="auto"/>
        <w:tabs>
          <w:tab w:leader="none" w:pos="116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Independent Public Accountants</w:t>
      </w:r>
      <w:r>
        <w:rPr>
          <w:rFonts w:ascii="Arial" w:cs="Arial" w:eastAsia="Arial" w:hAnsi="Arial"/>
          <w:sz w:val="16"/>
          <w:szCs w:val="16"/>
          <w:color w:val="auto"/>
        </w:rPr>
        <w:t>. Deloitte &amp; Touche LLP, whose report on the consolidated financial statements of the Company is filed with the Commission as part of the Company’s most recent Annual Report on Form 10-K filed with the Commission and incorporated into the Registration Statement, is and, during the periods covered by its reports, was an independent public accounting firm within the meaning of the Securities Act and the Public Company Accounting Oversight Board (United States). To the Company’s knowledge, Deloitte &amp; Touche LLP is not in violation of the auditor independence requirements of the Sarbanes-Oxley Act of 2002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with respect to the Company.</w:t>
      </w:r>
    </w:p>
    <w:p>
      <w:pPr>
        <w:spacing w:after="0" w:line="115" w:lineRule="exact"/>
        <w:rPr>
          <w:rFonts w:ascii="Arial" w:cs="Arial" w:eastAsia="Arial" w:hAnsi="Arial"/>
          <w:sz w:val="16"/>
          <w:szCs w:val="16"/>
          <w:color w:val="auto"/>
        </w:rPr>
      </w:pPr>
    </w:p>
    <w:p>
      <w:pPr>
        <w:ind w:right="40" w:firstLine="921"/>
        <w:spacing w:after="0" w:line="291" w:lineRule="auto"/>
        <w:tabs>
          <w:tab w:leader="none" w:pos="116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Enforceability of Agreements</w:t>
      </w:r>
      <w:r>
        <w:rPr>
          <w:rFonts w:ascii="Arial" w:cs="Arial" w:eastAsia="Arial" w:hAnsi="Arial"/>
          <w:sz w:val="16"/>
          <w:szCs w:val="16"/>
          <w:color w:val="auto"/>
        </w:rPr>
        <w:t>. To the Company’s knowledge, all agreements between the Company and third parties expressly referenced in the Prospectus, other than such agreements that have expired by their terms or whose termination is disclosed in documents filed by the Company on EDGAR,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spacing w:after="0" w:line="120" w:lineRule="exact"/>
        <w:rPr>
          <w:rFonts w:ascii="Arial" w:cs="Arial" w:eastAsia="Arial" w:hAnsi="Arial"/>
          <w:sz w:val="16"/>
          <w:szCs w:val="16"/>
          <w:color w:val="auto"/>
        </w:rPr>
      </w:pPr>
    </w:p>
    <w:p>
      <w:pPr>
        <w:ind w:firstLine="921"/>
        <w:spacing w:after="0" w:line="289" w:lineRule="auto"/>
        <w:tabs>
          <w:tab w:leader="none" w:pos="1161"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No Litigation</w:t>
      </w:r>
      <w:r>
        <w:rPr>
          <w:rFonts w:ascii="Arial" w:cs="Arial" w:eastAsia="Arial" w:hAnsi="Arial"/>
          <w:sz w:val="16"/>
          <w:szCs w:val="16"/>
          <w:color w:val="auto"/>
        </w:rPr>
        <w:t>. There are no legal, governmental or regulatory actions, suits or proceedings pending, nor, to the Company’s knowledge, any legal, governmental or regulatory investigations, to which the Company or a Subsidiary is a party or to which any property of the Company or any of its Subsidiaries is the subject that, individually or in the aggregate, if determined adversely to the Company or any of its Subsidiaries, would reasonably be expected to have a Material Adverse Effect or materially and adversely affect the ability of the Company to perform its obligations under this Agreement; to the Company’s knowledge, no such actions, suits or proceedings are threatened or contemplated by any governmental or regulatory authority or threatened by others that, individually or in the aggregate, if determined adversely to the Company or any of its Subsidiaries, would reasonably be expected to have a Material Adverse Effect; and (i) there are no current or pending legal, governmental or regulatory actions, suits or proceedings or, to the Company’s knowledge, investigations that are required under the Securities Act to be described in the Prospectus that are not described in the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133" w:name="page134"/>
    <w:bookmarkEnd w:id="133"/>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Prospectus including any Incorporated Document; and (ii) there are no contracts or other documents that are required under the Securities Act to be filed as exhibits to the Registration Statement that are not so filed.</w:t>
      </w:r>
    </w:p>
    <w:p>
      <w:pPr>
        <w:spacing w:after="0" w:line="132" w:lineRule="exact"/>
        <w:rPr>
          <w:sz w:val="20"/>
          <w:szCs w:val="20"/>
          <w:color w:val="auto"/>
        </w:rPr>
      </w:pPr>
    </w:p>
    <w:p>
      <w:pPr>
        <w:ind w:right="180" w:firstLine="921"/>
        <w:spacing w:after="0" w:line="312" w:lineRule="auto"/>
        <w:tabs>
          <w:tab w:leader="none" w:pos="1132" w:val="left"/>
        </w:tabs>
        <w:numPr>
          <w:ilvl w:val="0"/>
          <w:numId w:val="74"/>
        </w:numPr>
        <w:rPr>
          <w:rFonts w:ascii="Arial" w:cs="Arial" w:eastAsia="Arial" w:hAnsi="Arial"/>
          <w:sz w:val="15"/>
          <w:szCs w:val="15"/>
          <w:color w:val="auto"/>
        </w:rPr>
      </w:pPr>
      <w:r>
        <w:rPr>
          <w:rFonts w:ascii="Arial" w:cs="Arial" w:eastAsia="Arial" w:hAnsi="Arial"/>
          <w:sz w:val="15"/>
          <w:szCs w:val="15"/>
          <w:u w:val="single" w:color="auto"/>
          <w:color w:val="auto"/>
        </w:rPr>
        <w:t>Licenses and Permits</w:t>
      </w:r>
      <w:r>
        <w:rPr>
          <w:rFonts w:ascii="Arial" w:cs="Arial" w:eastAsia="Arial" w:hAnsi="Arial"/>
          <w:sz w:val="15"/>
          <w:szCs w:val="15"/>
          <w:color w:val="auto"/>
        </w:rPr>
        <w:t>. The Company and each of its Subsidiaries possess or have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w:t>
      </w:r>
      <w:r>
        <w:rPr>
          <w:rFonts w:ascii="Arial" w:cs="Arial" w:eastAsia="Arial" w:hAnsi="Arial"/>
          <w:sz w:val="15"/>
          <w:szCs w:val="15"/>
          <w:u w:val="single" w:color="auto"/>
          <w:color w:val="auto"/>
        </w:rPr>
        <w:t>Permits</w:t>
      </w:r>
      <w:r>
        <w:rPr>
          <w:rFonts w:ascii="Arial" w:cs="Arial" w:eastAsia="Arial" w:hAnsi="Arial"/>
          <w:sz w:val="15"/>
          <w:szCs w:val="15"/>
          <w:color w:val="auto"/>
        </w:rPr>
        <w:t>”), except where the failure to possess, obtain or make the same would not, individually or in the aggregate, reasonably be expected to have a Material Adverse Effect. Neither the Company nor any of its Subsidiaries have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reasonably be expected to have a Material Adverse Effect.</w:t>
      </w:r>
    </w:p>
    <w:p>
      <w:pPr>
        <w:spacing w:after="0" w:line="105" w:lineRule="exact"/>
        <w:rPr>
          <w:rFonts w:ascii="Arial" w:cs="Arial" w:eastAsia="Arial" w:hAnsi="Arial"/>
          <w:sz w:val="15"/>
          <w:szCs w:val="15"/>
          <w:color w:val="auto"/>
        </w:rPr>
      </w:pPr>
    </w:p>
    <w:p>
      <w:pPr>
        <w:ind w:firstLine="921"/>
        <w:spacing w:after="0" w:line="288" w:lineRule="auto"/>
        <w:tabs>
          <w:tab w:leader="none" w:pos="1142"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Market Capitalization</w:t>
      </w:r>
      <w:r>
        <w:rPr>
          <w:rFonts w:ascii="Arial" w:cs="Arial" w:eastAsia="Arial" w:hAnsi="Arial"/>
          <w:sz w:val="16"/>
          <w:szCs w:val="16"/>
          <w:color w:val="auto"/>
        </w:rPr>
        <w:t>. As of the close of trading on the Exchange on the Trading Day immediately prior to the date of this Agreement, the aggregate market value of the outstanding voting and non-voting common equity (as defined in Securities Act Rule 405) of the Company held by persons other than affiliates (as defined in Securities Act Rule 405) was $75 million or more (calculated in accordance with Instruction 1.B.1 of Form S-3).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 To enable MLV to rely on Rule 5110(b)(7)(C)(i) of FINRA, the Company represents that, as of the date of this Agreement, the Company (i) has a non-affiliate, public common equity float of at least $150 million or a non-affiliate, public common equity float of at least $100 million and annual trading volume of at least three million shares and (ii) has been subject to the Exchange Act reporting requirements for a period of at least 36 months.</w:t>
      </w:r>
    </w:p>
    <w:p>
      <w:pPr>
        <w:spacing w:after="0" w:line="119" w:lineRule="exact"/>
        <w:rPr>
          <w:rFonts w:ascii="Arial" w:cs="Arial" w:eastAsia="Arial" w:hAnsi="Arial"/>
          <w:sz w:val="16"/>
          <w:szCs w:val="16"/>
          <w:color w:val="auto"/>
        </w:rPr>
      </w:pPr>
    </w:p>
    <w:p>
      <w:pPr>
        <w:ind w:right="80" w:firstLine="921"/>
        <w:spacing w:after="0" w:line="254" w:lineRule="auto"/>
        <w:tabs>
          <w:tab w:leader="none" w:pos="1122"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No Material Defaults</w:t>
      </w:r>
      <w:r>
        <w:rPr>
          <w:rFonts w:ascii="Arial" w:cs="Arial" w:eastAsia="Arial" w:hAnsi="Arial"/>
          <w:sz w:val="18"/>
          <w:szCs w:val="18"/>
          <w:color w:val="auto"/>
        </w:rPr>
        <w:t>. Neither the Company nor any of the Subsidiaries has defaulted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spacing w:after="0" w:line="144" w:lineRule="exact"/>
        <w:rPr>
          <w:rFonts w:ascii="Arial" w:cs="Arial" w:eastAsia="Arial" w:hAnsi="Arial"/>
          <w:sz w:val="18"/>
          <w:szCs w:val="18"/>
          <w:color w:val="auto"/>
        </w:rPr>
      </w:pPr>
    </w:p>
    <w:p>
      <w:pPr>
        <w:ind w:right="40" w:firstLine="921"/>
        <w:spacing w:after="0" w:line="256" w:lineRule="auto"/>
        <w:tabs>
          <w:tab w:leader="none" w:pos="116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Certain Market Activities</w:t>
      </w:r>
      <w:r>
        <w:rPr>
          <w:rFonts w:ascii="Arial" w:cs="Arial" w:eastAsia="Arial" w:hAnsi="Arial"/>
          <w:sz w:val="18"/>
          <w:szCs w:val="18"/>
          <w:color w:val="auto"/>
        </w:rPr>
        <w:t>. Neither the Company, nor any of the Subsidiaries, nor, to the Company’s knowledge, any of their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34" w:name="page135"/>
    <w:bookmarkEnd w:id="134"/>
    <w:p>
      <w:pPr>
        <w:ind w:left="-60" w:right="220" w:firstLine="921"/>
        <w:spacing w:after="0" w:line="306" w:lineRule="auto"/>
        <w:tabs>
          <w:tab w:leader="none" w:pos="1101"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Broker/Dealer Relationships</w:t>
      </w:r>
      <w:r>
        <w:rPr>
          <w:rFonts w:ascii="Arial" w:cs="Arial" w:eastAsia="Arial" w:hAnsi="Arial"/>
          <w:sz w:val="16"/>
          <w:szCs w:val="16"/>
          <w:color w:val="auto"/>
        </w:rPr>
        <w:t>. Neither the Company nor any of the Subsidiaries 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06" w:lineRule="exact"/>
        <w:rPr>
          <w:rFonts w:ascii="Arial" w:cs="Arial" w:eastAsia="Arial" w:hAnsi="Arial"/>
          <w:sz w:val="16"/>
          <w:szCs w:val="16"/>
          <w:color w:val="auto"/>
        </w:rPr>
      </w:pPr>
    </w:p>
    <w:p>
      <w:pPr>
        <w:ind w:left="-60" w:right="240" w:firstLine="921"/>
        <w:spacing w:after="0" w:line="268" w:lineRule="auto"/>
        <w:tabs>
          <w:tab w:leader="none" w:pos="11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The Company has not relied upon MLV or legal counsel for MLV for any legal, tax or accounting advice in connection with the offering and sale of the Placement Shares.</w:t>
      </w:r>
    </w:p>
    <w:p>
      <w:pPr>
        <w:spacing w:after="0" w:line="131" w:lineRule="exact"/>
        <w:rPr>
          <w:rFonts w:ascii="Arial" w:cs="Arial" w:eastAsia="Arial" w:hAnsi="Arial"/>
          <w:sz w:val="18"/>
          <w:szCs w:val="18"/>
          <w:color w:val="auto"/>
        </w:rPr>
      </w:pPr>
    </w:p>
    <w:p>
      <w:pPr>
        <w:ind w:left="-60" w:right="180" w:firstLine="921"/>
        <w:spacing w:after="0" w:line="291" w:lineRule="auto"/>
        <w:tabs>
          <w:tab w:leader="none" w:pos="1101"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reasonably be expected to have a Material Adverse Effect. Except as otherwise disclosed in or contemplated by the Registration Statement or the Prospectus, no tax deficiency has been determined adversely to the Company or any of its Subsidiaries which has had, or would reasonably be expected to have, individually or in the aggregate, a Material Adverse Effect. The Company has no knowledge of any federal, state or other governmental tax deficiency, penalty or assessment which has been asserted or threatened against it which would have a Material Adverse Effect.</w:t>
      </w:r>
    </w:p>
    <w:p>
      <w:pPr>
        <w:spacing w:after="0" w:line="120" w:lineRule="exact"/>
        <w:rPr>
          <w:rFonts w:ascii="Arial" w:cs="Arial" w:eastAsia="Arial" w:hAnsi="Arial"/>
          <w:sz w:val="16"/>
          <w:szCs w:val="16"/>
          <w:color w:val="auto"/>
        </w:rPr>
      </w:pPr>
    </w:p>
    <w:p>
      <w:pPr>
        <w:ind w:left="-60" w:right="60" w:firstLine="921"/>
        <w:spacing w:after="0" w:line="289" w:lineRule="auto"/>
        <w:tabs>
          <w:tab w:leader="none" w:pos="1101"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Title to Real and Personal Property</w:t>
      </w:r>
      <w:r>
        <w:rPr>
          <w:rFonts w:ascii="Arial" w:cs="Arial" w:eastAsia="Arial" w:hAnsi="Arial"/>
          <w:sz w:val="16"/>
          <w:szCs w:val="16"/>
          <w:color w:val="auto"/>
        </w:rPr>
        <w:t>. The Company and its Subsidiaries have good and marketable title in fee simple to all items of real property and good and valid title to all personal property (excluding Intellectual Property) described in the Registration Statement or Prospectus as being owned by them that are material to the businesses of the Company or such Subsidiary, in each case free and clear of all liens, encumbrances and claims, except those that (i) do not materially interfere with the use made of such property by the Company and any of its Subsidiaries or (ii) would not reasonably be expected, individually or in the aggregate, to have a Material Adverse Effect. Any real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w:t>
      </w:r>
    </w:p>
    <w:p>
      <w:pPr>
        <w:spacing w:after="0" w:line="118" w:lineRule="exact"/>
        <w:rPr>
          <w:rFonts w:ascii="Arial" w:cs="Arial" w:eastAsia="Arial" w:hAnsi="Arial"/>
          <w:sz w:val="16"/>
          <w:szCs w:val="16"/>
          <w:color w:val="auto"/>
        </w:rPr>
      </w:pPr>
    </w:p>
    <w:p>
      <w:pPr>
        <w:ind w:left="-60" w:firstLine="921"/>
        <w:spacing w:after="0" w:line="294" w:lineRule="auto"/>
        <w:tabs>
          <w:tab w:leader="none" w:pos="109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To its knowledge, the Company and its Subsidiaries own or possess adequate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Arial" w:cs="Arial" w:eastAsia="Arial" w:hAnsi="Arial"/>
          <w:sz w:val="16"/>
          <w:szCs w:val="16"/>
          <w:u w:val="single" w:color="auto"/>
          <w:color w:val="auto"/>
        </w:rPr>
        <w:t>Intellectual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Property</w:t>
      </w:r>
      <w:r>
        <w:rPr>
          <w:rFonts w:ascii="Arial" w:cs="Arial" w:eastAsia="Arial" w:hAnsi="Arial"/>
          <w:sz w:val="16"/>
          <w:szCs w:val="16"/>
          <w:color w:val="auto"/>
        </w:rPr>
        <w:t>”), necessary for the conduct of their respective businesses as conducted as of the date hereof, except to the extent that the failure to own or possess adequate rights to use such Intellectual Property would not, individually or in the aggregate, reasonably be expected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300" w:top="280" w:right="279" w:bottom="1440" w:gutter="0" w:footer="0" w:header="0"/>
        </w:sectPr>
      </w:pPr>
    </w:p>
    <w:bookmarkStart w:id="135" w:name="page136"/>
    <w:bookmarkEnd w:id="135"/>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a Material Adverse Effect; except as disclosed in writing to MLV, the Company and any of its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or its Subsidiaries challenging the Company’s or its Subsidiaries’ rights in or to or the validity of the scope of any of the Company’s or its Subsidiaries’ owned material patents, patent applications or proprietary information; no other entity or individual has any right or claim in any of the Company’s or its Subsidiaries’ owned material patents, patent applications or any patent to be issued therefrom by virtue of any contract, license or other agreement entered into between such entity or individual and the Company or a Subsidiary or by any non-contractual obligation of the Company or a Subsidiary, other than by written licenses granted by the Company or a Subsidiary and other than such rights or claims that would not, individually or in the aggregate, reasonably be expected to have a Material Adverse Effect; the Company and its Subsidiaries have not received any written notice of any claim challenging the rights of the Company or a Subsidiary in or to any Intellectual Property owned, licensed or optioned by the Company or such Subsidiary which claim, if the subject of an unfavorable decision, would result in a Material Adverse Effect.</w:t>
      </w:r>
    </w:p>
    <w:p>
      <w:pPr>
        <w:spacing w:after="0" w:line="127" w:lineRule="exact"/>
        <w:rPr>
          <w:sz w:val="20"/>
          <w:szCs w:val="20"/>
          <w:color w:val="auto"/>
        </w:rPr>
      </w:pPr>
    </w:p>
    <w:p>
      <w:pPr>
        <w:ind w:firstLine="921"/>
        <w:spacing w:after="0" w:line="290" w:lineRule="auto"/>
        <w:tabs>
          <w:tab w:leader="none" w:pos="122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spacing w:after="0" w:line="118" w:lineRule="exact"/>
        <w:rPr>
          <w:rFonts w:ascii="Arial" w:cs="Arial" w:eastAsia="Arial" w:hAnsi="Arial"/>
          <w:sz w:val="16"/>
          <w:szCs w:val="16"/>
          <w:color w:val="auto"/>
        </w:rPr>
      </w:pPr>
    </w:p>
    <w:p>
      <w:pPr>
        <w:ind w:firstLine="921"/>
        <w:spacing w:after="0" w:line="288" w:lineRule="auto"/>
        <w:tabs>
          <w:tab w:leader="none" w:pos="1249"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The Company and each of its Subsidiaries maintain systems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6" w:name="page137"/>
    <w:bookmarkEnd w:id="136"/>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controls and procedures as of a date within 90 days prior to the filing date of the Form 10-K for the fiscal year most recently ended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Form 10-K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307(b) of Regulation S-K under the Securities Act) or, to the Company’s knowledge, in other factors that could significantly adversely affect the Company’s internal controls. To the knowledge of the Company, the Company’s “internal controls over financial reporting” and “disclosure controls and procedures” are effective.</w:t>
      </w:r>
    </w:p>
    <w:p>
      <w:pPr>
        <w:spacing w:after="0" w:line="120" w:lineRule="exact"/>
        <w:rPr>
          <w:sz w:val="20"/>
          <w:szCs w:val="20"/>
          <w:color w:val="auto"/>
        </w:rPr>
      </w:pPr>
    </w:p>
    <w:p>
      <w:pPr>
        <w:ind w:firstLine="921"/>
        <w:spacing w:after="0" w:line="291" w:lineRule="auto"/>
        <w:tabs>
          <w:tab w:leader="none" w:pos="1229"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Sarbanes-Oxley</w:t>
      </w:r>
      <w:r>
        <w:rPr>
          <w:rFonts w:ascii="Arial" w:cs="Arial" w:eastAsia="Arial" w:hAnsi="Arial"/>
          <w:sz w:val="16"/>
          <w:szCs w:val="16"/>
          <w:color w:val="auto"/>
        </w:rPr>
        <w:t>. There is and has been no failure on the part of the Company or, to the knowledge of the Company, any of the Company’s directors or officers, in their capacities as such, to comply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20" w:lineRule="exact"/>
        <w:rPr>
          <w:rFonts w:ascii="Arial" w:cs="Arial" w:eastAsia="Arial" w:hAnsi="Arial"/>
          <w:sz w:val="16"/>
          <w:szCs w:val="16"/>
          <w:color w:val="auto"/>
        </w:rPr>
      </w:pPr>
    </w:p>
    <w:p>
      <w:pPr>
        <w:ind w:right="440" w:firstLine="921"/>
        <w:spacing w:after="0" w:line="332" w:lineRule="auto"/>
        <w:tabs>
          <w:tab w:leader="none" w:pos="1249"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Finder’s Fees</w:t>
      </w:r>
      <w:r>
        <w:rPr>
          <w:rFonts w:ascii="Arial" w:cs="Arial" w:eastAsia="Arial" w:hAnsi="Arial"/>
          <w:sz w:val="16"/>
          <w:szCs w:val="16"/>
          <w:color w:val="auto"/>
        </w:rPr>
        <w:t>. Neither the Company nor any of the Subsidiaries has incurred any liability for any finder’s fees, brokerage commissions or similar payments in connection with the transactions herein contemplated, except as may otherwise exist with respect to MLV pursuant to this Agreement.</w:t>
      </w:r>
    </w:p>
    <w:p>
      <w:pPr>
        <w:spacing w:after="0" w:line="85" w:lineRule="exact"/>
        <w:rPr>
          <w:rFonts w:ascii="Arial" w:cs="Arial" w:eastAsia="Arial" w:hAnsi="Arial"/>
          <w:sz w:val="16"/>
          <w:szCs w:val="16"/>
          <w:color w:val="auto"/>
        </w:rPr>
      </w:pPr>
    </w:p>
    <w:p>
      <w:pPr>
        <w:ind w:right="40" w:firstLine="921"/>
        <w:spacing w:after="0" w:line="332" w:lineRule="auto"/>
        <w:tabs>
          <w:tab w:leader="none" w:pos="1229"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Labor Disputes</w:t>
      </w:r>
      <w:r>
        <w:rPr>
          <w:rFonts w:ascii="Arial" w:cs="Arial" w:eastAsia="Arial" w:hAnsi="Arial"/>
          <w:sz w:val="16"/>
          <w:szCs w:val="16"/>
          <w:color w:val="auto"/>
        </w:rPr>
        <w:t>. No labor disturbance by or dispute with employees of the Company or any of its Subsidiaries exists or, to the knowledge of the Company, is threatened which would reasonably be expected to result in a Material Adverse Effect</w:t>
      </w:r>
    </w:p>
    <w:p>
      <w:pPr>
        <w:spacing w:after="0" w:line="85" w:lineRule="exact"/>
        <w:rPr>
          <w:rFonts w:ascii="Arial" w:cs="Arial" w:eastAsia="Arial" w:hAnsi="Arial"/>
          <w:sz w:val="16"/>
          <w:szCs w:val="16"/>
          <w:color w:val="auto"/>
        </w:rPr>
      </w:pPr>
    </w:p>
    <w:p>
      <w:pPr>
        <w:jc w:val="both"/>
        <w:ind w:right="260" w:firstLine="921"/>
        <w:spacing w:after="0" w:line="259" w:lineRule="auto"/>
        <w:tabs>
          <w:tab w:leader="none" w:pos="118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Act.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firstLine="921"/>
        <w:spacing w:after="0" w:line="259" w:lineRule="auto"/>
        <w:tabs>
          <w:tab w:leader="none" w:pos="1249"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Operations</w:t>
      </w:r>
      <w:r>
        <w:rPr>
          <w:rFonts w:ascii="Arial" w:cs="Arial" w:eastAsia="Arial" w:hAnsi="Arial"/>
          <w:sz w:val="18"/>
          <w:szCs w:val="18"/>
          <w:color w:val="auto"/>
        </w:rPr>
        <w:t>. The operations of the Company and its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its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37" w:name="page138"/>
    <w:bookmarkEnd w:id="137"/>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are subject, the rules and regulations thereunder and any related or similar rules, regulations or guidelines, issued, administered or enforced by any governmental agency having jurisdiction over the Company or its Subsidiaries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except as would not reasonably be expected to result in a Material Adverse Effect;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43" w:lineRule="exact"/>
        <w:rPr>
          <w:sz w:val="20"/>
          <w:szCs w:val="20"/>
          <w:color w:val="auto"/>
        </w:rPr>
      </w:pPr>
    </w:p>
    <w:p>
      <w:pPr>
        <w:ind w:right="100" w:firstLine="921"/>
        <w:spacing w:after="0" w:line="291" w:lineRule="auto"/>
        <w:tabs>
          <w:tab w:leader="none" w:pos="1249"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Off-Balance Sheet Arrangements</w:t>
      </w:r>
      <w:r>
        <w:rPr>
          <w:rFonts w:ascii="Arial" w:cs="Arial" w:eastAsia="Arial" w:hAnsi="Arial"/>
          <w:sz w:val="16"/>
          <w:szCs w:val="16"/>
          <w:color w:val="auto"/>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Arial" w:cs="Arial" w:eastAsia="Arial" w:hAnsi="Arial"/>
          <w:sz w:val="16"/>
          <w:szCs w:val="16"/>
          <w:u w:val="single" w:color="auto"/>
          <w:color w:val="auto"/>
        </w:rPr>
        <w:t>Off Balance Sheet Transaction</w:t>
      </w:r>
      <w:r>
        <w:rPr>
          <w:rFonts w:ascii="Arial" w:cs="Arial" w:eastAsia="Arial" w:hAnsi="Arial"/>
          <w:sz w:val="16"/>
          <w:szCs w:val="16"/>
          <w:color w:val="auto"/>
        </w:rPr>
        <w:t>”) that would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in each case that are required to be described in the Prospectus which have not been described as required.</w:t>
      </w:r>
    </w:p>
    <w:p>
      <w:pPr>
        <w:spacing w:after="0" w:line="120" w:lineRule="exact"/>
        <w:rPr>
          <w:rFonts w:ascii="Arial" w:cs="Arial" w:eastAsia="Arial" w:hAnsi="Arial"/>
          <w:sz w:val="16"/>
          <w:szCs w:val="16"/>
          <w:color w:val="auto"/>
        </w:rPr>
      </w:pPr>
    </w:p>
    <w:p>
      <w:pPr>
        <w:jc w:val="both"/>
        <w:ind w:right="220" w:firstLine="921"/>
        <w:spacing w:after="0" w:line="306" w:lineRule="auto"/>
        <w:tabs>
          <w:tab w:leader="none" w:pos="1171"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Underwriter Agreements</w:t>
      </w:r>
      <w:r>
        <w:rPr>
          <w:rFonts w:ascii="Arial" w:cs="Arial" w:eastAsia="Arial" w:hAnsi="Arial"/>
          <w:sz w:val="16"/>
          <w:szCs w:val="16"/>
          <w:color w:val="auto"/>
        </w:rPr>
        <w:t>. The Company anticipates being a party to the Concurrent Facility Agreement simultaneous with this Agreement, but will not have an open sales order in force with more than one agent or underwriter under such agreements at any given time, provided, however, that nothing in this Agreement shall prohibit the Company from entering into the Concurrent Facility Agreement, a committed equity financing facility or similar transaction.</w:t>
      </w:r>
    </w:p>
    <w:p>
      <w:pPr>
        <w:spacing w:after="0" w:line="106" w:lineRule="exact"/>
        <w:rPr>
          <w:rFonts w:ascii="Arial" w:cs="Arial" w:eastAsia="Arial" w:hAnsi="Arial"/>
          <w:sz w:val="16"/>
          <w:szCs w:val="16"/>
          <w:color w:val="auto"/>
        </w:rPr>
      </w:pPr>
    </w:p>
    <w:p>
      <w:pPr>
        <w:ind w:right="240" w:firstLine="921"/>
        <w:spacing w:after="0" w:line="283" w:lineRule="auto"/>
        <w:tabs>
          <w:tab w:leader="none" w:pos="1171"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To the knowledge of the Company, (i) each material employee benefit plan, within the meaning of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firstLine="8"/>
        <w:spacing w:after="0" w:line="252" w:lineRule="auto"/>
        <w:tabs>
          <w:tab w:leader="none" w:pos="258"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prohibited transaction, within the meaning of Section 406 of ERISA or Section 4975 of the Code, has occurred with respect to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not reasonably be expected to have a Material Adverse Effect.</w:t>
      </w:r>
    </w:p>
    <w:p>
      <w:pPr>
        <w:spacing w:after="0" w:line="148" w:lineRule="exact"/>
        <w:rPr>
          <w:rFonts w:ascii="Arial" w:cs="Arial" w:eastAsia="Arial" w:hAnsi="Arial"/>
          <w:sz w:val="18"/>
          <w:szCs w:val="18"/>
          <w:color w:val="auto"/>
        </w:rPr>
      </w:pPr>
    </w:p>
    <w:p>
      <w:pPr>
        <w:ind w:right="220" w:firstLine="921"/>
        <w:spacing w:after="0" w:line="332" w:lineRule="auto"/>
        <w:tabs>
          <w:tab w:leader="none" w:pos="1249"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Forward Looking Statements</w:t>
      </w:r>
      <w:r>
        <w:rPr>
          <w:rFonts w:ascii="Arial" w:cs="Arial" w:eastAsia="Arial" w:hAnsi="Arial"/>
          <w:sz w:val="16"/>
          <w:szCs w:val="16"/>
          <w:color w:val="auto"/>
        </w:rPr>
        <w:t>. No forward-looking statement (within the meaning of Section 27A of the Securities Act and Section 21E of the Exchange Act) (a “</w:t>
      </w:r>
      <w:r>
        <w:rPr>
          <w:rFonts w:ascii="Arial" w:cs="Arial" w:eastAsia="Arial" w:hAnsi="Arial"/>
          <w:sz w:val="16"/>
          <w:szCs w:val="16"/>
          <w:u w:val="single" w:color="auto"/>
          <w:color w:val="auto"/>
        </w:rPr>
        <w:t>Forward Looking Statement</w:t>
      </w:r>
      <w:r>
        <w:rPr>
          <w:rFonts w:ascii="Arial" w:cs="Arial" w:eastAsia="Arial" w:hAnsi="Arial"/>
          <w:sz w:val="16"/>
          <w:szCs w:val="16"/>
          <w:color w:val="auto"/>
        </w:rPr>
        <w:t>”) contained in the Registration Statement and the Prospectus has been made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38" w:name="page139"/>
    <w:bookmarkEnd w:id="13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reaffirmed without a reasonable basis or has been disclosed other than in good faith. The Forward Looking Statements incorporated by reference in the Registration Statement and the Prospectus from the Company’s Annual Report on Form 10-K for the fiscal year most recently ended (i) except for any Forward Looking Statement included in any financial statements and notes thereto, are within the coverage of the safe harbor for forward looking statements set forth in Section 27A of the Securities Act, Rule 175(b) under the Securities Act or Rule 3b-6 under the Exchange Act, as applicable, (ii) were made by the Company with a reasonable basis and in good faith and reflect the Company’s good faith commercially reasonable best estimate of the matters described therein, and (iii) have been prepared in accordance with Item 10 of Regulation S-K under the Securities Act.</w:t>
      </w:r>
    </w:p>
    <w:p>
      <w:pPr>
        <w:spacing w:after="0" w:line="120" w:lineRule="exact"/>
        <w:rPr>
          <w:sz w:val="20"/>
          <w:szCs w:val="20"/>
          <w:color w:val="auto"/>
        </w:rPr>
      </w:pPr>
    </w:p>
    <w:p>
      <w:pPr>
        <w:jc w:val="both"/>
        <w:ind w:right="300" w:firstLine="921"/>
        <w:spacing w:after="0" w:line="259" w:lineRule="auto"/>
        <w:tabs>
          <w:tab w:leader="none" w:pos="1171"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Margin Rules</w:t>
      </w:r>
      <w:r>
        <w:rPr>
          <w:rFonts w:ascii="Arial" w:cs="Arial" w:eastAsia="Arial" w:hAnsi="Arial"/>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40" w:lineRule="exact"/>
        <w:rPr>
          <w:rFonts w:ascii="Arial" w:cs="Arial" w:eastAsia="Arial" w:hAnsi="Arial"/>
          <w:sz w:val="18"/>
          <w:szCs w:val="18"/>
          <w:color w:val="auto"/>
        </w:rPr>
      </w:pPr>
    </w:p>
    <w:p>
      <w:pPr>
        <w:ind w:right="40" w:firstLine="921"/>
        <w:spacing w:after="0" w:line="259" w:lineRule="auto"/>
        <w:tabs>
          <w:tab w:leader="none" w:pos="134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each of its Subsidiaries carry, or are covered by, insurance in such amounts and covering such risks as the Company and each of its Subsidiaries reasonably believe are adequate for the use of their properties and as is customary for companies of similar size engaged in similar businesses in similar industries.</w:t>
      </w:r>
    </w:p>
    <w:p>
      <w:pPr>
        <w:spacing w:after="0" w:line="140" w:lineRule="exact"/>
        <w:rPr>
          <w:rFonts w:ascii="Arial" w:cs="Arial" w:eastAsia="Arial" w:hAnsi="Arial"/>
          <w:sz w:val="18"/>
          <w:szCs w:val="18"/>
          <w:color w:val="auto"/>
        </w:rPr>
      </w:pPr>
    </w:p>
    <w:p>
      <w:pPr>
        <w:ind w:firstLine="921"/>
        <w:spacing w:after="0" w:line="285" w:lineRule="auto"/>
        <w:tabs>
          <w:tab w:leader="none" w:pos="1249"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No Improper Practices</w:t>
      </w:r>
      <w:r>
        <w:rPr>
          <w:rFonts w:ascii="Arial" w:cs="Arial" w:eastAsia="Arial" w:hAnsi="Arial"/>
          <w:sz w:val="16"/>
          <w:szCs w:val="16"/>
          <w:color w:val="auto"/>
        </w:rPr>
        <w:t>. (i) Neither the Company nor, to the Company’s knowledge, the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Subsidiary or any affiliate of any of them, on the one hand, and the directors, officers and stockholders of the Company or, to the Company’s knowledge,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stockholders or directors of the Company or, to the Company’s knowledge, any Subsidiary, on the other hand, that is required by the rules of FINRA to be described in the Registration Statement and the Prospectus that is not so described; (iv) except as described in the Prospectus, there are no material outstanding loans or advances or material guarantees of indebtedness by the Company or, to the Company’s knowledge, any Subsidiary to or for the benefit of any of their respective officers or directors or any of the members of the families of any of them;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 neither the Company nor any Subsidiary nor, to the Company’s knowledge, any employee or</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39" w:name="page140"/>
    <w:bookmarkEnd w:id="13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of the Company or any Subsidiary has made any payment of funds of the Company or any Subsidiary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spacing w:after="0" w:line="140" w:lineRule="exact"/>
        <w:rPr>
          <w:sz w:val="20"/>
          <w:szCs w:val="20"/>
          <w:color w:val="auto"/>
        </w:rPr>
      </w:pPr>
    </w:p>
    <w:p>
      <w:pPr>
        <w:ind w:right="400" w:firstLine="921"/>
        <w:spacing w:after="0" w:line="332" w:lineRule="auto"/>
        <w:tabs>
          <w:tab w:leader="none" w:pos="1249"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Status Under the Securities Act</w:t>
      </w:r>
      <w:r>
        <w:rPr>
          <w:rFonts w:ascii="Arial" w:cs="Arial" w:eastAsia="Arial" w:hAnsi="Arial"/>
          <w:sz w:val="16"/>
          <w:szCs w:val="16"/>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85" w:lineRule="exact"/>
        <w:rPr>
          <w:rFonts w:ascii="Arial" w:cs="Arial" w:eastAsia="Arial" w:hAnsi="Arial"/>
          <w:sz w:val="16"/>
          <w:szCs w:val="16"/>
          <w:color w:val="auto"/>
        </w:rPr>
      </w:pPr>
    </w:p>
    <w:p>
      <w:pPr>
        <w:ind w:right="400" w:firstLine="921"/>
        <w:spacing w:after="0" w:line="294" w:lineRule="auto"/>
        <w:tabs>
          <w:tab w:leader="none" w:pos="1249"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No Misstatement or Omission in an Issuer Free Writing Prospectus</w:t>
      </w:r>
      <w:r>
        <w:rPr>
          <w:rFonts w:ascii="Arial" w:cs="Arial" w:eastAsia="Arial" w:hAnsi="Arial"/>
          <w:sz w:val="16"/>
          <w:szCs w:val="16"/>
          <w:color w:val="auto"/>
        </w:rPr>
        <w:t>. Each Issuer Free Writing Prospectus, as of its issue date and as of each Applicable Time (as defined in Section 24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MLV specifically for use therein.</w:t>
      </w:r>
    </w:p>
    <w:p>
      <w:pPr>
        <w:spacing w:after="0" w:line="115" w:lineRule="exact"/>
        <w:rPr>
          <w:rFonts w:ascii="Arial" w:cs="Arial" w:eastAsia="Arial" w:hAnsi="Arial"/>
          <w:sz w:val="16"/>
          <w:szCs w:val="16"/>
          <w:color w:val="auto"/>
        </w:rPr>
      </w:pPr>
    </w:p>
    <w:p>
      <w:pPr>
        <w:ind w:right="20" w:firstLine="921"/>
        <w:spacing w:after="0" w:line="301" w:lineRule="auto"/>
        <w:tabs>
          <w:tab w:leader="none" w:pos="1249" w:val="left"/>
        </w:tabs>
        <w:numPr>
          <w:ilvl w:val="1"/>
          <w:numId w:val="81"/>
        </w:numPr>
        <w:rPr>
          <w:rFonts w:ascii="Arial" w:cs="Arial" w:eastAsia="Arial" w:hAnsi="Arial"/>
          <w:sz w:val="15"/>
          <w:szCs w:val="15"/>
          <w:color w:val="auto"/>
        </w:rPr>
      </w:pPr>
      <w:r>
        <w:rPr>
          <w:rFonts w:ascii="Arial" w:cs="Arial" w:eastAsia="Arial" w:hAnsi="Arial"/>
          <w:sz w:val="15"/>
          <w:szCs w:val="15"/>
          <w:u w:val="single" w:color="auto"/>
          <w:color w:val="auto"/>
        </w:rPr>
        <w:t>No Conflicts</w:t>
      </w:r>
      <w:r>
        <w:rPr>
          <w:rFonts w:ascii="Arial" w:cs="Arial" w:eastAsia="Arial" w:hAnsi="Arial"/>
          <w:sz w:val="15"/>
          <w:szCs w:val="15"/>
          <w:color w:val="auto"/>
        </w:rPr>
        <w:t>. Neither the execution of this Agreement by the Company, nor the issuance, offering or sale of the Placement Shares, nor the consummation by the Company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defaults, liens, charges or encumbrances that would not reasonably be expected to have a Material Adverse Effect; nor will such action result (x) in any violation of the provisions of the certificate of incorporation or bylaws of the Company, or</w:t>
      </w:r>
    </w:p>
    <w:p>
      <w:pPr>
        <w:spacing w:after="0" w:line="4" w:lineRule="exact"/>
        <w:rPr>
          <w:rFonts w:ascii="Arial" w:cs="Arial" w:eastAsia="Arial" w:hAnsi="Arial"/>
          <w:sz w:val="15"/>
          <w:szCs w:val="15"/>
          <w:color w:val="auto"/>
        </w:rPr>
      </w:pPr>
    </w:p>
    <w:p>
      <w:pPr>
        <w:ind w:firstLine="8"/>
        <w:spacing w:after="0" w:line="255" w:lineRule="auto"/>
        <w:tabs>
          <w:tab w:leader="none" w:pos="249"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any material violation of the provisions of any statute or any order, rule or regulation applicable to the Company or of any court or of any federal, state or other regulatory authority or other government body having jurisdiction over the Company, except where such violation would not reasonably be expected to have a Material Adverse Effect.</w:t>
      </w:r>
    </w:p>
    <w:p>
      <w:pPr>
        <w:spacing w:after="0" w:line="144" w:lineRule="exact"/>
        <w:rPr>
          <w:rFonts w:ascii="Arial" w:cs="Arial" w:eastAsia="Arial" w:hAnsi="Arial"/>
          <w:sz w:val="18"/>
          <w:szCs w:val="18"/>
          <w:color w:val="auto"/>
        </w:rPr>
      </w:pPr>
    </w:p>
    <w:p>
      <w:pPr>
        <w:ind w:right="20" w:firstLine="921"/>
        <w:spacing w:after="0" w:line="253" w:lineRule="auto"/>
        <w:tabs>
          <w:tab w:leader="none" w:pos="1191"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Clinical Studies</w:t>
      </w:r>
      <w:r>
        <w:rPr>
          <w:rFonts w:ascii="Arial" w:cs="Arial" w:eastAsia="Arial" w:hAnsi="Arial"/>
          <w:sz w:val="18"/>
          <w:szCs w:val="18"/>
          <w:color w:val="auto"/>
        </w:rPr>
        <w:t>. The clinical, pre-clinical and other studies and tests conducted by or, to the knowledge of the Company, on behalf of the Company were, and, if still pending, are being, conducted in accordance in all material respects with all applicable statutes, laws, rules and regulations (including, without limitation, those administered by the United States Food and Drug Administration (the “</w:t>
      </w:r>
      <w:r>
        <w:rPr>
          <w:rFonts w:ascii="Arial" w:cs="Arial" w:eastAsia="Arial" w:hAnsi="Arial"/>
          <w:sz w:val="18"/>
          <w:szCs w:val="18"/>
          <w:u w:val="single" w:color="auto"/>
          <w:color w:val="auto"/>
        </w:rPr>
        <w:t>FDA</w:t>
      </w:r>
      <w:r>
        <w:rPr>
          <w:rFonts w:ascii="Arial" w:cs="Arial" w:eastAsia="Arial" w:hAnsi="Arial"/>
          <w:sz w:val="18"/>
          <w:szCs w:val="18"/>
          <w:color w:val="auto"/>
        </w:rPr>
        <w:t>”) or by any foreign, federal, state or local governmental or regulatory authority performing functions similar to those performed by the FDA), except where the failure do so would not have a Material Adverse Effect. The Company has not received any written notices or other written correspondence from the FDA or any other foreign, federal, state or local governmental or regulatory authority performing functions similar to those performed by the FDA requiring the Company to terminate or suspend any ongoing clinical or pre-clinical studies or tests.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40" w:name="page141"/>
    <w:bookmarkEnd w:id="140"/>
    <w:p>
      <w:pPr>
        <w:jc w:val="both"/>
        <w:ind w:left="-20" w:right="200" w:firstLine="921"/>
        <w:spacing w:after="0" w:line="298" w:lineRule="auto"/>
        <w:tabs>
          <w:tab w:leader="none" w:pos="1190"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Program</w:t>
      </w:r>
      <w:r>
        <w:rPr>
          <w:rFonts w:ascii="Arial" w:cs="Arial" w:eastAsia="Arial" w:hAnsi="Arial"/>
          <w:sz w:val="16"/>
          <w:szCs w:val="16"/>
          <w:color w:val="auto"/>
        </w:rPr>
        <w:t>. The Company has established and administers a compliance program applicable to the Company, to assist the Company and the directors, officers and employees of the Company in complying with applicable regulatory guidelines (including, without limitation, those administered by the FDA and any other foreign, federal, state or local governmental or regulatory authority performing functions similar to those performed by the FDA); except where such noncompliance would not reasonably be expected to have a Material Adverse Effect.</w:t>
      </w:r>
    </w:p>
    <w:p>
      <w:pPr>
        <w:spacing w:after="0" w:line="112" w:lineRule="exact"/>
        <w:rPr>
          <w:rFonts w:ascii="Arial" w:cs="Arial" w:eastAsia="Arial" w:hAnsi="Arial"/>
          <w:sz w:val="16"/>
          <w:szCs w:val="16"/>
          <w:color w:val="auto"/>
        </w:rPr>
      </w:pPr>
    </w:p>
    <w:p>
      <w:pPr>
        <w:ind w:left="-20" w:right="180" w:firstLine="921"/>
        <w:spacing w:after="0" w:line="259" w:lineRule="auto"/>
        <w:tabs>
          <w:tab w:leader="none" w:pos="1151"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(i) Neither the Company nor any of its Subsidiaries (collectively, the “</w:t>
      </w:r>
      <w:r>
        <w:rPr>
          <w:rFonts w:ascii="Arial" w:cs="Arial" w:eastAsia="Arial" w:hAnsi="Arial"/>
          <w:sz w:val="18"/>
          <w:szCs w:val="18"/>
          <w:u w:val="single" w:color="auto"/>
          <w:color w:val="auto"/>
        </w:rPr>
        <w:t>Entity</w:t>
      </w:r>
      <w:r>
        <w:rPr>
          <w:rFonts w:ascii="Arial" w:cs="Arial" w:eastAsia="Arial" w:hAnsi="Arial"/>
          <w:sz w:val="18"/>
          <w:szCs w:val="18"/>
          <w:color w:val="auto"/>
        </w:rPr>
        <w:t>”) or, to the Company’s knowledge, any director, officer, employee, agent, affiliate or representative of the Entity, is a government, individual, or entity (in this paragraph (tt), “</w:t>
      </w:r>
      <w:r>
        <w:rPr>
          <w:rFonts w:ascii="Arial" w:cs="Arial" w:eastAsia="Arial" w:hAnsi="Arial"/>
          <w:sz w:val="18"/>
          <w:szCs w:val="18"/>
          <w:u w:val="single" w:color="auto"/>
          <w:color w:val="auto"/>
        </w:rPr>
        <w:t>Person</w:t>
      </w:r>
      <w:r>
        <w:rPr>
          <w:rFonts w:ascii="Arial" w:cs="Arial" w:eastAsia="Arial" w:hAnsi="Arial"/>
          <w:sz w:val="18"/>
          <w:szCs w:val="18"/>
          <w:color w:val="auto"/>
        </w:rPr>
        <w:t>”) that is, or is owned or controlled by a Person that is:</w:t>
      </w:r>
    </w:p>
    <w:p>
      <w:pPr>
        <w:spacing w:after="0" w:line="59" w:lineRule="exact"/>
        <w:rPr>
          <w:rFonts w:ascii="Arial" w:cs="Arial" w:eastAsia="Arial" w:hAnsi="Arial"/>
          <w:sz w:val="18"/>
          <w:szCs w:val="18"/>
          <w:color w:val="auto"/>
        </w:rPr>
      </w:pPr>
    </w:p>
    <w:p>
      <w:pPr>
        <w:ind w:left="900" w:right="40" w:firstLine="421"/>
        <w:spacing w:after="0" w:line="259" w:lineRule="auto"/>
        <w:tabs>
          <w:tab w:leader="none" w:pos="1607"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the United Nations Security Council (“</w:t>
      </w:r>
      <w:r>
        <w:rPr>
          <w:rFonts w:ascii="Arial" w:cs="Arial" w:eastAsia="Arial" w:hAnsi="Arial"/>
          <w:sz w:val="18"/>
          <w:szCs w:val="18"/>
          <w:u w:val="single" w:color="auto"/>
          <w:color w:val="auto"/>
        </w:rPr>
        <w:t>UNSC</w:t>
      </w:r>
      <w:r>
        <w:rPr>
          <w:rFonts w:ascii="Arial" w:cs="Arial" w:eastAsia="Arial" w:hAnsi="Arial"/>
          <w:sz w:val="18"/>
          <w:szCs w:val="18"/>
          <w:color w:val="auto"/>
        </w:rPr>
        <w:t>”), the European Union (“</w:t>
      </w:r>
      <w:r>
        <w:rPr>
          <w:rFonts w:ascii="Arial" w:cs="Arial" w:eastAsia="Arial" w:hAnsi="Arial"/>
          <w:sz w:val="18"/>
          <w:szCs w:val="18"/>
          <w:u w:val="single" w:color="auto"/>
          <w:color w:val="auto"/>
        </w:rPr>
        <w:t>EU</w:t>
      </w:r>
      <w:r>
        <w:rPr>
          <w:rFonts w:ascii="Arial" w:cs="Arial" w:eastAsia="Arial" w:hAnsi="Arial"/>
          <w:sz w:val="18"/>
          <w:szCs w:val="18"/>
          <w:color w:val="auto"/>
        </w:rPr>
        <w:t>”),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u w:val="single" w:color="auto"/>
          <w:color w:val="auto"/>
        </w:rPr>
        <w:t>Sanctions</w:t>
      </w:r>
      <w:r>
        <w:rPr>
          <w:rFonts w:ascii="Arial" w:cs="Arial" w:eastAsia="Arial" w:hAnsi="Arial"/>
          <w:sz w:val="18"/>
          <w:szCs w:val="18"/>
          <w:color w:val="auto"/>
        </w:rPr>
        <w:t>”), nor</w:t>
      </w:r>
    </w:p>
    <w:p>
      <w:pPr>
        <w:spacing w:after="0" w:line="59" w:lineRule="exact"/>
        <w:rPr>
          <w:rFonts w:ascii="Arial" w:cs="Arial" w:eastAsia="Arial" w:hAnsi="Arial"/>
          <w:sz w:val="18"/>
          <w:szCs w:val="18"/>
          <w:color w:val="auto"/>
        </w:rPr>
      </w:pPr>
    </w:p>
    <w:p>
      <w:pPr>
        <w:ind w:left="900" w:right="400" w:firstLine="421"/>
        <w:spacing w:after="0" w:line="268" w:lineRule="auto"/>
        <w:tabs>
          <w:tab w:leader="none" w:pos="1598" w:val="left"/>
        </w:tabs>
        <w:numPr>
          <w:ilvl w:val="2"/>
          <w:numId w:val="83"/>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North Korea, Sudan and Syria).</w:t>
      </w:r>
    </w:p>
    <w:p>
      <w:pPr>
        <w:spacing w:after="0" w:line="50" w:lineRule="exact"/>
        <w:rPr>
          <w:rFonts w:ascii="Arial" w:cs="Arial" w:eastAsia="Arial" w:hAnsi="Arial"/>
          <w:sz w:val="18"/>
          <w:szCs w:val="18"/>
          <w:color w:val="auto"/>
        </w:rPr>
      </w:pPr>
    </w:p>
    <w:p>
      <w:pPr>
        <w:ind w:left="440" w:right="600" w:firstLine="443"/>
        <w:spacing w:after="0" w:line="268" w:lineRule="auto"/>
        <w:tabs>
          <w:tab w:leader="none" w:pos="113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represents and covenants that the Entity will not, directly or indirectly, knowingly use the proceeds of the offering, or lend, contribute or otherwise make available such proceeds to any subsidiary, joint venture partner or other Person:</w:t>
      </w:r>
    </w:p>
    <w:p>
      <w:pPr>
        <w:spacing w:after="0" w:line="50" w:lineRule="exact"/>
        <w:rPr>
          <w:rFonts w:ascii="Arial" w:cs="Arial" w:eastAsia="Arial" w:hAnsi="Arial"/>
          <w:sz w:val="18"/>
          <w:szCs w:val="18"/>
          <w:color w:val="auto"/>
        </w:rPr>
      </w:pPr>
    </w:p>
    <w:p>
      <w:pPr>
        <w:ind w:left="900" w:right="560" w:firstLine="421"/>
        <w:spacing w:after="0" w:line="268" w:lineRule="auto"/>
        <w:tabs>
          <w:tab w:leader="none" w:pos="1607" w:val="left"/>
        </w:tabs>
        <w:numPr>
          <w:ilvl w:val="2"/>
          <w:numId w:val="84"/>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50" w:lineRule="exact"/>
        <w:rPr>
          <w:rFonts w:ascii="Arial" w:cs="Arial" w:eastAsia="Arial" w:hAnsi="Arial"/>
          <w:sz w:val="18"/>
          <w:szCs w:val="18"/>
          <w:color w:val="auto"/>
        </w:rPr>
      </w:pPr>
    </w:p>
    <w:p>
      <w:pPr>
        <w:ind w:left="900" w:firstLine="421"/>
        <w:spacing w:after="0" w:line="268" w:lineRule="auto"/>
        <w:tabs>
          <w:tab w:leader="none" w:pos="1598" w:val="left"/>
        </w:tabs>
        <w:numPr>
          <w:ilvl w:val="2"/>
          <w:numId w:val="84"/>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50" w:lineRule="exact"/>
        <w:rPr>
          <w:rFonts w:ascii="Arial" w:cs="Arial" w:eastAsia="Arial" w:hAnsi="Arial"/>
          <w:sz w:val="18"/>
          <w:szCs w:val="18"/>
          <w:color w:val="auto"/>
        </w:rPr>
      </w:pPr>
    </w:p>
    <w:p>
      <w:pPr>
        <w:jc w:val="both"/>
        <w:ind w:left="440" w:right="120" w:firstLine="443"/>
        <w:spacing w:after="0" w:line="259" w:lineRule="auto"/>
        <w:tabs>
          <w:tab w:leader="none" w:pos="11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represents and covenants that, except as detailed in the Prospectus, for the past five years, the Entity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40" w:lineRule="exact"/>
        <w:rPr>
          <w:rFonts w:ascii="Arial" w:cs="Arial" w:eastAsia="Arial" w:hAnsi="Arial"/>
          <w:sz w:val="18"/>
          <w:szCs w:val="18"/>
          <w:color w:val="auto"/>
        </w:rPr>
      </w:pPr>
    </w:p>
    <w:p>
      <w:pPr>
        <w:ind w:left="-20" w:right="200" w:firstLine="921"/>
        <w:spacing w:after="0" w:line="259" w:lineRule="auto"/>
        <w:tabs>
          <w:tab w:leader="none" w:pos="1229"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Stock Transfer Taxes</w:t>
      </w:r>
      <w:r>
        <w:rPr>
          <w:rFonts w:ascii="Arial" w:cs="Arial" w:eastAsia="Arial" w:hAnsi="Arial"/>
          <w:sz w:val="18"/>
          <w:szCs w:val="18"/>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in all material respects.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141" w:name="page142"/>
    <w:bookmarkEnd w:id="141"/>
    <w:p>
      <w:pPr>
        <w:ind w:right="4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certificate signed by an officer of the Company and delivered to MLV or to counsel for MLV pursuant to or in connection with this Agreement shall be deemed to be a representation and warranty by the Company, as applicable, to MLV as to the matters set forth therein.</w:t>
      </w:r>
    </w:p>
    <w:p>
      <w:pPr>
        <w:spacing w:after="0" w:line="85" w:lineRule="exact"/>
        <w:rPr>
          <w:sz w:val="20"/>
          <w:szCs w:val="20"/>
          <w:color w:val="auto"/>
        </w:rPr>
      </w:pPr>
    </w:p>
    <w:p>
      <w:pPr>
        <w:ind w:left="640" w:hanging="176"/>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MLV that:</w:t>
      </w:r>
    </w:p>
    <w:p>
      <w:pPr>
        <w:spacing w:after="0" w:line="171" w:lineRule="exact"/>
        <w:rPr>
          <w:rFonts w:ascii="Arial" w:cs="Arial" w:eastAsia="Arial" w:hAnsi="Arial"/>
          <w:sz w:val="18"/>
          <w:szCs w:val="18"/>
          <w:color w:val="auto"/>
        </w:rPr>
      </w:pPr>
    </w:p>
    <w:p>
      <w:pPr>
        <w:ind w:firstLine="921"/>
        <w:spacing w:after="0" w:line="284" w:lineRule="auto"/>
        <w:tabs>
          <w:tab w:leader="none" w:pos="1152" w:val="left"/>
        </w:tabs>
        <w:numPr>
          <w:ilvl w:val="1"/>
          <w:numId w:val="85"/>
        </w:numPr>
        <w:rPr>
          <w:rFonts w:ascii="Arial" w:cs="Arial" w:eastAsia="Arial" w:hAnsi="Arial"/>
          <w:sz w:val="16"/>
          <w:szCs w:val="16"/>
          <w:color w:val="auto"/>
        </w:rPr>
      </w:pPr>
      <w:r>
        <w:rPr>
          <w:rFonts w:ascii="Arial" w:cs="Arial" w:eastAsia="Arial" w:hAnsi="Arial"/>
          <w:sz w:val="16"/>
          <w:szCs w:val="16"/>
          <w:color w:val="auto"/>
        </w:rPr>
        <w:t>Registration Statement Amendments. After the date of this Agreement and during any period in which a Prospectus relating to any Placement Shares is required to be delivered by MLV under the Securities Act (including in circumstances where such requirement may be satisfied pursuant to Rule 172 under the Securities Act) (the “</w:t>
      </w:r>
      <w:r>
        <w:rPr>
          <w:rFonts w:ascii="Arial" w:cs="Arial" w:eastAsia="Arial" w:hAnsi="Arial"/>
          <w:sz w:val="16"/>
          <w:szCs w:val="16"/>
          <w:u w:val="single" w:color="auto"/>
          <w:color w:val="auto"/>
        </w:rPr>
        <w:t>Prospectus Delivery Period</w:t>
      </w:r>
      <w:r>
        <w:rPr>
          <w:rFonts w:ascii="Arial" w:cs="Arial" w:eastAsia="Arial" w:hAnsi="Arial"/>
          <w:sz w:val="16"/>
          <w:szCs w:val="16"/>
          <w:color w:val="auto"/>
        </w:rPr>
        <w:t>”), (i) the Company will notify MLV promptly of the time when any subsequent amendment to the Registration Statement, other than documents incorporated by reference, has been filed with the Commission and/or has become effective or any subsequent supplement to the Prospectus (other than documents incorporated by reference therein) has been filed and of any request by the Commission for any amendment or supplement to the Registration Statement or Prospectus or for additional information, (ii) the Company will not file any amendment or supplement to the Registration Statement or Prospectus (except for documents incorporated by reference therein) unless a copy thereof has been submitted to MLV at least two Business Days before the filing and MLV has not reasonably and in good faith objected thereto within two Business Days of receiving such copy (provided, however, that (A) the failure of MLV to make such objection shall not relieve the Company of any obligation or liability hereunder, or affect MLV’s right to rely on the representations and warranties made by the Company in this Agreement, (B) the Company has no obligation to provide MLV any advance copy of such filing or to provide MLV an opportunity to object to such filing if such filing does not name MLV or does not relate to the transactions contemplated by this Agreement, and (C) the only remedy MLV shall have with respect to the failure by the Company to provide MLV with such copy or the filing of such amendment or supplement despite MLV’s objection shall be to cease making sales under this Agreement) and the Company will furnish to MLV at the time of filing thereof a copy of any document that upon filing is deemed to be incorporated by reference into the Registration Statement or Prospectus, except for those documents available via EDGAR; and (iii)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objections, shall be made exclusively by the Company).</w:t>
      </w:r>
    </w:p>
    <w:p>
      <w:pPr>
        <w:spacing w:after="0" w:line="132" w:lineRule="exact"/>
        <w:rPr>
          <w:rFonts w:ascii="Arial" w:cs="Arial" w:eastAsia="Arial" w:hAnsi="Arial"/>
          <w:sz w:val="16"/>
          <w:szCs w:val="16"/>
          <w:color w:val="auto"/>
        </w:rPr>
      </w:pPr>
    </w:p>
    <w:p>
      <w:pPr>
        <w:ind w:right="400" w:firstLine="921"/>
        <w:spacing w:after="0" w:line="306" w:lineRule="auto"/>
        <w:tabs>
          <w:tab w:leader="none" w:pos="1161"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Notice of Commission Stop Orders</w:t>
      </w:r>
      <w:r>
        <w:rPr>
          <w:rFonts w:ascii="Arial" w:cs="Arial" w:eastAsia="Arial" w:hAnsi="Arial"/>
          <w:sz w:val="16"/>
          <w:szCs w:val="16"/>
          <w:color w:val="auto"/>
        </w:rPr>
        <w:t>. The Company will advise MLV,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42" w:name="page143"/>
    <w:bookmarkEnd w:id="142"/>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 promptly use its commercially reasonable efforts to prevent the issuance of any stop order or to obtain its withdrawal if such a stop order should be issued. The Company will advise MLV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13" w:lineRule="exact"/>
        <w:rPr>
          <w:sz w:val="20"/>
          <w:szCs w:val="20"/>
          <w:color w:val="auto"/>
        </w:rPr>
      </w:pPr>
    </w:p>
    <w:p>
      <w:pPr>
        <w:ind w:firstLine="921"/>
        <w:spacing w:after="0" w:line="286" w:lineRule="auto"/>
        <w:tabs>
          <w:tab w:leader="none" w:pos="1152"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Delivery of Prospectus; Subsequent Changes</w:t>
      </w:r>
      <w:r>
        <w:rPr>
          <w:rFonts w:ascii="Arial" w:cs="Arial" w:eastAsia="Arial" w:hAnsi="Arial"/>
          <w:sz w:val="16"/>
          <w:szCs w:val="16"/>
          <w:color w:val="auto"/>
        </w:rPr>
        <w:t>. During the Prospectus Delivery Period, the Company will use commercially reasonable efforts to comply in all material respects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best efforts to comply with the provisions of and make all requisite filings with the Commission pursuant to said Rule 430A and to notify MLV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MLV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any such amendment or supplement if, in the judgment of the Company, it is in the best interests of the Company to do so.</w:t>
      </w:r>
    </w:p>
    <w:p>
      <w:pPr>
        <w:spacing w:after="0" w:line="124" w:lineRule="exact"/>
        <w:rPr>
          <w:rFonts w:ascii="Arial" w:cs="Arial" w:eastAsia="Arial" w:hAnsi="Arial"/>
          <w:sz w:val="16"/>
          <w:szCs w:val="16"/>
          <w:color w:val="auto"/>
        </w:rPr>
      </w:pPr>
    </w:p>
    <w:p>
      <w:pPr>
        <w:ind w:right="360" w:firstLine="921"/>
        <w:spacing w:after="0" w:line="255" w:lineRule="auto"/>
        <w:tabs>
          <w:tab w:leader="none" w:pos="1161"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During the Prospectus Delivery Period, the Company will use its commercially reasonable efforts to cause the Placement Shares to be listed on the Exchange and to qualify the Placement Shares for sale under the securities laws of such jurisdictions as MLV reasonably designates and to continue such qualifications in effect so long as required for the distribution of the Placement Shares; provided, however, that the Company shall not be required in connection therewith to qualify as a foreign corporation or dealer in securities or file a general consent to service of process in any jurisdiction.</w:t>
      </w:r>
    </w:p>
    <w:p>
      <w:pPr>
        <w:spacing w:after="0" w:line="142" w:lineRule="exact"/>
        <w:rPr>
          <w:rFonts w:ascii="Arial" w:cs="Arial" w:eastAsia="Arial" w:hAnsi="Arial"/>
          <w:sz w:val="18"/>
          <w:szCs w:val="18"/>
          <w:color w:val="auto"/>
        </w:rPr>
      </w:pPr>
    </w:p>
    <w:p>
      <w:pPr>
        <w:ind w:right="40" w:firstLine="921"/>
        <w:spacing w:after="0" w:line="290" w:lineRule="auto"/>
        <w:tabs>
          <w:tab w:leader="none" w:pos="1152"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Delivery of Registration Statement and Prospectus</w:t>
      </w:r>
      <w:r>
        <w:rPr>
          <w:rFonts w:ascii="Arial" w:cs="Arial" w:eastAsia="Arial" w:hAnsi="Arial"/>
          <w:sz w:val="16"/>
          <w:szCs w:val="16"/>
          <w:color w:val="auto"/>
        </w:rPr>
        <w:t>. The Company will furnish to MLV and its counsel (at the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MLV may from time to time reasonably request and, at MLV’s request, will also furnish copies of the Prospectus to each exchange or market on which sales of the Placement Shares may be made; provided, however, that the Company shall not be required to furnish any document (other than the Prospectus) to MLV to the extent such document is available on EDGAR.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43" w:name="page144"/>
    <w:bookmarkEnd w:id="143"/>
    <w:p>
      <w:pPr>
        <w:jc w:val="both"/>
        <w:ind w:left="-40" w:right="120" w:firstLine="921"/>
        <w:spacing w:after="0" w:line="259" w:lineRule="auto"/>
        <w:tabs>
          <w:tab w:leader="none" w:pos="109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Statement</w:t>
      </w:r>
      <w:r>
        <w:rPr>
          <w:rFonts w:ascii="Arial" w:cs="Arial" w:eastAsia="Arial" w:hAnsi="Arial"/>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40" w:lineRule="exact"/>
        <w:rPr>
          <w:rFonts w:ascii="Arial" w:cs="Arial" w:eastAsia="Arial" w:hAnsi="Arial"/>
          <w:sz w:val="18"/>
          <w:szCs w:val="18"/>
          <w:color w:val="auto"/>
        </w:rPr>
      </w:pPr>
    </w:p>
    <w:p>
      <w:pPr>
        <w:ind w:left="1120" w:hanging="239"/>
        <w:spacing w:after="0"/>
        <w:tabs>
          <w:tab w:leader="none" w:pos="112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will use the Net Proceeds as described in the Prospectus in the section entitled “</w:t>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left="-40" w:firstLine="921"/>
        <w:spacing w:after="0" w:line="284" w:lineRule="auto"/>
        <w:tabs>
          <w:tab w:leader="none" w:pos="112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Without the prior written consent of MLV,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second (2nd) Trading Day immediately prior to the date on which any Placement Notice is delivered to MLV hereunder and ending on the second (2nd)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at any time during which a Placement Notice is pending and for two (2) Trading Days after the last sale of Placement Shares under such Placement Notice, will not directly or indirectly in any other “at the market” or continuous equity transaction offer to sell, sell, contract to sell, grant any option to sell or otherwise dispose of any shares of Common Stock (other than the Placement Shares offered pursuant to this Agreement) or securities convertible into or exchangeable for Common Stock, warrants or any rights to purchase or acquire, Common Stock prior to the termination of this Agreement with respect to Placement Shares sold pursuant to such Placement Notice; provided, however, that such restrictions will not be required in connection with the Company’s issuance or sale of (i) Common Stock, options to purchase Common Stock or stock awards or Common Stock issuable upon the exercise of options or vesting of stock awards,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MLV and (iii) Common Stock, or securities convertible into or exercisable for Common Stock, offered and sold in a privately negotiated transaction to vendors, customers, investors, strategic partners or potential strategic partners and conducted in a manner so as not to be integrated with the offering of Common Stock hereby.</w:t>
      </w:r>
    </w:p>
    <w:p>
      <w:pPr>
        <w:spacing w:after="0" w:line="132" w:lineRule="exact"/>
        <w:rPr>
          <w:rFonts w:ascii="Arial" w:cs="Arial" w:eastAsia="Arial" w:hAnsi="Arial"/>
          <w:sz w:val="16"/>
          <w:szCs w:val="16"/>
          <w:color w:val="auto"/>
        </w:rPr>
      </w:pPr>
    </w:p>
    <w:p>
      <w:pPr>
        <w:ind w:left="-40" w:right="80" w:firstLine="921"/>
        <w:spacing w:after="0" w:line="259" w:lineRule="auto"/>
        <w:tabs>
          <w:tab w:leader="none" w:pos="108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The Company will, at any time during the pendency of a Placement Notice advise MLV promptly after it shall have received notice or obtained knowledge thereof, of any information or fact that would alter or affect in any material respect any opinion, certificate, letter or other document required to be provided to MLV pursuant to this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80" w:top="280" w:right="279" w:bottom="1440" w:gutter="0" w:footer="0" w:header="0"/>
        </w:sectPr>
      </w:pPr>
    </w:p>
    <w:bookmarkStart w:id="144" w:name="page145"/>
    <w:bookmarkEnd w:id="144"/>
    <w:p>
      <w:pPr>
        <w:ind w:firstLine="921"/>
        <w:spacing w:after="0" w:line="256" w:lineRule="auto"/>
        <w:tabs>
          <w:tab w:leader="none" w:pos="1122" w:val="left"/>
        </w:tabs>
        <w:numPr>
          <w:ilvl w:val="2"/>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Diligence Cooperation</w:t>
      </w:r>
      <w:r>
        <w:rPr>
          <w:rFonts w:ascii="Arial" w:cs="Arial" w:eastAsia="Arial" w:hAnsi="Arial"/>
          <w:sz w:val="18"/>
          <w:szCs w:val="18"/>
          <w:color w:val="auto"/>
        </w:rPr>
        <w:t>. The Company will cooperate with any reasonable due diligence review conducted by MLV or its representatives in connection with the transactions contemplated hereby, including, without limitation, providing information and making available documents and senior corporate officers, during regular business hours and at the Company’s principal offices or such other location mutually agreeable by the parties, as MLV may reasonably request.</w:t>
      </w:r>
    </w:p>
    <w:p>
      <w:pPr>
        <w:spacing w:after="0" w:line="143" w:lineRule="exact"/>
        <w:rPr>
          <w:rFonts w:ascii="Arial" w:cs="Arial" w:eastAsia="Arial" w:hAnsi="Arial"/>
          <w:sz w:val="18"/>
          <w:szCs w:val="18"/>
          <w:color w:val="auto"/>
        </w:rPr>
      </w:pPr>
    </w:p>
    <w:p>
      <w:pPr>
        <w:ind w:firstLine="921"/>
        <w:spacing w:after="0" w:line="283" w:lineRule="auto"/>
        <w:tabs>
          <w:tab w:leader="none" w:pos="1161" w:val="left"/>
        </w:tabs>
        <w:numPr>
          <w:ilvl w:val="2"/>
          <w:numId w:val="88"/>
        </w:numPr>
        <w:rPr>
          <w:rFonts w:ascii="Arial" w:cs="Arial" w:eastAsia="Arial" w:hAnsi="Arial"/>
          <w:sz w:val="16"/>
          <w:szCs w:val="16"/>
          <w:color w:val="auto"/>
        </w:rPr>
      </w:pPr>
      <w:r>
        <w:rPr>
          <w:rFonts w:ascii="Arial" w:cs="Arial" w:eastAsia="Arial" w:hAnsi="Arial"/>
          <w:sz w:val="16"/>
          <w:szCs w:val="16"/>
          <w:u w:val="single" w:color="auto"/>
          <w:color w:val="auto"/>
        </w:rPr>
        <w:t>Required Filings Relating to Placement of Placement Shares</w:t>
      </w:r>
      <w:r>
        <w:rPr>
          <w:rFonts w:ascii="Arial" w:cs="Arial" w:eastAsia="Arial" w:hAnsi="Arial"/>
          <w:sz w:val="16"/>
          <w:szCs w:val="16"/>
          <w:color w:val="auto"/>
        </w:rPr>
        <w:t>. The Company agrees that on such dates as the Securities Act shall require, the Company will (i) file a prospectus supplement with the Commission under the applicable paragraph of Rule 424(b) under the Securities Act (the date of each and every such filing under Rule 424(b), a “</w:t>
      </w:r>
      <w:r>
        <w:rPr>
          <w:rFonts w:ascii="Arial" w:cs="Arial" w:eastAsia="Arial" w:hAnsi="Arial"/>
          <w:sz w:val="16"/>
          <w:szCs w:val="16"/>
          <w:u w:val="single" w:color="auto"/>
          <w:color w:val="auto"/>
        </w:rPr>
        <w:t>Filing Date</w:t>
      </w:r>
      <w:r>
        <w:rPr>
          <w:rFonts w:ascii="Arial" w:cs="Arial" w:eastAsia="Arial" w:hAnsi="Arial"/>
          <w:sz w:val="16"/>
          <w:szCs w:val="16"/>
          <w:color w:val="auto"/>
        </w:rPr>
        <w:t>”), which prospectus supplement will set forth, within the relevant period, the amount of Placement Shares sold through MLV, the Net Proceeds to the Company and the compensation payable by the Company to MLV with respect to such Placement Shares, and</w:t>
      </w:r>
    </w:p>
    <w:p>
      <w:pPr>
        <w:spacing w:after="0" w:line="2" w:lineRule="exact"/>
        <w:rPr>
          <w:rFonts w:ascii="Arial" w:cs="Arial" w:eastAsia="Arial" w:hAnsi="Arial"/>
          <w:sz w:val="16"/>
          <w:szCs w:val="16"/>
          <w:color w:val="auto"/>
        </w:rPr>
      </w:pPr>
    </w:p>
    <w:p>
      <w:pPr>
        <w:ind w:right="120" w:firstLine="8"/>
        <w:spacing w:after="0" w:line="261" w:lineRule="auto"/>
        <w:tabs>
          <w:tab w:leader="none" w:pos="2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deliver such number of copies of each such prospectus supplement to each exchange or market on which such sales were effected as may be required by the rules or regulations of such exchange or market.</w:t>
      </w:r>
    </w:p>
    <w:p>
      <w:pPr>
        <w:spacing w:after="0" w:line="137" w:lineRule="exact"/>
        <w:rPr>
          <w:rFonts w:ascii="Arial" w:cs="Arial" w:eastAsia="Arial" w:hAnsi="Arial"/>
          <w:sz w:val="18"/>
          <w:szCs w:val="18"/>
          <w:color w:val="auto"/>
        </w:rPr>
      </w:pPr>
    </w:p>
    <w:p>
      <w:pPr>
        <w:ind w:left="1140" w:hanging="219"/>
        <w:spacing w:after="0"/>
        <w:tabs>
          <w:tab w:leader="none" w:pos="1140" w:val="left"/>
        </w:tabs>
        <w:numPr>
          <w:ilvl w:val="2"/>
          <w:numId w:val="89"/>
        </w:numPr>
        <w:rPr>
          <w:rFonts w:ascii="Arial" w:cs="Arial" w:eastAsia="Arial" w:hAnsi="Arial"/>
          <w:sz w:val="16"/>
          <w:szCs w:val="16"/>
          <w:color w:val="auto"/>
        </w:rPr>
      </w:pPr>
      <w:r>
        <w:rPr>
          <w:rFonts w:ascii="Arial" w:cs="Arial" w:eastAsia="Arial" w:hAnsi="Arial"/>
          <w:sz w:val="16"/>
          <w:szCs w:val="16"/>
          <w:color w:val="auto"/>
        </w:rPr>
        <w:t>Representation Dates; Certificate. On the date of this Agreement and each time during the term of this Agreement the Company:</w:t>
      </w:r>
    </w:p>
    <w:p>
      <w:pPr>
        <w:spacing w:after="0" w:line="113" w:lineRule="exact"/>
        <w:rPr>
          <w:rFonts w:ascii="Arial" w:cs="Arial" w:eastAsia="Arial" w:hAnsi="Arial"/>
          <w:sz w:val="16"/>
          <w:szCs w:val="16"/>
          <w:color w:val="auto"/>
        </w:rPr>
      </w:pPr>
    </w:p>
    <w:p>
      <w:pPr>
        <w:ind w:left="460" w:right="20" w:firstLine="443"/>
        <w:spacing w:after="0" w:line="256" w:lineRule="auto"/>
        <w:tabs>
          <w:tab w:leader="none" w:pos="1108" w:val="left"/>
        </w:tabs>
        <w:numPr>
          <w:ilvl w:val="1"/>
          <w:numId w:val="89"/>
        </w:numPr>
        <w:rPr>
          <w:rFonts w:ascii="Arial" w:cs="Arial" w:eastAsia="Arial" w:hAnsi="Arial"/>
          <w:sz w:val="18"/>
          <w:szCs w:val="18"/>
          <w:color w:val="auto"/>
        </w:rPr>
      </w:pPr>
      <w:r>
        <w:rPr>
          <w:rFonts w:ascii="Arial" w:cs="Arial" w:eastAsia="Arial" w:hAnsi="Arial"/>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62" w:lineRule="exact"/>
        <w:rPr>
          <w:rFonts w:ascii="Arial" w:cs="Arial" w:eastAsia="Arial" w:hAnsi="Arial"/>
          <w:sz w:val="18"/>
          <w:szCs w:val="18"/>
          <w:color w:val="auto"/>
        </w:rPr>
      </w:pPr>
    </w:p>
    <w:p>
      <w:pPr>
        <w:ind w:left="460" w:right="100" w:firstLine="443"/>
        <w:spacing w:after="0" w:line="268" w:lineRule="auto"/>
        <w:tabs>
          <w:tab w:leader="none" w:pos="1157" w:val="left"/>
        </w:tabs>
        <w:numPr>
          <w:ilvl w:val="1"/>
          <w:numId w:val="89"/>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 (including any Form 10-K/A containing restated financial statements or a material amendment to the previously filed Form 10-K);</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files its quarterly reports on Form 10-Q under the Exchange Act; or</w:t>
      </w:r>
    </w:p>
    <w:p>
      <w:pPr>
        <w:spacing w:after="0" w:line="90" w:lineRule="exact"/>
        <w:rPr>
          <w:rFonts w:ascii="Arial" w:cs="Arial" w:eastAsia="Arial" w:hAnsi="Arial"/>
          <w:sz w:val="18"/>
          <w:szCs w:val="18"/>
          <w:color w:val="auto"/>
        </w:rPr>
      </w:pPr>
    </w:p>
    <w:p>
      <w:pPr>
        <w:ind w:left="460" w:right="40" w:firstLine="443"/>
        <w:spacing w:after="0" w:line="306" w:lineRule="auto"/>
        <w:tabs>
          <w:tab w:leader="none" w:pos="1196" w:val="left"/>
        </w:tabs>
        <w:numPr>
          <w:ilvl w:val="1"/>
          <w:numId w:val="89"/>
        </w:numPr>
        <w:rPr>
          <w:rFonts w:ascii="Arial" w:cs="Arial" w:eastAsia="Arial" w:hAnsi="Arial"/>
          <w:sz w:val="16"/>
          <w:szCs w:val="16"/>
          <w:color w:val="auto"/>
        </w:rPr>
      </w:pPr>
      <w:r>
        <w:rPr>
          <w:rFonts w:ascii="Arial" w:cs="Arial" w:eastAsia="Arial" w:hAnsi="Arial"/>
          <w:sz w:val="16"/>
          <w:szCs w:val="16"/>
          <w:color w:val="auto"/>
        </w:rPr>
        <w:t>files a current report on Form 8-K containing amended audited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date of filing of one or more of the documents referred to in clauses (i) through (iv)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shall furnish MLV (but in the case of clause (iv) above only if MLV reasonably determines that the information contained in such Form 8-K is material) with a certificate, in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145" w:name="page146"/>
    <w:bookmarkEnd w:id="145"/>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attached hereto as Exhibit 7(l). The requirement to provide a certificate under this Section 7(l) shall be automatically waived for any Representation Date occurring at a time at which no Placement Notice is pending, which waiver shall continue until the date the Company delivers a Placement Notice hereunder (which for such calendar quarter shall be considered a Representation Date); provided, however, 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MLV with a certificate under this Section 7(l), then before the Company delivers the Placement Notice or MLV sells any Placement Shares, the Company shall provide MLV with a certificate, in the form attached hereto as Exhibit 7(l), dated the date of the Placement Notice.</w:t>
      </w:r>
    </w:p>
    <w:p>
      <w:pPr>
        <w:spacing w:after="0" w:line="118" w:lineRule="exact"/>
        <w:rPr>
          <w:sz w:val="20"/>
          <w:szCs w:val="20"/>
          <w:color w:val="auto"/>
        </w:rPr>
      </w:pPr>
    </w:p>
    <w:p>
      <w:pPr>
        <w:ind w:right="20" w:firstLine="921"/>
        <w:spacing w:after="0" w:line="307" w:lineRule="auto"/>
        <w:tabs>
          <w:tab w:leader="none" w:pos="1210"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Legal Opinion</w:t>
      </w:r>
      <w:r>
        <w:rPr>
          <w:rFonts w:ascii="Arial" w:cs="Arial" w:eastAsia="Arial" w:hAnsi="Arial"/>
          <w:sz w:val="15"/>
          <w:szCs w:val="15"/>
          <w:color w:val="auto"/>
        </w:rPr>
        <w:t>. On or prior to the date of the first Placement Notice given hereunder, the Company shall cause to be furnished to MLV a written opinion and letter of Cooley LLP (“</w:t>
      </w:r>
      <w:r>
        <w:rPr>
          <w:rFonts w:ascii="Arial" w:cs="Arial" w:eastAsia="Arial" w:hAnsi="Arial"/>
          <w:sz w:val="15"/>
          <w:szCs w:val="15"/>
          <w:u w:val="single" w:color="auto"/>
          <w:color w:val="auto"/>
        </w:rPr>
        <w:t>Company Counsel</w:t>
      </w:r>
      <w:r>
        <w:rPr>
          <w:rFonts w:ascii="Arial" w:cs="Arial" w:eastAsia="Arial" w:hAnsi="Arial"/>
          <w:sz w:val="15"/>
          <w:szCs w:val="15"/>
          <w:color w:val="auto"/>
        </w:rPr>
        <w:t>”), or such other counsel reasonably satisfactory to MLV, covering opinions and statements substantially in the forms attached hereto as Exhibits 7(m)(1) and 7(m)(2). Thereafter within five (5) Trading Days of each Representation Date with respect to which the Company is obligated to deliver a certificate in the form attached hereto as Exhibit 7(l) for which no waiver is applicable, the Company shall cause to be furnished to MLV a letter of Company Counsel, or other counsel reasonably satisfactory to MLV, covering statements substantially in the form attached hereto as Exhibits 7(m)(2), modified, as necessary, to relate to the Registration Statement and the Prospectus as then amended or supplemented; provided, however, the Company shall be required to furnish to MLV no more than one letter hereunder per calendar quarter and the Company shall not be required to furnish letter if the Company does not intend to deliver a Placement Notice in such calendar quarter until such time as the Company delivers its next Placement Notice; provided, further, that in lieu of such letters for subsequent periodic filings under the Exchange Act, counsel may furnish MLV with a letter (a “</w:t>
      </w:r>
      <w:r>
        <w:rPr>
          <w:rFonts w:ascii="Arial" w:cs="Arial" w:eastAsia="Arial" w:hAnsi="Arial"/>
          <w:sz w:val="15"/>
          <w:szCs w:val="15"/>
          <w:u w:val="single" w:color="auto"/>
          <w:color w:val="auto"/>
        </w:rPr>
        <w:t>Reliance Letter</w:t>
      </w:r>
      <w:r>
        <w:rPr>
          <w:rFonts w:ascii="Arial" w:cs="Arial" w:eastAsia="Arial" w:hAnsi="Arial"/>
          <w:sz w:val="15"/>
          <w:szCs w:val="15"/>
          <w:color w:val="auto"/>
        </w:rPr>
        <w:t>”) to the effect that MLV may rely on a prior letter delivered under this Section 7(m) to the same extent as if it were dated the date of such letter (except that statements in such prior letter shall be deemed to relate to the Registration Statement and the Prospectus as amended or supplemented as of the date of the Reliance Letter).</w:t>
      </w:r>
    </w:p>
    <w:p>
      <w:pPr>
        <w:spacing w:after="0" w:line="111" w:lineRule="exact"/>
        <w:rPr>
          <w:rFonts w:ascii="Arial" w:cs="Arial" w:eastAsia="Arial" w:hAnsi="Arial"/>
          <w:sz w:val="15"/>
          <w:szCs w:val="15"/>
          <w:color w:val="auto"/>
        </w:rPr>
      </w:pPr>
    </w:p>
    <w:p>
      <w:pPr>
        <w:ind w:firstLine="921"/>
        <w:spacing w:after="0" w:line="288" w:lineRule="auto"/>
        <w:tabs>
          <w:tab w:leader="none" w:pos="1161"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Comfort Letter</w:t>
      </w:r>
      <w:r>
        <w:rPr>
          <w:rFonts w:ascii="Arial" w:cs="Arial" w:eastAsia="Arial" w:hAnsi="Arial"/>
          <w:sz w:val="16"/>
          <w:szCs w:val="16"/>
          <w:color w:val="auto"/>
        </w:rPr>
        <w:t>. On or prior to the date the first Placement Notice is given hereunder and thereafter within five (5) Trading Days after each Representation Date referred to in Section 7(l)(ii), the Company shall cause its independent accountants to furnish MLV letters (the “</w:t>
      </w:r>
      <w:r>
        <w:rPr>
          <w:rFonts w:ascii="Arial" w:cs="Arial" w:eastAsia="Arial" w:hAnsi="Arial"/>
          <w:sz w:val="16"/>
          <w:szCs w:val="16"/>
          <w:u w:val="single" w:color="auto"/>
          <w:color w:val="auto"/>
        </w:rPr>
        <w:t>Comfort Letters</w:t>
      </w:r>
      <w:r>
        <w:rPr>
          <w:rFonts w:ascii="Arial" w:cs="Arial" w:eastAsia="Arial" w:hAnsi="Arial"/>
          <w:sz w:val="16"/>
          <w:szCs w:val="16"/>
          <w:color w:val="auto"/>
        </w:rPr>
        <w:t>”), dated the date the Comfort Letter is delivered, which shall meet the requirements set forth in this Section 7(n); provided, that if requested by MLV, the Company shall cause a Comfort Letter to be furnished to MLV prior to the tenth (10th) Trading Day after the date of occurrence of any material transaction or event (including the restatement of the Company’s financial statements) requiring the filing of a current report on Form 8-K containing material financial information and the date the first Placement Notice is given hereunder following such a material transaction or event, whichever is later. The Comfort Letter from the Company’s independent accountants shall be in a form and substance reasonably satisfactory to MLV, (i) confirming that they are an independent public accounting firm within the meaning of the Securities Act and the PCAOB, (ii) stating, as of such date, the conclusions and findings of such firm with respect to the financial information and other matters ordinarily covered by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46" w:name="page147"/>
    <w:bookmarkEnd w:id="146"/>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accountants’ “comfort letters” to underwriters in connection with registered public offerings (the first such letter, the “</w:t>
      </w:r>
      <w:r>
        <w:rPr>
          <w:rFonts w:ascii="Arial" w:cs="Arial" w:eastAsia="Arial" w:hAnsi="Arial"/>
          <w:sz w:val="16"/>
          <w:szCs w:val="16"/>
          <w:u w:val="single" w:color="auto"/>
          <w:color w:val="auto"/>
        </w:rPr>
        <w:t>Initial Comfort Letter</w:t>
      </w:r>
      <w:r>
        <w:rPr>
          <w:rFonts w:ascii="Arial" w:cs="Arial" w:eastAsia="Arial" w:hAnsi="Arial"/>
          <w:sz w:val="16"/>
          <w:szCs w:val="16"/>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07" w:lineRule="exact"/>
        <w:rPr>
          <w:sz w:val="20"/>
          <w:szCs w:val="20"/>
          <w:color w:val="auto"/>
        </w:rPr>
      </w:pPr>
    </w:p>
    <w:p>
      <w:pPr>
        <w:ind w:firstLine="921"/>
        <w:spacing w:after="0" w:line="256" w:lineRule="auto"/>
        <w:tabs>
          <w:tab w:leader="none" w:pos="116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MLV.</w:t>
      </w:r>
    </w:p>
    <w:p>
      <w:pPr>
        <w:spacing w:after="0" w:line="143" w:lineRule="exact"/>
        <w:rPr>
          <w:rFonts w:ascii="Arial" w:cs="Arial" w:eastAsia="Arial" w:hAnsi="Arial"/>
          <w:sz w:val="18"/>
          <w:szCs w:val="18"/>
          <w:color w:val="auto"/>
        </w:rPr>
      </w:pPr>
    </w:p>
    <w:p>
      <w:pPr>
        <w:ind w:right="540" w:firstLine="921"/>
        <w:spacing w:after="0" w:line="259" w:lineRule="auto"/>
        <w:tabs>
          <w:tab w:leader="none" w:pos="116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40" w:lineRule="exact"/>
        <w:rPr>
          <w:rFonts w:ascii="Arial" w:cs="Arial" w:eastAsia="Arial" w:hAnsi="Arial"/>
          <w:sz w:val="18"/>
          <w:szCs w:val="18"/>
          <w:color w:val="auto"/>
        </w:rPr>
      </w:pPr>
    </w:p>
    <w:p>
      <w:pPr>
        <w:ind w:right="20" w:firstLine="921"/>
        <w:spacing w:after="0" w:line="285" w:lineRule="auto"/>
        <w:tabs>
          <w:tab w:leader="none" w:pos="1161"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Sarbanes-Oxley Act</w:t>
      </w:r>
      <w:r>
        <w:rPr>
          <w:rFonts w:ascii="Arial" w:cs="Arial" w:eastAsia="Arial" w:hAnsi="Arial"/>
          <w:sz w:val="16"/>
          <w:szCs w:val="16"/>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47" w:name="page148"/>
    <w:bookmarkEnd w:id="147"/>
    <w:p>
      <w:pPr>
        <w:ind w:left="-120" w:right="40" w:firstLine="464"/>
        <w:spacing w:after="0" w:line="291" w:lineRule="auto"/>
        <w:tabs>
          <w:tab w:leader="none" w:pos="512"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Covenants of MLV</w:t>
      </w:r>
      <w:r>
        <w:rPr>
          <w:rFonts w:ascii="Arial" w:cs="Arial" w:eastAsia="Arial" w:hAnsi="Arial"/>
          <w:sz w:val="16"/>
          <w:szCs w:val="16"/>
          <w:color w:val="auto"/>
        </w:rPr>
        <w:t>. MLV represents and warrants that it is duly registered as a broker-dealer under FINRA, the Exchange Act and the applicable statutes and regulations of each state in which the Placement Shares will be offered and sold, except such states in which MLV is exempt from registration or such registration is not otherwise required. MLV shall continue, for the term of this Agreement, to be duly registered as a broker-dealer under FINRA, the Exchange Act and the applicable statutes and regulations of each state in which the Placement Shares will be offered and sold, except such states in which MLV is exempt from registration or such registration is not otherwise required, during the term of this Agreement. MLV will comply with all applicable laws and regulations (including, without limitation, Regulation M) in connection with performing its obligations under this Agreement.</w:t>
      </w:r>
    </w:p>
    <w:p>
      <w:pPr>
        <w:spacing w:after="0" w:line="120" w:lineRule="exact"/>
        <w:rPr>
          <w:rFonts w:ascii="Arial" w:cs="Arial" w:eastAsia="Arial" w:hAnsi="Arial"/>
          <w:sz w:val="16"/>
          <w:szCs w:val="16"/>
          <w:color w:val="auto"/>
        </w:rPr>
      </w:pPr>
    </w:p>
    <w:p>
      <w:pPr>
        <w:ind w:left="520" w:hanging="176"/>
        <w:spacing w:after="0"/>
        <w:tabs>
          <w:tab w:leader="none" w:pos="52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20" w:firstLine="921"/>
        <w:spacing w:after="0" w:line="309" w:lineRule="auto"/>
        <w:tabs>
          <w:tab w:leader="none" w:pos="1032" w:val="left"/>
        </w:tabs>
        <w:numPr>
          <w:ilvl w:val="1"/>
          <w:numId w:val="92"/>
        </w:numPr>
        <w:rPr>
          <w:rFonts w:ascii="Arial" w:cs="Arial" w:eastAsia="Arial" w:hAnsi="Arial"/>
          <w:sz w:val="15"/>
          <w:szCs w:val="15"/>
          <w:color w:val="auto"/>
        </w:rPr>
      </w:pPr>
      <w:r>
        <w:rPr>
          <w:rFonts w:ascii="Arial" w:cs="Arial" w:eastAsia="Arial" w:hAnsi="Arial"/>
          <w:sz w:val="15"/>
          <w:szCs w:val="15"/>
          <w:color w:val="auto"/>
        </w:rPr>
        <w:t>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Issuer Free Writing Prospectus, in such number as MLV shall reasonably deem necessary, (ii) the printing and delivery to MLV of this Agreement and such other documents as may be required in connection with the offering, purchase, sale, issuance or delivery of the Placement Shares, (iii) the preparation, issuance and delivery of the certificates, if any, for the Placement Shares to MLV, including any stock or other transfer taxes and any capital duties, stamp duties or other duties or taxes payable upon the sale, issuance or delivery of the Placement Shares to MLV, (iv) the fees and disbursements of the counsel, accountants and other advisors to the Company, (v) the reasonable fees and disbursements of counsel to MLV, up to a maximum amount of $25,000, (vi) the fees and expenses of the transfer agent and registrar for the Common Stock, (vii) the filing fees incident to any review by FINRA of the terms of the sale of the Placement Shares, and (viii) the fees and expenses incurred in connection with the listing of the Placement Shares on the Exchange.</w:t>
      </w:r>
    </w:p>
    <w:p>
      <w:pPr>
        <w:spacing w:after="0" w:line="108" w:lineRule="exact"/>
        <w:rPr>
          <w:rFonts w:ascii="Arial" w:cs="Arial" w:eastAsia="Arial" w:hAnsi="Arial"/>
          <w:sz w:val="15"/>
          <w:szCs w:val="15"/>
          <w:color w:val="auto"/>
        </w:rPr>
      </w:pPr>
    </w:p>
    <w:p>
      <w:pPr>
        <w:jc w:val="both"/>
        <w:ind w:left="-120" w:right="560" w:firstLine="921"/>
        <w:spacing w:after="0" w:line="306" w:lineRule="auto"/>
        <w:tabs>
          <w:tab w:leader="none" w:pos="1042" w:val="left"/>
        </w:tabs>
        <w:numPr>
          <w:ilvl w:val="1"/>
          <w:numId w:val="92"/>
        </w:numPr>
        <w:rPr>
          <w:rFonts w:ascii="Arial" w:cs="Arial" w:eastAsia="Arial" w:hAnsi="Arial"/>
          <w:sz w:val="16"/>
          <w:szCs w:val="16"/>
          <w:color w:val="auto"/>
        </w:rPr>
      </w:pPr>
      <w:r>
        <w:rPr>
          <w:rFonts w:ascii="Arial" w:cs="Arial" w:eastAsia="Arial" w:hAnsi="Arial"/>
          <w:sz w:val="16"/>
          <w:szCs w:val="16"/>
          <w:color w:val="auto"/>
        </w:rPr>
        <w:t>If this Agreement is terminated by MLV in accordance with the provisions of Section 13(a) hereof as a result of a material breach by the Company of its obligations hereunder, the Company shall reimburse MLV for all of its reasonable out-of-pocket expenses, including reasonable fees and disbursements of counsel for MLV (less any amounts paid under clause (a)(v) above) up to a maximum of $25,000.</w:t>
      </w:r>
    </w:p>
    <w:p>
      <w:pPr>
        <w:spacing w:after="0" w:line="106" w:lineRule="exact"/>
        <w:rPr>
          <w:rFonts w:ascii="Arial" w:cs="Arial" w:eastAsia="Arial" w:hAnsi="Arial"/>
          <w:sz w:val="16"/>
          <w:szCs w:val="16"/>
          <w:color w:val="auto"/>
        </w:rPr>
      </w:pPr>
    </w:p>
    <w:p>
      <w:pPr>
        <w:ind w:left="-120" w:right="240" w:firstLine="464"/>
        <w:spacing w:after="0" w:line="256" w:lineRule="auto"/>
        <w:tabs>
          <w:tab w:leader="none" w:pos="6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Conditions to MLV’s Obligations</w:t>
      </w:r>
      <w:r>
        <w:rPr>
          <w:rFonts w:ascii="Arial" w:cs="Arial" w:eastAsia="Arial" w:hAnsi="Arial"/>
          <w:sz w:val="18"/>
          <w:szCs w:val="18"/>
          <w:color w:val="auto"/>
        </w:rPr>
        <w:t>. The obligations of MLV hereunder with respect to a Placement will be subject to the continuing accuracy and completeness of the representations and warranties made by the Company herein, to the due performance by the Company of its obligations hereunder, to the completion by MLV of a due diligence review satisfactory to it in its reasonable judgment, and to the continuing satisfaction (or waiver by MLV in its sole discretion) of the following additional conditions:</w:t>
      </w:r>
    </w:p>
    <w:p>
      <w:pPr>
        <w:spacing w:after="0" w:line="143" w:lineRule="exact"/>
        <w:rPr>
          <w:rFonts w:ascii="Arial" w:cs="Arial" w:eastAsia="Arial" w:hAnsi="Arial"/>
          <w:sz w:val="18"/>
          <w:szCs w:val="18"/>
          <w:color w:val="auto"/>
        </w:rPr>
      </w:pPr>
    </w:p>
    <w:p>
      <w:pPr>
        <w:ind w:left="-120" w:right="280" w:firstLine="921"/>
        <w:spacing w:after="0" w:line="268" w:lineRule="auto"/>
        <w:tabs>
          <w:tab w:leader="none" w:pos="1032"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Registration Statement Effective</w:t>
      </w:r>
      <w:r>
        <w:rPr>
          <w:rFonts w:ascii="Arial" w:cs="Arial" w:eastAsia="Arial" w:hAnsi="Arial"/>
          <w:sz w:val="18"/>
          <w:szCs w:val="18"/>
          <w:color w:val="auto"/>
        </w:rPr>
        <w:t>. The Registration Statement shall have become effective and shall be available for the sale of all Placement Shares contemplated to be issued by any Placement Notice.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60" w:top="280" w:right="359" w:bottom="1440" w:gutter="0" w:footer="0" w:header="0"/>
        </w:sectPr>
      </w:pPr>
    </w:p>
    <w:bookmarkStart w:id="148" w:name="page149"/>
    <w:bookmarkEnd w:id="148"/>
    <w:p>
      <w:pPr>
        <w:ind w:left="-20" w:right="60" w:firstLine="921"/>
        <w:spacing w:after="0" w:line="286" w:lineRule="auto"/>
        <w:tabs>
          <w:tab w:leader="none" w:pos="1141"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Notices</w:t>
      </w:r>
      <w:r>
        <w:rPr>
          <w:rFonts w:ascii="Arial" w:cs="Arial" w:eastAsia="Arial" w:hAnsi="Arial"/>
          <w:sz w:val="16"/>
          <w:szCs w:val="16"/>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the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24" w:lineRule="exact"/>
        <w:rPr>
          <w:rFonts w:ascii="Arial" w:cs="Arial" w:eastAsia="Arial" w:hAnsi="Arial"/>
          <w:sz w:val="16"/>
          <w:szCs w:val="16"/>
          <w:color w:val="auto"/>
        </w:rPr>
      </w:pPr>
    </w:p>
    <w:p>
      <w:pPr>
        <w:ind w:left="-20" w:firstLine="921"/>
        <w:spacing w:after="0" w:line="259" w:lineRule="auto"/>
        <w:tabs>
          <w:tab w:leader="none" w:pos="113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MLV shall not have advised the Company that the Registration Statement or Prospectus, or any amendment or supplement thereto, contains an untrue statement of fact that in MLV’s reasonable opinion is material, or omits to state a fact that in MLV’s opinion is material and is required to be stated therein or is necessary to make the statements therein not misleading.</w:t>
      </w:r>
    </w:p>
    <w:p>
      <w:pPr>
        <w:spacing w:after="0" w:line="140" w:lineRule="exact"/>
        <w:rPr>
          <w:rFonts w:ascii="Arial" w:cs="Arial" w:eastAsia="Arial" w:hAnsi="Arial"/>
          <w:sz w:val="18"/>
          <w:szCs w:val="18"/>
          <w:color w:val="auto"/>
        </w:rPr>
      </w:pPr>
    </w:p>
    <w:p>
      <w:pPr>
        <w:ind w:left="-20" w:right="260" w:firstLine="921"/>
        <w:spacing w:after="0" w:line="306" w:lineRule="auto"/>
        <w:tabs>
          <w:tab w:leader="none" w:pos="1141"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in the business or affairs of the Company that could reasonably be expected to cause a Material Adverse Effect.</w:t>
      </w:r>
    </w:p>
    <w:p>
      <w:pPr>
        <w:spacing w:after="0" w:line="106" w:lineRule="exact"/>
        <w:rPr>
          <w:rFonts w:ascii="Arial" w:cs="Arial" w:eastAsia="Arial" w:hAnsi="Arial"/>
          <w:sz w:val="16"/>
          <w:szCs w:val="16"/>
          <w:color w:val="auto"/>
        </w:rPr>
      </w:pPr>
    </w:p>
    <w:p>
      <w:pPr>
        <w:ind w:left="-20" w:right="120" w:firstLine="921"/>
        <w:spacing w:after="0" w:line="268" w:lineRule="auto"/>
        <w:tabs>
          <w:tab w:leader="none" w:pos="113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MLV shall have received the opinions of Company Counsel required to be delivered pursuant Section 7(m) on or before the date on which such delivery of such opinions are required pursuant to Section 7(m).</w:t>
      </w:r>
    </w:p>
    <w:p>
      <w:pPr>
        <w:spacing w:after="0" w:line="131" w:lineRule="exact"/>
        <w:rPr>
          <w:rFonts w:ascii="Arial" w:cs="Arial" w:eastAsia="Arial" w:hAnsi="Arial"/>
          <w:sz w:val="18"/>
          <w:szCs w:val="18"/>
          <w:color w:val="auto"/>
        </w:rPr>
      </w:pPr>
    </w:p>
    <w:p>
      <w:pPr>
        <w:ind w:left="-20" w:right="180" w:firstLine="921"/>
        <w:spacing w:after="0" w:line="268" w:lineRule="auto"/>
        <w:tabs>
          <w:tab w:leader="none" w:pos="1112"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MLV shall have received the Comfort Letter required to be delivered pursuant Section 7(n) on or before the date on which such delivery of such letter is required pursuant to Section 7(n).</w:t>
      </w:r>
    </w:p>
    <w:p>
      <w:pPr>
        <w:spacing w:after="0" w:line="131" w:lineRule="exact"/>
        <w:rPr>
          <w:rFonts w:ascii="Arial" w:cs="Arial" w:eastAsia="Arial" w:hAnsi="Arial"/>
          <w:sz w:val="18"/>
          <w:szCs w:val="18"/>
          <w:color w:val="auto"/>
        </w:rPr>
      </w:pPr>
    </w:p>
    <w:p>
      <w:pPr>
        <w:ind w:left="-20" w:right="420" w:firstLine="921"/>
        <w:spacing w:after="0" w:line="268" w:lineRule="auto"/>
        <w:tabs>
          <w:tab w:leader="none" w:pos="114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MLV shall have received the certificate required to be delivered pursuant to Section 7(l) on or before the date on which delivery of such certificate is required pursuant to Section 7(l).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60" w:top="280" w:right="239" w:bottom="1440" w:gutter="0" w:footer="0" w:header="0"/>
        </w:sectPr>
      </w:pPr>
    </w:p>
    <w:bookmarkStart w:id="149" w:name="page150"/>
    <w:bookmarkEnd w:id="149"/>
    <w:p>
      <w:pPr>
        <w:ind w:left="-40" w:right="480" w:firstLine="921"/>
        <w:spacing w:after="0" w:line="268" w:lineRule="auto"/>
        <w:tabs>
          <w:tab w:leader="none" w:pos="1121" w:val="left"/>
        </w:tabs>
        <w:numPr>
          <w:ilvl w:val="2"/>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Suspension</w:t>
      </w:r>
      <w:r>
        <w:rPr>
          <w:rFonts w:ascii="Arial" w:cs="Arial" w:eastAsia="Arial" w:hAnsi="Arial"/>
          <w:sz w:val="18"/>
          <w:szCs w:val="18"/>
          <w:color w:val="auto"/>
        </w:rPr>
        <w:t>. Trading in the Common Stock shall not have been suspended on the Exchange and the Common Stock shall not have been delisted from the Exchange.</w:t>
      </w:r>
    </w:p>
    <w:p>
      <w:pPr>
        <w:spacing w:after="0" w:line="131" w:lineRule="exact"/>
        <w:rPr>
          <w:rFonts w:ascii="Arial" w:cs="Arial" w:eastAsia="Arial" w:hAnsi="Arial"/>
          <w:sz w:val="18"/>
          <w:szCs w:val="18"/>
          <w:color w:val="auto"/>
        </w:rPr>
      </w:pPr>
    </w:p>
    <w:p>
      <w:pPr>
        <w:ind w:left="-40" w:right="100" w:firstLine="921"/>
        <w:spacing w:after="0" w:line="255" w:lineRule="auto"/>
        <w:tabs>
          <w:tab w:leader="none" w:pos="1082" w:val="left"/>
        </w:tabs>
        <w:numPr>
          <w:ilvl w:val="2"/>
          <w:numId w:val="94"/>
        </w:numPr>
        <w:rPr>
          <w:rFonts w:ascii="Arial" w:cs="Arial" w:eastAsia="Arial" w:hAnsi="Arial"/>
          <w:sz w:val="18"/>
          <w:szCs w:val="18"/>
          <w:color w:val="auto"/>
        </w:rPr>
      </w:pPr>
      <w:r>
        <w:rPr>
          <w:rFonts w:ascii="Arial" w:cs="Arial" w:eastAsia="Arial" w:hAnsi="Arial"/>
          <w:sz w:val="18"/>
          <w:szCs w:val="18"/>
          <w:u w:val="single" w:color="auto"/>
          <w:color w:val="auto"/>
        </w:rPr>
        <w:t>Other Materials</w:t>
      </w:r>
      <w:r>
        <w:rPr>
          <w:rFonts w:ascii="Arial" w:cs="Arial" w:eastAsia="Arial" w:hAnsi="Arial"/>
          <w:sz w:val="18"/>
          <w:szCs w:val="18"/>
          <w:color w:val="auto"/>
        </w:rPr>
        <w:t>. On each date on which the Company is required to deliver a certificate pursuant to Section 7(l), the Company shall have furnished to MLV such appropriate further information, certificates and documents as MLV may have reasonably requested in writing prior to such date and which are usually and customarily furnished by an issuer of securities in connection with the underwritten public offering thereof. All such opinions, certificates, letters and other documents will be in compliance with the provisions hereof. The Company will furnish MLV with such conformed copies of such opinions, certificates, letters and other documents as MLV shall reasonably request.</w:t>
      </w:r>
    </w:p>
    <w:p>
      <w:pPr>
        <w:spacing w:after="0" w:line="142" w:lineRule="exact"/>
        <w:rPr>
          <w:rFonts w:ascii="Arial" w:cs="Arial" w:eastAsia="Arial" w:hAnsi="Arial"/>
          <w:sz w:val="18"/>
          <w:szCs w:val="18"/>
          <w:color w:val="auto"/>
        </w:rPr>
      </w:pPr>
    </w:p>
    <w:p>
      <w:pPr>
        <w:ind w:left="-40" w:right="580" w:firstLine="921"/>
        <w:spacing w:after="0" w:line="332" w:lineRule="auto"/>
        <w:tabs>
          <w:tab w:leader="none" w:pos="1082" w:val="left"/>
        </w:tabs>
        <w:numPr>
          <w:ilvl w:val="2"/>
          <w:numId w:val="94"/>
        </w:numPr>
        <w:rPr>
          <w:rFonts w:ascii="Arial" w:cs="Arial" w:eastAsia="Arial" w:hAnsi="Arial"/>
          <w:sz w:val="16"/>
          <w:szCs w:val="16"/>
          <w:color w:val="auto"/>
        </w:rPr>
      </w:pPr>
      <w:r>
        <w:rPr>
          <w:rFonts w:ascii="Arial" w:cs="Arial" w:eastAsia="Arial" w:hAnsi="Arial"/>
          <w:sz w:val="16"/>
          <w:szCs w:val="16"/>
          <w:u w:val="single" w:color="auto"/>
          <w:color w:val="auto"/>
        </w:rPr>
        <w:t>Securities Act Filings Made</w:t>
      </w:r>
      <w:r>
        <w:rPr>
          <w:rFonts w:ascii="Arial" w:cs="Arial" w:eastAsia="Arial" w:hAnsi="Arial"/>
          <w:sz w:val="16"/>
          <w:szCs w:val="16"/>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85" w:lineRule="exact"/>
        <w:rPr>
          <w:rFonts w:ascii="Arial" w:cs="Arial" w:eastAsia="Arial" w:hAnsi="Arial"/>
          <w:sz w:val="16"/>
          <w:szCs w:val="16"/>
          <w:color w:val="auto"/>
        </w:rPr>
      </w:pPr>
    </w:p>
    <w:p>
      <w:pPr>
        <w:ind w:left="-40" w:firstLine="921"/>
        <w:spacing w:after="0" w:line="332" w:lineRule="auto"/>
        <w:tabs>
          <w:tab w:leader="none" w:pos="1121" w:val="left"/>
        </w:tabs>
        <w:numPr>
          <w:ilvl w:val="2"/>
          <w:numId w:val="94"/>
        </w:numPr>
        <w:rPr>
          <w:rFonts w:ascii="Arial" w:cs="Arial" w:eastAsia="Arial" w:hAnsi="Arial"/>
          <w:sz w:val="16"/>
          <w:szCs w:val="16"/>
          <w:color w:val="auto"/>
        </w:rPr>
      </w:pPr>
      <w:r>
        <w:rPr>
          <w:rFonts w:ascii="Arial" w:cs="Arial" w:eastAsia="Arial" w:hAnsi="Arial"/>
          <w:sz w:val="16"/>
          <w:szCs w:val="16"/>
          <w:u w:val="single" w:color="auto"/>
          <w:color w:val="auto"/>
        </w:rPr>
        <w:t>Approval for Listing</w:t>
      </w:r>
      <w:r>
        <w:rPr>
          <w:rFonts w:ascii="Arial" w:cs="Arial" w:eastAsia="Arial" w:hAnsi="Arial"/>
          <w:sz w:val="16"/>
          <w:szCs w:val="16"/>
          <w:color w:val="auto"/>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spacing w:after="0" w:line="85" w:lineRule="exact"/>
        <w:rPr>
          <w:rFonts w:ascii="Arial" w:cs="Arial" w:eastAsia="Arial" w:hAnsi="Arial"/>
          <w:sz w:val="16"/>
          <w:szCs w:val="16"/>
          <w:color w:val="auto"/>
        </w:rPr>
      </w:pPr>
    </w:p>
    <w:p>
      <w:pPr>
        <w:ind w:left="1100" w:hanging="219"/>
        <w:spacing w:after="0"/>
        <w:tabs>
          <w:tab w:leader="none" w:pos="1100" w:val="left"/>
        </w:tabs>
        <w:numPr>
          <w:ilvl w:val="2"/>
          <w:numId w:val="94"/>
        </w:numPr>
        <w:rPr>
          <w:rFonts w:ascii="Arial" w:cs="Arial" w:eastAsia="Arial" w:hAnsi="Arial"/>
          <w:sz w:val="16"/>
          <w:szCs w:val="16"/>
          <w:color w:val="auto"/>
        </w:rPr>
      </w:pPr>
      <w:r>
        <w:rPr>
          <w:rFonts w:ascii="Arial" w:cs="Arial" w:eastAsia="Arial" w:hAnsi="Arial"/>
          <w:sz w:val="16"/>
          <w:szCs w:val="16"/>
          <w:u w:val="single" w:color="auto"/>
          <w:color w:val="auto"/>
        </w:rPr>
        <w:t>No Termination Event</w:t>
      </w:r>
      <w:r>
        <w:rPr>
          <w:rFonts w:ascii="Arial" w:cs="Arial" w:eastAsia="Arial" w:hAnsi="Arial"/>
          <w:sz w:val="16"/>
          <w:szCs w:val="16"/>
          <w:color w:val="auto"/>
        </w:rPr>
        <w:t>. There shall not have occurred any event that would permit MLV to terminate this Agreement pursuant to Section 13(a).</w:t>
      </w:r>
    </w:p>
    <w:p>
      <w:pPr>
        <w:spacing w:after="0" w:line="194" w:lineRule="exact"/>
        <w:rPr>
          <w:rFonts w:ascii="Arial" w:cs="Arial" w:eastAsia="Arial" w:hAnsi="Arial"/>
          <w:sz w:val="16"/>
          <w:szCs w:val="16"/>
          <w:color w:val="auto"/>
        </w:rPr>
      </w:pPr>
    </w:p>
    <w:p>
      <w:pPr>
        <w:ind w:left="680" w:hanging="256"/>
        <w:spacing w:after="0"/>
        <w:tabs>
          <w:tab w:leader="none" w:pos="6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0" w:right="100" w:firstLine="921"/>
        <w:spacing w:after="0" w:line="332" w:lineRule="auto"/>
        <w:tabs>
          <w:tab w:leader="none" w:pos="1112" w:val="left"/>
        </w:tabs>
        <w:numPr>
          <w:ilvl w:val="2"/>
          <w:numId w:val="95"/>
        </w:numPr>
        <w:rPr>
          <w:rFonts w:ascii="Arial" w:cs="Arial" w:eastAsia="Arial" w:hAnsi="Arial"/>
          <w:sz w:val="16"/>
          <w:szCs w:val="16"/>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The Company agrees to indemnify and hold harmless MLV, its partners, members, directors, officers, employees and agents and each person, if any, who controls MLV within the meaning of Section 15 of the Securities Act or Section 20 of the Exchange Act as follows:</w:t>
      </w:r>
    </w:p>
    <w:p>
      <w:pPr>
        <w:spacing w:after="0" w:line="4" w:lineRule="exact"/>
        <w:rPr>
          <w:rFonts w:ascii="Arial" w:cs="Arial" w:eastAsia="Arial" w:hAnsi="Arial"/>
          <w:sz w:val="16"/>
          <w:szCs w:val="16"/>
          <w:color w:val="auto"/>
        </w:rPr>
      </w:pPr>
    </w:p>
    <w:p>
      <w:pPr>
        <w:ind w:left="420" w:right="100" w:firstLine="443"/>
        <w:spacing w:after="0" w:line="291" w:lineRule="auto"/>
        <w:tabs>
          <w:tab w:leader="none" w:pos="1068" w:val="left"/>
        </w:tabs>
        <w:numPr>
          <w:ilvl w:val="1"/>
          <w:numId w:val="95"/>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the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39" w:lineRule="exact"/>
        <w:rPr>
          <w:rFonts w:ascii="Arial" w:cs="Arial" w:eastAsia="Arial" w:hAnsi="Arial"/>
          <w:sz w:val="16"/>
          <w:szCs w:val="16"/>
          <w:color w:val="auto"/>
        </w:rPr>
      </w:pPr>
    </w:p>
    <w:p>
      <w:pPr>
        <w:ind w:left="420" w:right="80" w:firstLine="443"/>
        <w:spacing w:after="0" w:line="268" w:lineRule="auto"/>
        <w:tabs>
          <w:tab w:leader="none" w:pos="1117" w:val="left"/>
        </w:tabs>
        <w:numPr>
          <w:ilvl w:val="1"/>
          <w:numId w:val="95"/>
        </w:numPr>
        <w:rPr>
          <w:rFonts w:ascii="Arial" w:cs="Arial" w:eastAsia="Arial" w:hAnsi="Arial"/>
          <w:sz w:val="18"/>
          <w:szCs w:val="18"/>
          <w:color w:val="auto"/>
        </w:rPr>
      </w:pPr>
      <w:r>
        <w:rPr>
          <w:rFonts w:ascii="Arial" w:cs="Arial" w:eastAsia="Arial" w:hAnsi="Arial"/>
          <w:sz w:val="18"/>
          <w:szCs w:val="18"/>
          <w:color w:val="auto"/>
        </w:rPr>
        <w:t>against any and all loss, liability, claim, damage and expense whatsoever, as incurred, joint or several, to the extent of the aggregate amount paid in settlement of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80" w:top="280" w:right="259" w:bottom="1440" w:gutter="0" w:footer="0" w:header="0"/>
        </w:sectPr>
      </w:pPr>
    </w:p>
    <w:bookmarkStart w:id="150" w:name="page151"/>
    <w:bookmarkEnd w:id="150"/>
    <w:p>
      <w:pPr>
        <w:jc w:val="both"/>
        <w:ind w:left="420"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litigation, or any investigation or proceeding by any governmental agency or body, commenced or threatened, or of any claim whatsoever based upon any such untrue statement or omission, or any such alleged untrue statement or omission; provided that (subject to Section 11(d) below) any such settlement is effected with the written consent of the Company, which consent shall not unreasonably be delayed or withheld; and</w:t>
      </w:r>
    </w:p>
    <w:p>
      <w:pPr>
        <w:spacing w:after="0" w:line="26" w:lineRule="exact"/>
        <w:rPr>
          <w:sz w:val="20"/>
          <w:szCs w:val="20"/>
          <w:color w:val="auto"/>
        </w:rPr>
      </w:pPr>
    </w:p>
    <w:p>
      <w:pPr>
        <w:ind w:left="420" w:firstLine="443"/>
        <w:spacing w:after="0" w:line="290" w:lineRule="auto"/>
        <w:tabs>
          <w:tab w:leader="none" w:pos="1165" w:val="left"/>
        </w:tabs>
        <w:numPr>
          <w:ilvl w:val="0"/>
          <w:numId w:val="96"/>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reasonable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 that this indemnity agreement shall not apply to any loss, liability, claim, damage or expense to the extent arising out of any untrue statement or omission or alleged untrue statement or omission made solely in reliance upon and in conformity with written information furnished to the Company by MLV expressly for use in the Registration Statement (or any amendment thereto) or in any related Issuer Free Writing Prospectus or the Prospectus (or any amendment or supplement thereto).</w:t>
      </w:r>
    </w:p>
    <w:p>
      <w:pPr>
        <w:spacing w:after="0" w:line="118" w:lineRule="exact"/>
        <w:rPr>
          <w:sz w:val="20"/>
          <w:szCs w:val="20"/>
          <w:color w:val="auto"/>
        </w:rPr>
      </w:pPr>
    </w:p>
    <w:p>
      <w:pPr>
        <w:ind w:left="-40" w:firstLine="921"/>
        <w:spacing w:after="0" w:line="291" w:lineRule="auto"/>
        <w:tabs>
          <w:tab w:leader="none" w:pos="1121"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MLV Indemnification</w:t>
      </w:r>
      <w:r>
        <w:rPr>
          <w:rFonts w:ascii="Arial" w:cs="Arial" w:eastAsia="Arial" w:hAnsi="Arial"/>
          <w:sz w:val="16"/>
          <w:szCs w:val="16"/>
          <w:color w:val="auto"/>
        </w:rPr>
        <w:t>. MLV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11(a), as incurred, but only with respect to untrue statements or omissions, or alleged untrue statements or omissions, made in the Registration Statement (or any amendments thereto) or any Issuer Free Writing Prospectus or the Prospectus (or any amendment or supplement thereto) in reliance upon and in conformity with information furnished to the Company in writing by MLV expressly for use therein.</w:t>
      </w:r>
    </w:p>
    <w:p>
      <w:pPr>
        <w:spacing w:after="0" w:line="120" w:lineRule="exact"/>
        <w:rPr>
          <w:rFonts w:ascii="Arial" w:cs="Arial" w:eastAsia="Arial" w:hAnsi="Arial"/>
          <w:sz w:val="16"/>
          <w:szCs w:val="16"/>
          <w:color w:val="auto"/>
        </w:rPr>
      </w:pPr>
    </w:p>
    <w:p>
      <w:pPr>
        <w:ind w:left="-40" w:right="40" w:firstLine="921"/>
        <w:spacing w:after="0" w:line="287" w:lineRule="auto"/>
        <w:tabs>
          <w:tab w:leader="none" w:pos="1112"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Any party that proposes to assert the right to be indemnified under this Section 11 will, promptly after receipt of notice of commencement of any action against such party in respect of which a claim is to be made against an indemnifying party or parties under this Section 11,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11 and (ii) any liability that it may have to any indemnified party under the foregoing provision of this Section 11 unless, and only to the extent that, such omission results in the forfeiture or material impairment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80" w:top="280" w:right="279" w:bottom="1440" w:gutter="0" w:footer="0" w:header="0"/>
        </w:sectPr>
      </w:pPr>
    </w:p>
    <w:bookmarkStart w:id="151" w:name="page152"/>
    <w:bookmarkEnd w:id="15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11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33" w:lineRule="exact"/>
        <w:rPr>
          <w:sz w:val="20"/>
          <w:szCs w:val="20"/>
          <w:color w:val="auto"/>
        </w:rPr>
      </w:pPr>
    </w:p>
    <w:p>
      <w:pPr>
        <w:ind w:right="40" w:firstLine="921"/>
        <w:spacing w:after="0" w:line="288" w:lineRule="auto"/>
        <w:tabs>
          <w:tab w:leader="none" w:pos="1161"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just and equitable contribution in circumstances in which the indemnification provided for in the foregoing paragraphs of this Section 11 is applicable in accordance with its terms but for any reason is held to be unavailable from the Company or MLV, the Company and MLV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MLV, such as persons who control the Company within the meaning of the Securities Act, officers of the Company who signed the Registration Statement and directors of the Company, who also may be liable for contribution) to which the Company and MLV may be subject in such proportion as shall be appropriate to reflect the relative benefits received by the Company on the one hand and MLV on the other hand. The relative benefits received by the Company on the one hand and MLV on the other hand shall be deemed to be in the same proportion as the total net proceeds from the sale of the Placement Shares (before deducting expenses) received by the Company bear to the total compensation received by MLV (before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9" w:right="239" w:bottom="1440" w:gutter="0" w:footer="0" w:header="0"/>
        </w:sectPr>
      </w:pPr>
    </w:p>
    <w:bookmarkStart w:id="152" w:name="page153"/>
    <w:bookmarkEnd w:id="15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MLV,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MLV, the intent of the parties and their relative knowledge, access to information and opportunity to correct or prevent such statement or omission. The Company and MLV agree that it would not be just and equitable if contributions pursuant to this Section 11(d)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11(d) shall be deemed to include, for the purpose of this Section 11(d), any legal or other expenses reasonably incurred by such indemnified party in connection with investigating or defending any such action or claim to the extent consistent with Section 11(c) hereof. Notwithstanding the foregoing provisions of this Section 11(d), MLV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11(d), any person who controls a party to this Agreement within the meaning of the Securities Act, and any officers, directors, partners, employees or agents of MLV,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11(d), will notify any such party or parties from whom contribution may be sought, but the omission to so notify will not relieve that party or parties from whom contribution may be sought from any other obligation it or they may have under this Section 11(d) except to the extent that the failure to so notify such other party materially prejudiced the substantive rights or defenses of the party from whom contribution is sought. Except for a settlement entered into pursuant to the last sentence of Section 11(c) hereof, no party will be liable for contribution with respect to any action or claim settled without its written consent if such consent is required pursuant to Section 11(c) hereof.</w:t>
      </w:r>
    </w:p>
    <w:p>
      <w:pPr>
        <w:spacing w:after="0" w:line="126" w:lineRule="exact"/>
        <w:rPr>
          <w:sz w:val="20"/>
          <w:szCs w:val="20"/>
          <w:color w:val="auto"/>
        </w:rPr>
      </w:pPr>
    </w:p>
    <w:p>
      <w:pPr>
        <w:ind w:right="20" w:firstLine="464"/>
        <w:spacing w:after="0" w:line="305" w:lineRule="auto"/>
        <w:tabs>
          <w:tab w:leader="none" w:pos="720" w:val="left"/>
        </w:tabs>
        <w:numPr>
          <w:ilvl w:val="1"/>
          <w:numId w:val="99"/>
        </w:numPr>
        <w:rPr>
          <w:rFonts w:ascii="Arial" w:cs="Arial" w:eastAsia="Arial" w:hAnsi="Arial"/>
          <w:sz w:val="15"/>
          <w:szCs w:val="15"/>
          <w:color w:val="auto"/>
        </w:rPr>
      </w:pPr>
      <w:r>
        <w:rPr>
          <w:rFonts w:ascii="Arial" w:cs="Arial" w:eastAsia="Arial" w:hAnsi="Arial"/>
          <w:sz w:val="15"/>
          <w:szCs w:val="15"/>
          <w:u w:val="single" w:color="auto"/>
          <w:color w:val="auto"/>
        </w:rPr>
        <w:t>Representations and Agreements to Survive Delivery</w:t>
      </w:r>
      <w:r>
        <w:rPr>
          <w:rFonts w:ascii="Arial" w:cs="Arial" w:eastAsia="Arial" w:hAnsi="Arial"/>
          <w:sz w:val="15"/>
          <w:szCs w:val="15"/>
          <w:color w:val="auto"/>
        </w:rPr>
        <w:t>. The indemnity and contribution agreements contained in Section 11 of this Agreement and all representations and warranties of the Company and MLV herein or in certificates delivered pursuant hereto shall survive, as of their respective dates, regardless of</w:t>
      </w:r>
    </w:p>
    <w:p>
      <w:pPr>
        <w:ind w:left="220" w:hanging="212"/>
        <w:spacing w:after="0"/>
        <w:tabs>
          <w:tab w:leader="none" w:pos="2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investigation made by or on behalf of MLV, any controlling persons, or the Company (or any of their respective officers, directors or controlling persons),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delivery and acceptance of the Placement Shares and payment therefor or (iii) any termination of this Agreement.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53" w:name="page154"/>
    <w:bookmarkEnd w:id="153"/>
    <w:p>
      <w:pPr>
        <w:ind w:left="660" w:hanging="25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firstLine="921"/>
        <w:spacing w:after="0" w:line="285" w:lineRule="auto"/>
        <w:tabs>
          <w:tab w:leader="none" w:pos="109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MLV may terminate this Agreement, by notice to the Company, as hereinafter specified at any time (1) if there has been, since the time of execution of this Agreement or since the date as of which information is given in the Prospectus, any Material Adverse Effect, or any development that has occurred that is reasonably likely to have a Material Adverse Effect has occurred or in the sole judgment of MLV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sole judgment of MLV,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for at least ten (10) Trading Days,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Section 9 (Payment of Expenses), Section 11 (Indemnification and Contribution), Section 12 (Representations and Agreements to Survive Delivery), Section 18 (Governing Law and Time; Waiver of Jury Trial) and Section 19 (Consent to Jurisdiction) hereof shall remain in full force and effect notwithstanding such termination. If MLV elects to terminate this Agreement as provided in this Section 13(a), MLV shall provide the required notice as specified in Section 14 (Notices).</w:t>
      </w:r>
    </w:p>
    <w:p>
      <w:pPr>
        <w:spacing w:after="0" w:line="126" w:lineRule="exact"/>
        <w:rPr>
          <w:rFonts w:ascii="Arial" w:cs="Arial" w:eastAsia="Arial" w:hAnsi="Arial"/>
          <w:sz w:val="16"/>
          <w:szCs w:val="16"/>
          <w:color w:val="auto"/>
        </w:rPr>
      </w:pPr>
    </w:p>
    <w:p>
      <w:pPr>
        <w:ind w:left="-60" w:right="40" w:firstLine="921"/>
        <w:spacing w:after="0" w:line="306" w:lineRule="auto"/>
        <w:tabs>
          <w:tab w:leader="none" w:pos="110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Section 9, Section 11, Section 12, Section 18 and Section 19 hereof shall remain in full force and effect notwithstanding such termination.</w:t>
      </w:r>
    </w:p>
    <w:p>
      <w:pPr>
        <w:spacing w:after="0" w:line="106" w:lineRule="exact"/>
        <w:rPr>
          <w:rFonts w:ascii="Arial" w:cs="Arial" w:eastAsia="Arial" w:hAnsi="Arial"/>
          <w:sz w:val="16"/>
          <w:szCs w:val="16"/>
          <w:color w:val="auto"/>
        </w:rPr>
      </w:pPr>
    </w:p>
    <w:p>
      <w:pPr>
        <w:ind w:left="-60" w:firstLine="921"/>
        <w:spacing w:after="0" w:line="306" w:lineRule="auto"/>
        <w:tabs>
          <w:tab w:leader="none" w:pos="109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MLV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Section 9, Section 11, Section 12, Section 18 and Section 19 hereof shall remain in full force and effect notwithstanding such termination.</w:t>
      </w:r>
    </w:p>
    <w:p>
      <w:pPr>
        <w:spacing w:after="0" w:line="106" w:lineRule="exact"/>
        <w:rPr>
          <w:rFonts w:ascii="Arial" w:cs="Arial" w:eastAsia="Arial" w:hAnsi="Arial"/>
          <w:sz w:val="16"/>
          <w:szCs w:val="16"/>
          <w:color w:val="auto"/>
        </w:rPr>
      </w:pPr>
    </w:p>
    <w:p>
      <w:pPr>
        <w:ind w:left="-60" w:firstLine="921"/>
        <w:spacing w:after="0" w:line="256" w:lineRule="auto"/>
        <w:tabs>
          <w:tab w:leader="none" w:pos="110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Unless earlier terminated pursuant to this Section 13, this Agreement shall automatically terminate upon the earlier to occur of (i) the third (3 rd ) year anniversary of the date hereof and (ii) the issuance and sale of all of the Placement Shares through MLV on the terms and subject to the conditions set forth herein except that the provisions of Section 9, Section 11, Section 11, Section 12, Section 18 and Section 19 hereof shall remain in full force and effect notwithstanding such termination.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300" w:top="280" w:right="279" w:bottom="1440" w:gutter="0" w:footer="0" w:header="0"/>
        </w:sectPr>
      </w:pPr>
    </w:p>
    <w:bookmarkStart w:id="154" w:name="page155"/>
    <w:bookmarkEnd w:id="154"/>
    <w:p>
      <w:pPr>
        <w:jc w:val="both"/>
        <w:ind w:right="20" w:firstLine="921"/>
        <w:spacing w:after="0" w:line="298" w:lineRule="auto"/>
        <w:tabs>
          <w:tab w:leader="none" w:pos="1152" w:val="left"/>
        </w:tabs>
        <w:numPr>
          <w:ilvl w:val="1"/>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remain in full force and effect unless terminated pursuant to Sections 13(a), (b), (c), or (d) above or otherwise by mutual agreement of the parties; provided, however, that any such termination by mutual agreement shall in all cases be deemed to provide that Section 9, Section 11, Section 12, Section 18 and Section 19 shall remain in full force and effect. Upon termination of this Agreement, the Company shall not have any liability to MLV for any discount, commission or other compensation with respect to any Placement Shares not otherwise sold by MLV under this Agreement.</w:t>
      </w:r>
    </w:p>
    <w:p>
      <w:pPr>
        <w:spacing w:after="0" w:line="112" w:lineRule="exact"/>
        <w:rPr>
          <w:rFonts w:ascii="Arial" w:cs="Arial" w:eastAsia="Arial" w:hAnsi="Arial"/>
          <w:sz w:val="16"/>
          <w:szCs w:val="16"/>
          <w:color w:val="auto"/>
        </w:rPr>
      </w:pPr>
    </w:p>
    <w:p>
      <w:pPr>
        <w:jc w:val="both"/>
        <w:ind w:firstLine="921"/>
        <w:spacing w:after="0" w:line="306" w:lineRule="auto"/>
        <w:tabs>
          <w:tab w:leader="none" w:pos="113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Any termination of this Agreement shall be effective on the date specified in such notice of termination; provided, however, that such termination shall not be effective until the close of business on the date of receipt of such notice by MLV or the Company, as the case may be. If such termination shall occur prior to the Settlement Date for any sale of Placement Shares, such Placement Shares shall settle in accordance with the provisions of this Agreement.</w:t>
      </w:r>
    </w:p>
    <w:p>
      <w:pPr>
        <w:spacing w:after="0" w:line="106" w:lineRule="exact"/>
        <w:rPr>
          <w:rFonts w:ascii="Arial" w:cs="Arial" w:eastAsia="Arial" w:hAnsi="Arial"/>
          <w:sz w:val="16"/>
          <w:szCs w:val="16"/>
          <w:color w:val="auto"/>
        </w:rPr>
      </w:pPr>
    </w:p>
    <w:p>
      <w:pPr>
        <w:ind w:right="80" w:firstLine="464"/>
        <w:spacing w:after="0" w:line="268" w:lineRule="auto"/>
        <w:tabs>
          <w:tab w:leader="none" w:pos="7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unless otherwise specified, and if sent to MLV, shall be delivered to:</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MLV &amp; Co. LLC</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1251 Avenue of the Americas, 41st Floor</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Telephone:</w:t>
        <w:tab/>
        <w:t>(212) 542-5870</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317-1515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LeClairRyan, A Professional Corporation</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One Riverfront Plaza</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1037 Raymond Boulevard, 16th Floor</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Newark, NJ 07102</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James T. Seery</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Telephone:</w:t>
        <w:tab/>
        <w:t>(973) 491-3315</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(973) 491-3415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and if to the Company, shall be delivered to:</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MannKind Corporation</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28903 North Avenue Paine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Valencia, CA 91355</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(661) 775-5350</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(661) 775-2086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Cooley LLP</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 Kay Chandler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Sean M. Clayton</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Telephone:</w:t>
        <w:tab/>
        <w:t>(858) 550-6000</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(858) 550-6420</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on which the Exchange and commercial banks in the City of New York are open for business.</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u w:val="single" w:color="auto"/>
          <w:color w:val="auto"/>
        </w:rPr>
        <w:t>Electronic Notice</w:t>
      </w:r>
      <w:r>
        <w:rPr>
          <w:rFonts w:ascii="Arial" w:cs="Arial" w:eastAsia="Arial" w:hAnsi="Arial"/>
          <w:sz w:val="18"/>
          <w:szCs w:val="18"/>
          <w:color w:val="auto"/>
        </w:rPr>
        <w:t>”) shall be deemed written notice for purposes of this Section 14 if sent to the electronic mail address specified by the receiving party under separate cover. Electronic Notice shall be deemed received at the time the party sending Electronic Notice receives confirmation of receipt by the receiving party. Any party receiving Electronic Notice may request and shall be entitled to receive the notice on paper, in a nonelectronic form (“</w:t>
      </w:r>
      <w:r>
        <w:rPr>
          <w:rFonts w:ascii="Arial" w:cs="Arial" w:eastAsia="Arial" w:hAnsi="Arial"/>
          <w:sz w:val="18"/>
          <w:szCs w:val="18"/>
          <w:u w:val="single" w:color="auto"/>
          <w:color w:val="auto"/>
        </w:rPr>
        <w:t>Nonelectronic Notice</w:t>
      </w:r>
      <w:r>
        <w:rPr>
          <w:rFonts w:ascii="Arial" w:cs="Arial" w:eastAsia="Arial" w:hAnsi="Arial"/>
          <w:sz w:val="18"/>
          <w:szCs w:val="18"/>
          <w:color w:val="auto"/>
        </w:rPr>
        <w:t>”) which shall be sent to the requesting party within ten (10) days of receipt of the written request for Nonelectronic Notice.</w:t>
      </w:r>
    </w:p>
    <w:p>
      <w:pPr>
        <w:spacing w:after="0" w:line="143" w:lineRule="exact"/>
        <w:rPr>
          <w:sz w:val="20"/>
          <w:szCs w:val="20"/>
          <w:color w:val="auto"/>
        </w:rPr>
      </w:pPr>
    </w:p>
    <w:p>
      <w:pPr>
        <w:ind w:right="40" w:firstLine="464"/>
        <w:spacing w:after="0" w:line="254" w:lineRule="auto"/>
        <w:tabs>
          <w:tab w:leader="none" w:pos="7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Company and MLV and their respective successors and the affiliates, controlling persons, officers and directors referred to in Section 11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w:t>
      </w:r>
    </w:p>
    <w:p>
      <w:pPr>
        <w:spacing w:after="0" w:line="144" w:lineRule="exact"/>
        <w:rPr>
          <w:rFonts w:ascii="Arial" w:cs="Arial" w:eastAsia="Arial" w:hAnsi="Arial"/>
          <w:sz w:val="18"/>
          <w:szCs w:val="18"/>
          <w:color w:val="auto"/>
        </w:rPr>
      </w:pPr>
    </w:p>
    <w:p>
      <w:pPr>
        <w:ind w:right="80" w:firstLine="464"/>
        <w:spacing w:after="0" w:line="332" w:lineRule="auto"/>
        <w:tabs>
          <w:tab w:leader="none" w:pos="72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Adjustments for Stock Splits</w:t>
      </w:r>
      <w:r>
        <w:rPr>
          <w:rFonts w:ascii="Arial" w:cs="Arial" w:eastAsia="Arial" w:hAnsi="Arial"/>
          <w:sz w:val="16"/>
          <w:szCs w:val="16"/>
          <w:color w:val="auto"/>
        </w:rPr>
        <w:t>. The parties acknowledge and agree that all share-related numbers contained in this Agreement shall be adjusted to take into account any share consolidation, stock split, stock dividend, corporate domestication or similar event effected with respect to the Placement Shares.</w:t>
      </w:r>
    </w:p>
    <w:p>
      <w:pPr>
        <w:spacing w:after="0" w:line="85" w:lineRule="exact"/>
        <w:rPr>
          <w:rFonts w:ascii="Arial" w:cs="Arial" w:eastAsia="Arial" w:hAnsi="Arial"/>
          <w:sz w:val="16"/>
          <w:szCs w:val="16"/>
          <w:color w:val="auto"/>
        </w:rPr>
      </w:pPr>
    </w:p>
    <w:p>
      <w:pPr>
        <w:ind w:right="320" w:firstLine="464"/>
        <w:spacing w:after="0" w:line="332" w:lineRule="auto"/>
        <w:tabs>
          <w:tab w:leader="none" w:pos="72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 Severability</w:t>
      </w:r>
      <w:r>
        <w:rPr>
          <w:rFonts w:ascii="Arial" w:cs="Arial" w:eastAsia="Arial" w:hAnsi="Arial"/>
          <w:sz w:val="16"/>
          <w:szCs w:val="16"/>
          <w:color w:val="auto"/>
        </w:rPr>
        <w:t>. This Agreement (including all schedules and exhibits attached hereto and Placement Notices issued pursuant hereto) constitutes the entire agreement of the parties with respect to the subject matter hereof and supersedes all</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280" w:right="379" w:bottom="1440" w:gutter="0" w:footer="0" w:header="0"/>
        </w:sectPr>
      </w:pPr>
    </w:p>
    <w:bookmarkStart w:id="156" w:name="page157"/>
    <w:bookmarkEnd w:id="156"/>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prior and contemporaneous agreements and undertakings, both written and oral, among the parties hereto with regard to the subject matter hereof. Neither this Agreement nor any term hereof may be amended except pursuant to a written instrument executed by the Company and MLV.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41" w:lineRule="exact"/>
        <w:rPr>
          <w:sz w:val="20"/>
          <w:szCs w:val="20"/>
          <w:color w:val="auto"/>
        </w:rPr>
      </w:pPr>
    </w:p>
    <w:p>
      <w:pPr>
        <w:ind w:firstLine="464"/>
        <w:spacing w:after="0" w:line="256" w:lineRule="auto"/>
        <w:tabs>
          <w:tab w:leader="none" w:pos="7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TIME; WAIVER OF JURY TRIAL</w:t>
      </w:r>
      <w:r>
        <w:rPr>
          <w:rFonts w:ascii="Arial" w:cs="Arial" w:eastAsia="Arial" w:hAnsi="Arial"/>
          <w:sz w:val="18"/>
          <w:szCs w:val="18"/>
          <w:b w:val="1"/>
          <w:bCs w:val="1"/>
          <w:color w:val="auto"/>
        </w:rPr>
        <w:t>. THIS AGREEMENT SHALL BE GOVERNED BY AND CONSTRUED IN ACCORDANCE WITH THE LAWS OF THE STATE OF NEW YORK WITHOUT REGARD TO THE PRINCIPLES OF CONFLICTS OF LAWS. SPECIFIED TIMES OF DAY REFER TO NEW YORK CITY TIME. THE COMPANY HEREBY IRREVOCABLY WAIVES, TO THE FULLEST EXTENT PERMITTED BY APPLICABLE LAW, ANY AND ALL RIGHT TO TRIAL BY JURY IN ANY LEGAL PROCEEDING ARISING OUT OF OR RELATING TO THIS AGREEMENT OR THE TRANSACTIONS CONTEMPLATED HEREBY.</w:t>
      </w:r>
    </w:p>
    <w:p>
      <w:pPr>
        <w:spacing w:after="0" w:line="138" w:lineRule="exact"/>
        <w:rPr>
          <w:rFonts w:ascii="Arial" w:cs="Arial" w:eastAsia="Arial" w:hAnsi="Arial"/>
          <w:sz w:val="18"/>
          <w:szCs w:val="18"/>
          <w:b w:val="1"/>
          <w:bCs w:val="1"/>
          <w:color w:val="auto"/>
        </w:rPr>
      </w:pPr>
    </w:p>
    <w:p>
      <w:pPr>
        <w:ind w:right="20" w:firstLine="464"/>
        <w:spacing w:after="0" w:line="288" w:lineRule="auto"/>
        <w:tabs>
          <w:tab w:leader="none" w:pos="72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 TO JURISDICTION</w:t>
      </w:r>
      <w:r>
        <w:rPr>
          <w:rFonts w:ascii="Arial" w:cs="Arial" w:eastAsia="Arial" w:hAnsi="Arial"/>
          <w:sz w:val="16"/>
          <w:szCs w:val="16"/>
          <w:b w:val="1"/>
          <w:bCs w:val="1"/>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337" w:lineRule="exact"/>
        <w:rPr>
          <w:rFonts w:ascii="Arial" w:cs="Arial" w:eastAsia="Arial" w:hAnsi="Arial"/>
          <w:sz w:val="16"/>
          <w:szCs w:val="16"/>
          <w:b w:val="1"/>
          <w:bCs w:val="1"/>
          <w:color w:val="auto"/>
        </w:rPr>
      </w:pPr>
    </w:p>
    <w:p>
      <w:pPr>
        <w:ind w:firstLine="464"/>
        <w:spacing w:after="0" w:line="268" w:lineRule="auto"/>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Use of Information</w:t>
      </w:r>
      <w:r>
        <w:rPr>
          <w:rFonts w:ascii="Arial" w:cs="Arial" w:eastAsia="Arial" w:hAnsi="Arial"/>
          <w:sz w:val="18"/>
          <w:szCs w:val="18"/>
          <w:color w:val="auto"/>
        </w:rPr>
        <w:t>. MLV may not use any information gained in connection with this Agreement and the transactions contemplated by this Agreement, including due diligence, to advise any party with respect to transactions not expressly approved by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57" w:name="page158"/>
    <w:bookmarkEnd w:id="157"/>
    <w:p>
      <w:pPr>
        <w:ind w:right="80" w:firstLine="464"/>
        <w:spacing w:after="0" w:line="332" w:lineRule="auto"/>
        <w:tabs>
          <w:tab w:leader="none" w:pos="72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transmission.</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and Exhibit headings herein are for convenience only and shall not affect the construction hereof.</w:t>
      </w:r>
    </w:p>
    <w:p>
      <w:pPr>
        <w:spacing w:after="0" w:line="171" w:lineRule="exact"/>
        <w:rPr>
          <w:rFonts w:ascii="Arial" w:cs="Arial" w:eastAsia="Arial" w:hAnsi="Arial"/>
          <w:sz w:val="18"/>
          <w:szCs w:val="18"/>
          <w:color w:val="auto"/>
        </w:rPr>
      </w:pPr>
    </w:p>
    <w:p>
      <w:pPr>
        <w:ind w:right="140" w:firstLine="464"/>
        <w:spacing w:after="0" w:line="288" w:lineRule="auto"/>
        <w:tabs>
          <w:tab w:leader="none" w:pos="72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MLV (such consent not to be unreasonably withheld, conditioned or delayed), and MLV represents, warrants and agrees that, unless it obtains the prior consent of the Company (such consent not to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MLV or by the Company, as the case may be, is hereinafter referred to as a “</w:t>
      </w:r>
      <w:r>
        <w:rPr>
          <w:rFonts w:ascii="Arial" w:cs="Arial" w:eastAsia="Arial" w:hAnsi="Arial"/>
          <w:sz w:val="16"/>
          <w:szCs w:val="16"/>
          <w:u w:val="single" w:color="auto"/>
          <w:color w:val="auto"/>
        </w:rPr>
        <w:t>Permitted Free</w:t>
      </w:r>
      <w:r>
        <w:rPr>
          <w:rFonts w:ascii="Arial" w:cs="Arial" w:eastAsia="Arial" w:hAnsi="Arial"/>
          <w:sz w:val="16"/>
          <w:szCs w:val="16"/>
          <w:color w:val="auto"/>
        </w:rPr>
        <w:t xml:space="preserve"> </w:t>
      </w:r>
      <w:r>
        <w:rPr>
          <w:rFonts w:ascii="Arial" w:cs="Arial" w:eastAsia="Arial" w:hAnsi="Arial"/>
          <w:sz w:val="16"/>
          <w:szCs w:val="16"/>
          <w:u w:val="single" w:color="auto"/>
          <w:color w:val="auto"/>
        </w:rPr>
        <w:t>Writing Prospectus</w:t>
      </w:r>
      <w:r>
        <w:rPr>
          <w:rFonts w:ascii="Arial" w:cs="Arial" w:eastAsia="Arial" w:hAnsi="Arial"/>
          <w:sz w:val="16"/>
          <w:szCs w:val="16"/>
          <w:color w:val="auto"/>
        </w:rPr>
        <w:t>.”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Exhibit 23 hereto are Permitted Free Writing Prospectuses.</w:t>
      </w:r>
    </w:p>
    <w:p>
      <w:pPr>
        <w:spacing w:after="0" w:line="119" w:lineRule="exact"/>
        <w:rPr>
          <w:rFonts w:ascii="Arial" w:cs="Arial" w:eastAsia="Arial" w:hAnsi="Arial"/>
          <w:sz w:val="16"/>
          <w:szCs w:val="16"/>
          <w:color w:val="auto"/>
        </w:rPr>
      </w:pPr>
    </w:p>
    <w:p>
      <w:pPr>
        <w:ind w:left="720" w:hanging="256"/>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171" w:lineRule="exact"/>
        <w:rPr>
          <w:rFonts w:ascii="Arial" w:cs="Arial" w:eastAsia="Arial" w:hAnsi="Arial"/>
          <w:sz w:val="18"/>
          <w:szCs w:val="18"/>
          <w:color w:val="auto"/>
        </w:rPr>
      </w:pPr>
    </w:p>
    <w:p>
      <w:pPr>
        <w:ind w:firstLine="921"/>
        <w:spacing w:after="0" w:line="254" w:lineRule="auto"/>
        <w:tabs>
          <w:tab w:leader="none" w:pos="115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MLV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MLV, on the other hand, has been or will be created in respect of any of the transactions contemplated by this Agreement, irrespective of whether or not MLV has advised or is advising the Company on other matters, and MLV has no obligation to the Company with respect to the transactions contemplated by this Agreement except the obligations expressly set forth in this Agreement;</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it is capable of evaluating and understanding, and understands and accepts, the terms, risks and conditions of the transactions contemplated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64" w:lineRule="exact"/>
        <w:rPr>
          <w:rFonts w:ascii="Arial" w:cs="Arial" w:eastAsia="Arial" w:hAnsi="Arial"/>
          <w:sz w:val="16"/>
          <w:szCs w:val="16"/>
          <w:color w:val="auto"/>
        </w:rPr>
      </w:pPr>
    </w:p>
    <w:p>
      <w:pPr>
        <w:ind w:right="80" w:firstLine="921"/>
        <w:spacing w:after="0" w:line="268" w:lineRule="auto"/>
        <w:tabs>
          <w:tab w:leader="none" w:pos="115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MLV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31" w:lineRule="exact"/>
        <w:rPr>
          <w:rFonts w:ascii="Arial" w:cs="Arial" w:eastAsia="Arial" w:hAnsi="Arial"/>
          <w:sz w:val="18"/>
          <w:szCs w:val="18"/>
          <w:color w:val="auto"/>
        </w:rPr>
      </w:pPr>
    </w:p>
    <w:p>
      <w:pPr>
        <w:ind w:right="300" w:firstLine="921"/>
        <w:spacing w:after="0" w:line="259" w:lineRule="auto"/>
        <w:tabs>
          <w:tab w:leader="none" w:pos="116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it is aware that MLV and its affiliates are engaged in a broad range of transactions which may involve interests that differ from those of the Company and MLV has no obligation to disclose such interests and transactions to the Company by virtue of any fiduciary, advisory or agency relationship or otherwise;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58" w:name="page159"/>
    <w:bookmarkEnd w:id="158"/>
    <w:p>
      <w:pPr>
        <w:ind w:right="200" w:firstLine="921"/>
        <w:spacing w:after="0" w:line="294" w:lineRule="auto"/>
        <w:tabs>
          <w:tab w:leader="none" w:pos="1152" w:val="left"/>
        </w:tabs>
        <w:numPr>
          <w:ilvl w:val="1"/>
          <w:numId w:val="1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 waives, to the fullest extent permitted by law, any claims it may have against MLV for breach of fiduciary duty or alleged breach of fiduciary duty in connection with the sale of Placement Shares under this Agreement and agrees that MLV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MLV’s obligations under this Agreement and to keep information provided by the Company to MLV and MLV’s counsel confidential to the extent not otherwise publicly-available.</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Time</w:t>
      </w:r>
      <w:r>
        <w:rPr>
          <w:rFonts w:ascii="Arial" w:cs="Arial" w:eastAsia="Arial" w:hAnsi="Arial"/>
          <w:sz w:val="16"/>
          <w:szCs w:val="16"/>
          <w:color w:val="auto"/>
        </w:rPr>
        <w:t>” means (i) each Representation Date and (ii) the time of each sale of any Placement Shares pursuant to this Agreement.</w:t>
      </w:r>
    </w:p>
    <w:p>
      <w:pPr>
        <w:spacing w:after="0" w:line="19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164</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 Regulations.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MLV outside of the United States.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159" w:name="page160"/>
    <w:bookmarkEnd w:id="15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understanding between the Company and MLV, please so indicate in the space provided below for that purpose, whereupon this letter shall constitute a binding agreement between the Company and MLV.</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MANNKIND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Matthew J. Pfeffer</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ACCEPTED as of the date first-above written: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MLV &amp; CO. LLC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Patrice McNicoll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Patrice McNicoll</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16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[Signature Page to At-The-Market Issuance Sales Agreement]</w:t>
      </w:r>
    </w:p>
    <w:p>
      <w:pPr>
        <w:sectPr>
          <w:pgSz w:w="11900" w:h="16838" w:orient="portrait"/>
          <w:cols w:equalWidth="0" w:num="1">
            <w:col w:w="11060"/>
          </w:cols>
          <w:pgMar w:left="240" w:top="280" w:right="599" w:bottom="1440" w:gutter="0" w:footer="0" w:header="0"/>
        </w:sectPr>
      </w:pPr>
    </w:p>
    <w:bookmarkStart w:id="160" w:name="page161"/>
    <w:bookmarkEnd w:id="160"/>
    <w:tbl>
      <w:tblPr>
        <w:tblLayout w:type="fixed"/>
        <w:tblInd w:w="46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SCHEDULE 1</w:t>
            </w:r>
          </w:p>
        </w:tc>
      </w:tr>
      <w:tr>
        <w:trPr>
          <w:trHeight w:val="286"/>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370"/>
        </w:trPr>
        <w:tc>
          <w:tcPr>
            <w:tcW w:w="780" w:type="dxa"/>
            <w:vAlign w:val="bottom"/>
          </w:tcPr>
          <w:p>
            <w:pPr>
              <w:spacing w:after="0"/>
              <w:rPr>
                <w:sz w:val="24"/>
                <w:szCs w:val="24"/>
                <w:color w:val="auto"/>
              </w:rPr>
            </w:pPr>
          </w:p>
        </w:tc>
        <w:tc>
          <w:tcPr>
            <w:tcW w:w="5840" w:type="dxa"/>
            <w:vAlign w:val="bottom"/>
            <w:gridSpan w:val="3"/>
          </w:tcPr>
          <w:p>
            <w:pPr>
              <w:jc w:val="center"/>
              <w:ind w:left="3032"/>
              <w:spacing w:after="0"/>
              <w:rPr>
                <w:sz w:val="20"/>
                <w:szCs w:val="20"/>
                <w:color w:val="auto"/>
              </w:rPr>
            </w:pPr>
            <w:r>
              <w:rPr>
                <w:rFonts w:ascii="Arial" w:cs="Arial" w:eastAsia="Arial" w:hAnsi="Arial"/>
                <w:sz w:val="18"/>
                <w:szCs w:val="18"/>
                <w:b w:val="1"/>
                <w:bCs w:val="1"/>
                <w:color w:val="auto"/>
                <w:w w:val="99"/>
              </w:rPr>
              <w:t>FORM OF PLACEMENT NOTICE</w:t>
            </w:r>
          </w:p>
        </w:tc>
      </w:tr>
      <w:tr>
        <w:trPr>
          <w:trHeight w:val="299"/>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437"/>
        </w:trPr>
        <w:tc>
          <w:tcPr>
            <w:tcW w:w="780" w:type="dxa"/>
            <w:vAlign w:val="bottom"/>
          </w:tcPr>
          <w:p>
            <w:pPr>
              <w:spacing w:after="0"/>
              <w:rPr>
                <w:sz w:val="20"/>
                <w:szCs w:val="20"/>
                <w:color w:val="auto"/>
              </w:rPr>
            </w:pPr>
            <w:r>
              <w:rPr>
                <w:rFonts w:ascii="Arial" w:cs="Arial" w:eastAsia="Arial" w:hAnsi="Arial"/>
                <w:sz w:val="18"/>
                <w:szCs w:val="18"/>
                <w:color w:val="auto"/>
              </w:rPr>
              <w:t>From:</w:t>
            </w:r>
          </w:p>
        </w:tc>
        <w:tc>
          <w:tcPr>
            <w:tcW w:w="5840" w:type="dxa"/>
            <w:vAlign w:val="bottom"/>
            <w:gridSpan w:val="3"/>
          </w:tcPr>
          <w:p>
            <w:pPr>
              <w:ind w:left="180"/>
              <w:spacing w:after="0"/>
              <w:rPr>
                <w:sz w:val="20"/>
                <w:szCs w:val="20"/>
                <w:color w:val="auto"/>
              </w:rPr>
            </w:pPr>
            <w:r>
              <w:rPr>
                <w:rFonts w:ascii="Arial" w:cs="Arial" w:eastAsia="Arial" w:hAnsi="Arial"/>
                <w:sz w:val="18"/>
                <w:szCs w:val="18"/>
                <w:color w:val="auto"/>
              </w:rPr>
              <w:t>MannKind Corporation</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5840" w:type="dxa"/>
            <w:vAlign w:val="bottom"/>
            <w:gridSpan w:val="3"/>
          </w:tcPr>
          <w:p>
            <w:pPr>
              <w:ind w:left="180"/>
              <w:spacing w:after="0"/>
              <w:rPr>
                <w:sz w:val="20"/>
                <w:szCs w:val="20"/>
                <w:color w:val="auto"/>
              </w:rPr>
            </w:pPr>
            <w:r>
              <w:rPr>
                <w:rFonts w:ascii="Arial" w:cs="Arial" w:eastAsia="Arial" w:hAnsi="Arial"/>
                <w:sz w:val="18"/>
                <w:szCs w:val="18"/>
                <w:color w:val="auto"/>
              </w:rPr>
              <w:t>MLV &amp; Co. LLC</w:t>
            </w:r>
          </w:p>
        </w:tc>
      </w:tr>
      <w:tr>
        <w:trPr>
          <w:trHeight w:val="432"/>
        </w:trPr>
        <w:tc>
          <w:tcPr>
            <w:tcW w:w="780" w:type="dxa"/>
            <w:vAlign w:val="bottom"/>
          </w:tcPr>
          <w:p>
            <w:pPr>
              <w:spacing w:after="0"/>
              <w:rPr>
                <w:sz w:val="24"/>
                <w:szCs w:val="24"/>
                <w:color w:val="auto"/>
              </w:rPr>
            </w:pPr>
          </w:p>
        </w:tc>
        <w:tc>
          <w:tcPr>
            <w:tcW w:w="5840" w:type="dxa"/>
            <w:vAlign w:val="bottom"/>
            <w:gridSpan w:val="3"/>
          </w:tcPr>
          <w:p>
            <w:pPr>
              <w:ind w:left="180"/>
              <w:spacing w:after="0"/>
              <w:rPr>
                <w:sz w:val="20"/>
                <w:szCs w:val="20"/>
                <w:color w:val="auto"/>
              </w:rPr>
            </w:pPr>
            <w:r>
              <w:rPr>
                <w:rFonts w:ascii="Arial" w:cs="Arial" w:eastAsia="Arial" w:hAnsi="Arial"/>
                <w:sz w:val="18"/>
                <w:szCs w:val="18"/>
                <w:color w:val="auto"/>
              </w:rPr>
              <w:t>Attention:   Patrice McNicoll</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Subject:</w:t>
            </w:r>
          </w:p>
        </w:tc>
        <w:tc>
          <w:tcPr>
            <w:tcW w:w="5840" w:type="dxa"/>
            <w:vAlign w:val="bottom"/>
            <w:gridSpan w:val="3"/>
          </w:tcPr>
          <w:p>
            <w:pPr>
              <w:ind w:left="180"/>
              <w:spacing w:after="0"/>
              <w:rPr>
                <w:sz w:val="20"/>
                <w:szCs w:val="20"/>
                <w:color w:val="auto"/>
              </w:rPr>
            </w:pPr>
            <w:r>
              <w:rPr>
                <w:rFonts w:ascii="Arial" w:cs="Arial" w:eastAsia="Arial" w:hAnsi="Arial"/>
                <w:sz w:val="18"/>
                <w:szCs w:val="18"/>
                <w:color w:val="auto"/>
              </w:rPr>
              <w:t>At-The-Market Issuance—Placement Notice</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Pursuant to the terms and subject to the conditions contained in the At-The-Market Issuance Sales Agreement between MannKind Corporation, a Delaware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60" w:type="dxa"/>
            <w:vAlign w:val="bottom"/>
            <w:gridSpan w:val="6"/>
          </w:tcPr>
          <w:p>
            <w:pPr>
              <w:spacing w:after="0"/>
              <w:rPr>
                <w:sz w:val="20"/>
                <w:szCs w:val="20"/>
                <w:color w:val="auto"/>
              </w:rPr>
            </w:pPr>
            <w:r>
              <w:rPr>
                <w:rFonts w:ascii="Arial" w:cs="Arial" w:eastAsia="Arial" w:hAnsi="Arial"/>
                <w:sz w:val="18"/>
                <w:szCs w:val="18"/>
                <w:color w:val="auto"/>
                <w:w w:val="93"/>
              </w:rPr>
              <w:t>corporation (the “Company”), and MLV &amp; Co. LLC (“MLV”), dated March 18, 2013, the Company hereby requests that MLV sell up to</w:t>
            </w:r>
          </w:p>
        </w:tc>
        <w:tc>
          <w:tcPr>
            <w:tcW w:w="1540" w:type="dxa"/>
            <w:vAlign w:val="bottom"/>
          </w:tcPr>
          <w:p>
            <w:pPr>
              <w:ind w:left="300"/>
              <w:spacing w:after="0"/>
              <w:rPr>
                <w:sz w:val="20"/>
                <w:szCs w:val="20"/>
                <w:color w:val="auto"/>
              </w:rPr>
            </w:pPr>
            <w:r>
              <w:rPr>
                <w:rFonts w:ascii="Arial" w:cs="Arial" w:eastAsia="Arial" w:hAnsi="Arial"/>
                <w:sz w:val="18"/>
                <w:szCs w:val="18"/>
                <w:color w:val="auto"/>
                <w:w w:val="87"/>
              </w:rPr>
              <w:t>of the Company’s</w:t>
            </w:r>
          </w:p>
        </w:tc>
      </w:tr>
      <w:tr>
        <w:trPr>
          <w:trHeight w:val="20"/>
        </w:trPr>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228"/>
        </w:trPr>
        <w:tc>
          <w:tcPr>
            <w:tcW w:w="5540" w:type="dxa"/>
            <w:vAlign w:val="bottom"/>
            <w:gridSpan w:val="5"/>
          </w:tcPr>
          <w:p>
            <w:pPr>
              <w:spacing w:after="0"/>
              <w:rPr>
                <w:sz w:val="20"/>
                <w:szCs w:val="20"/>
                <w:color w:val="auto"/>
              </w:rPr>
            </w:pPr>
            <w:r>
              <w:rPr>
                <w:rFonts w:ascii="Arial" w:cs="Arial" w:eastAsia="Arial" w:hAnsi="Arial"/>
                <w:sz w:val="18"/>
                <w:szCs w:val="18"/>
                <w:color w:val="auto"/>
                <w:w w:val="92"/>
              </w:rPr>
              <w:t>Common Stock, par value $0.01 per share, at a minimum market price of $</w:t>
            </w:r>
          </w:p>
        </w:tc>
        <w:tc>
          <w:tcPr>
            <w:tcW w:w="5860" w:type="dxa"/>
            <w:vAlign w:val="bottom"/>
            <w:gridSpan w:val="2"/>
          </w:tcPr>
          <w:p>
            <w:pPr>
              <w:ind w:left="260"/>
              <w:spacing w:after="0"/>
              <w:rPr>
                <w:sz w:val="20"/>
                <w:szCs w:val="20"/>
                <w:color w:val="auto"/>
              </w:rPr>
            </w:pPr>
            <w:r>
              <w:rPr>
                <w:rFonts w:ascii="Arial" w:cs="Arial" w:eastAsia="Arial" w:hAnsi="Arial"/>
                <w:sz w:val="18"/>
                <w:szCs w:val="18"/>
                <w:color w:val="auto"/>
                <w:w w:val="95"/>
              </w:rPr>
              <w:t>per share, during the time period beginning [month, day, time] and ending</w:t>
            </w:r>
          </w:p>
        </w:tc>
      </w:tr>
      <w:tr>
        <w:trPr>
          <w:trHeight w:val="222"/>
        </w:trPr>
        <w:tc>
          <w:tcPr>
            <w:tcW w:w="9860" w:type="dxa"/>
            <w:vAlign w:val="bottom"/>
            <w:gridSpan w:val="6"/>
          </w:tcPr>
          <w:p>
            <w:pPr>
              <w:spacing w:after="0"/>
              <w:rPr>
                <w:sz w:val="20"/>
                <w:szCs w:val="20"/>
                <w:color w:val="auto"/>
              </w:rPr>
            </w:pPr>
            <w:r>
              <w:rPr>
                <w:rFonts w:ascii="Arial" w:cs="Arial" w:eastAsia="Arial" w:hAnsi="Arial"/>
                <w:sz w:val="18"/>
                <w:szCs w:val="18"/>
                <w:color w:val="auto"/>
              </w:rPr>
              <w:t>[month, day, time]. [The Company may include such other sales parameters as it deems appropriate.]</w:t>
            </w:r>
          </w:p>
        </w:tc>
        <w:tc>
          <w:tcPr>
            <w:tcW w:w="1540" w:type="dxa"/>
            <w:vAlign w:val="bottom"/>
          </w:tcPr>
          <w:p>
            <w:pPr>
              <w:spacing w:after="0"/>
              <w:rPr>
                <w:sz w:val="19"/>
                <w:szCs w:val="19"/>
                <w:color w:val="auto"/>
              </w:rPr>
            </w:pPr>
          </w:p>
        </w:tc>
      </w:tr>
    </w:tbl>
    <w:p>
      <w:pPr>
        <w:sectPr>
          <w:pgSz w:w="11900" w:h="16838" w:orient="portrait"/>
          <w:cols w:equalWidth="0" w:num="1">
            <w:col w:w="11400"/>
          </w:cols>
          <w:pgMar w:left="240" w:top="274" w:right="259" w:bottom="1440" w:gutter="0" w:footer="0" w:header="0"/>
        </w:sectPr>
      </w:pPr>
    </w:p>
    <w:bookmarkStart w:id="161" w:name="page162"/>
    <w:bookmarkEnd w:id="16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shall pay to MLV in cash, upon each sale of Placement Shares pursuant to this Agreement, an amount up to 3.0% of the gross proceeds from each sale of Placement Shares.</w:t>
      </w:r>
    </w:p>
    <w:p>
      <w:pPr>
        <w:sectPr>
          <w:pgSz w:w="11900" w:h="16838" w:orient="portrait"/>
          <w:cols w:equalWidth="0" w:num="1">
            <w:col w:w="11380"/>
          </w:cols>
          <w:pgMar w:left="240" w:top="274" w:right="279" w:bottom="1440" w:gutter="0" w:footer="0" w:header="0"/>
        </w:sectPr>
      </w:pPr>
    </w:p>
    <w:bookmarkStart w:id="162" w:name="page163"/>
    <w:bookmarkEnd w:id="162"/>
    <w:p>
      <w:pPr>
        <w:jc w:val="right"/>
        <w:ind w:right="39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194945</wp:posOffset>
            </wp:positionV>
            <wp:extent cx="15176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740"/>
        <w:spacing w:after="0"/>
        <w:rPr>
          <w:sz w:val="20"/>
          <w:szCs w:val="20"/>
          <w:color w:val="auto"/>
        </w:rPr>
      </w:pPr>
      <w:r>
        <w:rPr>
          <w:rFonts w:ascii="Arial" w:cs="Arial" w:eastAsia="Arial" w:hAnsi="Arial"/>
          <w:sz w:val="15"/>
          <w:szCs w:val="15"/>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225425</wp:posOffset>
            </wp:positionV>
            <wp:extent cx="15176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Matthew Pfeffer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David Thomson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Hakan Edstrom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MLV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Randy Billhardt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Dean Colucci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Ryan Loforte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Patrice McNicoll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mlvatmdesk@mlvco.com</w:t>
      </w:r>
    </w:p>
    <w:p>
      <w:pPr>
        <w:sectPr>
          <w:pgSz w:w="11900" w:h="16838" w:orient="portrait"/>
          <w:cols w:equalWidth="0" w:num="1">
            <w:col w:w="9759"/>
          </w:cols>
          <w:pgMar w:left="700" w:top="274" w:right="1440" w:bottom="1440" w:gutter="0" w:footer="0" w:header="0"/>
        </w:sectPr>
      </w:pPr>
    </w:p>
    <w:bookmarkStart w:id="163" w:name="page164"/>
    <w:bookmarkEnd w:id="163"/>
    <w:p>
      <w:pPr>
        <w:jc w:val="right"/>
        <w:ind w:right="39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194945</wp:posOffset>
            </wp:positionV>
            <wp:extent cx="15176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218440</wp:posOffset>
            </wp:positionV>
            <wp:extent cx="15176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759"/>
          </w:cols>
          <w:pgMar w:left="700" w:top="274" w:right="1440"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Representation Date Certificate</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Officers Certificate (this “</w:t>
      </w:r>
      <w:r>
        <w:rPr>
          <w:rFonts w:ascii="Arial" w:cs="Arial" w:eastAsia="Arial" w:hAnsi="Arial"/>
          <w:sz w:val="18"/>
          <w:szCs w:val="18"/>
          <w:u w:val="single" w:color="auto"/>
          <w:color w:val="auto"/>
        </w:rPr>
        <w:t>Certificate</w:t>
      </w:r>
      <w:r>
        <w:rPr>
          <w:rFonts w:ascii="Arial" w:cs="Arial" w:eastAsia="Arial" w:hAnsi="Arial"/>
          <w:sz w:val="18"/>
          <w:szCs w:val="18"/>
          <w:color w:val="auto"/>
        </w:rPr>
        <w:t>”) is executed and delivered in connection with Section 7(l) of the At-The-Market Issuance Sales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March 18, 2013, and entered into between MannKind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MLV &amp; Co. LLC. All capitalized terms used but not defined herein shall have the meanings given to such terms in the Agreement.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a duly appointed and authorized officer of the Company, having made reasonable inquiries to establish the accuracy of the statements below and having been authorized by the Company to execute this certificate on behalf of the Company, hereby certifies, on behalf of the Company and not in the undersigned’s individual capacity, as follows:</w:t>
      </w:r>
    </w:p>
    <w:p>
      <w:pPr>
        <w:spacing w:after="0" w:line="140" w:lineRule="exact"/>
        <w:rPr>
          <w:sz w:val="20"/>
          <w:szCs w:val="20"/>
          <w:color w:val="auto"/>
        </w:rPr>
      </w:pPr>
    </w:p>
    <w:p>
      <w:pPr>
        <w:ind w:firstLine="464"/>
        <w:spacing w:after="0" w:line="294" w:lineRule="auto"/>
        <w:tabs>
          <w:tab w:leader="none" w:pos="63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contains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 for (i) and (ii) to be true.</w:t>
      </w:r>
    </w:p>
    <w:p>
      <w:pPr>
        <w:spacing w:after="0" w:line="115" w:lineRule="exact"/>
        <w:rPr>
          <w:rFonts w:ascii="Arial" w:cs="Arial" w:eastAsia="Arial" w:hAnsi="Arial"/>
          <w:sz w:val="16"/>
          <w:szCs w:val="16"/>
          <w:color w:val="auto"/>
        </w:rPr>
      </w:pPr>
    </w:p>
    <w:p>
      <w:pPr>
        <w:ind w:right="340" w:firstLine="464"/>
        <w:spacing w:after="0" w:line="370" w:lineRule="auto"/>
        <w:tabs>
          <w:tab w:leader="none" w:pos="632" w:val="left"/>
        </w:tabs>
        <w:numPr>
          <w:ilvl w:val="0"/>
          <w:numId w:val="109"/>
        </w:numPr>
        <w:rPr>
          <w:rFonts w:ascii="Arial" w:cs="Arial" w:eastAsia="Arial" w:hAnsi="Arial"/>
          <w:sz w:val="15"/>
          <w:szCs w:val="15"/>
          <w:color w:val="auto"/>
        </w:rPr>
      </w:pPr>
      <w:r>
        <w:rPr>
          <w:rFonts w:ascii="Arial" w:cs="Arial" w:eastAsia="Arial" w:hAnsi="Arial"/>
          <w:sz w:val="15"/>
          <w:szCs w:val="15"/>
          <w:color w:val="auto"/>
        </w:rPr>
        <w:t>Each of the representations and warranties of the Company contained in the Agreement was true and correct in all material respects, when originally made, and, except for those representations and warranties that speak solely as of a specific date, is true and correct as of the date of this Certificate.</w:t>
      </w:r>
    </w:p>
    <w:p>
      <w:pPr>
        <w:spacing w:after="0" w:line="62" w:lineRule="exact"/>
        <w:rPr>
          <w:rFonts w:ascii="Arial" w:cs="Arial" w:eastAsia="Arial" w:hAnsi="Arial"/>
          <w:sz w:val="15"/>
          <w:szCs w:val="15"/>
          <w:color w:val="auto"/>
        </w:rPr>
      </w:pPr>
    </w:p>
    <w:p>
      <w:pPr>
        <w:ind w:right="60" w:firstLine="464"/>
        <w:spacing w:after="0" w:line="298" w:lineRule="auto"/>
        <w:tabs>
          <w:tab w:leader="none" w:pos="63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Except as waived by MLV in writing, each of the covenants required to be performed by the Company in the Agreement on or prior to the date of the Agreement, this Representation Date, and each such other date prior to the date hereof as set forth in the Agreement, has been duly, timely and fully performed in all material respects and each condition required to be complied with by the Company on or prior to the date of the Agreement, this Representation Date, and each such other date prior to the date hereof as set forth in the Agreement has been duly, timely and fully complied with in all material respects.</w:t>
      </w:r>
    </w:p>
    <w:p>
      <w:pPr>
        <w:spacing w:after="0" w:line="112" w:lineRule="exact"/>
        <w:rPr>
          <w:rFonts w:ascii="Arial" w:cs="Arial" w:eastAsia="Arial" w:hAnsi="Arial"/>
          <w:sz w:val="16"/>
          <w:szCs w:val="16"/>
          <w:color w:val="auto"/>
        </w:rPr>
      </w:pPr>
    </w:p>
    <w:p>
      <w:pPr>
        <w:ind w:firstLine="464"/>
        <w:spacing w:after="0" w:line="259" w:lineRule="auto"/>
        <w:tabs>
          <w:tab w:leader="none" w:pos="63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of any part thereof has been issued, and, to the Company’s knowledge, no proceedings for that purpose have been instituted or are pending or threatened by any securities or other governmental authority (including, without limitation, the Commission).</w:t>
      </w:r>
    </w:p>
    <w:p>
      <w:pPr>
        <w:spacing w:after="0" w:line="140" w:lineRule="exact"/>
        <w:rPr>
          <w:rFonts w:ascii="Arial" w:cs="Arial" w:eastAsia="Arial" w:hAnsi="Arial"/>
          <w:sz w:val="18"/>
          <w:szCs w:val="18"/>
          <w:color w:val="auto"/>
        </w:rPr>
      </w:pPr>
    </w:p>
    <w:p>
      <w:pPr>
        <w:ind w:right="20" w:firstLine="464"/>
        <w:spacing w:after="0" w:line="259" w:lineRule="auto"/>
        <w:tabs>
          <w:tab w:leader="none" w:pos="63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order suspending the effectiveness of the Registration Statement or the qualification or registration of the Placement Shares under the securities or Blue Sky laws of any jurisdiction are in effect and no proceeding for such purpose is pending before, or threatened, to the Company’s knowledge or in writing by, any securities or other governmental authority (including, without limitation, the Commission).</w:t>
      </w:r>
    </w:p>
    <w:p>
      <w:pPr>
        <w:sectPr>
          <w:pgSz w:w="11900" w:h="16838" w:orient="portrait"/>
          <w:cols w:equalWidth="0" w:num="1">
            <w:col w:w="11400"/>
          </w:cols>
          <w:pgMar w:left="240" w:top="274" w:right="259" w:bottom="1440" w:gutter="0" w:footer="0" w:header="0"/>
        </w:sectPr>
      </w:pPr>
    </w:p>
    <w:bookmarkStart w:id="165" w:name="page166"/>
    <w:bookmarkEnd w:id="16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has executed this Officer’s Certificate on behalf of the Company as of the date first written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4612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4612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4612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bookmarkStart w:id="166" w:name="page167"/>
    <w:bookmarkEnd w:id="166"/>
    <w:p>
      <w:pPr>
        <w:jc w:val="center"/>
        <w:ind w:right="-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23</w:t>
      </w:r>
    </w:p>
    <w:p>
      <w:pPr>
        <w:spacing w:after="0" w:line="171" w:lineRule="exact"/>
        <w:rPr>
          <w:sz w:val="20"/>
          <w:szCs w:val="20"/>
          <w:color w:val="auto"/>
        </w:rPr>
      </w:pPr>
    </w:p>
    <w:p>
      <w:pPr>
        <w:jc w:val="center"/>
        <w:ind w:right="-740"/>
        <w:spacing w:after="0"/>
        <w:rPr>
          <w:sz w:val="20"/>
          <w:szCs w:val="20"/>
          <w:color w:val="auto"/>
        </w:rPr>
      </w:pPr>
      <w:r>
        <w:rPr>
          <w:rFonts w:ascii="Arial" w:cs="Arial" w:eastAsia="Arial" w:hAnsi="Arial"/>
          <w:sz w:val="15"/>
          <w:szCs w:val="15"/>
          <w:b w:val="1"/>
          <w:bCs w:val="1"/>
          <w:color w:val="auto"/>
        </w:rPr>
        <w:t>Permitted Free Writing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759"/>
          </w:cols>
          <w:pgMar w:left="700" w:top="274" w:right="1440"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10.39</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MANNKIND CORPORATION</w:t>
      </w:r>
    </w:p>
    <w:p>
      <w:pPr>
        <w:spacing w:after="0" w:line="1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Common Stock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 value $0.01 per share)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At-The-Market Issuance Sales Agreement</w:t>
      </w:r>
    </w:p>
    <w:p>
      <w:pPr>
        <w:spacing w:after="0" w:line="177"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18,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Brinson Patrick Securities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1515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MannKind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Brinson Patrick Securities Corporation (“</w:t>
      </w:r>
      <w:r>
        <w:rPr>
          <w:rFonts w:ascii="Arial" w:cs="Arial" w:eastAsia="Arial" w:hAnsi="Arial"/>
          <w:sz w:val="18"/>
          <w:szCs w:val="18"/>
          <w:u w:val="single" w:color="auto"/>
          <w:color w:val="auto"/>
        </w:rPr>
        <w:t>BPSC</w:t>
      </w:r>
      <w:r>
        <w:rPr>
          <w:rFonts w:ascii="Arial" w:cs="Arial" w:eastAsia="Arial" w:hAnsi="Arial"/>
          <w:sz w:val="18"/>
          <w:szCs w:val="18"/>
          <w:color w:val="auto"/>
        </w:rPr>
        <w:t>”), as follows:</w:t>
      </w:r>
    </w:p>
    <w:p>
      <w:pPr>
        <w:spacing w:after="0" w:line="132" w:lineRule="exact"/>
        <w:rPr>
          <w:sz w:val="20"/>
          <w:szCs w:val="20"/>
          <w:color w:val="auto"/>
        </w:rPr>
      </w:pPr>
    </w:p>
    <w:p>
      <w:pPr>
        <w:ind w:right="120" w:firstLine="464"/>
        <w:spacing w:after="0" w:line="302" w:lineRule="auto"/>
        <w:tabs>
          <w:tab w:leader="none" w:pos="632" w:val="left"/>
        </w:tabs>
        <w:numPr>
          <w:ilvl w:val="1"/>
          <w:numId w:val="110"/>
        </w:numPr>
        <w:rPr>
          <w:rFonts w:ascii="Arial" w:cs="Arial" w:eastAsia="Arial" w:hAnsi="Arial"/>
          <w:sz w:val="15"/>
          <w:szCs w:val="15"/>
          <w:color w:val="auto"/>
        </w:rPr>
      </w:pPr>
      <w:r>
        <w:rPr>
          <w:rFonts w:ascii="Arial" w:cs="Arial" w:eastAsia="Arial" w:hAnsi="Arial"/>
          <w:sz w:val="15"/>
          <w:szCs w:val="15"/>
          <w:u w:val="single" w:color="auto"/>
          <w:color w:val="auto"/>
        </w:rPr>
        <w:t>Issuance and Sale of Shares</w:t>
      </w:r>
      <w:r>
        <w:rPr>
          <w:rFonts w:ascii="Arial" w:cs="Arial" w:eastAsia="Arial" w:hAnsi="Arial"/>
          <w:sz w:val="15"/>
          <w:szCs w:val="15"/>
          <w:color w:val="auto"/>
        </w:rPr>
        <w:t>. The Company agrees that, from time to time during the term of this Agreement, on the terms and subject to the conditions set forth herein, it may issue and sell through BPSC, shares (the “</w:t>
      </w:r>
      <w:r>
        <w:rPr>
          <w:rFonts w:ascii="Arial" w:cs="Arial" w:eastAsia="Arial" w:hAnsi="Arial"/>
          <w:sz w:val="15"/>
          <w:szCs w:val="15"/>
          <w:u w:val="single" w:color="auto"/>
          <w:color w:val="auto"/>
        </w:rPr>
        <w:t>Placement Shares</w:t>
      </w:r>
      <w:r>
        <w:rPr>
          <w:rFonts w:ascii="Arial" w:cs="Arial" w:eastAsia="Arial" w:hAnsi="Arial"/>
          <w:sz w:val="15"/>
          <w:szCs w:val="15"/>
          <w:color w:val="auto"/>
        </w:rPr>
        <w:t>”) of the Company’s common stock, par value $0.01 per share (the “</w:t>
      </w:r>
      <w:r>
        <w:rPr>
          <w:rFonts w:ascii="Arial" w:cs="Arial" w:eastAsia="Arial" w:hAnsi="Arial"/>
          <w:sz w:val="15"/>
          <w:szCs w:val="15"/>
          <w:u w:val="single" w:color="auto"/>
          <w:color w:val="auto"/>
        </w:rPr>
        <w:t>Common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w:t>
      </w:r>
      <w:r>
        <w:rPr>
          <w:rFonts w:ascii="Arial" w:cs="Arial" w:eastAsia="Arial" w:hAnsi="Arial"/>
          <w:sz w:val="15"/>
          <w:szCs w:val="15"/>
          <w:color w:val="auto"/>
        </w:rPr>
        <w:t xml:space="preserve">”), up to an aggregate offering price of $50,000,000 less the aggregate offering price of any Common Stock sold pursuant to the Concurrent Facility Agreement (as defined below),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 that in no event shall the Company issue or sell through BPSC such number of Placement Shares that</w:t>
      </w:r>
    </w:p>
    <w:p>
      <w:pPr>
        <w:spacing w:after="0" w:line="2" w:lineRule="exact"/>
        <w:rPr>
          <w:rFonts w:ascii="Arial" w:cs="Arial" w:eastAsia="Arial" w:hAnsi="Arial"/>
          <w:sz w:val="15"/>
          <w:szCs w:val="15"/>
          <w:color w:val="auto"/>
        </w:rPr>
      </w:pPr>
    </w:p>
    <w:p>
      <w:pPr>
        <w:ind w:right="40" w:firstLine="8"/>
        <w:spacing w:after="0" w:line="287" w:lineRule="auto"/>
        <w:tabs>
          <w:tab w:leader="none" w:pos="23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would cause the Company to not satisfy the eligibility requirements for use of Form S-3 (including Instruction I.B.6. thereof), (b) exceeds the number of shares of Common Stock registered on the effective Registration Statement (as defined below) pursuant to which the offering is being made or (c) exceeds the number of authorized but unissued shares of the Company’s Common Stock (the lesser of (a), (b) and (c), the “</w:t>
      </w:r>
      <w:r>
        <w:rPr>
          <w:rFonts w:ascii="Arial" w:cs="Arial" w:eastAsia="Arial" w:hAnsi="Arial"/>
          <w:sz w:val="16"/>
          <w:szCs w:val="16"/>
          <w:u w:val="single" w:color="auto"/>
          <w:color w:val="auto"/>
        </w:rPr>
        <w:t>Maximum Amount</w:t>
      </w:r>
      <w:r>
        <w:rPr>
          <w:rFonts w:ascii="Arial" w:cs="Arial" w:eastAsia="Arial" w:hAnsi="Arial"/>
          <w:sz w:val="16"/>
          <w:szCs w:val="16"/>
          <w:color w:val="auto"/>
        </w:rPr>
        <w:t>”). Notwithstanding anything to the contrary contained herein, the parties hereto agree that compliance with the limitations set forth in this Section 1 on the amount of Placement Shares issued and sold under this Agreement shall be the sole responsibility of the Company and that BPSC shall have no obligation in connection with such compliance. The issuance and sale of Placement Shares through BPSC will be effected pursuant to the Registration Statement filed by the Company and declared effective by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although nothing in this Agreement shall be construed as requiring the Company to use the Registration Statement to issue any Placement Shares.</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has filed, in accordance with the provisions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the rules and regulations thereunder (the “</w:t>
      </w:r>
      <w:r>
        <w:rPr>
          <w:rFonts w:ascii="Arial" w:cs="Arial" w:eastAsia="Arial" w:hAnsi="Arial"/>
          <w:sz w:val="18"/>
          <w:szCs w:val="18"/>
          <w:u w:val="single" w:color="auto"/>
          <w:color w:val="auto"/>
        </w:rPr>
        <w:t>Securities Act Regulations</w:t>
      </w:r>
      <w:r>
        <w:rPr>
          <w:rFonts w:ascii="Arial" w:cs="Arial" w:eastAsia="Arial" w:hAnsi="Arial"/>
          <w:sz w:val="18"/>
          <w:szCs w:val="18"/>
          <w:color w:val="auto"/>
        </w:rPr>
        <w:t>”), with the Commission a registration statement on Form S-3 (File No. 333-183679), including a base prospectus, relating to certain securities, including the Placement</w:t>
      </w:r>
    </w:p>
    <w:p>
      <w:pPr>
        <w:sectPr>
          <w:pgSz w:w="11900" w:h="16838" w:orient="portrait"/>
          <w:cols w:equalWidth="0" w:num="1">
            <w:col w:w="11420"/>
          </w:cols>
          <w:pgMar w:left="240" w:top="126" w:right="239" w:bottom="1440" w:gutter="0" w:footer="0" w:header="0"/>
        </w:sectPr>
      </w:pPr>
    </w:p>
    <w:bookmarkStart w:id="168" w:name="page169"/>
    <w:bookmarkEnd w:id="168"/>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to be issued from time to time by the Company, and which incorporates by reference documents that the Company has filed or will file in accordance with the provisions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thereunder. The Company has prepared a prospectus supplement specifically relating to the Placement Shares (the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to the base prospectus included as part of such registration statement. The Company will furnish to BPSC, for use by BPSC, copies of the prospectus included as part of such registration statement, as supplemented by the Prospectus Supplement, relating to the Placement Shares. Except where the context otherwise requires, such registration statement,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is herein called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Regulations, is herein called the “</w:t>
      </w:r>
      <w:r>
        <w:rPr>
          <w:rFonts w:ascii="Arial" w:cs="Arial" w:eastAsia="Arial" w:hAnsi="Arial"/>
          <w:sz w:val="16"/>
          <w:szCs w:val="16"/>
          <w:u w:val="single" w:color="auto"/>
          <w:color w:val="auto"/>
        </w:rPr>
        <w:t>Prospectus</w:t>
      </w:r>
      <w:r>
        <w:rPr>
          <w:rFonts w:ascii="Arial" w:cs="Arial" w:eastAsia="Arial" w:hAnsi="Arial"/>
          <w:sz w:val="16"/>
          <w:szCs w:val="16"/>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(the “</w:t>
      </w:r>
      <w:r>
        <w:rPr>
          <w:rFonts w:ascii="Arial" w:cs="Arial" w:eastAsia="Arial" w:hAnsi="Arial"/>
          <w:sz w:val="16"/>
          <w:szCs w:val="16"/>
          <w:u w:val="single" w:color="auto"/>
          <w:color w:val="auto"/>
        </w:rPr>
        <w:t>Incorporated Documents</w:t>
      </w:r>
      <w:r>
        <w:rPr>
          <w:rFonts w:ascii="Arial" w:cs="Arial" w:eastAsia="Arial" w:hAnsi="Arial"/>
          <w:sz w:val="16"/>
          <w:szCs w:val="16"/>
          <w:color w:val="auto"/>
        </w:rPr>
        <w:t>”).</w:t>
      </w:r>
    </w:p>
    <w:p>
      <w:pPr>
        <w:spacing w:after="0" w:line="12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8"/>
          <w:szCs w:val="18"/>
          <w:u w:val="single" w:color="auto"/>
          <w:color w:val="auto"/>
        </w:rPr>
        <w:t>EDGAR</w:t>
      </w:r>
      <w:r>
        <w:rPr>
          <w:rFonts w:ascii="Arial" w:cs="Arial" w:eastAsia="Arial" w:hAnsi="Arial"/>
          <w:sz w:val="18"/>
          <w:szCs w:val="18"/>
          <w:color w:val="auto"/>
        </w:rPr>
        <w:t>”).</w:t>
      </w:r>
    </w:p>
    <w:p>
      <w:pPr>
        <w:spacing w:after="0" w:line="140" w:lineRule="exact"/>
        <w:rPr>
          <w:sz w:val="20"/>
          <w:szCs w:val="20"/>
          <w:color w:val="auto"/>
        </w:rPr>
      </w:pPr>
    </w:p>
    <w:p>
      <w:pPr>
        <w:ind w:firstLine="464"/>
        <w:spacing w:after="0" w:line="287" w:lineRule="auto"/>
        <w:tabs>
          <w:tab w:leader="none" w:pos="632"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Placements</w:t>
      </w:r>
      <w:r>
        <w:rPr>
          <w:rFonts w:ascii="Arial" w:cs="Arial" w:eastAsia="Arial" w:hAnsi="Arial"/>
          <w:sz w:val="16"/>
          <w:szCs w:val="16"/>
          <w:color w:val="auto"/>
        </w:rPr>
        <w:t>. Each time that the Company wishes to issue and sell Placement Shares hereunder (each, a “</w:t>
      </w:r>
      <w:r>
        <w:rPr>
          <w:rFonts w:ascii="Arial" w:cs="Arial" w:eastAsia="Arial" w:hAnsi="Arial"/>
          <w:sz w:val="16"/>
          <w:szCs w:val="16"/>
          <w:u w:val="single" w:color="auto"/>
          <w:color w:val="auto"/>
        </w:rPr>
        <w:t>Placement</w:t>
      </w:r>
      <w:r>
        <w:rPr>
          <w:rFonts w:ascii="Arial" w:cs="Arial" w:eastAsia="Arial" w:hAnsi="Arial"/>
          <w:sz w:val="16"/>
          <w:szCs w:val="16"/>
          <w:color w:val="auto"/>
        </w:rPr>
        <w:t>”), it will notify BPSC by email notice (or other method mutually agreed to in writing by the parties) of the proposed terms of such Placement, which shall include at a minimum the number of Placement Shares to be issued, the time period during which sales are requested to be made, any limitation on the number of Placement Shares that may be sold in any one day and any minimum price below which sales may not be made (a “</w:t>
      </w:r>
      <w:r>
        <w:rPr>
          <w:rFonts w:ascii="Arial" w:cs="Arial" w:eastAsia="Arial" w:hAnsi="Arial"/>
          <w:sz w:val="16"/>
          <w:szCs w:val="16"/>
          <w:u w:val="single" w:color="auto"/>
          <w:color w:val="auto"/>
        </w:rPr>
        <w:t>Placement Notice</w:t>
      </w:r>
      <w:r>
        <w:rPr>
          <w:rFonts w:ascii="Arial" w:cs="Arial" w:eastAsia="Arial" w:hAnsi="Arial"/>
          <w:sz w:val="16"/>
          <w:szCs w:val="16"/>
          <w:color w:val="auto"/>
        </w:rPr>
        <w:t>”), the form of which is attached hereto as Schedule 1. The Placement Notice shall originate from any of the individuals from the Company set forth on Schedule 3 (with a copy to each of the other individuals from the Company listed on such schedule), and shall be addressed to each of the individuals from BPSC set forth on Schedule 3, as such Schedule 3 may be amended from time to time. The Placement Notice shall be effective unless and until (i) BPSC declines to accept the terms contained therein for any reason, in its sole discretion by email notice to the Company within one Business Day (as defined below) from the time the Placement Notice is received, (ii) the entire amount of the Placement Shares thereunder have been sold, (iii) the Company suspends or terminates the Placement Notice or (iv) this Agreement has been terminated under the provisions of Section 13. The amount of any discount,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69" w:name="page170"/>
    <w:bookmarkEnd w:id="169"/>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commission or other compensation to be paid by the Company to BPSC in connection with the sale of the Placement Shares shall be calculated in accordance with the terms set forth in Schedule 2. It is expressly acknowledged and agreed that neither the Company nor BPSC will have any obligation whatsoever with respect to a Placement or any Placement Shares unless and until the Company delivers a Placement Notice to BPSC and BPSC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16" w:lineRule="exact"/>
        <w:rPr>
          <w:sz w:val="20"/>
          <w:szCs w:val="20"/>
          <w:color w:val="auto"/>
        </w:rPr>
      </w:pPr>
    </w:p>
    <w:p>
      <w:pPr>
        <w:ind w:left="640" w:hanging="176"/>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Sale of Placement Shares by BPSC</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921"/>
        <w:spacing w:after="0" w:line="286" w:lineRule="auto"/>
        <w:tabs>
          <w:tab w:leader="none" w:pos="115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for the period specified in the Placement Notice, BPSC will use its commercially reasonable efforts consistent with its normal trading and sales practices and applicable state and federal laws, rules and regulations and the rules of the NASDAQ Global Market (the “</w:t>
      </w:r>
      <w:r>
        <w:rPr>
          <w:rFonts w:ascii="Arial" w:cs="Arial" w:eastAsia="Arial" w:hAnsi="Arial"/>
          <w:sz w:val="16"/>
          <w:szCs w:val="16"/>
          <w:u w:val="single" w:color="auto"/>
          <w:color w:val="auto"/>
        </w:rPr>
        <w:t>Exchange</w:t>
      </w:r>
      <w:r>
        <w:rPr>
          <w:rFonts w:ascii="Arial" w:cs="Arial" w:eastAsia="Arial" w:hAnsi="Arial"/>
          <w:sz w:val="16"/>
          <w:szCs w:val="16"/>
          <w:color w:val="auto"/>
        </w:rPr>
        <w:t>”), to sell the Placement Shares up to the amount specified, and otherwise in accordance with the terms of such Placement Notice. BPSC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BPSC pursuant to Section 2 with respect to such sales, and the Net Proceeds (as defined below) payable to the Company, with an itemization of the deductions made by BPSC (as set forth in Section 5(b)) from the gross proceeds that it receives from such sales. Subject to the terms of the Placement Notice, BPSC shall sell Placement Shares only by methods deemed to be an “at the market” offering as defined in Rule 415 of the Securities Act Regulations, including without limitation sales made directly on the Exchange, on any other existing trading market for the Common Stock or to or through a market maker. Subject to the terms of the Placement Notice and only with the Company’s prior written consent, BPSC may also sell Placement Shares by any other method permitted by law, including but not limited to in negotiated transactions. “</w:t>
      </w:r>
      <w:r>
        <w:rPr>
          <w:rFonts w:ascii="Arial" w:cs="Arial" w:eastAsia="Arial" w:hAnsi="Arial"/>
          <w:sz w:val="16"/>
          <w:szCs w:val="16"/>
          <w:u w:val="single" w:color="auto"/>
          <w:color w:val="auto"/>
        </w:rPr>
        <w:t>Trading Day</w:t>
      </w:r>
      <w:r>
        <w:rPr>
          <w:rFonts w:ascii="Arial" w:cs="Arial" w:eastAsia="Arial" w:hAnsi="Arial"/>
          <w:sz w:val="16"/>
          <w:szCs w:val="16"/>
          <w:color w:val="auto"/>
        </w:rPr>
        <w:t>” means any day on which shares of Common Stock are purchased and sold on the Exchange.</w:t>
      </w:r>
    </w:p>
    <w:p>
      <w:pPr>
        <w:spacing w:after="0" w:line="124" w:lineRule="exact"/>
        <w:rPr>
          <w:rFonts w:ascii="Arial" w:cs="Arial" w:eastAsia="Arial" w:hAnsi="Arial"/>
          <w:sz w:val="16"/>
          <w:szCs w:val="16"/>
          <w:color w:val="auto"/>
        </w:rPr>
      </w:pPr>
    </w:p>
    <w:p>
      <w:pPr>
        <w:ind w:right="120" w:firstLine="921"/>
        <w:spacing w:after="0" w:line="294" w:lineRule="auto"/>
        <w:tabs>
          <w:tab w:leader="none" w:pos="1162" w:val="left"/>
        </w:tabs>
        <w:numPr>
          <w:ilvl w:val="1"/>
          <w:numId w:val="113"/>
        </w:numPr>
        <w:rPr>
          <w:rFonts w:ascii="Arial" w:cs="Arial" w:eastAsia="Arial" w:hAnsi="Arial"/>
          <w:sz w:val="16"/>
          <w:szCs w:val="16"/>
          <w:color w:val="auto"/>
        </w:rPr>
      </w:pPr>
      <w:r>
        <w:rPr>
          <w:rFonts w:ascii="Arial" w:cs="Arial" w:eastAsia="Arial" w:hAnsi="Arial"/>
          <w:sz w:val="16"/>
          <w:szCs w:val="16"/>
          <w:color w:val="auto"/>
        </w:rPr>
        <w:t>During the term of this Agreement, neither BPSC nor any of its affiliates or subsidiaries shall engage in (i) any short sale of any security of the Company, (ii) any sale of any security of the Company that BPSC does not own or any sale which is consummated by the delivery of a security of the Company borrowed by, or for the account of, BPSC or (iii) any market making bidding, stabilization or other trading activity with respect to the Common Stock or related derivative securities if such activity would be prohibited under Regulation M or other anti-manipulation rules under the Securities Act. Neither BPSC nor any of its affiliates or subsidiaries shall engage in any proprietary trading or trading for BPSC’s (or its affiliates’ or subsidiaries’) own account.</w:t>
      </w:r>
    </w:p>
    <w:p>
      <w:pPr>
        <w:spacing w:after="0" w:line="115" w:lineRule="exact"/>
        <w:rPr>
          <w:rFonts w:ascii="Arial" w:cs="Arial" w:eastAsia="Arial" w:hAnsi="Arial"/>
          <w:sz w:val="16"/>
          <w:szCs w:val="16"/>
          <w:color w:val="auto"/>
        </w:rPr>
      </w:pPr>
    </w:p>
    <w:p>
      <w:pPr>
        <w:ind w:firstLine="464"/>
        <w:spacing w:after="0" w:line="306" w:lineRule="auto"/>
        <w:tabs>
          <w:tab w:leader="none" w:pos="632"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Suspension of Sales</w:t>
      </w:r>
      <w:r>
        <w:rPr>
          <w:rFonts w:ascii="Arial" w:cs="Arial" w:eastAsia="Arial" w:hAnsi="Arial"/>
          <w:sz w:val="16"/>
          <w:szCs w:val="16"/>
          <w:color w:val="auto"/>
        </w:rPr>
        <w:t>. The Company or BPSC may, upon notice to the other party in writing (including by email correspondence to each of the individuals of the other party set forth on Schedule 3, if receipt of such correspondence is actually acknowledged by any of the individuals to whom the notice is sent, other than via auto-reply) or by telephone (confirmed immediately by verifiable facsimile transmission or email correspondence to each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70" w:name="page171"/>
    <w:bookmarkEnd w:id="170"/>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individuals of the other party set forth on Schedule 3), suspend any sale of Placement Shares; provided, however, that such suspension shall not affect or impair any party’s obligations with respect to any Placement Shares sold hereunder prior to the receipt of such notice. Each of the parties agrees that no such notice under this Section 4 shall be effective against any other party unless it is made to one of the individuals named on Schedule 3 hereto, as such Schedule may be amended from time to time.</w:t>
      </w:r>
    </w:p>
    <w:p>
      <w:pPr>
        <w:spacing w:after="0" w:line="143" w:lineRule="exact"/>
        <w:rPr>
          <w:sz w:val="20"/>
          <w:szCs w:val="20"/>
          <w:color w:val="auto"/>
        </w:rPr>
      </w:pPr>
    </w:p>
    <w:p>
      <w:pPr>
        <w:ind w:left="640" w:hanging="176"/>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Sale and Delivery to BPSC; Settlement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921"/>
        <w:spacing w:after="0" w:line="288" w:lineRule="auto"/>
        <w:tabs>
          <w:tab w:leader="none" w:pos="1152"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Sale of Placement Shares</w:t>
      </w:r>
      <w:r>
        <w:rPr>
          <w:rFonts w:ascii="Arial" w:cs="Arial" w:eastAsia="Arial" w:hAnsi="Arial"/>
          <w:sz w:val="16"/>
          <w:szCs w:val="16"/>
          <w:color w:val="auto"/>
        </w:rPr>
        <w:t>. On the basis of the representations and warranties herein contained and subject to the terms and conditions herein set forth, unless BPSC declines to accept the terms of a Placement Notice, and unless the sale of the Placement Shares described therein has been declined, suspended, or otherwise terminated in accordance with the terms of this Agreement, BPSC, for the period specified in the Placement Notice, will use its commercially reasonable efforts consistent with its normal trading and sales practices to sell such Placement Shares up to the amount specified in, and otherwise in accordance with, the terms of such Placement Notice. The Company acknowledges and agrees that (i) there can be no assurance that BPSC will be successful in selling Placement Shares, (ii) BPSC will incur no liability or obligation to the Company or any other person or entity if it does not sell Placement Shares for any reason other than a failure by BPSC to use its commercially reasonable efforts consistent with its normal trading and sales practices and applicable law and regulations to sell such Placement Shares as required under this Agreement and (iii) BPSC shall be under no obligation to purchase Placement Shares on a principal basis pursuant to this Agreement, except as otherwise agreed by BPSC and the Company.</w:t>
      </w:r>
    </w:p>
    <w:p>
      <w:pPr>
        <w:spacing w:after="0" w:line="119" w:lineRule="exact"/>
        <w:rPr>
          <w:rFonts w:ascii="Arial" w:cs="Arial" w:eastAsia="Arial" w:hAnsi="Arial"/>
          <w:sz w:val="16"/>
          <w:szCs w:val="16"/>
          <w:color w:val="auto"/>
        </w:rPr>
      </w:pPr>
    </w:p>
    <w:p>
      <w:pPr>
        <w:ind w:firstLine="921"/>
        <w:spacing w:after="0" w:line="254" w:lineRule="auto"/>
        <w:tabs>
          <w:tab w:leader="none" w:pos="1161"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Settlement of Placement Shares</w:t>
      </w:r>
      <w:r>
        <w:rPr>
          <w:rFonts w:ascii="Arial" w:cs="Arial" w:eastAsia="Arial" w:hAnsi="Arial"/>
          <w:sz w:val="18"/>
          <w:szCs w:val="18"/>
          <w:color w:val="auto"/>
        </w:rPr>
        <w:t>. Unless otherwise specified in the applicable Placement Notice, settlement for sales of Placement Shares will occur on the third (3rd) Trading Day (or such earlier day as is industry practice for regular-way trading) following the date on which such sales are made (each, a “</w:t>
      </w:r>
      <w:r>
        <w:rPr>
          <w:rFonts w:ascii="Arial" w:cs="Arial" w:eastAsia="Arial" w:hAnsi="Arial"/>
          <w:sz w:val="18"/>
          <w:szCs w:val="18"/>
          <w:u w:val="single" w:color="auto"/>
          <w:color w:val="auto"/>
        </w:rPr>
        <w:t>Settlement Date</w:t>
      </w:r>
      <w:r>
        <w:rPr>
          <w:rFonts w:ascii="Arial" w:cs="Arial" w:eastAsia="Arial" w:hAnsi="Arial"/>
          <w:sz w:val="18"/>
          <w:szCs w:val="18"/>
          <w:color w:val="auto"/>
        </w:rPr>
        <w:t>”). The amount of proceeds to be delivered to the Company on a Settlement Date against receipt of the Placement Shares sold (the “</w:t>
      </w:r>
      <w:r>
        <w:rPr>
          <w:rFonts w:ascii="Arial" w:cs="Arial" w:eastAsia="Arial" w:hAnsi="Arial"/>
          <w:sz w:val="18"/>
          <w:szCs w:val="18"/>
          <w:u w:val="single" w:color="auto"/>
          <w:color w:val="auto"/>
        </w:rPr>
        <w:t>Net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Proceeds</w:t>
      </w:r>
      <w:r>
        <w:rPr>
          <w:rFonts w:ascii="Arial" w:cs="Arial" w:eastAsia="Arial" w:hAnsi="Arial"/>
          <w:sz w:val="18"/>
          <w:szCs w:val="18"/>
          <w:color w:val="auto"/>
        </w:rPr>
        <w:t>”) will be equal to the aggregate sales price received by BPSC, after deduction for (i) BPSC’s commission, discount or other compensation for such sales payable by the Company pursuant to Section 2 hereof, and (ii) any transaction fees imposed by any governmental or self-regulatory organization in respect of such sales.</w:t>
      </w:r>
    </w:p>
    <w:p>
      <w:pPr>
        <w:spacing w:after="0" w:line="144" w:lineRule="exact"/>
        <w:rPr>
          <w:rFonts w:ascii="Arial" w:cs="Arial" w:eastAsia="Arial" w:hAnsi="Arial"/>
          <w:sz w:val="18"/>
          <w:szCs w:val="18"/>
          <w:color w:val="auto"/>
        </w:rPr>
      </w:pPr>
    </w:p>
    <w:p>
      <w:pPr>
        <w:ind w:firstLine="921"/>
        <w:spacing w:after="0" w:line="290" w:lineRule="auto"/>
        <w:tabs>
          <w:tab w:leader="none" w:pos="1152"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Delivery of Placement Shares</w:t>
      </w:r>
      <w:r>
        <w:rPr>
          <w:rFonts w:ascii="Arial" w:cs="Arial" w:eastAsia="Arial" w:hAnsi="Arial"/>
          <w:sz w:val="16"/>
          <w:szCs w:val="16"/>
          <w:color w:val="auto"/>
        </w:rPr>
        <w:t>. On or before each Settlement Date, the Company will, or will cause its transfer agent to, electronically transfer the Placement Shares being sold by crediting BPSC’s or its designee’s account (provided BPSC shall have given the Company written notice of such designee a reasonable period of time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BPSC will deliver the related Net Proceeds in same day funds to an account designated by the Company on, or prior to, the Settlement Date. If the Company, or its transfer agent (if applicable), defaults in its obligation to deliver Placement Shares on a Settlement Date through no fault of BPSC, the Company agrees that in addition to and in no way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71" w:name="page172"/>
    <w:bookmarkEnd w:id="171"/>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limiting the rights and obligations set forth in Section 11(a) hereto, it will (i) hold BPSC harmless against any loss, claim, damage, or expense (including reasonable legal fees and expenses), as incurred, arising out of or in connection with such default by the Company or its transfer agent (if applicable) and (ii) pay to BPSC (without duplication) any commission, discount, or other compensation to which it would otherwise have been entitled absent such default.</w:t>
      </w:r>
    </w:p>
    <w:p>
      <w:pPr>
        <w:spacing w:after="0" w:line="107" w:lineRule="exact"/>
        <w:rPr>
          <w:sz w:val="20"/>
          <w:szCs w:val="20"/>
          <w:color w:val="auto"/>
        </w:rPr>
      </w:pPr>
    </w:p>
    <w:p>
      <w:pPr>
        <w:ind w:right="80" w:firstLine="921"/>
        <w:spacing w:after="0" w:line="290" w:lineRule="auto"/>
        <w:tabs>
          <w:tab w:leader="none" w:pos="1161"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Limitations on Offering Size</w:t>
      </w:r>
      <w:r>
        <w:rPr>
          <w:rFonts w:ascii="Arial" w:cs="Arial" w:eastAsia="Arial" w:hAnsi="Arial"/>
          <w:sz w:val="16"/>
          <w:szCs w:val="16"/>
          <w:color w:val="auto"/>
        </w:rPr>
        <w:t>.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BPSC in writing. Under no circumstances shall the Company cause or request the offer or sale of any Placement Shares pursuant to this Agreement at a price lower than any minimum price authorized from time to time by the Company’s board of directors, a duly authorized committee thereof or a duly authorized executive committee, and notified to BPSC in writing.</w:t>
      </w:r>
    </w:p>
    <w:p>
      <w:pPr>
        <w:spacing w:after="0" w:line="118" w:lineRule="exact"/>
        <w:rPr>
          <w:rFonts w:ascii="Arial" w:cs="Arial" w:eastAsia="Arial" w:hAnsi="Arial"/>
          <w:sz w:val="16"/>
          <w:szCs w:val="16"/>
          <w:color w:val="auto"/>
        </w:rPr>
      </w:pPr>
    </w:p>
    <w:p>
      <w:pPr>
        <w:ind w:right="260" w:firstLine="464"/>
        <w:spacing w:after="0" w:line="259" w:lineRule="auto"/>
        <w:tabs>
          <w:tab w:leader="none" w:pos="63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disclosed in the Registration Statement or the Prospectus (including Incorporated Documents), the Company represents and warrants to, and agrees with BPSC that as of the date of this Agreement and as of each Applicable Time (as defined below), unless such representation, warranty or agreement specifies a different time:</w:t>
      </w:r>
    </w:p>
    <w:p>
      <w:pPr>
        <w:spacing w:after="0" w:line="140" w:lineRule="exact"/>
        <w:rPr>
          <w:rFonts w:ascii="Arial" w:cs="Arial" w:eastAsia="Arial" w:hAnsi="Arial"/>
          <w:sz w:val="18"/>
          <w:szCs w:val="18"/>
          <w:color w:val="auto"/>
        </w:rPr>
      </w:pPr>
    </w:p>
    <w:p>
      <w:pPr>
        <w:ind w:firstLine="921"/>
        <w:spacing w:after="0" w:line="286" w:lineRule="auto"/>
        <w:tabs>
          <w:tab w:leader="none" w:pos="1152"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w:t>
      </w:r>
      <w:r>
        <w:rPr>
          <w:rFonts w:ascii="Arial" w:cs="Arial" w:eastAsia="Arial" w:hAnsi="Arial"/>
          <w:sz w:val="16"/>
          <w:szCs w:val="16"/>
          <w:color w:val="auto"/>
        </w:rPr>
        <w:t>. The Company and, assuming no act or omission on the part of BPSC that would make such statement untrue, the transactions contemplated by this Agreement meet the requirements for and comply with the conditions for the use of Form S-3 under the Securities Act. The Registration Statement has been filed with the Commission and has been declared effective under the Securities Act. The Prospectus Supplement will name BPSC as an agent in the section entitled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BPSC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BPSC has consented, such consent not to be unreasonably withheld, conditioned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72" w:name="page173"/>
    <w:bookmarkEnd w:id="172"/>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delayed. The Common Stock is currently quoted on the Exchange under the trading symbol “MNKD”. The Company has not, in the 12 months preceding the date hereof, received notice from the Exchange to the effect that the Company is not in compliance with the listing or maintenance requirements and the Company has no reason to believe that it will not in the foreseeable future continue to be in compliance with all such listing and maintenance requirements.</w:t>
      </w:r>
    </w:p>
    <w:p>
      <w:pPr>
        <w:spacing w:after="0" w:line="107" w:lineRule="exact"/>
        <w:rPr>
          <w:sz w:val="20"/>
          <w:szCs w:val="20"/>
          <w:color w:val="auto"/>
        </w:rPr>
      </w:pPr>
    </w:p>
    <w:p>
      <w:pPr>
        <w:ind w:right="40" w:firstLine="921"/>
        <w:spacing w:after="0" w:line="286" w:lineRule="auto"/>
        <w:tabs>
          <w:tab w:leader="none" w:pos="1161"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No Misstatement or Omission</w:t>
      </w:r>
      <w:r>
        <w:rPr>
          <w:rFonts w:ascii="Arial" w:cs="Arial" w:eastAsia="Arial" w:hAnsi="Arial"/>
          <w:sz w:val="16"/>
          <w:szCs w:val="16"/>
          <w:color w:val="auto"/>
        </w:rPr>
        <w:t>. The Registration Statement, when it became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effective, did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BPSC specifically for use in the preparation thereof.</w:t>
      </w:r>
    </w:p>
    <w:p>
      <w:pPr>
        <w:spacing w:after="0" w:line="124" w:lineRule="exact"/>
        <w:rPr>
          <w:rFonts w:ascii="Arial" w:cs="Arial" w:eastAsia="Arial" w:hAnsi="Arial"/>
          <w:sz w:val="16"/>
          <w:szCs w:val="16"/>
          <w:color w:val="auto"/>
        </w:rPr>
      </w:pPr>
    </w:p>
    <w:p>
      <w:pPr>
        <w:ind w:firstLine="921"/>
        <w:spacing w:after="0" w:line="298" w:lineRule="auto"/>
        <w:tabs>
          <w:tab w:leader="none" w:pos="1152"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Conformity with Securities Act and Exchange Act</w:t>
      </w:r>
      <w:r>
        <w:rPr>
          <w:rFonts w:ascii="Arial" w:cs="Arial" w:eastAsia="Arial" w:hAnsi="Arial"/>
          <w:sz w:val="16"/>
          <w:szCs w:val="16"/>
          <w:color w:val="auto"/>
        </w:rPr>
        <w:t>. The Registration Statement, the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12" w:lineRule="exact"/>
        <w:rPr>
          <w:rFonts w:ascii="Arial" w:cs="Arial" w:eastAsia="Arial" w:hAnsi="Arial"/>
          <w:sz w:val="16"/>
          <w:szCs w:val="16"/>
          <w:color w:val="auto"/>
        </w:rPr>
      </w:pPr>
    </w:p>
    <w:p>
      <w:pPr>
        <w:ind w:firstLine="921"/>
        <w:spacing w:after="0" w:line="290" w:lineRule="auto"/>
        <w:tabs>
          <w:tab w:leader="none" w:pos="1161"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Financial Information</w:t>
      </w:r>
      <w:r>
        <w:rPr>
          <w:rFonts w:ascii="Arial" w:cs="Arial" w:eastAsia="Arial" w:hAnsi="Arial"/>
          <w:sz w:val="16"/>
          <w:szCs w:val="16"/>
          <w:color w:val="auto"/>
        </w:rPr>
        <w:t>. The consolidated financial statements of the Company included or incorporated by reference in the Registration Statement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(subject, in the case of unaudited statements, to normal year-end audit adjustments) and have been prepared in compliance with the requirements of the Securities Act and Exchange Act, as applicable, and in conformity with GAAP (as defined below) applied on a consistent basis (except for such adjustments to accounting standards and practices as are noted therein and except in the case of unaudited financial statements to the extent they may exclude footnotes or may be condensed or summary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73" w:name="page174"/>
    <w:bookmarkEnd w:id="173"/>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during the periods involved; the other financial and statistical data with respect to the Company and the Subsidiaries contained or incorporated by reference in the Registration Statement and the Prospectus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off-balance sheet obligations), not described in the Registration Statement (including the exhibits thereto and Incorporated Documents) and the Prospectus which are required to be described in the Registration Statement or the Prospectus (including exhibits thereto and Incorporated Documents); and all disclosures contained or incorporated by reference in the Registration Statement and the Prospectus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120" w:lineRule="exact"/>
        <w:rPr>
          <w:sz w:val="20"/>
          <w:szCs w:val="20"/>
          <w:color w:val="auto"/>
        </w:rPr>
      </w:pPr>
    </w:p>
    <w:p>
      <w:pPr>
        <w:ind w:firstLine="921"/>
        <w:spacing w:after="0" w:line="259" w:lineRule="auto"/>
        <w:tabs>
          <w:tab w:leader="none" w:pos="115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Conformity with EDGAR Filing</w:t>
      </w:r>
      <w:r>
        <w:rPr>
          <w:rFonts w:ascii="Arial" w:cs="Arial" w:eastAsia="Arial" w:hAnsi="Arial"/>
          <w:sz w:val="18"/>
          <w:szCs w:val="18"/>
          <w:color w:val="auto"/>
        </w:rPr>
        <w:t>. The Prospectus delivered to BPSC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40" w:lineRule="exact"/>
        <w:rPr>
          <w:rFonts w:ascii="Arial" w:cs="Arial" w:eastAsia="Arial" w:hAnsi="Arial"/>
          <w:sz w:val="18"/>
          <w:szCs w:val="18"/>
          <w:color w:val="auto"/>
        </w:rPr>
      </w:pPr>
    </w:p>
    <w:p>
      <w:pPr>
        <w:ind w:right="120" w:firstLine="921"/>
        <w:spacing w:after="0" w:line="288" w:lineRule="auto"/>
        <w:tabs>
          <w:tab w:leader="none" w:pos="1132"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and each of its Subsidiaries are, and will be, duly organized, validly existing as a corporation and in good standing under the laws of their respective jurisdictions of organization. The Company and each of its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 stockholders’ equity (as set forth on the Company’s most recent balance sheet included in the Incorporated Documents) or results of operations of the Company and the Subsidiaries (as defined below) taken as a whole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right="20" w:firstLine="921"/>
        <w:spacing w:after="0" w:line="255" w:lineRule="auto"/>
        <w:tabs>
          <w:tab w:leader="none" w:pos="116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Schedule 4 hereto sets forth each of the Company’s significant subsidiaries (as such term is defined in Rule 1-02 of Regulation S-X promulgated by the Commission), if any (each such significant subsidiary, a “</w:t>
      </w:r>
      <w:r>
        <w:rPr>
          <w:rFonts w:ascii="Arial" w:cs="Arial" w:eastAsia="Arial" w:hAnsi="Arial"/>
          <w:sz w:val="18"/>
          <w:szCs w:val="18"/>
          <w:u w:val="single" w:color="auto"/>
          <w:color w:val="auto"/>
        </w:rPr>
        <w:t>Subsidiary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Subsidiaries</w:t>
      </w:r>
      <w:r>
        <w:rPr>
          <w:rFonts w:ascii="Arial" w:cs="Arial" w:eastAsia="Arial" w:hAnsi="Arial"/>
          <w:sz w:val="18"/>
          <w:szCs w:val="18"/>
          <w:color w:val="auto"/>
        </w:rPr>
        <w:t>”). Except as set forth in the Registration Statement and in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74" w:name="page175"/>
    <w:bookmarkEnd w:id="174"/>
    <w:p>
      <w:pPr>
        <w:ind w:left="-20" w:right="100" w:firstLine="921"/>
        <w:spacing w:after="0" w:line="289" w:lineRule="auto"/>
        <w:tabs>
          <w:tab w:leader="none" w:pos="1141"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Violation or Default</w:t>
      </w:r>
      <w:r>
        <w:rPr>
          <w:rFonts w:ascii="Arial" w:cs="Arial" w:eastAsia="Arial" w:hAnsi="Arial"/>
          <w:sz w:val="16"/>
          <w:szCs w:val="16"/>
          <w:color w:val="auto"/>
        </w:rPr>
        <w:t>.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reasonably be expected to have a Material Adverse Effect. To the Company’s knowledge, no other party under any material contract or other agreement to which it or any of its Subsidiaries is a party is in default in any respect thereunder where such default would have a Material Adverse Effect.</w:t>
      </w:r>
    </w:p>
    <w:p>
      <w:pPr>
        <w:spacing w:after="0" w:line="118" w:lineRule="exact"/>
        <w:rPr>
          <w:rFonts w:ascii="Arial" w:cs="Arial" w:eastAsia="Arial" w:hAnsi="Arial"/>
          <w:sz w:val="16"/>
          <w:szCs w:val="16"/>
          <w:color w:val="auto"/>
        </w:rPr>
      </w:pPr>
    </w:p>
    <w:p>
      <w:pPr>
        <w:ind w:left="-20" w:firstLine="921"/>
        <w:spacing w:after="0" w:line="287" w:lineRule="auto"/>
        <w:tabs>
          <w:tab w:leader="none" w:pos="1102"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Subsequent to December 31, 2012, and other than the Company’s execution of this Agreement and the sale of any Placement Shares hereunder and the Company’s execution of an At-The-Market Issuance Sales Agreement substantially similar to this Agreement with MLV &amp; Co. LLC (the “</w:t>
      </w:r>
      <w:r>
        <w:rPr>
          <w:rFonts w:ascii="Arial" w:cs="Arial" w:eastAsia="Arial" w:hAnsi="Arial"/>
          <w:sz w:val="16"/>
          <w:szCs w:val="16"/>
          <w:u w:val="single" w:color="auto"/>
          <w:color w:val="auto"/>
        </w:rPr>
        <w:t>Concurrent Facility Agreement</w:t>
      </w:r>
      <w:r>
        <w:rPr>
          <w:rFonts w:ascii="Arial" w:cs="Arial" w:eastAsia="Arial" w:hAnsi="Arial"/>
          <w:sz w:val="16"/>
          <w:szCs w:val="16"/>
          <w:color w:val="auto"/>
        </w:rPr>
        <w:t>”) and the sale of any shares of the Company’s common stock thereunder, there has not been (i) any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(A) in the ordinary course of business, (B) as otherwise disclosed in the Registration Statement or Prospectus (including any document deemed incorporated by reference therein) or (C) where such matter, item, change or development would not make the statements in the Registration Statement or the Prospectus contain an untrue statement of a material fact or omit to state a material fact required to be stated therein or necessary to make the statements therein not misleading.</w:t>
      </w:r>
    </w:p>
    <w:p>
      <w:pPr>
        <w:spacing w:after="0" w:line="122" w:lineRule="exact"/>
        <w:rPr>
          <w:rFonts w:ascii="Arial" w:cs="Arial" w:eastAsia="Arial" w:hAnsi="Arial"/>
          <w:sz w:val="16"/>
          <w:szCs w:val="16"/>
          <w:color w:val="auto"/>
        </w:rPr>
      </w:pPr>
    </w:p>
    <w:p>
      <w:pPr>
        <w:ind w:left="-20" w:right="20" w:firstLine="921"/>
        <w:spacing w:after="0" w:line="289" w:lineRule="auto"/>
        <w:tabs>
          <w:tab w:leader="none" w:pos="1102"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issued and outstanding shares of capital stock of the Company have been validly issued, are fully paid and non-assessable and, other than as disclosed in or contemplated by the Registration Statement or the Prospectus, and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or other equity awards under the Company’s existing stock option plans, or changes in the number of outstanding shares of Common Stock of the Company due to the issuance of shares upon the exercise or conversion of securities exercisable for, or convertible into, shares of Common Stock outstanding on the date hereof or described in the Registration Statement and the Prospectus (including any document deemed incorporated by reference therein) or as a result of the issuance of Placement Shares or shares of the Company’s common stock under the Concurrent Facility Agreement) and such authorized capital stock conforms in all material respects to the description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60" w:top="334" w:right="239" w:bottom="1440" w:gutter="0" w:footer="0" w:header="0"/>
        </w:sectPr>
      </w:pPr>
    </w:p>
    <w:bookmarkStart w:id="175" w:name="page176"/>
    <w:bookmarkEnd w:id="175"/>
    <w:p>
      <w:pPr>
        <w:ind w:right="2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set forth in the Registration Statement and the Prospectus. The description of the Common Stock in the Registration Statement and the Prospectus (including any document deemed incorporated by reference therein) is complete and accurate in all material respects. Other than as set forth or described in the Registration Statement and the Prospectus, as of the dates referred to therein, the Company did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43" w:lineRule="exact"/>
        <w:rPr>
          <w:sz w:val="20"/>
          <w:szCs w:val="20"/>
          <w:color w:val="auto"/>
        </w:rPr>
      </w:pPr>
    </w:p>
    <w:p>
      <w:pPr>
        <w:ind w:right="200" w:firstLine="921"/>
        <w:spacing w:after="0" w:line="294" w:lineRule="auto"/>
        <w:tabs>
          <w:tab w:leader="none" w:pos="1161"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Section 11 hereof may be limited by federal or state securities laws and public policy considerations in respect thereof.</w:t>
      </w:r>
    </w:p>
    <w:p>
      <w:pPr>
        <w:spacing w:after="0" w:line="115" w:lineRule="exact"/>
        <w:rPr>
          <w:rFonts w:ascii="Arial" w:cs="Arial" w:eastAsia="Arial" w:hAnsi="Arial"/>
          <w:sz w:val="16"/>
          <w:szCs w:val="16"/>
          <w:color w:val="auto"/>
        </w:rPr>
      </w:pPr>
    </w:p>
    <w:p>
      <w:pPr>
        <w:ind w:right="60" w:firstLine="921"/>
        <w:spacing w:after="0" w:line="291" w:lineRule="auto"/>
        <w:tabs>
          <w:tab w:leader="none" w:pos="1122"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Authorization of Placement Shares</w:t>
      </w:r>
      <w:r>
        <w:rPr>
          <w:rFonts w:ascii="Arial" w:cs="Arial" w:eastAsia="Arial" w:hAnsi="Arial"/>
          <w:sz w:val="16"/>
          <w:szCs w:val="16"/>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(other than any pledge, lien, encumbrance, security interest or other claim arising from an act or omission of BPSC or a purchaser),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120" w:lineRule="exact"/>
        <w:rPr>
          <w:rFonts w:ascii="Arial" w:cs="Arial" w:eastAsia="Arial" w:hAnsi="Arial"/>
          <w:sz w:val="16"/>
          <w:szCs w:val="16"/>
          <w:color w:val="auto"/>
        </w:rPr>
      </w:pPr>
    </w:p>
    <w:p>
      <w:pPr>
        <w:ind w:right="60" w:firstLine="921"/>
        <w:spacing w:after="0" w:line="294" w:lineRule="auto"/>
        <w:tabs>
          <w:tab w:leader="none" w:pos="121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No Consents Required</w:t>
      </w:r>
      <w:r>
        <w:rPr>
          <w:rFonts w:ascii="Arial" w:cs="Arial" w:eastAsia="Arial" w:hAnsi="Arial"/>
          <w:sz w:val="16"/>
          <w:szCs w:val="16"/>
          <w:color w:val="auto"/>
        </w:rPr>
        <w:t>. No consent, approval, authorization, order, registration or qualification of or with any court or arbitrator or any governmental or regulatory authority is required for the execution, delivery and performance by the Company of this Agreement, and the issuance and sale by the Company of the Placement Shares as contemplated hereby, except for the registration of the Placement Shares under the Securities Act and such consents, approvals, authorizations, orders and registrations or qualifications as may be required under applicable state securities laws or by the by-laws and rules of the Financial Industry Regulatory Authority (“</w:t>
      </w:r>
      <w:r>
        <w:rPr>
          <w:rFonts w:ascii="Arial" w:cs="Arial" w:eastAsia="Arial" w:hAnsi="Arial"/>
          <w:sz w:val="16"/>
          <w:szCs w:val="16"/>
          <w:u w:val="single" w:color="auto"/>
          <w:color w:val="auto"/>
        </w:rPr>
        <w:t>FINRA</w:t>
      </w:r>
      <w:r>
        <w:rPr>
          <w:rFonts w:ascii="Arial" w:cs="Arial" w:eastAsia="Arial" w:hAnsi="Arial"/>
          <w:sz w:val="16"/>
          <w:szCs w:val="16"/>
          <w:color w:val="auto"/>
        </w:rPr>
        <w:t>”) or the Exchange in connection with the sale of the Placement Shares by BPSC.</w:t>
      </w:r>
    </w:p>
    <w:p>
      <w:pPr>
        <w:spacing w:after="0" w:line="115" w:lineRule="exact"/>
        <w:rPr>
          <w:rFonts w:ascii="Arial" w:cs="Arial" w:eastAsia="Arial" w:hAnsi="Arial"/>
          <w:sz w:val="16"/>
          <w:szCs w:val="16"/>
          <w:color w:val="auto"/>
        </w:rPr>
      </w:pPr>
    </w:p>
    <w:p>
      <w:pPr>
        <w:ind w:firstLine="921"/>
        <w:spacing w:after="0" w:line="256" w:lineRule="auto"/>
        <w:tabs>
          <w:tab w:leader="none" w:pos="1161"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No Preferential Rights</w:t>
      </w:r>
      <w:r>
        <w:rPr>
          <w:rFonts w:ascii="Arial" w:cs="Arial" w:eastAsia="Arial" w:hAnsi="Arial"/>
          <w:sz w:val="18"/>
          <w:szCs w:val="18"/>
          <w:color w:val="auto"/>
        </w:rPr>
        <w:t>. Except as set forth in the Registration Statement and the Prospectus, (i) no person, as such term is defined in Rule 1-02 of Regulation S-X promulgated under the Securities Act (each, a “</w:t>
      </w:r>
      <w:r>
        <w:rPr>
          <w:rFonts w:ascii="Arial" w:cs="Arial" w:eastAsia="Arial" w:hAnsi="Arial"/>
          <w:sz w:val="18"/>
          <w:szCs w:val="18"/>
          <w:u w:val="single" w:color="auto"/>
          <w:color w:val="auto"/>
        </w:rPr>
        <w:t>Person</w:t>
      </w:r>
      <w:r>
        <w:rPr>
          <w:rFonts w:ascii="Arial" w:cs="Arial" w:eastAsia="Arial" w:hAnsi="Arial"/>
          <w:sz w:val="18"/>
          <w:szCs w:val="18"/>
          <w:color w:val="auto"/>
        </w:rPr>
        <w:t>”), has the right, contractual or otherwise, to cause the Company to issue or sell to such Person any shares of Common Stock or shares of any other capital stock or other securities of the Company (other than upon the exercise of options or warrants to purchase Common Stock or upon the exercise of options or stock awards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76" w:name="page177"/>
    <w:bookmarkEnd w:id="17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may be granted from time to time under the Company’s stock option plans), (ii) no Person has any preemptive rights, rights of first refusal, or any other rights (whether pursuant to a “poison pill” provision or otherwise) to purchase any shares of Common Stock or shares of any other capital stock or other securities of the Company from the Company which have not been duly waived with respect to the offering contemplated hereby, (iii) except as may be disclosed to BPSC in writing, no Person has the right to act as an underwriter or as a financial advisor to the Company in connection with the offer and sale of the Common Stock, and</w:t>
      </w:r>
    </w:p>
    <w:p>
      <w:pPr>
        <w:spacing w:after="0" w:line="3" w:lineRule="exact"/>
        <w:rPr>
          <w:sz w:val="20"/>
          <w:szCs w:val="20"/>
          <w:color w:val="auto"/>
        </w:rPr>
      </w:pPr>
    </w:p>
    <w:p>
      <w:pPr>
        <w:ind w:right="100" w:firstLine="8"/>
        <w:spacing w:after="0" w:line="331" w:lineRule="auto"/>
        <w:tabs>
          <w:tab w:leader="none" w:pos="297" w:val="left"/>
        </w:tabs>
        <w:numPr>
          <w:ilvl w:val="0"/>
          <w:numId w:val="121"/>
        </w:numPr>
        <w:rPr>
          <w:rFonts w:ascii="Arial" w:cs="Arial" w:eastAsia="Arial" w:hAnsi="Arial"/>
          <w:sz w:val="15"/>
          <w:szCs w:val="15"/>
          <w:color w:val="auto"/>
        </w:rPr>
      </w:pPr>
      <w:r>
        <w:rPr>
          <w:rFonts w:ascii="Arial" w:cs="Arial" w:eastAsia="Arial" w:hAnsi="Arial"/>
          <w:sz w:val="15"/>
          <w:szCs w:val="15"/>
          <w:color w:val="auto"/>
        </w:rPr>
        <w:t>no Person has the right, contractual or otherwise, to require the Company to register under the Securities Act any shares of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spacing w:after="0" w:line="90" w:lineRule="exact"/>
        <w:rPr>
          <w:rFonts w:ascii="Arial" w:cs="Arial" w:eastAsia="Arial" w:hAnsi="Arial"/>
          <w:sz w:val="15"/>
          <w:szCs w:val="15"/>
          <w:color w:val="auto"/>
        </w:rPr>
      </w:pPr>
    </w:p>
    <w:p>
      <w:pPr>
        <w:ind w:right="80" w:firstLine="921"/>
        <w:spacing w:after="0" w:line="294" w:lineRule="auto"/>
        <w:tabs>
          <w:tab w:leader="none" w:pos="1161"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Independent Public Accountants</w:t>
      </w:r>
      <w:r>
        <w:rPr>
          <w:rFonts w:ascii="Arial" w:cs="Arial" w:eastAsia="Arial" w:hAnsi="Arial"/>
          <w:sz w:val="16"/>
          <w:szCs w:val="16"/>
          <w:color w:val="auto"/>
        </w:rPr>
        <w:t>. Deloitte &amp; Touche LLP, whose report on the consolidated financial statements of the Company is filed with the Commission as part of the Company’s most recent Annual Report on Form 10-K filed with the Commission and incorporated into the Registration Statement, is and, during the periods covered by its reports, was an independent public accounting firm within the meaning of the Securities Act and the Public Company Accounting Oversight Board (United States). To the Company’s knowledge, Deloitte &amp; Touche LLP is not in violation of the auditor independence requirements of the Sarbanes-Oxley Act of 2002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with respect to the Company.</w:t>
      </w:r>
    </w:p>
    <w:p>
      <w:pPr>
        <w:spacing w:after="0" w:line="115" w:lineRule="exact"/>
        <w:rPr>
          <w:rFonts w:ascii="Arial" w:cs="Arial" w:eastAsia="Arial" w:hAnsi="Arial"/>
          <w:sz w:val="16"/>
          <w:szCs w:val="16"/>
          <w:color w:val="auto"/>
        </w:rPr>
      </w:pPr>
    </w:p>
    <w:p>
      <w:pPr>
        <w:ind w:right="100" w:firstLine="921"/>
        <w:spacing w:after="0" w:line="291" w:lineRule="auto"/>
        <w:tabs>
          <w:tab w:leader="none" w:pos="1161"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Enforceability of Agreements</w:t>
      </w:r>
      <w:r>
        <w:rPr>
          <w:rFonts w:ascii="Arial" w:cs="Arial" w:eastAsia="Arial" w:hAnsi="Arial"/>
          <w:sz w:val="16"/>
          <w:szCs w:val="16"/>
          <w:color w:val="auto"/>
        </w:rPr>
        <w:t>. To the Company’s knowledge, all agreements between the Company and third parties expressly referenced in the Prospectus, other than such agreements that have expired by their terms or whose termination is disclosed in documents filed by the Company on EDGAR,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except for any unenforceability that, individually or in the aggregate, would not reasonably be expected to have a Material Adverse Effect.</w:t>
      </w:r>
    </w:p>
    <w:p>
      <w:pPr>
        <w:spacing w:after="0" w:line="120" w:lineRule="exact"/>
        <w:rPr>
          <w:rFonts w:ascii="Arial" w:cs="Arial" w:eastAsia="Arial" w:hAnsi="Arial"/>
          <w:sz w:val="16"/>
          <w:szCs w:val="16"/>
          <w:color w:val="auto"/>
        </w:rPr>
      </w:pPr>
    </w:p>
    <w:p>
      <w:pPr>
        <w:ind w:right="60" w:firstLine="921"/>
        <w:spacing w:after="0" w:line="253" w:lineRule="auto"/>
        <w:tabs>
          <w:tab w:leader="none" w:pos="1161"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No Litigation</w:t>
      </w:r>
      <w:r>
        <w:rPr>
          <w:rFonts w:ascii="Arial" w:cs="Arial" w:eastAsia="Arial" w:hAnsi="Arial"/>
          <w:sz w:val="18"/>
          <w:szCs w:val="18"/>
          <w:color w:val="auto"/>
        </w:rPr>
        <w:t>. There are no legal, governmental or regulatory actions, suits or proceedings pending, nor, to the Company’s knowledge, any legal, governmental or regulatory investigations, to which the Company or a Subsidiary is a party or to which any property of the Company or any of its Subsidiaries is the subject that, individually or in the aggregate, if determined adversely to the Company or any of its Subsidiaries, would reasonably be expected to have a Material Adverse Effect or materially and adversely affect the ability of the Company to perform its obligations under this Agreement; to the Company’s knowledge, no such actions, suits or proceedings are threatened or contemplated by any governmental or regulatory authority or threatened by others that, individually or in the aggregate, if determined adversely to the Company or any of its Subsidiaries, would reasonably be expected to have a Material Adverse Effect; and (i) there are no current or pending legal, governmental or regulatory actions, suits or proceedings or, to the Company’s knowledge, investigations that are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77" w:name="page178"/>
    <w:bookmarkEnd w:id="177"/>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under the Securities Act to be described in the Prospectus that are not described in the Prospectus including any Incorporated Document; and (ii) there are no contracts or other documents that are required under the Securities Act to be filed as exhibits to the Registration Statement that are not so filed.</w:t>
      </w:r>
    </w:p>
    <w:p>
      <w:pPr>
        <w:spacing w:after="0" w:line="85" w:lineRule="exact"/>
        <w:rPr>
          <w:sz w:val="20"/>
          <w:szCs w:val="20"/>
          <w:color w:val="auto"/>
        </w:rPr>
      </w:pPr>
    </w:p>
    <w:p>
      <w:pPr>
        <w:ind w:right="180" w:firstLine="921"/>
        <w:spacing w:after="0" w:line="312" w:lineRule="auto"/>
        <w:tabs>
          <w:tab w:leader="none" w:pos="1132" w:val="left"/>
        </w:tabs>
        <w:numPr>
          <w:ilvl w:val="0"/>
          <w:numId w:val="122"/>
        </w:numPr>
        <w:rPr>
          <w:rFonts w:ascii="Arial" w:cs="Arial" w:eastAsia="Arial" w:hAnsi="Arial"/>
          <w:sz w:val="15"/>
          <w:szCs w:val="15"/>
          <w:color w:val="auto"/>
        </w:rPr>
      </w:pPr>
      <w:r>
        <w:rPr>
          <w:rFonts w:ascii="Arial" w:cs="Arial" w:eastAsia="Arial" w:hAnsi="Arial"/>
          <w:sz w:val="15"/>
          <w:szCs w:val="15"/>
          <w:u w:val="single" w:color="auto"/>
          <w:color w:val="auto"/>
        </w:rPr>
        <w:t>Licenses and Permits</w:t>
      </w:r>
      <w:r>
        <w:rPr>
          <w:rFonts w:ascii="Arial" w:cs="Arial" w:eastAsia="Arial" w:hAnsi="Arial"/>
          <w:sz w:val="15"/>
          <w:szCs w:val="15"/>
          <w:color w:val="auto"/>
        </w:rPr>
        <w:t>. The Company and each of its Subsidiaries possess or have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w:t>
      </w:r>
      <w:r>
        <w:rPr>
          <w:rFonts w:ascii="Arial" w:cs="Arial" w:eastAsia="Arial" w:hAnsi="Arial"/>
          <w:sz w:val="15"/>
          <w:szCs w:val="15"/>
          <w:u w:val="single" w:color="auto"/>
          <w:color w:val="auto"/>
        </w:rPr>
        <w:t>Permits</w:t>
      </w:r>
      <w:r>
        <w:rPr>
          <w:rFonts w:ascii="Arial" w:cs="Arial" w:eastAsia="Arial" w:hAnsi="Arial"/>
          <w:sz w:val="15"/>
          <w:szCs w:val="15"/>
          <w:color w:val="auto"/>
        </w:rPr>
        <w:t>”), except where the failure to possess, obtain or make the same would not, individually or in the aggregate, reasonably be expected to have a Material Adverse Effect. Neither the Company nor any of its Subsidiaries have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reasonably be expected to have a Material Adverse Effect.</w:t>
      </w:r>
    </w:p>
    <w:p>
      <w:pPr>
        <w:spacing w:after="0" w:line="105" w:lineRule="exact"/>
        <w:rPr>
          <w:rFonts w:ascii="Arial" w:cs="Arial" w:eastAsia="Arial" w:hAnsi="Arial"/>
          <w:sz w:val="15"/>
          <w:szCs w:val="15"/>
          <w:color w:val="auto"/>
        </w:rPr>
      </w:pPr>
    </w:p>
    <w:p>
      <w:pPr>
        <w:ind w:firstLine="921"/>
        <w:spacing w:after="0" w:line="288" w:lineRule="auto"/>
        <w:tabs>
          <w:tab w:leader="none" w:pos="1142"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Market Capitalization</w:t>
      </w:r>
      <w:r>
        <w:rPr>
          <w:rFonts w:ascii="Arial" w:cs="Arial" w:eastAsia="Arial" w:hAnsi="Arial"/>
          <w:sz w:val="16"/>
          <w:szCs w:val="16"/>
          <w:color w:val="auto"/>
        </w:rPr>
        <w:t>. As of the close of trading on the Exchange on the Trading Day immediately prior to the date of this Agreement, the aggregate market value of the outstanding voting and non-voting common equity (as defined in Securities Act Rule 405) of the Company held by persons other than affiliates (as defined in Securities Act Rule 405) was $75 million or more (calculated in accordance with Instruction 1.B.1 of Form S-3).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 To enable BPSC to rely on Rule 5110(b)(7)(C)(i) of FINRA, the Company represents that, as of the date of this Agreement, the Company (i) has a non-affiliate, public common equity float of at least $150 million or a non-affiliate, public common equity float of at least $100 million and annual trading volume of at least three million shares and (ii) has been subject to the Exchange Act reporting requirements for a period of at least 36 months.</w:t>
      </w:r>
    </w:p>
    <w:p>
      <w:pPr>
        <w:spacing w:after="0" w:line="119" w:lineRule="exact"/>
        <w:rPr>
          <w:rFonts w:ascii="Arial" w:cs="Arial" w:eastAsia="Arial" w:hAnsi="Arial"/>
          <w:sz w:val="16"/>
          <w:szCs w:val="16"/>
          <w:color w:val="auto"/>
        </w:rPr>
      </w:pPr>
    </w:p>
    <w:p>
      <w:pPr>
        <w:ind w:right="80" w:firstLine="921"/>
        <w:spacing w:after="0" w:line="254" w:lineRule="auto"/>
        <w:tabs>
          <w:tab w:leader="none" w:pos="1122"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 Material Defaults</w:t>
      </w:r>
      <w:r>
        <w:rPr>
          <w:rFonts w:ascii="Arial" w:cs="Arial" w:eastAsia="Arial" w:hAnsi="Arial"/>
          <w:sz w:val="18"/>
          <w:szCs w:val="18"/>
          <w:color w:val="auto"/>
        </w:rPr>
        <w:t>. Neither the Company nor any of the Subsidiaries has defaulted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spacing w:after="0" w:line="144" w:lineRule="exact"/>
        <w:rPr>
          <w:rFonts w:ascii="Arial" w:cs="Arial" w:eastAsia="Arial" w:hAnsi="Arial"/>
          <w:sz w:val="18"/>
          <w:szCs w:val="18"/>
          <w:color w:val="auto"/>
        </w:rPr>
      </w:pPr>
    </w:p>
    <w:p>
      <w:pPr>
        <w:ind w:right="60" w:firstLine="921"/>
        <w:spacing w:after="0" w:line="268" w:lineRule="auto"/>
        <w:tabs>
          <w:tab w:leader="none" w:pos="1161"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Certain Market Activities</w:t>
      </w:r>
      <w:r>
        <w:rPr>
          <w:rFonts w:ascii="Arial" w:cs="Arial" w:eastAsia="Arial" w:hAnsi="Arial"/>
          <w:sz w:val="18"/>
          <w:szCs w:val="18"/>
          <w:color w:val="auto"/>
        </w:rPr>
        <w:t>. Neither the Company, nor any of the Subsidiaries, nor, to the Company’s knowledge, any of their respective directors, officers or controlling persons has taken, directly or indirectly, any action designed, or that has constituted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78" w:name="page179"/>
    <w:bookmarkEnd w:id="178"/>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might reasonably be expected to cause or result in, under the Exchange Act or otherwise, the stabilization or manipulation of the price of any security of the Company to facilitate the sale or resale of the Placement Shares.</w:t>
      </w:r>
    </w:p>
    <w:p>
      <w:pPr>
        <w:spacing w:after="0" w:line="132" w:lineRule="exact"/>
        <w:rPr>
          <w:sz w:val="20"/>
          <w:szCs w:val="20"/>
          <w:color w:val="auto"/>
        </w:rPr>
      </w:pPr>
    </w:p>
    <w:p>
      <w:pPr>
        <w:ind w:right="220" w:firstLine="921"/>
        <w:spacing w:after="0" w:line="306" w:lineRule="auto"/>
        <w:tabs>
          <w:tab w:leader="none" w:pos="1161"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Broker/Dealer Relationships</w:t>
      </w:r>
      <w:r>
        <w:rPr>
          <w:rFonts w:ascii="Arial" w:cs="Arial" w:eastAsia="Arial" w:hAnsi="Arial"/>
          <w:sz w:val="16"/>
          <w:szCs w:val="16"/>
          <w:color w:val="auto"/>
        </w:rPr>
        <w:t>. Neither the Company nor any of the Subsidiaries 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06" w:lineRule="exact"/>
        <w:rPr>
          <w:rFonts w:ascii="Arial" w:cs="Arial" w:eastAsia="Arial" w:hAnsi="Arial"/>
          <w:sz w:val="16"/>
          <w:szCs w:val="16"/>
          <w:color w:val="auto"/>
        </w:rPr>
      </w:pPr>
    </w:p>
    <w:p>
      <w:pPr>
        <w:ind w:right="120" w:firstLine="921"/>
        <w:spacing w:after="0" w:line="268" w:lineRule="auto"/>
        <w:tabs>
          <w:tab w:leader="none" w:pos="12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The Company has not relied upon BPSC or legal counsel for BPSC for any legal, tax or accounting advice in connection with the offering and sale of the Placement Shares.</w:t>
      </w:r>
    </w:p>
    <w:p>
      <w:pPr>
        <w:spacing w:after="0" w:line="131" w:lineRule="exact"/>
        <w:rPr>
          <w:rFonts w:ascii="Arial" w:cs="Arial" w:eastAsia="Arial" w:hAnsi="Arial"/>
          <w:sz w:val="18"/>
          <w:szCs w:val="18"/>
          <w:color w:val="auto"/>
        </w:rPr>
      </w:pPr>
    </w:p>
    <w:p>
      <w:pPr>
        <w:ind w:right="180" w:firstLine="921"/>
        <w:spacing w:after="0" w:line="291" w:lineRule="auto"/>
        <w:tabs>
          <w:tab w:leader="none" w:pos="1161"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reasonably be expected to have a Material Adverse Effect. Except as otherwise disclosed in or contemplated by the Registration Statement or the Prospectus, no tax deficiency has been determined adversely to the Company or any of its Subsidiaries which has had, or would reasonably be expected to have, individually or in the aggregate, a Material Adverse Effect. The Company has no knowledge of any federal, state or other governmental tax deficiency, penalty or assessment which has been asserted or threatened against it which would have a Material Adverse Effect.</w:t>
      </w:r>
    </w:p>
    <w:p>
      <w:pPr>
        <w:spacing w:after="0" w:line="120" w:lineRule="exact"/>
        <w:rPr>
          <w:rFonts w:ascii="Arial" w:cs="Arial" w:eastAsia="Arial" w:hAnsi="Arial"/>
          <w:sz w:val="16"/>
          <w:szCs w:val="16"/>
          <w:color w:val="auto"/>
        </w:rPr>
      </w:pPr>
    </w:p>
    <w:p>
      <w:pPr>
        <w:ind w:right="60" w:firstLine="921"/>
        <w:spacing w:after="0" w:line="289" w:lineRule="auto"/>
        <w:tabs>
          <w:tab w:leader="none" w:pos="1161"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Title to Real and Personal Property</w:t>
      </w:r>
      <w:r>
        <w:rPr>
          <w:rFonts w:ascii="Arial" w:cs="Arial" w:eastAsia="Arial" w:hAnsi="Arial"/>
          <w:sz w:val="16"/>
          <w:szCs w:val="16"/>
          <w:color w:val="auto"/>
        </w:rPr>
        <w:t>. The Company and its Subsidiaries have good and marketable title in fee simple to all items of real property and good and valid title to all personal property (excluding Intellectual Property) described in the Registration Statement or Prospectus as being owned by them that are material to the businesses of the Company or such Subsidiary, in each case free and clear of all liens, encumbrances and claims, except those that (i) do not materially interfere with the use made of such property by the Company and any of its Subsidiaries or (ii) would not reasonably be expected, individually or in the aggregate, to have a Material Adverse Effect. Any real property described in the Registration Statement or Prospectus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w:t>
      </w:r>
    </w:p>
    <w:p>
      <w:pPr>
        <w:spacing w:after="0" w:line="118" w:lineRule="exact"/>
        <w:rPr>
          <w:rFonts w:ascii="Arial" w:cs="Arial" w:eastAsia="Arial" w:hAnsi="Arial"/>
          <w:sz w:val="16"/>
          <w:szCs w:val="16"/>
          <w:color w:val="auto"/>
        </w:rPr>
      </w:pPr>
    </w:p>
    <w:p>
      <w:pPr>
        <w:ind w:firstLine="921"/>
        <w:spacing w:after="0" w:line="255" w:lineRule="auto"/>
        <w:tabs>
          <w:tab w:leader="none" w:pos="115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To its knowledge, the Company and its Subsidiaries own or possess adequate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Arial" w:cs="Arial" w:eastAsia="Arial" w:hAnsi="Arial"/>
          <w:sz w:val="18"/>
          <w:szCs w:val="18"/>
          <w:u w:val="single" w:color="auto"/>
          <w:color w:val="auto"/>
        </w:rPr>
        <w:t>Intellectual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w:t>
      </w:r>
      <w:r>
        <w:rPr>
          <w:rFonts w:ascii="Arial" w:cs="Arial" w:eastAsia="Arial" w:hAnsi="Arial"/>
          <w:sz w:val="18"/>
          <w:szCs w:val="18"/>
          <w:color w:val="auto"/>
        </w:rPr>
        <w:t>”), necessary for the conduct of their respective businesses as conducted as of the date hereof, except to the extent that the failure to own or possess adequate rights to use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79" w:name="page180"/>
    <w:bookmarkEnd w:id="17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Intellectual Property would not, individually or in the aggregate, reasonably be expected to have a Material Adverse Effect; except as disclosed in writing to BPSC, the Company and any of its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or its Subsidiaries challenging the Company’s or its Subsidiaries’ rights in or to or the validity of the scope of any of the Company’s or its Subsidiaries’ owned material patents, patent applications or proprietary information; no other entity or individual has any right or claim in any of the Company’s or its Subsidiaries’ owned material patents, patent applications or any patent to be issued therefrom by virtue of any contract, license or other agreement entered into between such entity or individual and the Company or a Subsidiary or by any non-contractual obligation of the Company or a Subsidiary, other than by written licenses granted by the Company or a Subsidiary and other than such rights or claims that would not, individually or in the aggregate, reasonably be expected to have a Material Adverse Effect; the Company and its Subsidiaries have not received any written notice of any claim challenging the rights of the Company or a Subsidiary in or to any Intellectual Property owned, licensed or optioned by the Company or such Subsidiary which claim, if the subject of an unfavorable decision, would result in a Material Adverse Effect.</w:t>
      </w:r>
    </w:p>
    <w:p>
      <w:pPr>
        <w:spacing w:after="0" w:line="127" w:lineRule="exact"/>
        <w:rPr>
          <w:sz w:val="20"/>
          <w:szCs w:val="20"/>
          <w:color w:val="auto"/>
        </w:rPr>
      </w:pPr>
    </w:p>
    <w:p>
      <w:pPr>
        <w:ind w:firstLine="921"/>
        <w:spacing w:after="0" w:line="290" w:lineRule="auto"/>
        <w:tabs>
          <w:tab w:leader="none" w:pos="1229"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spacing w:after="0" w:line="118" w:lineRule="exact"/>
        <w:rPr>
          <w:rFonts w:ascii="Arial" w:cs="Arial" w:eastAsia="Arial" w:hAnsi="Arial"/>
          <w:sz w:val="16"/>
          <w:szCs w:val="16"/>
          <w:color w:val="auto"/>
        </w:rPr>
      </w:pPr>
    </w:p>
    <w:p>
      <w:pPr>
        <w:ind w:firstLine="921"/>
        <w:spacing w:after="0" w:line="289" w:lineRule="auto"/>
        <w:tabs>
          <w:tab w:leader="none" w:pos="1249"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Disclosure Controls</w:t>
      </w:r>
      <w:r>
        <w:rPr>
          <w:rFonts w:ascii="Arial" w:cs="Arial" w:eastAsia="Arial" w:hAnsi="Arial"/>
          <w:sz w:val="16"/>
          <w:szCs w:val="16"/>
          <w:color w:val="auto"/>
        </w:rPr>
        <w:t>. The Company and each of its Subsidiaries maintain systems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80" w:name="page181"/>
    <w:bookmarkEnd w:id="18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set forth in the Prospectus). The Company has established disclosure controls and procedures (as 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controls and procedures as of a date within 90 days prior to the filing date of the Form 10-K for the fiscal year most recently ended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Form 10-K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307(b) of Regulation S-K under the Securities Act) or, to the Company’s knowledge, in other factors that could significantly adversely affect the Company’s internal controls. To the knowledge of the Company, the Company’s “internal controls over financial reporting” and “disclosure controls and procedures” are effective.</w:t>
      </w:r>
    </w:p>
    <w:p>
      <w:pPr>
        <w:spacing w:after="0" w:line="123" w:lineRule="exact"/>
        <w:rPr>
          <w:sz w:val="20"/>
          <w:szCs w:val="20"/>
          <w:color w:val="auto"/>
        </w:rPr>
      </w:pPr>
    </w:p>
    <w:p>
      <w:pPr>
        <w:ind w:right="20" w:firstLine="921"/>
        <w:spacing w:after="0" w:line="291" w:lineRule="auto"/>
        <w:tabs>
          <w:tab w:leader="none" w:pos="1229"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Sarbanes-Oxley</w:t>
      </w:r>
      <w:r>
        <w:rPr>
          <w:rFonts w:ascii="Arial" w:cs="Arial" w:eastAsia="Arial" w:hAnsi="Arial"/>
          <w:sz w:val="16"/>
          <w:szCs w:val="16"/>
          <w:color w:val="auto"/>
        </w:rPr>
        <w:t>. There is and has been no failure on the part of the Company or, to the knowledge of the Company, any of the Company’s directors or officers, in their capacities as such, to comply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20" w:lineRule="exact"/>
        <w:rPr>
          <w:rFonts w:ascii="Arial" w:cs="Arial" w:eastAsia="Arial" w:hAnsi="Arial"/>
          <w:sz w:val="16"/>
          <w:szCs w:val="16"/>
          <w:color w:val="auto"/>
        </w:rPr>
      </w:pPr>
    </w:p>
    <w:p>
      <w:pPr>
        <w:jc w:val="both"/>
        <w:ind w:right="460" w:firstLine="921"/>
        <w:spacing w:after="0" w:line="370" w:lineRule="auto"/>
        <w:tabs>
          <w:tab w:leader="none" w:pos="1249" w:val="left"/>
        </w:tabs>
        <w:numPr>
          <w:ilvl w:val="0"/>
          <w:numId w:val="125"/>
        </w:numPr>
        <w:rPr>
          <w:rFonts w:ascii="Arial" w:cs="Arial" w:eastAsia="Arial" w:hAnsi="Arial"/>
          <w:sz w:val="15"/>
          <w:szCs w:val="15"/>
          <w:color w:val="auto"/>
        </w:rPr>
      </w:pPr>
      <w:r>
        <w:rPr>
          <w:rFonts w:ascii="Arial" w:cs="Arial" w:eastAsia="Arial" w:hAnsi="Arial"/>
          <w:sz w:val="15"/>
          <w:szCs w:val="15"/>
          <w:u w:val="single" w:color="auto"/>
          <w:color w:val="auto"/>
        </w:rPr>
        <w:t>Finder’s Fees</w:t>
      </w:r>
      <w:r>
        <w:rPr>
          <w:rFonts w:ascii="Arial" w:cs="Arial" w:eastAsia="Arial" w:hAnsi="Arial"/>
          <w:sz w:val="15"/>
          <w:szCs w:val="15"/>
          <w:color w:val="auto"/>
        </w:rPr>
        <w:t>. Neither the Company nor any of the Subsidiaries has incurred any liability for any finder’s fees, brokerage commissions or similar payments in connection with the transactions herein contemplated, except as may otherwise exist with respect to BPSC pursuant to this Agreement.</w:t>
      </w:r>
    </w:p>
    <w:p>
      <w:pPr>
        <w:spacing w:after="0" w:line="62" w:lineRule="exact"/>
        <w:rPr>
          <w:rFonts w:ascii="Arial" w:cs="Arial" w:eastAsia="Arial" w:hAnsi="Arial"/>
          <w:sz w:val="15"/>
          <w:szCs w:val="15"/>
          <w:color w:val="auto"/>
        </w:rPr>
      </w:pPr>
    </w:p>
    <w:p>
      <w:pPr>
        <w:ind w:right="60" w:firstLine="921"/>
        <w:spacing w:after="0" w:line="332" w:lineRule="auto"/>
        <w:tabs>
          <w:tab w:leader="none" w:pos="1229"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Labor Disputes</w:t>
      </w:r>
      <w:r>
        <w:rPr>
          <w:rFonts w:ascii="Arial" w:cs="Arial" w:eastAsia="Arial" w:hAnsi="Arial"/>
          <w:sz w:val="16"/>
          <w:szCs w:val="16"/>
          <w:color w:val="auto"/>
        </w:rPr>
        <w:t>. No labor disturbance by or dispute with employees of the Company or any of its Subsidiaries exists or, to the knowledge of the Company, is threatened which would reasonably be expected to result in a Material Adverse Effect</w:t>
      </w:r>
    </w:p>
    <w:p>
      <w:pPr>
        <w:spacing w:after="0" w:line="85" w:lineRule="exact"/>
        <w:rPr>
          <w:rFonts w:ascii="Arial" w:cs="Arial" w:eastAsia="Arial" w:hAnsi="Arial"/>
          <w:sz w:val="16"/>
          <w:szCs w:val="16"/>
          <w:color w:val="auto"/>
        </w:rPr>
      </w:pPr>
    </w:p>
    <w:p>
      <w:pPr>
        <w:jc w:val="both"/>
        <w:ind w:right="280" w:firstLine="921"/>
        <w:spacing w:after="0" w:line="259" w:lineRule="auto"/>
        <w:tabs>
          <w:tab w:leader="none" w:pos="1187"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xml:space="preserve"> Act.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600" w:firstLine="921"/>
        <w:spacing w:after="0" w:line="332" w:lineRule="auto"/>
        <w:tabs>
          <w:tab w:leader="none" w:pos="1249"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Operations</w:t>
      </w:r>
      <w:r>
        <w:rPr>
          <w:rFonts w:ascii="Arial" w:cs="Arial" w:eastAsia="Arial" w:hAnsi="Arial"/>
          <w:sz w:val="16"/>
          <w:szCs w:val="16"/>
          <w:color w:val="auto"/>
        </w:rPr>
        <w:t>. The operations of the Company and its Subsidiaries are and have been conducted at all times in compliance with applicable financial record keeping and reporting requirements of the Currency and Foreign Transactions Reporting Act of 1970, as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81" w:name="page182"/>
    <w:bookmarkEnd w:id="181"/>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the money laundering statutes of all jurisdictions to which the Company or its Subsidiaries are subject, the rules and regulations thereunder and any related or similar rules, regulations or guidelines, issued, administered or enforced by any governmental agency having jurisdiction over the Company or its Subsidiaries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except as would not reasonably be expected to result in a Material Adverse Effect;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16" w:lineRule="exact"/>
        <w:rPr>
          <w:sz w:val="20"/>
          <w:szCs w:val="20"/>
          <w:color w:val="auto"/>
        </w:rPr>
      </w:pPr>
    </w:p>
    <w:p>
      <w:pPr>
        <w:ind w:right="100" w:firstLine="921"/>
        <w:spacing w:after="0" w:line="291" w:lineRule="auto"/>
        <w:tabs>
          <w:tab w:leader="none" w:pos="1249"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Off-Balance Sheet Arrangements</w:t>
      </w:r>
      <w:r>
        <w:rPr>
          <w:rFonts w:ascii="Arial" w:cs="Arial" w:eastAsia="Arial" w:hAnsi="Arial"/>
          <w:sz w:val="16"/>
          <w:szCs w:val="16"/>
          <w:color w:val="auto"/>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Arial" w:cs="Arial" w:eastAsia="Arial" w:hAnsi="Arial"/>
          <w:sz w:val="16"/>
          <w:szCs w:val="16"/>
          <w:u w:val="single" w:color="auto"/>
          <w:color w:val="auto"/>
        </w:rPr>
        <w:t>Off Balance Sheet Transaction</w:t>
      </w:r>
      <w:r>
        <w:rPr>
          <w:rFonts w:ascii="Arial" w:cs="Arial" w:eastAsia="Arial" w:hAnsi="Arial"/>
          <w:sz w:val="16"/>
          <w:szCs w:val="16"/>
          <w:color w:val="auto"/>
        </w:rPr>
        <w:t>”) that would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in each case that are required to be described in the Prospectus which have not been described as required.</w:t>
      </w:r>
    </w:p>
    <w:p>
      <w:pPr>
        <w:spacing w:after="0" w:line="120" w:lineRule="exact"/>
        <w:rPr>
          <w:rFonts w:ascii="Arial" w:cs="Arial" w:eastAsia="Arial" w:hAnsi="Arial"/>
          <w:sz w:val="16"/>
          <w:szCs w:val="16"/>
          <w:color w:val="auto"/>
        </w:rPr>
      </w:pPr>
    </w:p>
    <w:p>
      <w:pPr>
        <w:jc w:val="both"/>
        <w:ind w:right="220" w:firstLine="921"/>
        <w:spacing w:after="0" w:line="306" w:lineRule="auto"/>
        <w:tabs>
          <w:tab w:leader="none" w:pos="1171"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Underwriter Agreements</w:t>
      </w:r>
      <w:r>
        <w:rPr>
          <w:rFonts w:ascii="Arial" w:cs="Arial" w:eastAsia="Arial" w:hAnsi="Arial"/>
          <w:sz w:val="16"/>
          <w:szCs w:val="16"/>
          <w:color w:val="auto"/>
        </w:rPr>
        <w:t>. The Company anticipates being a party to the Concurrent Facility Agreement simultaneous with this Agreement, but will not have an open sales order in force with more than one agent or underwriter under such agreements at any given time, provided, however, that nothing in this Agreement shall prohibit the Company from entering into the Concurrent Facility Agreement, a committed equity financing facility or similar transaction.</w:t>
      </w:r>
    </w:p>
    <w:p>
      <w:pPr>
        <w:spacing w:after="0" w:line="106" w:lineRule="exact"/>
        <w:rPr>
          <w:rFonts w:ascii="Arial" w:cs="Arial" w:eastAsia="Arial" w:hAnsi="Arial"/>
          <w:sz w:val="16"/>
          <w:szCs w:val="16"/>
          <w:color w:val="auto"/>
        </w:rPr>
      </w:pPr>
    </w:p>
    <w:p>
      <w:pPr>
        <w:ind w:right="240" w:firstLine="921"/>
        <w:spacing w:after="0" w:line="283" w:lineRule="auto"/>
        <w:tabs>
          <w:tab w:leader="none" w:pos="1171"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To the knowledge of the Company, (i) each material employee benefit plan, within the meaning of Section 3(3) of the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firstLine="8"/>
        <w:spacing w:after="0" w:line="252" w:lineRule="auto"/>
        <w:tabs>
          <w:tab w:leader="none" w:pos="25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prohibited transaction, within the meaning of Section 406 of ERISA or Section 4975 of the Code, has occurred with respect to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not reasonably be expected to have a Material Adverse Effect.</w:t>
      </w:r>
    </w:p>
    <w:p>
      <w:pPr>
        <w:spacing w:after="0" w:line="148" w:lineRule="exact"/>
        <w:rPr>
          <w:rFonts w:ascii="Arial" w:cs="Arial" w:eastAsia="Arial" w:hAnsi="Arial"/>
          <w:sz w:val="18"/>
          <w:szCs w:val="18"/>
          <w:color w:val="auto"/>
        </w:rPr>
      </w:pPr>
    </w:p>
    <w:p>
      <w:pPr>
        <w:ind w:right="220" w:firstLine="921"/>
        <w:spacing w:after="0" w:line="268" w:lineRule="auto"/>
        <w:tabs>
          <w:tab w:leader="none" w:pos="1249"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Forward Looking Statements</w:t>
      </w:r>
      <w:r>
        <w:rPr>
          <w:rFonts w:ascii="Arial" w:cs="Arial" w:eastAsia="Arial" w:hAnsi="Arial"/>
          <w:sz w:val="18"/>
          <w:szCs w:val="18"/>
          <w:color w:val="auto"/>
        </w:rPr>
        <w:t>. No forward-looking statement (within the meaning of Section 27A of the Securities Act and Section 21E of the Exchange Act) (a “</w:t>
      </w:r>
      <w:r>
        <w:rPr>
          <w:rFonts w:ascii="Arial" w:cs="Arial" w:eastAsia="Arial" w:hAnsi="Arial"/>
          <w:sz w:val="18"/>
          <w:szCs w:val="18"/>
          <w:u w:val="single" w:color="auto"/>
          <w:color w:val="auto"/>
        </w:rPr>
        <w:t>Forward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2" w:name="page183"/>
    <w:bookmarkEnd w:id="182"/>
    <w:p>
      <w:pPr>
        <w:spacing w:after="0" w:line="25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Looking Statement</w:t>
      </w:r>
      <w:r>
        <w:rPr>
          <w:rFonts w:ascii="Arial" w:cs="Arial" w:eastAsia="Arial" w:hAnsi="Arial"/>
          <w:sz w:val="18"/>
          <w:szCs w:val="18"/>
          <w:color w:val="auto"/>
        </w:rPr>
        <w:t>”) contained in the Registration Statement and the Prospectus has been made or reaffirmed without a reasonable basis or has been disclosed other than in good faith. The Forward Looking Statements incorporated by reference in the Registration Statement and the Prospectus from the Company’s Annual Report on Form 10-K for the fiscal year most recently ended (i) except for any Forward Looking Statement included in any financial statements and notes thereto, are within the coverage of the safe harbor for forward looking statements set forth in Section 27A of the Securities Act, Rule 175(b) under the Securities Act or Rule 3b-6 under the Exchange Act, as applicable, (ii) were made by the Company with a reasonable basis and in good faith and reflect the Company’s good faith commercially reasonable best estimate of the matters described therein, and (iii) have been prepared in accordance with Item 10 of Regulation S-K under the Securities Act.</w:t>
      </w:r>
    </w:p>
    <w:p>
      <w:pPr>
        <w:spacing w:after="0" w:line="147" w:lineRule="exact"/>
        <w:rPr>
          <w:sz w:val="20"/>
          <w:szCs w:val="20"/>
          <w:color w:val="auto"/>
        </w:rPr>
      </w:pPr>
    </w:p>
    <w:p>
      <w:pPr>
        <w:jc w:val="both"/>
        <w:ind w:right="320" w:firstLine="921"/>
        <w:spacing w:after="0" w:line="259" w:lineRule="auto"/>
        <w:tabs>
          <w:tab w:leader="none" w:pos="1171"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Margin Rules</w:t>
      </w:r>
      <w:r>
        <w:rPr>
          <w:rFonts w:ascii="Arial" w:cs="Arial" w:eastAsia="Arial" w:hAnsi="Arial"/>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40" w:lineRule="exact"/>
        <w:rPr>
          <w:rFonts w:ascii="Arial" w:cs="Arial" w:eastAsia="Arial" w:hAnsi="Arial"/>
          <w:sz w:val="18"/>
          <w:szCs w:val="18"/>
          <w:color w:val="auto"/>
        </w:rPr>
      </w:pPr>
    </w:p>
    <w:p>
      <w:pPr>
        <w:ind w:right="60" w:firstLine="921"/>
        <w:spacing w:after="0" w:line="259" w:lineRule="auto"/>
        <w:tabs>
          <w:tab w:leader="none" w:pos="1347"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each of its Subsidiaries carry, or are covered by, insurance in such amounts and covering such risks as the Company and each of its Subsidiaries reasonably believe are adequate for the use of their properties and as is customary for companies of similar size engaged in similar businesses in similar industries.</w:t>
      </w:r>
    </w:p>
    <w:p>
      <w:pPr>
        <w:spacing w:after="0" w:line="140" w:lineRule="exact"/>
        <w:rPr>
          <w:rFonts w:ascii="Arial" w:cs="Arial" w:eastAsia="Arial" w:hAnsi="Arial"/>
          <w:sz w:val="18"/>
          <w:szCs w:val="18"/>
          <w:color w:val="auto"/>
        </w:rPr>
      </w:pPr>
    </w:p>
    <w:p>
      <w:pPr>
        <w:ind w:right="20" w:firstLine="921"/>
        <w:spacing w:after="0" w:line="285" w:lineRule="auto"/>
        <w:tabs>
          <w:tab w:leader="none" w:pos="1249"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No Improper Practices</w:t>
      </w:r>
      <w:r>
        <w:rPr>
          <w:rFonts w:ascii="Arial" w:cs="Arial" w:eastAsia="Arial" w:hAnsi="Arial"/>
          <w:sz w:val="16"/>
          <w:szCs w:val="16"/>
          <w:color w:val="auto"/>
        </w:rPr>
        <w:t>. (i) Neither the Company nor, to the Company’s knowledge, the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Subsidiary or any affiliate of any of them, on the one hand, and the directors, officers and stockholders of the Company or, to the Company’s knowledge, any Subsidiary, on the other hand, that is required by the Securities Act to be described in the Registration Statement and the Prospectus that is not so described; (iii) no relationship, direct or indirect, exists between or among the Company or any Subsidiary or any affiliate of them, on the one hand, and the directors, officers, stockholders or directors of the Company or, to the Company’s knowledge, any Subsidiary, on the other hand, that is required by the rules of FINRA to be described in the Registration Statement and the Prospectus that is not so described; (iv) except as described in the Prospectus, there are no material outstanding loans or advances or material guarantees of indebtedness by the Company or, to the Company’s knowledge, any Subsidiary to or for the benefit of any of their respective officers or directors or any of the members of the families of any of them; (v)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and (vi)</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83" w:name="page184"/>
    <w:bookmarkEnd w:id="183"/>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Subsidiary nor, to the Company’s knowledge, any employee or agent of the Company or any Subsidiary has made any payment of funds of the Company or any Subsidiary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spacing w:after="0" w:line="143" w:lineRule="exact"/>
        <w:rPr>
          <w:sz w:val="20"/>
          <w:szCs w:val="20"/>
          <w:color w:val="auto"/>
        </w:rPr>
      </w:pPr>
    </w:p>
    <w:p>
      <w:pPr>
        <w:ind w:right="400" w:firstLine="921"/>
        <w:spacing w:after="0" w:line="332" w:lineRule="auto"/>
        <w:tabs>
          <w:tab w:leader="none" w:pos="1249"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Status Under the Securities Act</w:t>
      </w:r>
      <w:r>
        <w:rPr>
          <w:rFonts w:ascii="Arial" w:cs="Arial" w:eastAsia="Arial" w:hAnsi="Arial"/>
          <w:sz w:val="16"/>
          <w:szCs w:val="16"/>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85" w:lineRule="exact"/>
        <w:rPr>
          <w:rFonts w:ascii="Arial" w:cs="Arial" w:eastAsia="Arial" w:hAnsi="Arial"/>
          <w:sz w:val="16"/>
          <w:szCs w:val="16"/>
          <w:color w:val="auto"/>
        </w:rPr>
      </w:pPr>
    </w:p>
    <w:p>
      <w:pPr>
        <w:ind w:right="400" w:firstLine="921"/>
        <w:spacing w:after="0" w:line="294" w:lineRule="auto"/>
        <w:tabs>
          <w:tab w:leader="none" w:pos="1249"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No Misstatement or Omission in an Issuer Free Writing Prospectus</w:t>
      </w:r>
      <w:r>
        <w:rPr>
          <w:rFonts w:ascii="Arial" w:cs="Arial" w:eastAsia="Arial" w:hAnsi="Arial"/>
          <w:sz w:val="16"/>
          <w:szCs w:val="16"/>
          <w:color w:val="auto"/>
        </w:rPr>
        <w:t>. Each Issuer Free Writing Prospectus, as of its issue date and as of each Applicable Time (as defined in Section 24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BPSC specifically for use therein.</w:t>
      </w:r>
    </w:p>
    <w:p>
      <w:pPr>
        <w:spacing w:after="0" w:line="115" w:lineRule="exact"/>
        <w:rPr>
          <w:rFonts w:ascii="Arial" w:cs="Arial" w:eastAsia="Arial" w:hAnsi="Arial"/>
          <w:sz w:val="16"/>
          <w:szCs w:val="16"/>
          <w:color w:val="auto"/>
        </w:rPr>
      </w:pPr>
    </w:p>
    <w:p>
      <w:pPr>
        <w:ind w:right="20" w:firstLine="921"/>
        <w:spacing w:after="0" w:line="301" w:lineRule="auto"/>
        <w:tabs>
          <w:tab w:leader="none" w:pos="1249" w:val="left"/>
        </w:tabs>
        <w:numPr>
          <w:ilvl w:val="1"/>
          <w:numId w:val="129"/>
        </w:numPr>
        <w:rPr>
          <w:rFonts w:ascii="Arial" w:cs="Arial" w:eastAsia="Arial" w:hAnsi="Arial"/>
          <w:sz w:val="15"/>
          <w:szCs w:val="15"/>
          <w:color w:val="auto"/>
        </w:rPr>
      </w:pPr>
      <w:r>
        <w:rPr>
          <w:rFonts w:ascii="Arial" w:cs="Arial" w:eastAsia="Arial" w:hAnsi="Arial"/>
          <w:sz w:val="15"/>
          <w:szCs w:val="15"/>
          <w:u w:val="single" w:color="auto"/>
          <w:color w:val="auto"/>
        </w:rPr>
        <w:t>No Conflicts</w:t>
      </w:r>
      <w:r>
        <w:rPr>
          <w:rFonts w:ascii="Arial" w:cs="Arial" w:eastAsia="Arial" w:hAnsi="Arial"/>
          <w:sz w:val="15"/>
          <w:szCs w:val="15"/>
          <w:color w:val="auto"/>
        </w:rPr>
        <w:t>. Neither the execution of this Agreement by the Company, nor the issuance, offering or sale of the Placement Shares, nor the consummation by the Company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defaults, liens, charges or encumbrances that would not reasonably be expected to have a Material Adverse Effect; nor will such action result (x) in any violation of the provisions of the certificate of incorporation or bylaws of the Company, or</w:t>
      </w:r>
    </w:p>
    <w:p>
      <w:pPr>
        <w:spacing w:after="0" w:line="4" w:lineRule="exact"/>
        <w:rPr>
          <w:rFonts w:ascii="Arial" w:cs="Arial" w:eastAsia="Arial" w:hAnsi="Arial"/>
          <w:sz w:val="15"/>
          <w:szCs w:val="15"/>
          <w:color w:val="auto"/>
        </w:rPr>
      </w:pPr>
    </w:p>
    <w:p>
      <w:pPr>
        <w:ind w:firstLine="8"/>
        <w:spacing w:after="0" w:line="255" w:lineRule="auto"/>
        <w:tabs>
          <w:tab w:leader="none" w:pos="24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any material violation of the provisions of any statute or any order, rule or regulation applicable to the Company or of any court or of any federal, state or other regulatory authority or other government body having jurisdiction over the Company, except where such violation would not reasonably be expected to have a Material Adverse Effect.</w:t>
      </w:r>
    </w:p>
    <w:p>
      <w:pPr>
        <w:spacing w:after="0" w:line="144" w:lineRule="exact"/>
        <w:rPr>
          <w:rFonts w:ascii="Arial" w:cs="Arial" w:eastAsia="Arial" w:hAnsi="Arial"/>
          <w:sz w:val="18"/>
          <w:szCs w:val="18"/>
          <w:color w:val="auto"/>
        </w:rPr>
      </w:pPr>
    </w:p>
    <w:p>
      <w:pPr>
        <w:ind w:right="20" w:firstLine="921"/>
        <w:spacing w:after="0" w:line="253" w:lineRule="auto"/>
        <w:tabs>
          <w:tab w:leader="none" w:pos="1191"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Clinical Studies</w:t>
      </w:r>
      <w:r>
        <w:rPr>
          <w:rFonts w:ascii="Arial" w:cs="Arial" w:eastAsia="Arial" w:hAnsi="Arial"/>
          <w:sz w:val="18"/>
          <w:szCs w:val="18"/>
          <w:color w:val="auto"/>
        </w:rPr>
        <w:t>. The clinical, pre-clinical and other studies and tests conducted by or, to the knowledge of the Company, on behalf of the Company were, and, if still pending, are being, conducted in accordance in all material respects with all applicable statutes, laws, rules and regulations (including, without limitation, those administered by the United States Food and Drug Administration (the “</w:t>
      </w:r>
      <w:r>
        <w:rPr>
          <w:rFonts w:ascii="Arial" w:cs="Arial" w:eastAsia="Arial" w:hAnsi="Arial"/>
          <w:sz w:val="18"/>
          <w:szCs w:val="18"/>
          <w:u w:val="single" w:color="auto"/>
          <w:color w:val="auto"/>
        </w:rPr>
        <w:t>FDA</w:t>
      </w:r>
      <w:r>
        <w:rPr>
          <w:rFonts w:ascii="Arial" w:cs="Arial" w:eastAsia="Arial" w:hAnsi="Arial"/>
          <w:sz w:val="18"/>
          <w:szCs w:val="18"/>
          <w:color w:val="auto"/>
        </w:rPr>
        <w:t>”) or by any foreign, federal, state or local governmental or regulatory authority performing functions similar to those performed by the FDA), except where the failure do so would not have a Material Adverse Effect. The Company has not received any written notices or other written correspondence from the FDA or any other foreign, federal, state or local governmental or regulatory authority performing functions similar to those performed by the FDA requiring the Company to terminate or suspend any ongoing clinical or pre-clinical studies or tests.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84" w:name="page185"/>
    <w:bookmarkEnd w:id="184"/>
    <w:p>
      <w:pPr>
        <w:jc w:val="both"/>
        <w:ind w:left="-20" w:right="200" w:firstLine="921"/>
        <w:spacing w:after="0" w:line="298" w:lineRule="auto"/>
        <w:tabs>
          <w:tab w:leader="none" w:pos="1190"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Program</w:t>
      </w:r>
      <w:r>
        <w:rPr>
          <w:rFonts w:ascii="Arial" w:cs="Arial" w:eastAsia="Arial" w:hAnsi="Arial"/>
          <w:sz w:val="16"/>
          <w:szCs w:val="16"/>
          <w:color w:val="auto"/>
        </w:rPr>
        <w:t>. The Company has established and administers a compliance program applicable to the Company, to assist the Company and the directors, officers and employees of the Company in complying with applicable regulatory guidelines (including, without limitation, those administered by the FDA and any other foreign, federal, state or local governmental or regulatory authority performing functions similar to those performed by the FDA); except where such noncompliance would not reasonably be expected to have a Material Adverse Effect.</w:t>
      </w:r>
    </w:p>
    <w:p>
      <w:pPr>
        <w:spacing w:after="0" w:line="112" w:lineRule="exact"/>
        <w:rPr>
          <w:rFonts w:ascii="Arial" w:cs="Arial" w:eastAsia="Arial" w:hAnsi="Arial"/>
          <w:sz w:val="16"/>
          <w:szCs w:val="16"/>
          <w:color w:val="auto"/>
        </w:rPr>
      </w:pPr>
    </w:p>
    <w:p>
      <w:pPr>
        <w:ind w:left="-20" w:right="180" w:firstLine="921"/>
        <w:spacing w:after="0" w:line="259" w:lineRule="auto"/>
        <w:tabs>
          <w:tab w:leader="none" w:pos="1151"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OFAC</w:t>
      </w:r>
      <w:r>
        <w:rPr>
          <w:rFonts w:ascii="Arial" w:cs="Arial" w:eastAsia="Arial" w:hAnsi="Arial"/>
          <w:sz w:val="18"/>
          <w:szCs w:val="18"/>
          <w:color w:val="auto"/>
        </w:rPr>
        <w:t>. (i) Neither the Company nor any of its Subsidiaries (collectively, the “</w:t>
      </w:r>
      <w:r>
        <w:rPr>
          <w:rFonts w:ascii="Arial" w:cs="Arial" w:eastAsia="Arial" w:hAnsi="Arial"/>
          <w:sz w:val="18"/>
          <w:szCs w:val="18"/>
          <w:u w:val="single" w:color="auto"/>
          <w:color w:val="auto"/>
        </w:rPr>
        <w:t>Entity</w:t>
      </w:r>
      <w:r>
        <w:rPr>
          <w:rFonts w:ascii="Arial" w:cs="Arial" w:eastAsia="Arial" w:hAnsi="Arial"/>
          <w:sz w:val="18"/>
          <w:szCs w:val="18"/>
          <w:color w:val="auto"/>
        </w:rPr>
        <w:t>”) or, to the Company’s knowledge, any director, officer, employee, agent, affiliate or representative of the Entity, is a government, individual, or entity (in this paragraph (tt), “</w:t>
      </w:r>
      <w:r>
        <w:rPr>
          <w:rFonts w:ascii="Arial" w:cs="Arial" w:eastAsia="Arial" w:hAnsi="Arial"/>
          <w:sz w:val="18"/>
          <w:szCs w:val="18"/>
          <w:u w:val="single" w:color="auto"/>
          <w:color w:val="auto"/>
        </w:rPr>
        <w:t>Person</w:t>
      </w:r>
      <w:r>
        <w:rPr>
          <w:rFonts w:ascii="Arial" w:cs="Arial" w:eastAsia="Arial" w:hAnsi="Arial"/>
          <w:sz w:val="18"/>
          <w:szCs w:val="18"/>
          <w:color w:val="auto"/>
        </w:rPr>
        <w:t>”) that is, or is owned or controlled by a Person that is:</w:t>
      </w:r>
    </w:p>
    <w:p>
      <w:pPr>
        <w:spacing w:after="0" w:line="59" w:lineRule="exact"/>
        <w:rPr>
          <w:rFonts w:ascii="Arial" w:cs="Arial" w:eastAsia="Arial" w:hAnsi="Arial"/>
          <w:sz w:val="18"/>
          <w:szCs w:val="18"/>
          <w:color w:val="auto"/>
        </w:rPr>
      </w:pPr>
    </w:p>
    <w:p>
      <w:pPr>
        <w:ind w:left="900" w:right="40" w:firstLine="421"/>
        <w:spacing w:after="0" w:line="259" w:lineRule="auto"/>
        <w:tabs>
          <w:tab w:leader="none" w:pos="1607"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the United Nations Security Council (“</w:t>
      </w:r>
      <w:r>
        <w:rPr>
          <w:rFonts w:ascii="Arial" w:cs="Arial" w:eastAsia="Arial" w:hAnsi="Arial"/>
          <w:sz w:val="18"/>
          <w:szCs w:val="18"/>
          <w:u w:val="single" w:color="auto"/>
          <w:color w:val="auto"/>
        </w:rPr>
        <w:t>UNSC</w:t>
      </w:r>
      <w:r>
        <w:rPr>
          <w:rFonts w:ascii="Arial" w:cs="Arial" w:eastAsia="Arial" w:hAnsi="Arial"/>
          <w:sz w:val="18"/>
          <w:szCs w:val="18"/>
          <w:color w:val="auto"/>
        </w:rPr>
        <w:t>”), the European Union (“</w:t>
      </w:r>
      <w:r>
        <w:rPr>
          <w:rFonts w:ascii="Arial" w:cs="Arial" w:eastAsia="Arial" w:hAnsi="Arial"/>
          <w:sz w:val="18"/>
          <w:szCs w:val="18"/>
          <w:u w:val="single" w:color="auto"/>
          <w:color w:val="auto"/>
        </w:rPr>
        <w:t>EU</w:t>
      </w:r>
      <w:r>
        <w:rPr>
          <w:rFonts w:ascii="Arial" w:cs="Arial" w:eastAsia="Arial" w:hAnsi="Arial"/>
          <w:sz w:val="18"/>
          <w:szCs w:val="18"/>
          <w:color w:val="auto"/>
        </w:rPr>
        <w:t>”),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u w:val="single" w:color="auto"/>
          <w:color w:val="auto"/>
        </w:rPr>
        <w:t>Sanctions</w:t>
      </w:r>
      <w:r>
        <w:rPr>
          <w:rFonts w:ascii="Arial" w:cs="Arial" w:eastAsia="Arial" w:hAnsi="Arial"/>
          <w:sz w:val="18"/>
          <w:szCs w:val="18"/>
          <w:color w:val="auto"/>
        </w:rPr>
        <w:t>”), nor</w:t>
      </w:r>
    </w:p>
    <w:p>
      <w:pPr>
        <w:spacing w:after="0" w:line="59" w:lineRule="exact"/>
        <w:rPr>
          <w:rFonts w:ascii="Arial" w:cs="Arial" w:eastAsia="Arial" w:hAnsi="Arial"/>
          <w:sz w:val="18"/>
          <w:szCs w:val="18"/>
          <w:color w:val="auto"/>
        </w:rPr>
      </w:pPr>
    </w:p>
    <w:p>
      <w:pPr>
        <w:ind w:left="900" w:right="400" w:firstLine="421"/>
        <w:spacing w:after="0" w:line="268" w:lineRule="auto"/>
        <w:tabs>
          <w:tab w:leader="none" w:pos="1598" w:val="left"/>
        </w:tabs>
        <w:numPr>
          <w:ilvl w:val="2"/>
          <w:numId w:val="131"/>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North Korea, Sudan and Syria).</w:t>
      </w:r>
    </w:p>
    <w:p>
      <w:pPr>
        <w:spacing w:after="0" w:line="50" w:lineRule="exact"/>
        <w:rPr>
          <w:rFonts w:ascii="Arial" w:cs="Arial" w:eastAsia="Arial" w:hAnsi="Arial"/>
          <w:sz w:val="18"/>
          <w:szCs w:val="18"/>
          <w:color w:val="auto"/>
        </w:rPr>
      </w:pPr>
    </w:p>
    <w:p>
      <w:pPr>
        <w:ind w:left="440" w:right="600" w:firstLine="443"/>
        <w:spacing w:after="0" w:line="268" w:lineRule="auto"/>
        <w:tabs>
          <w:tab w:leader="none" w:pos="113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represents and covenants that the Entity will not, directly or indirectly, knowingly use the proceeds of the offering, or lend, contribute or otherwise make available such proceeds to any subsidiary, joint venture partner or other Person:</w:t>
      </w:r>
    </w:p>
    <w:p>
      <w:pPr>
        <w:spacing w:after="0" w:line="50" w:lineRule="exact"/>
        <w:rPr>
          <w:rFonts w:ascii="Arial" w:cs="Arial" w:eastAsia="Arial" w:hAnsi="Arial"/>
          <w:sz w:val="18"/>
          <w:szCs w:val="18"/>
          <w:color w:val="auto"/>
        </w:rPr>
      </w:pPr>
    </w:p>
    <w:p>
      <w:pPr>
        <w:ind w:left="900" w:right="560" w:firstLine="421"/>
        <w:spacing w:after="0" w:line="268" w:lineRule="auto"/>
        <w:tabs>
          <w:tab w:leader="none" w:pos="1607"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50" w:lineRule="exact"/>
        <w:rPr>
          <w:rFonts w:ascii="Arial" w:cs="Arial" w:eastAsia="Arial" w:hAnsi="Arial"/>
          <w:sz w:val="18"/>
          <w:szCs w:val="18"/>
          <w:color w:val="auto"/>
        </w:rPr>
      </w:pPr>
    </w:p>
    <w:p>
      <w:pPr>
        <w:ind w:left="900" w:firstLine="421"/>
        <w:spacing w:after="0" w:line="268" w:lineRule="auto"/>
        <w:tabs>
          <w:tab w:leader="none" w:pos="1598" w:val="left"/>
        </w:tabs>
        <w:numPr>
          <w:ilvl w:val="2"/>
          <w:numId w:val="132"/>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50" w:lineRule="exact"/>
        <w:rPr>
          <w:rFonts w:ascii="Arial" w:cs="Arial" w:eastAsia="Arial" w:hAnsi="Arial"/>
          <w:sz w:val="18"/>
          <w:szCs w:val="18"/>
          <w:color w:val="auto"/>
        </w:rPr>
      </w:pPr>
    </w:p>
    <w:p>
      <w:pPr>
        <w:jc w:val="both"/>
        <w:ind w:left="440" w:right="120" w:firstLine="443"/>
        <w:spacing w:after="0" w:line="259" w:lineRule="auto"/>
        <w:tabs>
          <w:tab w:leader="none" w:pos="118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Company represents and covenants that, except as detailed in the Prospectus, for the past five years, the Entity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40" w:lineRule="exact"/>
        <w:rPr>
          <w:rFonts w:ascii="Arial" w:cs="Arial" w:eastAsia="Arial" w:hAnsi="Arial"/>
          <w:sz w:val="18"/>
          <w:szCs w:val="18"/>
          <w:color w:val="auto"/>
        </w:rPr>
      </w:pPr>
    </w:p>
    <w:p>
      <w:pPr>
        <w:ind w:left="-20" w:right="480" w:firstLine="921"/>
        <w:spacing w:after="0" w:line="268" w:lineRule="auto"/>
        <w:tabs>
          <w:tab w:leader="none" w:pos="1229"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Stock Transfer Taxes</w:t>
      </w:r>
      <w:r>
        <w:rPr>
          <w:rFonts w:ascii="Arial" w:cs="Arial" w:eastAsia="Arial" w:hAnsi="Arial"/>
          <w:sz w:val="18"/>
          <w:szCs w:val="18"/>
          <w:color w:val="auto"/>
        </w:rPr>
        <w:t>. On each Settlement Date, all stock transfer or other taxes (other than income taxes) which are required to be paid in connection with the sale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334" w:right="239" w:bottom="1440" w:gutter="0" w:footer="0" w:header="0"/>
        </w:sectPr>
      </w:pPr>
    </w:p>
    <w:bookmarkStart w:id="185" w:name="page186"/>
    <w:bookmarkEnd w:id="18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of the Placement Shares to be sold hereunder will be, or will have been, fully paid or provided for by the Company and all laws imposing such taxes will be or will have been fully complied with in all material respects.</w:t>
      </w:r>
    </w:p>
    <w:p>
      <w:pPr>
        <w:spacing w:after="0" w:line="132"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Any certificate signed by an officer of the Company and delivered to BPSC or to counsel for BPSC pursuant to or in connection with this Agreement shall be deemed to be a representation and warranty by the Company, as applicable, to BPSC as to the matters set forth therein.</w:t>
      </w:r>
    </w:p>
    <w:p>
      <w:pPr>
        <w:spacing w:after="0" w:line="85" w:lineRule="exact"/>
        <w:rPr>
          <w:sz w:val="20"/>
          <w:szCs w:val="20"/>
          <w:color w:val="auto"/>
        </w:rPr>
      </w:pPr>
    </w:p>
    <w:p>
      <w:pPr>
        <w:ind w:left="640" w:hanging="17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with BPSC that:</w:t>
      </w:r>
    </w:p>
    <w:p>
      <w:pPr>
        <w:spacing w:after="0" w:line="171" w:lineRule="exact"/>
        <w:rPr>
          <w:rFonts w:ascii="Arial" w:cs="Arial" w:eastAsia="Arial" w:hAnsi="Arial"/>
          <w:sz w:val="18"/>
          <w:szCs w:val="18"/>
          <w:color w:val="auto"/>
        </w:rPr>
      </w:pPr>
    </w:p>
    <w:p>
      <w:pPr>
        <w:ind w:firstLine="921"/>
        <w:spacing w:after="0" w:line="304" w:lineRule="auto"/>
        <w:tabs>
          <w:tab w:leader="none" w:pos="1152" w:val="left"/>
        </w:tabs>
        <w:numPr>
          <w:ilvl w:val="1"/>
          <w:numId w:val="133"/>
        </w:numPr>
        <w:rPr>
          <w:rFonts w:ascii="Arial" w:cs="Arial" w:eastAsia="Arial" w:hAnsi="Arial"/>
          <w:sz w:val="15"/>
          <w:szCs w:val="15"/>
          <w:color w:val="auto"/>
        </w:rPr>
      </w:pPr>
      <w:r>
        <w:rPr>
          <w:rFonts w:ascii="Arial" w:cs="Arial" w:eastAsia="Arial" w:hAnsi="Arial"/>
          <w:sz w:val="15"/>
          <w:szCs w:val="15"/>
          <w:color w:val="auto"/>
        </w:rPr>
        <w:t>Registration Statement Amendments. After the date of this Agreement and during any period in which a Prospectus relating to any Placement Shares is required to be delivered by BPSC under the Securities Act (including in circumstances where such requirement may be satisfied pursuant to Rule 172 under the Securities Act) (the “</w:t>
      </w:r>
      <w:r>
        <w:rPr>
          <w:rFonts w:ascii="Arial" w:cs="Arial" w:eastAsia="Arial" w:hAnsi="Arial"/>
          <w:sz w:val="15"/>
          <w:szCs w:val="15"/>
          <w:u w:val="single" w:color="auto"/>
          <w:color w:val="auto"/>
        </w:rPr>
        <w:t>Prospectus Delivery Period</w:t>
      </w:r>
      <w:r>
        <w:rPr>
          <w:rFonts w:ascii="Arial" w:cs="Arial" w:eastAsia="Arial" w:hAnsi="Arial"/>
          <w:sz w:val="15"/>
          <w:szCs w:val="15"/>
          <w:color w:val="auto"/>
        </w:rPr>
        <w:t>”), (i) the Company will notify BPSC promptly of the time when any subsequent amendment to the Registration Statement, other than documents incorporated by reference, has been filed with the Commission and/or has become effective or any subsequent supplement to the Prospectus (other than documents incorporated by reference therein) has been filed and of any request by the Commission for any amendment or supplement to the Registration Statement or Prospectus or for additional information, (ii) the Company will not file any amendment or supplement to the Registration Statement or Prospectus (except for documents incorporated by reference therein) unless a copy thereof has been submitted to BPSC at least two Business Days before the filing and BPSC has not reasonably and in good faith objected thereto within two Business Days of receiving such copy (provided, however, that (A) the failure of BPSC to make such objection shall not relieve the Company of any obligation or liability hereunder, or affect BPSC’s right to rely on the representations and warranties made by the Company in this Agreement, (B) the Company has no obligation to provide BPSC any advance copy of such filing or to provide BPSC an opportunity to object to such filing if such filing does not name BPSC or does not relate to the transactions contemplated by this Agreement, and (C) the only remedy BPSC shall have with respect to the failure by the Company to provide BPSC with such copy or the filing of such amendment or supplement despite BPSC’s objection shall be to cease making sales under this Agreement) and the Company will furnish to BPSC at the time of filing thereof a copy of any document that upon filing is deemed to be incorporated by reference into the Registration Statement or Prospectus, except for those documents available via EDGAR; and (iii)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objections, shall be made exclusively by the Company).</w:t>
      </w:r>
    </w:p>
    <w:p>
      <w:pPr>
        <w:spacing w:after="0" w:line="118" w:lineRule="exact"/>
        <w:rPr>
          <w:rFonts w:ascii="Arial" w:cs="Arial" w:eastAsia="Arial" w:hAnsi="Arial"/>
          <w:sz w:val="15"/>
          <w:szCs w:val="15"/>
          <w:color w:val="auto"/>
        </w:rPr>
      </w:pPr>
    </w:p>
    <w:p>
      <w:pPr>
        <w:ind w:right="440" w:firstLine="921"/>
        <w:spacing w:after="0" w:line="259" w:lineRule="auto"/>
        <w:tabs>
          <w:tab w:leader="none" w:pos="1161"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Notice of Commission Stop Orders</w:t>
      </w:r>
      <w:r>
        <w:rPr>
          <w:rFonts w:ascii="Arial" w:cs="Arial" w:eastAsia="Arial" w:hAnsi="Arial"/>
          <w:sz w:val="18"/>
          <w:szCs w:val="18"/>
          <w:color w:val="auto"/>
        </w:rPr>
        <w:t>. The Company will advise BPSC,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86" w:name="page187"/>
    <w:bookmarkEnd w:id="186"/>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BPSC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43" w:lineRule="exact"/>
        <w:rPr>
          <w:sz w:val="20"/>
          <w:szCs w:val="20"/>
          <w:color w:val="auto"/>
        </w:rPr>
      </w:pPr>
    </w:p>
    <w:p>
      <w:pPr>
        <w:ind w:firstLine="921"/>
        <w:spacing w:after="0" w:line="286" w:lineRule="auto"/>
        <w:tabs>
          <w:tab w:leader="none" w:pos="115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Delivery of Prospectus; Subsequent Changes</w:t>
      </w:r>
      <w:r>
        <w:rPr>
          <w:rFonts w:ascii="Arial" w:cs="Arial" w:eastAsia="Arial" w:hAnsi="Arial"/>
          <w:sz w:val="16"/>
          <w:szCs w:val="16"/>
          <w:color w:val="auto"/>
        </w:rPr>
        <w:t>. During the Prospectus Delivery Period, the Company will use commercially reasonable efforts to comply in all material respects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best efforts to comply with the provisions of and make all requisite filings with the Commission pursuant to said Rule 430A and to notify BPSC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BPSC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any such amendment or supplement if, in the judgment of the Company, it is in the best interests of the Company to do so.</w:t>
      </w:r>
    </w:p>
    <w:p>
      <w:pPr>
        <w:spacing w:after="0" w:line="124" w:lineRule="exact"/>
        <w:rPr>
          <w:rFonts w:ascii="Arial" w:cs="Arial" w:eastAsia="Arial" w:hAnsi="Arial"/>
          <w:sz w:val="16"/>
          <w:szCs w:val="16"/>
          <w:color w:val="auto"/>
        </w:rPr>
      </w:pPr>
    </w:p>
    <w:p>
      <w:pPr>
        <w:ind w:right="300" w:firstLine="921"/>
        <w:spacing w:after="0" w:line="255" w:lineRule="auto"/>
        <w:tabs>
          <w:tab w:leader="none" w:pos="1161"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During the Prospectus Delivery Period, the Company will use its commercially reasonable efforts to cause the Placement Shares to be listed on the Exchange and to qualify the Placement Shares for sale under the securities laws of such jurisdictions as BPSC reasonably designates and to continue such qualifications in effect so long as required for the distribution of the Placement Shares; provided, however, that the Company shall not be required in connection therewith to qualify as a foreign corporation or dealer in securities or file a general consent to service of process in any jurisdiction.</w:t>
      </w:r>
    </w:p>
    <w:p>
      <w:pPr>
        <w:spacing w:after="0" w:line="142" w:lineRule="exact"/>
        <w:rPr>
          <w:rFonts w:ascii="Arial" w:cs="Arial" w:eastAsia="Arial" w:hAnsi="Arial"/>
          <w:sz w:val="18"/>
          <w:szCs w:val="18"/>
          <w:color w:val="auto"/>
        </w:rPr>
      </w:pPr>
    </w:p>
    <w:p>
      <w:pPr>
        <w:ind w:firstLine="921"/>
        <w:spacing w:after="0" w:line="294" w:lineRule="auto"/>
        <w:tabs>
          <w:tab w:leader="none" w:pos="115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Delivery of Registration Statement and Prospectus</w:t>
      </w:r>
      <w:r>
        <w:rPr>
          <w:rFonts w:ascii="Arial" w:cs="Arial" w:eastAsia="Arial" w:hAnsi="Arial"/>
          <w:sz w:val="16"/>
          <w:szCs w:val="16"/>
          <w:color w:val="auto"/>
        </w:rPr>
        <w:t>. The Company will furnish to BPSC and its counsel (at the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BPSC may from time to time reasonably request and, at BPSC’s request, will also furnish copies of the Prospectus to each</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87" w:name="page188"/>
    <w:bookmarkEnd w:id="187"/>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or market on which sales of the Placement Shares may be made; provided, however, that the Company shall not be required to furnish any document (other than the Prospectus) to BPSC to the extent such document is available on EDGAR.</w:t>
      </w:r>
    </w:p>
    <w:p>
      <w:pPr>
        <w:spacing w:after="0" w:line="132" w:lineRule="exact"/>
        <w:rPr>
          <w:sz w:val="20"/>
          <w:szCs w:val="20"/>
          <w:color w:val="auto"/>
        </w:rPr>
      </w:pPr>
    </w:p>
    <w:p>
      <w:pPr>
        <w:jc w:val="both"/>
        <w:ind w:right="120" w:firstLine="921"/>
        <w:spacing w:after="0" w:line="259" w:lineRule="auto"/>
        <w:tabs>
          <w:tab w:leader="none" w:pos="1132"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Earnings Statement</w:t>
      </w:r>
      <w:r>
        <w:rPr>
          <w:rFonts w:ascii="Arial" w:cs="Arial" w:eastAsia="Arial" w:hAnsi="Arial"/>
          <w:sz w:val="18"/>
          <w:szCs w:val="18"/>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will use the Net Proceeds as described in the Prospectus in the section entitled “</w:t>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firstLine="921"/>
        <w:spacing w:after="0" w:line="284" w:lineRule="auto"/>
        <w:tabs>
          <w:tab w:leader="none" w:pos="1161"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Notice of Other Sales</w:t>
      </w:r>
      <w:r>
        <w:rPr>
          <w:rFonts w:ascii="Arial" w:cs="Arial" w:eastAsia="Arial" w:hAnsi="Arial"/>
          <w:sz w:val="16"/>
          <w:szCs w:val="16"/>
          <w:color w:val="auto"/>
        </w:rPr>
        <w:t>. Without the prior written consent of BPSC,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second (2nd) Trading Day immediately prior to the date on which any Placement Notice is delivered to BPSC hereunder and ending on the second (2nd)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at any time during which a Placement Notice is pending and for two (2) Trading Days after the last sale of Placement Shares under such Placement Notice, will not directly or indirectly in any other “at the market” or continuous equity transaction offer to sell, sell, contract to sell, grant any option to sell or otherwise dispose of any shares of Common Stock (other than the Placement Shares offered pursuant to this Agreement) or securities convertible into or exchangeable for Common Stock, warrants or any rights to purchase or acquire, Common Stock prior to the termination of this Agreement with respect to Placement Shares sold pursuant to such Placement Notice; provided, however, that such restrictions will not be required in connection with the Company’s issuance or sale of (i) Common Stock, options to purchase Common Stock or stock awards or Common Stock issuable upon the exercise of options or vesting of stock awards,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BPSC and (iii) Common Stock, or securities convertible into or exercisable for Common Stock, offered and sold in a privately negotiated transaction to vendors, customers, investors, strategic partners or potential strategic partners and conducted in a manner so as not to be integrated with the offering of Common Stock hereby.</w:t>
      </w:r>
    </w:p>
    <w:p>
      <w:pPr>
        <w:spacing w:after="0" w:line="132" w:lineRule="exact"/>
        <w:rPr>
          <w:rFonts w:ascii="Arial" w:cs="Arial" w:eastAsia="Arial" w:hAnsi="Arial"/>
          <w:sz w:val="16"/>
          <w:szCs w:val="16"/>
          <w:color w:val="auto"/>
        </w:rPr>
      </w:pPr>
    </w:p>
    <w:p>
      <w:pPr>
        <w:ind w:right="80" w:firstLine="921"/>
        <w:spacing w:after="0" w:line="259" w:lineRule="auto"/>
        <w:tabs>
          <w:tab w:leader="none" w:pos="1122"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The Company will, at any time during the pendency of a Placement Notice advise BPSC promptly after it shall have received notice or obtained knowledge thereof, of any information or fact that would alter or affect in any material respect any opinion, certificate, letter or other document required to be provided to BPSC pursuant to this Agreement.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188" w:name="page189"/>
    <w:bookmarkEnd w:id="188"/>
    <w:p>
      <w:pPr>
        <w:ind w:firstLine="921"/>
        <w:spacing w:after="0" w:line="256" w:lineRule="auto"/>
        <w:tabs>
          <w:tab w:leader="none" w:pos="1122" w:val="left"/>
        </w:tabs>
        <w:numPr>
          <w:ilvl w:val="2"/>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Diligence Cooperation</w:t>
      </w:r>
      <w:r>
        <w:rPr>
          <w:rFonts w:ascii="Arial" w:cs="Arial" w:eastAsia="Arial" w:hAnsi="Arial"/>
          <w:sz w:val="18"/>
          <w:szCs w:val="18"/>
          <w:color w:val="auto"/>
        </w:rPr>
        <w:t>. The Company will cooperate with any reasonable due diligence review conducted by BPSC or its representatives in connection with the transactions contemplated hereby, including, without limitation, providing information and making available documents and senior corporate officers, during regular business hours and at the Company’s principal offices or such other location mutually agreeable by the parties, as BPSC may reasonably request.</w:t>
      </w:r>
    </w:p>
    <w:p>
      <w:pPr>
        <w:spacing w:after="0" w:line="143" w:lineRule="exact"/>
        <w:rPr>
          <w:rFonts w:ascii="Arial" w:cs="Arial" w:eastAsia="Arial" w:hAnsi="Arial"/>
          <w:sz w:val="18"/>
          <w:szCs w:val="18"/>
          <w:color w:val="auto"/>
        </w:rPr>
      </w:pPr>
    </w:p>
    <w:p>
      <w:pPr>
        <w:ind w:firstLine="921"/>
        <w:spacing w:after="0" w:line="283" w:lineRule="auto"/>
        <w:tabs>
          <w:tab w:leader="none" w:pos="1161" w:val="left"/>
        </w:tabs>
        <w:numPr>
          <w:ilvl w:val="2"/>
          <w:numId w:val="136"/>
        </w:numPr>
        <w:rPr>
          <w:rFonts w:ascii="Arial" w:cs="Arial" w:eastAsia="Arial" w:hAnsi="Arial"/>
          <w:sz w:val="16"/>
          <w:szCs w:val="16"/>
          <w:color w:val="auto"/>
        </w:rPr>
      </w:pPr>
      <w:r>
        <w:rPr>
          <w:rFonts w:ascii="Arial" w:cs="Arial" w:eastAsia="Arial" w:hAnsi="Arial"/>
          <w:sz w:val="16"/>
          <w:szCs w:val="16"/>
          <w:u w:val="single" w:color="auto"/>
          <w:color w:val="auto"/>
        </w:rPr>
        <w:t>Required Filings Relating to Placement of Placement Shares</w:t>
      </w:r>
      <w:r>
        <w:rPr>
          <w:rFonts w:ascii="Arial" w:cs="Arial" w:eastAsia="Arial" w:hAnsi="Arial"/>
          <w:sz w:val="16"/>
          <w:szCs w:val="16"/>
          <w:color w:val="auto"/>
        </w:rPr>
        <w:t>. The Company agrees that on such dates as the Securities Act shall require, the Company will (i) file a prospectus supplement with the Commission under the applicable paragraph of Rule 424(b) under the Securities Act (the date of each and every such filing under Rule 424(b), a “</w:t>
      </w:r>
      <w:r>
        <w:rPr>
          <w:rFonts w:ascii="Arial" w:cs="Arial" w:eastAsia="Arial" w:hAnsi="Arial"/>
          <w:sz w:val="16"/>
          <w:szCs w:val="16"/>
          <w:u w:val="single" w:color="auto"/>
          <w:color w:val="auto"/>
        </w:rPr>
        <w:t>Filing Date</w:t>
      </w:r>
      <w:r>
        <w:rPr>
          <w:rFonts w:ascii="Arial" w:cs="Arial" w:eastAsia="Arial" w:hAnsi="Arial"/>
          <w:sz w:val="16"/>
          <w:szCs w:val="16"/>
          <w:color w:val="auto"/>
        </w:rPr>
        <w:t>”), which prospectus supplement will set forth, within the relevant period, the amount of Placement Shares sold through BPSC, the Net Proceeds to the Company and the compensation payable by the Company to BPSC with respect to such Placement Shares, and</w:t>
      </w:r>
    </w:p>
    <w:p>
      <w:pPr>
        <w:spacing w:after="0" w:line="2" w:lineRule="exact"/>
        <w:rPr>
          <w:rFonts w:ascii="Arial" w:cs="Arial" w:eastAsia="Arial" w:hAnsi="Arial"/>
          <w:sz w:val="16"/>
          <w:szCs w:val="16"/>
          <w:color w:val="auto"/>
        </w:rPr>
      </w:pPr>
    </w:p>
    <w:p>
      <w:pPr>
        <w:ind w:right="120" w:firstLine="8"/>
        <w:spacing w:after="0" w:line="261" w:lineRule="auto"/>
        <w:tabs>
          <w:tab w:leader="none" w:pos="25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deliver such number of copies of each such prospectus supplement to each exchange or market on which such sales were effected as may be required by the rules or regulations of such exchange or market.</w:t>
      </w:r>
    </w:p>
    <w:p>
      <w:pPr>
        <w:spacing w:after="0" w:line="137" w:lineRule="exact"/>
        <w:rPr>
          <w:rFonts w:ascii="Arial" w:cs="Arial" w:eastAsia="Arial" w:hAnsi="Arial"/>
          <w:sz w:val="18"/>
          <w:szCs w:val="18"/>
          <w:color w:val="auto"/>
        </w:rPr>
      </w:pPr>
    </w:p>
    <w:p>
      <w:pPr>
        <w:ind w:left="1140" w:hanging="219"/>
        <w:spacing w:after="0"/>
        <w:tabs>
          <w:tab w:leader="none" w:pos="1140" w:val="left"/>
        </w:tabs>
        <w:numPr>
          <w:ilvl w:val="2"/>
          <w:numId w:val="137"/>
        </w:numPr>
        <w:rPr>
          <w:rFonts w:ascii="Arial" w:cs="Arial" w:eastAsia="Arial" w:hAnsi="Arial"/>
          <w:sz w:val="16"/>
          <w:szCs w:val="16"/>
          <w:color w:val="auto"/>
        </w:rPr>
      </w:pPr>
      <w:r>
        <w:rPr>
          <w:rFonts w:ascii="Arial" w:cs="Arial" w:eastAsia="Arial" w:hAnsi="Arial"/>
          <w:sz w:val="16"/>
          <w:szCs w:val="16"/>
          <w:color w:val="auto"/>
        </w:rPr>
        <w:t>Representation Dates; Certificate. On the date of this Agreement and each time during the term of this Agreement the Company:</w:t>
      </w:r>
    </w:p>
    <w:p>
      <w:pPr>
        <w:spacing w:after="0" w:line="113" w:lineRule="exact"/>
        <w:rPr>
          <w:rFonts w:ascii="Arial" w:cs="Arial" w:eastAsia="Arial" w:hAnsi="Arial"/>
          <w:sz w:val="16"/>
          <w:szCs w:val="16"/>
          <w:color w:val="auto"/>
        </w:rPr>
      </w:pPr>
    </w:p>
    <w:p>
      <w:pPr>
        <w:ind w:left="460" w:right="20" w:firstLine="443"/>
        <w:spacing w:after="0" w:line="256" w:lineRule="auto"/>
        <w:tabs>
          <w:tab w:leader="none" w:pos="110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62" w:lineRule="exact"/>
        <w:rPr>
          <w:rFonts w:ascii="Arial" w:cs="Arial" w:eastAsia="Arial" w:hAnsi="Arial"/>
          <w:sz w:val="18"/>
          <w:szCs w:val="18"/>
          <w:color w:val="auto"/>
        </w:rPr>
      </w:pPr>
    </w:p>
    <w:p>
      <w:pPr>
        <w:ind w:left="460" w:right="100" w:firstLine="443"/>
        <w:spacing w:after="0" w:line="268" w:lineRule="auto"/>
        <w:tabs>
          <w:tab w:leader="none" w:pos="115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files an annual report on Form 10-K under the Exchange Act (including any Form 10-K/A containing restated financial statements or a material amendment to the previously filed Form 10-K);</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files its quarterly reports on Form 10-Q under the Exchange Act; or</w:t>
      </w:r>
    </w:p>
    <w:p>
      <w:pPr>
        <w:spacing w:after="0" w:line="90" w:lineRule="exact"/>
        <w:rPr>
          <w:rFonts w:ascii="Arial" w:cs="Arial" w:eastAsia="Arial" w:hAnsi="Arial"/>
          <w:sz w:val="18"/>
          <w:szCs w:val="18"/>
          <w:color w:val="auto"/>
        </w:rPr>
      </w:pPr>
    </w:p>
    <w:p>
      <w:pPr>
        <w:ind w:left="460" w:right="40" w:firstLine="443"/>
        <w:spacing w:after="0" w:line="306" w:lineRule="auto"/>
        <w:tabs>
          <w:tab w:leader="none" w:pos="1196" w:val="left"/>
        </w:tabs>
        <w:numPr>
          <w:ilvl w:val="1"/>
          <w:numId w:val="137"/>
        </w:numPr>
        <w:rPr>
          <w:rFonts w:ascii="Arial" w:cs="Arial" w:eastAsia="Arial" w:hAnsi="Arial"/>
          <w:sz w:val="16"/>
          <w:szCs w:val="16"/>
          <w:color w:val="auto"/>
        </w:rPr>
      </w:pPr>
      <w:r>
        <w:rPr>
          <w:rFonts w:ascii="Arial" w:cs="Arial" w:eastAsia="Arial" w:hAnsi="Arial"/>
          <w:sz w:val="16"/>
          <w:szCs w:val="16"/>
          <w:color w:val="auto"/>
        </w:rPr>
        <w:t>files a current report on Form 8-K containing amended audited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date of filing of one or more of the documents referred to in clauses (i) through (iv) shall be a “</w:t>
      </w:r>
      <w:r>
        <w:rPr>
          <w:rFonts w:ascii="Arial" w:cs="Arial" w:eastAsia="Arial" w:hAnsi="Arial"/>
          <w:sz w:val="18"/>
          <w:szCs w:val="18"/>
          <w:u w:val="single" w:color="auto"/>
          <w:color w:val="auto"/>
        </w:rPr>
        <w:t>Representation Date</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shall furnish BPSC (but in the case of clause (iv) above only if BPSC reasonably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334" w:right="319" w:bottom="1440" w:gutter="0" w:footer="0" w:header="0"/>
        </w:sectPr>
      </w:pPr>
    </w:p>
    <w:bookmarkStart w:id="189" w:name="page190"/>
    <w:bookmarkEnd w:id="18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determines that the information contained in such Form 8-K is material) with a certificate, in the form attached hereto as Exhibit 7(l). The requirement to provide a certificate under this Section 7(l) shall be automatically waived for any Representation Date occurring at a time at which no Placement Notice is pending, which waiver shall continue until the date the Company delivers a Placement Notice hereunder (which for such calendar quarter shall be considered a Representation Date); provided, however, that such waiver shall not apply for any Representation Date on which the Company files its annual report on Form 10-</w:t>
      </w:r>
    </w:p>
    <w:p>
      <w:pPr>
        <w:spacing w:after="0" w:line="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K. Notwithstanding the foregoing, if the Company subsequently decides to sell Placement Shares following a Representation Date when the Company relied on such waiver and did not provide BPSC with a certificate under this Section 7(l), then before the Company delivers the Placement Notice or BPSC sells any Placement Shares, the Company shall provide BPSC with a certificate, in the form attached hereto as Exhibit 7(l), dated the date of the Placement Notice.</w:t>
      </w:r>
    </w:p>
    <w:p>
      <w:pPr>
        <w:spacing w:after="0" w:line="109" w:lineRule="exact"/>
        <w:rPr>
          <w:sz w:val="20"/>
          <w:szCs w:val="20"/>
          <w:color w:val="auto"/>
        </w:rPr>
      </w:pPr>
    </w:p>
    <w:p>
      <w:pPr>
        <w:ind w:firstLine="921"/>
        <w:spacing w:after="0" w:line="307" w:lineRule="auto"/>
        <w:tabs>
          <w:tab w:leader="none" w:pos="1210" w:val="left"/>
        </w:tabs>
        <w:numPr>
          <w:ilvl w:val="0"/>
          <w:numId w:val="138"/>
        </w:numPr>
        <w:rPr>
          <w:rFonts w:ascii="Arial" w:cs="Arial" w:eastAsia="Arial" w:hAnsi="Arial"/>
          <w:sz w:val="15"/>
          <w:szCs w:val="15"/>
          <w:color w:val="auto"/>
        </w:rPr>
      </w:pPr>
      <w:r>
        <w:rPr>
          <w:rFonts w:ascii="Arial" w:cs="Arial" w:eastAsia="Arial" w:hAnsi="Arial"/>
          <w:sz w:val="15"/>
          <w:szCs w:val="15"/>
          <w:u w:val="single" w:color="auto"/>
          <w:color w:val="auto"/>
        </w:rPr>
        <w:t>Legal Opinion</w:t>
      </w:r>
      <w:r>
        <w:rPr>
          <w:rFonts w:ascii="Arial" w:cs="Arial" w:eastAsia="Arial" w:hAnsi="Arial"/>
          <w:sz w:val="15"/>
          <w:szCs w:val="15"/>
          <w:color w:val="auto"/>
        </w:rPr>
        <w:t>. On or prior to the date of the first Placement Notice given hereunder, the Company shall cause to be furnished to BPSC a written opinion and letter of Cooley LLP (“</w:t>
      </w:r>
      <w:r>
        <w:rPr>
          <w:rFonts w:ascii="Arial" w:cs="Arial" w:eastAsia="Arial" w:hAnsi="Arial"/>
          <w:sz w:val="15"/>
          <w:szCs w:val="15"/>
          <w:u w:val="single" w:color="auto"/>
          <w:color w:val="auto"/>
        </w:rPr>
        <w:t>Company Counsel</w:t>
      </w:r>
      <w:r>
        <w:rPr>
          <w:rFonts w:ascii="Arial" w:cs="Arial" w:eastAsia="Arial" w:hAnsi="Arial"/>
          <w:sz w:val="15"/>
          <w:szCs w:val="15"/>
          <w:color w:val="auto"/>
        </w:rPr>
        <w:t>”), or such other counsel reasonably satisfactory to BPSC, covering opinions and statements substantially in the forms attached hereto as Exhibits 7(m)(1) and 7(m)(2). Thereafter within five (5) Trading Days of each Representation Date with respect to which the Company is obligated to deliver a certificate in the form attached hereto as Exhibit 7(l) for which no waiver is applicable, the Company shall cause to be furnished to BPSC a letter of Company Counsel, or other counsel reasonably satisfactory to BPSC, covering statements substantially in the form attached hereto as Exhibits 7(m)(2), modified, as necessary, to relate to the Registration Statement and the Prospectus as then amended or supplemented; provided, however, the Company shall be required to furnish to BPSC no more than one letter hereunder per calendar quarter and the Company shall not be required to furnish letter if the Company does not intend to deliver a Placement Notice in such calendar quarter until such time as the Company delivers its next Placement Notice; provided, further, that in lieu of such letters for subsequent periodic filings under the Exchange Act, counsel may furnish BPSC with a letter (a “</w:t>
      </w:r>
      <w:r>
        <w:rPr>
          <w:rFonts w:ascii="Arial" w:cs="Arial" w:eastAsia="Arial" w:hAnsi="Arial"/>
          <w:sz w:val="15"/>
          <w:szCs w:val="15"/>
          <w:u w:val="single" w:color="auto"/>
          <w:color w:val="auto"/>
        </w:rPr>
        <w:t>Reliance Letter</w:t>
      </w:r>
      <w:r>
        <w:rPr>
          <w:rFonts w:ascii="Arial" w:cs="Arial" w:eastAsia="Arial" w:hAnsi="Arial"/>
          <w:sz w:val="15"/>
          <w:szCs w:val="15"/>
          <w:color w:val="auto"/>
        </w:rPr>
        <w:t>”) to the effect that BPSC may rely on a prior letter delivered under this Section 7(m) to the same extent as if it were dated the date of such letter (except that statements in such prior letter shall be deemed to relate to the Registration Statement and the Prospectus as amended or supplemented as of the date of the Reliance Letter).</w:t>
      </w:r>
    </w:p>
    <w:p>
      <w:pPr>
        <w:spacing w:after="0" w:line="111" w:lineRule="exact"/>
        <w:rPr>
          <w:rFonts w:ascii="Arial" w:cs="Arial" w:eastAsia="Arial" w:hAnsi="Arial"/>
          <w:sz w:val="15"/>
          <w:szCs w:val="15"/>
          <w:color w:val="auto"/>
        </w:rPr>
      </w:pPr>
    </w:p>
    <w:p>
      <w:pPr>
        <w:ind w:firstLine="921"/>
        <w:spacing w:after="0" w:line="289" w:lineRule="auto"/>
        <w:tabs>
          <w:tab w:leader="none" w:pos="1161"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Comfort Letter</w:t>
      </w:r>
      <w:r>
        <w:rPr>
          <w:rFonts w:ascii="Arial" w:cs="Arial" w:eastAsia="Arial" w:hAnsi="Arial"/>
          <w:sz w:val="16"/>
          <w:szCs w:val="16"/>
          <w:color w:val="auto"/>
        </w:rPr>
        <w:t>. On or prior to the date the first Placement Notice is given hereunder and thereafter within five (5) Trading Days after each Representation Date referred to in Section 7(l)(ii), the Company shall cause its independent accountants to furnish BPSC letters (the “</w:t>
      </w:r>
      <w:r>
        <w:rPr>
          <w:rFonts w:ascii="Arial" w:cs="Arial" w:eastAsia="Arial" w:hAnsi="Arial"/>
          <w:sz w:val="16"/>
          <w:szCs w:val="16"/>
          <w:u w:val="single" w:color="auto"/>
          <w:color w:val="auto"/>
        </w:rPr>
        <w:t>Comfort Letters</w:t>
      </w:r>
      <w:r>
        <w:rPr>
          <w:rFonts w:ascii="Arial" w:cs="Arial" w:eastAsia="Arial" w:hAnsi="Arial"/>
          <w:sz w:val="16"/>
          <w:szCs w:val="16"/>
          <w:color w:val="auto"/>
        </w:rPr>
        <w:t>”), dated the date the Comfort Letter is delivered, which shall meet the requirements set forth in this Section 7(n); provided, that if requested by BPSC, the Company shall cause a Comfort Letter to be furnished to BPSC prior to the tenth (10th) Trading Day after the date of occurrence of any material transaction or event (including the restatement of the Company’s financial statements) requiring the filing of a current report on Form 8-K containing material financial information and the date the first Placement Notice is given hereunder following such a material transaction or event, whichever is later. The Comfort Letter from the Company’s independent accountants shall be in a form and substance reasonably satisfactory to BPSC, (i) confirming that they are an independent public accounting firm within the meaning of the Securities Act and the PCAOB, (ii) stating, as of such date, the conclusions and findings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90" w:name="page191"/>
    <w:bookmarkEnd w:id="190"/>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8"/>
          <w:szCs w:val="18"/>
          <w:u w:val="single" w:color="auto"/>
          <w:color w:val="auto"/>
        </w:rPr>
        <w:t>Initial Comfort Letter</w:t>
      </w:r>
      <w:r>
        <w:rPr>
          <w:rFonts w:ascii="Arial" w:cs="Arial" w:eastAsia="Arial" w:hAnsi="Arial"/>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43" w:lineRule="exact"/>
        <w:rPr>
          <w:sz w:val="20"/>
          <w:szCs w:val="20"/>
          <w:color w:val="auto"/>
        </w:rPr>
      </w:pPr>
    </w:p>
    <w:p>
      <w:pPr>
        <w:ind w:firstLine="921"/>
        <w:spacing w:after="0" w:line="256" w:lineRule="auto"/>
        <w:tabs>
          <w:tab w:leader="none" w:pos="116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Market Activities</w:t>
      </w:r>
      <w:r>
        <w:rPr>
          <w:rFonts w:ascii="Arial" w:cs="Arial" w:eastAsia="Arial" w:hAnsi="Arial"/>
          <w:sz w:val="18"/>
          <w:szCs w:val="18"/>
          <w:color w:val="auto"/>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BPSC.</w:t>
      </w:r>
    </w:p>
    <w:p>
      <w:pPr>
        <w:spacing w:after="0" w:line="143" w:lineRule="exact"/>
        <w:rPr>
          <w:rFonts w:ascii="Arial" w:cs="Arial" w:eastAsia="Arial" w:hAnsi="Arial"/>
          <w:sz w:val="18"/>
          <w:szCs w:val="18"/>
          <w:color w:val="auto"/>
        </w:rPr>
      </w:pPr>
    </w:p>
    <w:p>
      <w:pPr>
        <w:ind w:right="540" w:firstLine="921"/>
        <w:spacing w:after="0" w:line="259" w:lineRule="auto"/>
        <w:tabs>
          <w:tab w:leader="none" w:pos="116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will conduct its affairs in such a manner so as to reasonably ensure that neither it nor any of its Subsidiaries will be or become, at any time prior to the termination of this Agreement, an “investment company,” as such term is defined in the Investment Company Act.</w:t>
      </w:r>
    </w:p>
    <w:p>
      <w:pPr>
        <w:spacing w:after="0" w:line="140" w:lineRule="exact"/>
        <w:rPr>
          <w:rFonts w:ascii="Arial" w:cs="Arial" w:eastAsia="Arial" w:hAnsi="Arial"/>
          <w:sz w:val="18"/>
          <w:szCs w:val="18"/>
          <w:color w:val="auto"/>
        </w:rPr>
      </w:pPr>
    </w:p>
    <w:p>
      <w:pPr>
        <w:ind w:right="20" w:firstLine="921"/>
        <w:spacing w:after="0" w:line="285" w:lineRule="auto"/>
        <w:tabs>
          <w:tab w:leader="none" w:pos="1161"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Sarbanes-Oxley Act</w:t>
      </w:r>
      <w:r>
        <w:rPr>
          <w:rFonts w:ascii="Arial" w:cs="Arial" w:eastAsia="Arial" w:hAnsi="Arial"/>
          <w:sz w:val="16"/>
          <w:szCs w:val="16"/>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91" w:name="page192"/>
    <w:bookmarkEnd w:id="191"/>
    <w:p>
      <w:pPr>
        <w:ind w:left="-60" w:firstLine="464"/>
        <w:spacing w:after="0" w:line="291" w:lineRule="auto"/>
        <w:tabs>
          <w:tab w:leader="none" w:pos="572"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Covenants of BPSC</w:t>
      </w:r>
      <w:r>
        <w:rPr>
          <w:rFonts w:ascii="Arial" w:cs="Arial" w:eastAsia="Arial" w:hAnsi="Arial"/>
          <w:sz w:val="16"/>
          <w:szCs w:val="16"/>
          <w:color w:val="auto"/>
        </w:rPr>
        <w:t>. BPSC represents and warrants that it is duly registered as a broker-dealer under FINRA, the Exchange Act and the applicable statutes and regulations of each state in which the Placement Shares will be offered and sold, except such states in which BPSC is exempt from registration or such registration is not otherwise required. BPSC shall continue, for the term of this Agreement, to be duly registered as a broker-dealer under FINRA, the Exchange Act and the applicable statutes and regulations of each state in which the Placement Shares will be offered and sold, except such states in which BPSC is exempt from registration or such registration is not otherwise required, during the term of this Agreement. BPSC will comply with all applicable laws and regulations (including, without limitation, Regulation M) in connection with performing its obligations under this Agreement.</w:t>
      </w:r>
    </w:p>
    <w:p>
      <w:pPr>
        <w:spacing w:after="0" w:line="120" w:lineRule="exact"/>
        <w:rPr>
          <w:rFonts w:ascii="Arial" w:cs="Arial" w:eastAsia="Arial" w:hAnsi="Arial"/>
          <w:sz w:val="16"/>
          <w:szCs w:val="16"/>
          <w:color w:val="auto"/>
        </w:rPr>
      </w:pPr>
    </w:p>
    <w:p>
      <w:pPr>
        <w:ind w:left="580" w:hanging="176"/>
        <w:spacing w:after="0"/>
        <w:tabs>
          <w:tab w:leader="none" w:pos="5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right="20" w:firstLine="921"/>
        <w:spacing w:after="0" w:line="309" w:lineRule="auto"/>
        <w:tabs>
          <w:tab w:leader="none" w:pos="1092" w:val="left"/>
        </w:tabs>
        <w:numPr>
          <w:ilvl w:val="1"/>
          <w:numId w:val="140"/>
        </w:numPr>
        <w:rPr>
          <w:rFonts w:ascii="Arial" w:cs="Arial" w:eastAsia="Arial" w:hAnsi="Arial"/>
          <w:sz w:val="15"/>
          <w:szCs w:val="15"/>
          <w:color w:val="auto"/>
        </w:rPr>
      </w:pPr>
      <w:r>
        <w:rPr>
          <w:rFonts w:ascii="Arial" w:cs="Arial" w:eastAsia="Arial" w:hAnsi="Arial"/>
          <w:sz w:val="15"/>
          <w:szCs w:val="15"/>
          <w:color w:val="auto"/>
        </w:rPr>
        <w:t>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Issuer Free Writing Prospectus, in such number as BPSC shall reasonably deem necessary, (ii) the printing and delivery to BPSC of this Agreement and such other documents as may be required in connection with the offering, purchase, sale, issuance or delivery of the Placement Shares, (iii) the preparation, issuance and delivery of the certificates, if any, for the Placement Shares to BPSC, including any stock or other transfer taxes and any capital duties, stamp duties or other duties or taxes payable upon the sale, issuance or delivery of the Placement Shares to BPSC, (iv) the fees and disbursements of the counsel, accountants and other advisors to the Company, (v) the reasonable fees and disbursements of counsel to BPSC, up to a maximum amount of $25,000, (vi) the fees and expenses of the transfer agent and registrar for the Common Stock, (vii) the filing fees incident to any review by FINRA of the terms of the sale of the Placement Shares, and (viii) the fees and expenses incurred in connection with the listing of the Placement Shares on the Exchange.</w:t>
      </w:r>
    </w:p>
    <w:p>
      <w:pPr>
        <w:spacing w:after="0" w:line="108" w:lineRule="exact"/>
        <w:rPr>
          <w:rFonts w:ascii="Arial" w:cs="Arial" w:eastAsia="Arial" w:hAnsi="Arial"/>
          <w:sz w:val="15"/>
          <w:szCs w:val="15"/>
          <w:color w:val="auto"/>
        </w:rPr>
      </w:pPr>
    </w:p>
    <w:p>
      <w:pPr>
        <w:jc w:val="both"/>
        <w:ind w:left="-60" w:right="580" w:firstLine="921"/>
        <w:spacing w:after="0" w:line="306" w:lineRule="auto"/>
        <w:tabs>
          <w:tab w:leader="none" w:pos="1102"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If this Agreement is terminated by BPSC in accordance with the provisions of Section 13(a) hereof as a result of a material breach by the Company of its obligations hereunder, the Company shall reimburse BPSC for all of its reasonable out-of-pocket expenses, including reasonable fees and disbursements of counsel for BPSC (less any amounts paid under clause (a)(v) above) up to a maximum of $25,000.</w:t>
      </w:r>
    </w:p>
    <w:p>
      <w:pPr>
        <w:spacing w:after="0" w:line="106" w:lineRule="exact"/>
        <w:rPr>
          <w:rFonts w:ascii="Arial" w:cs="Arial" w:eastAsia="Arial" w:hAnsi="Arial"/>
          <w:sz w:val="16"/>
          <w:szCs w:val="16"/>
          <w:color w:val="auto"/>
        </w:rPr>
      </w:pPr>
    </w:p>
    <w:p>
      <w:pPr>
        <w:ind w:left="-60" w:right="320" w:firstLine="464"/>
        <w:spacing w:after="0" w:line="256"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Conditions to BPSC’s Obligations</w:t>
      </w:r>
      <w:r>
        <w:rPr>
          <w:rFonts w:ascii="Arial" w:cs="Arial" w:eastAsia="Arial" w:hAnsi="Arial"/>
          <w:sz w:val="18"/>
          <w:szCs w:val="18"/>
          <w:color w:val="auto"/>
        </w:rPr>
        <w:t>. The obligations of BPSC hereunder with respect to a Placement will be subject to the continuing accuracy and completeness of the representations and warranties made by the Company herein, to the due performance by the Company of its obligations hereunder, to the completion by BPSC of a due diligence review satisfactory to it in its reasonable judgment, and to the continuing satisfaction (or waiver by BPSC in its sole discretion) of the following additional conditions:</w:t>
      </w:r>
    </w:p>
    <w:p>
      <w:pPr>
        <w:spacing w:after="0" w:line="143" w:lineRule="exact"/>
        <w:rPr>
          <w:rFonts w:ascii="Arial" w:cs="Arial" w:eastAsia="Arial" w:hAnsi="Arial"/>
          <w:sz w:val="18"/>
          <w:szCs w:val="18"/>
          <w:color w:val="auto"/>
        </w:rPr>
      </w:pPr>
    </w:p>
    <w:p>
      <w:pPr>
        <w:ind w:left="-60" w:right="360" w:firstLine="921"/>
        <w:spacing w:after="0" w:line="268" w:lineRule="auto"/>
        <w:tabs>
          <w:tab w:leader="none" w:pos="1092"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Registration Statement Effective</w:t>
      </w:r>
      <w:r>
        <w:rPr>
          <w:rFonts w:ascii="Arial" w:cs="Arial" w:eastAsia="Arial" w:hAnsi="Arial"/>
          <w:sz w:val="18"/>
          <w:szCs w:val="18"/>
          <w:color w:val="auto"/>
        </w:rPr>
        <w:t>. The Registration Statement shall have become effective and shall be available for the sale of all Placement Shares contemplated to be issued by any Placement Notice.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300" w:top="334" w:right="279" w:bottom="1440" w:gutter="0" w:footer="0" w:header="0"/>
        </w:sectPr>
      </w:pPr>
    </w:p>
    <w:bookmarkStart w:id="192" w:name="page193"/>
    <w:bookmarkEnd w:id="192"/>
    <w:p>
      <w:pPr>
        <w:ind w:left="-60" w:firstLine="921"/>
        <w:spacing w:after="0" w:line="286" w:lineRule="auto"/>
        <w:tabs>
          <w:tab w:leader="none" w:pos="1101"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Notices</w:t>
      </w:r>
      <w:r>
        <w:rPr>
          <w:rFonts w:ascii="Arial" w:cs="Arial" w:eastAsia="Arial" w:hAnsi="Arial"/>
          <w:sz w:val="16"/>
          <w:szCs w:val="16"/>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the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24" w:lineRule="exact"/>
        <w:rPr>
          <w:rFonts w:ascii="Arial" w:cs="Arial" w:eastAsia="Arial" w:hAnsi="Arial"/>
          <w:sz w:val="16"/>
          <w:szCs w:val="16"/>
          <w:color w:val="auto"/>
        </w:rPr>
      </w:pPr>
    </w:p>
    <w:p>
      <w:pPr>
        <w:ind w:left="-60" w:right="420" w:firstLine="921"/>
        <w:spacing w:after="0" w:line="306" w:lineRule="auto"/>
        <w:tabs>
          <w:tab w:leader="none" w:pos="1092"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No Misstatement or Material Omission</w:t>
      </w:r>
      <w:r>
        <w:rPr>
          <w:rFonts w:ascii="Arial" w:cs="Arial" w:eastAsia="Arial" w:hAnsi="Arial"/>
          <w:sz w:val="16"/>
          <w:szCs w:val="16"/>
          <w:color w:val="auto"/>
        </w:rPr>
        <w:t>. BPSC shall not have advised the Company that the Registration Statement or Prospectus, or any amendment or supplement thereto, contains an untrue statement of fact that in BPSC’s reasonable opinion is material, or omits to state a fact that in BPSC’s opinion is material and is required to be stated therein or is necessary to make the statements therein not misleading.</w:t>
      </w:r>
    </w:p>
    <w:p>
      <w:pPr>
        <w:spacing w:after="0" w:line="106" w:lineRule="exact"/>
        <w:rPr>
          <w:rFonts w:ascii="Arial" w:cs="Arial" w:eastAsia="Arial" w:hAnsi="Arial"/>
          <w:sz w:val="16"/>
          <w:szCs w:val="16"/>
          <w:color w:val="auto"/>
        </w:rPr>
      </w:pPr>
    </w:p>
    <w:p>
      <w:pPr>
        <w:ind w:left="-60" w:right="200" w:firstLine="921"/>
        <w:spacing w:after="0" w:line="306" w:lineRule="auto"/>
        <w:tabs>
          <w:tab w:leader="none" w:pos="1101"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Material Changes</w:t>
      </w:r>
      <w:r>
        <w:rPr>
          <w:rFonts w:ascii="Arial" w:cs="Arial" w:eastAsia="Arial" w:hAnsi="Arial"/>
          <w:sz w:val="16"/>
          <w:szCs w:val="16"/>
          <w:color w:val="auto"/>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in the business or affairs of the Company that could reasonably be expected to cause a Material Adverse Effect.</w:t>
      </w:r>
    </w:p>
    <w:p>
      <w:pPr>
        <w:spacing w:after="0" w:line="106" w:lineRule="exact"/>
        <w:rPr>
          <w:rFonts w:ascii="Arial" w:cs="Arial" w:eastAsia="Arial" w:hAnsi="Arial"/>
          <w:sz w:val="16"/>
          <w:szCs w:val="16"/>
          <w:color w:val="auto"/>
        </w:rPr>
      </w:pPr>
    </w:p>
    <w:p>
      <w:pPr>
        <w:ind w:left="-60" w:right="20" w:firstLine="921"/>
        <w:spacing w:after="0" w:line="268" w:lineRule="auto"/>
        <w:tabs>
          <w:tab w:leader="none" w:pos="1092"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BPSC shall have received the opinions of Company Counsel required to be delivered pursuant Section 7(m) on or before the date on which such delivery of such opinions are required pursuant to Section 7(m).</w:t>
      </w:r>
    </w:p>
    <w:p>
      <w:pPr>
        <w:spacing w:after="0" w:line="131" w:lineRule="exact"/>
        <w:rPr>
          <w:rFonts w:ascii="Arial" w:cs="Arial" w:eastAsia="Arial" w:hAnsi="Arial"/>
          <w:sz w:val="18"/>
          <w:szCs w:val="18"/>
          <w:color w:val="auto"/>
        </w:rPr>
      </w:pPr>
    </w:p>
    <w:p>
      <w:pPr>
        <w:ind w:left="-60" w:right="60" w:firstLine="921"/>
        <w:spacing w:after="0" w:line="268" w:lineRule="auto"/>
        <w:tabs>
          <w:tab w:leader="none" w:pos="1072"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Comfort Letter</w:t>
      </w:r>
      <w:r>
        <w:rPr>
          <w:rFonts w:ascii="Arial" w:cs="Arial" w:eastAsia="Arial" w:hAnsi="Arial"/>
          <w:sz w:val="18"/>
          <w:szCs w:val="18"/>
          <w:color w:val="auto"/>
        </w:rPr>
        <w:t>. BPSC shall have received the Comfort Letter required to be delivered pursuant Section 7(n) on or before the date on which such delivery of such letter is required pursuant to Section 7(n).</w:t>
      </w:r>
    </w:p>
    <w:p>
      <w:pPr>
        <w:spacing w:after="0" w:line="131" w:lineRule="exact"/>
        <w:rPr>
          <w:rFonts w:ascii="Arial" w:cs="Arial" w:eastAsia="Arial" w:hAnsi="Arial"/>
          <w:sz w:val="18"/>
          <w:szCs w:val="18"/>
          <w:color w:val="auto"/>
        </w:rPr>
      </w:pPr>
    </w:p>
    <w:p>
      <w:pPr>
        <w:ind w:left="-60" w:right="320" w:firstLine="921"/>
        <w:spacing w:after="0" w:line="268" w:lineRule="auto"/>
        <w:tabs>
          <w:tab w:leader="none" w:pos="1101"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Representation Certificate</w:t>
      </w:r>
      <w:r>
        <w:rPr>
          <w:rFonts w:ascii="Arial" w:cs="Arial" w:eastAsia="Arial" w:hAnsi="Arial"/>
          <w:sz w:val="18"/>
          <w:szCs w:val="18"/>
          <w:color w:val="auto"/>
        </w:rPr>
        <w:t>. BPSC shall have received the certificate required to be delivered pursuant to Section 7(l) on or before the date on which delivery of such certificate is required pursuant to Section 7(l).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00"/>
          </w:cols>
          <w:pgMar w:left="300" w:top="334" w:right="299" w:bottom="1440" w:gutter="0" w:footer="0" w:header="0"/>
        </w:sectPr>
      </w:pPr>
    </w:p>
    <w:bookmarkStart w:id="193" w:name="page194"/>
    <w:bookmarkEnd w:id="193"/>
    <w:p>
      <w:pPr>
        <w:ind w:left="-40" w:right="480" w:firstLine="921"/>
        <w:spacing w:after="0" w:line="268" w:lineRule="auto"/>
        <w:tabs>
          <w:tab w:leader="none" w:pos="1121" w:val="left"/>
        </w:tabs>
        <w:numPr>
          <w:ilvl w:val="2"/>
          <w:numId w:val="1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Suspension</w:t>
      </w:r>
      <w:r>
        <w:rPr>
          <w:rFonts w:ascii="Arial" w:cs="Arial" w:eastAsia="Arial" w:hAnsi="Arial"/>
          <w:sz w:val="18"/>
          <w:szCs w:val="18"/>
          <w:color w:val="auto"/>
        </w:rPr>
        <w:t>. Trading in the Common Stock shall not have been suspended on the Exchange and the Common Stock shall not have been delisted from the Exchange.</w:t>
      </w:r>
    </w:p>
    <w:p>
      <w:pPr>
        <w:spacing w:after="0" w:line="131" w:lineRule="exact"/>
        <w:rPr>
          <w:rFonts w:ascii="Arial" w:cs="Arial" w:eastAsia="Arial" w:hAnsi="Arial"/>
          <w:sz w:val="18"/>
          <w:szCs w:val="18"/>
          <w:color w:val="auto"/>
        </w:rPr>
      </w:pPr>
    </w:p>
    <w:p>
      <w:pPr>
        <w:ind w:left="-40" w:right="100" w:firstLine="921"/>
        <w:spacing w:after="0" w:line="255" w:lineRule="auto"/>
        <w:tabs>
          <w:tab w:leader="none" w:pos="1082" w:val="left"/>
        </w:tabs>
        <w:numPr>
          <w:ilvl w:val="2"/>
          <w:numId w:val="142"/>
        </w:numPr>
        <w:rPr>
          <w:rFonts w:ascii="Arial" w:cs="Arial" w:eastAsia="Arial" w:hAnsi="Arial"/>
          <w:sz w:val="18"/>
          <w:szCs w:val="18"/>
          <w:color w:val="auto"/>
        </w:rPr>
      </w:pPr>
      <w:r>
        <w:rPr>
          <w:rFonts w:ascii="Arial" w:cs="Arial" w:eastAsia="Arial" w:hAnsi="Arial"/>
          <w:sz w:val="18"/>
          <w:szCs w:val="18"/>
          <w:u w:val="single" w:color="auto"/>
          <w:color w:val="auto"/>
        </w:rPr>
        <w:t>Other Materials</w:t>
      </w:r>
      <w:r>
        <w:rPr>
          <w:rFonts w:ascii="Arial" w:cs="Arial" w:eastAsia="Arial" w:hAnsi="Arial"/>
          <w:sz w:val="18"/>
          <w:szCs w:val="18"/>
          <w:color w:val="auto"/>
        </w:rPr>
        <w:t>. On each date on which the Company is required to deliver a certificate pursuant to Section 7(l), the Company shall have furnished to BPSC such appropriate further information, certificates and documents as BPSC may have reasonably requested in writing prior to such date and which are usually and customarily furnished by an issuer of securities in connection with the underwritten public offering thereof. All such opinions, certificates, letters and other documents will be in compliance with the provisions hereof. The Company will furnish BPSC with such conformed copies of such opinions, certificates, letters and other documents as BPSC shall reasonably request.</w:t>
      </w:r>
    </w:p>
    <w:p>
      <w:pPr>
        <w:spacing w:after="0" w:line="142" w:lineRule="exact"/>
        <w:rPr>
          <w:rFonts w:ascii="Arial" w:cs="Arial" w:eastAsia="Arial" w:hAnsi="Arial"/>
          <w:sz w:val="18"/>
          <w:szCs w:val="18"/>
          <w:color w:val="auto"/>
        </w:rPr>
      </w:pPr>
    </w:p>
    <w:p>
      <w:pPr>
        <w:ind w:left="-40" w:right="580" w:firstLine="921"/>
        <w:spacing w:after="0" w:line="332" w:lineRule="auto"/>
        <w:tabs>
          <w:tab w:leader="none" w:pos="1082" w:val="left"/>
        </w:tabs>
        <w:numPr>
          <w:ilvl w:val="2"/>
          <w:numId w:val="142"/>
        </w:numPr>
        <w:rPr>
          <w:rFonts w:ascii="Arial" w:cs="Arial" w:eastAsia="Arial" w:hAnsi="Arial"/>
          <w:sz w:val="16"/>
          <w:szCs w:val="16"/>
          <w:color w:val="auto"/>
        </w:rPr>
      </w:pPr>
      <w:r>
        <w:rPr>
          <w:rFonts w:ascii="Arial" w:cs="Arial" w:eastAsia="Arial" w:hAnsi="Arial"/>
          <w:sz w:val="16"/>
          <w:szCs w:val="16"/>
          <w:u w:val="single" w:color="auto"/>
          <w:color w:val="auto"/>
        </w:rPr>
        <w:t>Securities Act Filings Made</w:t>
      </w:r>
      <w:r>
        <w:rPr>
          <w:rFonts w:ascii="Arial" w:cs="Arial" w:eastAsia="Arial" w:hAnsi="Arial"/>
          <w:sz w:val="16"/>
          <w:szCs w:val="16"/>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85" w:lineRule="exact"/>
        <w:rPr>
          <w:rFonts w:ascii="Arial" w:cs="Arial" w:eastAsia="Arial" w:hAnsi="Arial"/>
          <w:sz w:val="16"/>
          <w:szCs w:val="16"/>
          <w:color w:val="auto"/>
        </w:rPr>
      </w:pPr>
    </w:p>
    <w:p>
      <w:pPr>
        <w:ind w:left="-40" w:firstLine="921"/>
        <w:spacing w:after="0" w:line="332" w:lineRule="auto"/>
        <w:tabs>
          <w:tab w:leader="none" w:pos="1121" w:val="left"/>
        </w:tabs>
        <w:numPr>
          <w:ilvl w:val="2"/>
          <w:numId w:val="142"/>
        </w:numPr>
        <w:rPr>
          <w:rFonts w:ascii="Arial" w:cs="Arial" w:eastAsia="Arial" w:hAnsi="Arial"/>
          <w:sz w:val="16"/>
          <w:szCs w:val="16"/>
          <w:color w:val="auto"/>
        </w:rPr>
      </w:pPr>
      <w:r>
        <w:rPr>
          <w:rFonts w:ascii="Arial" w:cs="Arial" w:eastAsia="Arial" w:hAnsi="Arial"/>
          <w:sz w:val="16"/>
          <w:szCs w:val="16"/>
          <w:u w:val="single" w:color="auto"/>
          <w:color w:val="auto"/>
        </w:rPr>
        <w:t>Approval for Listing</w:t>
      </w:r>
      <w:r>
        <w:rPr>
          <w:rFonts w:ascii="Arial" w:cs="Arial" w:eastAsia="Arial" w:hAnsi="Arial"/>
          <w:sz w:val="16"/>
          <w:szCs w:val="16"/>
          <w:color w:val="auto"/>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spacing w:after="0" w:line="85" w:lineRule="exact"/>
        <w:rPr>
          <w:rFonts w:ascii="Arial" w:cs="Arial" w:eastAsia="Arial" w:hAnsi="Arial"/>
          <w:sz w:val="16"/>
          <w:szCs w:val="16"/>
          <w:color w:val="auto"/>
        </w:rPr>
      </w:pPr>
    </w:p>
    <w:p>
      <w:pPr>
        <w:ind w:left="1100" w:hanging="219"/>
        <w:spacing w:after="0"/>
        <w:tabs>
          <w:tab w:leader="none" w:pos="1100" w:val="left"/>
        </w:tabs>
        <w:numPr>
          <w:ilvl w:val="2"/>
          <w:numId w:val="142"/>
        </w:numPr>
        <w:rPr>
          <w:rFonts w:ascii="Arial" w:cs="Arial" w:eastAsia="Arial" w:hAnsi="Arial"/>
          <w:sz w:val="16"/>
          <w:szCs w:val="16"/>
          <w:color w:val="auto"/>
        </w:rPr>
      </w:pPr>
      <w:r>
        <w:rPr>
          <w:rFonts w:ascii="Arial" w:cs="Arial" w:eastAsia="Arial" w:hAnsi="Arial"/>
          <w:sz w:val="16"/>
          <w:szCs w:val="16"/>
          <w:u w:val="single" w:color="auto"/>
          <w:color w:val="auto"/>
        </w:rPr>
        <w:t>No Termination Event</w:t>
      </w:r>
      <w:r>
        <w:rPr>
          <w:rFonts w:ascii="Arial" w:cs="Arial" w:eastAsia="Arial" w:hAnsi="Arial"/>
          <w:sz w:val="16"/>
          <w:szCs w:val="16"/>
          <w:color w:val="auto"/>
        </w:rPr>
        <w:t>. There shall not have occurred any event that would permit BPSC to terminate this Agreement pursuant to Section 13(a).</w:t>
      </w:r>
    </w:p>
    <w:p>
      <w:pPr>
        <w:spacing w:after="0" w:line="194" w:lineRule="exact"/>
        <w:rPr>
          <w:rFonts w:ascii="Arial" w:cs="Arial" w:eastAsia="Arial" w:hAnsi="Arial"/>
          <w:sz w:val="16"/>
          <w:szCs w:val="16"/>
          <w:color w:val="auto"/>
        </w:rPr>
      </w:pPr>
    </w:p>
    <w:p>
      <w:pPr>
        <w:ind w:left="680" w:hanging="256"/>
        <w:spacing w:after="0"/>
        <w:tabs>
          <w:tab w:leader="none" w:pos="6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0" w:right="20" w:firstLine="921"/>
        <w:spacing w:after="0" w:line="332" w:lineRule="auto"/>
        <w:tabs>
          <w:tab w:leader="none" w:pos="1112" w:val="left"/>
        </w:tabs>
        <w:numPr>
          <w:ilvl w:val="2"/>
          <w:numId w:val="143"/>
        </w:numPr>
        <w:rPr>
          <w:rFonts w:ascii="Arial" w:cs="Arial" w:eastAsia="Arial" w:hAnsi="Arial"/>
          <w:sz w:val="16"/>
          <w:szCs w:val="16"/>
          <w:color w:val="auto"/>
        </w:rPr>
      </w:pPr>
      <w:r>
        <w:rPr>
          <w:rFonts w:ascii="Arial" w:cs="Arial" w:eastAsia="Arial" w:hAnsi="Arial"/>
          <w:sz w:val="16"/>
          <w:szCs w:val="16"/>
          <w:u w:val="single" w:color="auto"/>
          <w:color w:val="auto"/>
        </w:rPr>
        <w:t>Company Indemnification</w:t>
      </w:r>
      <w:r>
        <w:rPr>
          <w:rFonts w:ascii="Arial" w:cs="Arial" w:eastAsia="Arial" w:hAnsi="Arial"/>
          <w:sz w:val="16"/>
          <w:szCs w:val="16"/>
          <w:color w:val="auto"/>
        </w:rPr>
        <w:t>. The Company agrees to indemnify and hold harmless BPSC, its partners, members, directors, officers, employees and agents and each person, if any, who controls BPSC within the meaning of Section 15 of the Securities Act or Section 20 of the Exchange Act as follows:</w:t>
      </w:r>
    </w:p>
    <w:p>
      <w:pPr>
        <w:spacing w:after="0" w:line="4" w:lineRule="exact"/>
        <w:rPr>
          <w:rFonts w:ascii="Arial" w:cs="Arial" w:eastAsia="Arial" w:hAnsi="Arial"/>
          <w:sz w:val="16"/>
          <w:szCs w:val="16"/>
          <w:color w:val="auto"/>
        </w:rPr>
      </w:pPr>
    </w:p>
    <w:p>
      <w:pPr>
        <w:ind w:left="420" w:right="100" w:firstLine="443"/>
        <w:spacing w:after="0" w:line="291" w:lineRule="auto"/>
        <w:tabs>
          <w:tab w:leader="none" w:pos="1068"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the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80" w:top="280" w:right="259" w:bottom="1440" w:gutter="0" w:footer="0" w:header="0"/>
        </w:sectPr>
      </w:pPr>
    </w:p>
    <w:bookmarkStart w:id="194" w:name="page195"/>
    <w:bookmarkEnd w:id="194"/>
    <w:p>
      <w:pPr>
        <w:ind w:left="420" w:right="60" w:firstLine="443"/>
        <w:spacing w:after="0" w:line="298" w:lineRule="auto"/>
        <w:tabs>
          <w:tab w:leader="none" w:pos="1117" w:val="left"/>
        </w:tabs>
        <w:numPr>
          <w:ilvl w:val="0"/>
          <w:numId w:val="1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11(d) below) any such settlement is effected with the written consent of the Company, which consent shall not unreasonably be delayed or withheld; and</w:t>
      </w:r>
    </w:p>
    <w:p>
      <w:pPr>
        <w:spacing w:after="0" w:line="31" w:lineRule="exact"/>
        <w:rPr>
          <w:rFonts w:ascii="Arial" w:cs="Arial" w:eastAsia="Arial" w:hAnsi="Arial"/>
          <w:sz w:val="16"/>
          <w:szCs w:val="16"/>
          <w:color w:val="auto"/>
        </w:rPr>
      </w:pPr>
    </w:p>
    <w:p>
      <w:pPr>
        <w:ind w:left="420" w:firstLine="443"/>
        <w:spacing w:after="0" w:line="290" w:lineRule="auto"/>
        <w:tabs>
          <w:tab w:leader="none" w:pos="116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reasonable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 that this indemnity agreement shall not apply to any loss, liability, claim, damage or expense to the extent arising out of any untrue statement or omission or alleged untrue statement or omission made solely in reliance upon and in conformity with written information furnished to the Company by BPSC expressly for use in the Registration Statement (or any amendment thereto) or in any related Issuer Free Writing Prospectus or the Prospectus (or any amendment or supplement thereto).</w:t>
      </w:r>
    </w:p>
    <w:p>
      <w:pPr>
        <w:spacing w:after="0" w:line="118" w:lineRule="exact"/>
        <w:rPr>
          <w:rFonts w:ascii="Arial" w:cs="Arial" w:eastAsia="Arial" w:hAnsi="Arial"/>
          <w:sz w:val="16"/>
          <w:szCs w:val="16"/>
          <w:color w:val="auto"/>
        </w:rPr>
      </w:pPr>
    </w:p>
    <w:p>
      <w:pPr>
        <w:ind w:left="-40" w:firstLine="921"/>
        <w:spacing w:after="0" w:line="291" w:lineRule="auto"/>
        <w:tabs>
          <w:tab w:leader="none" w:pos="1121"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BPSC Indemnification</w:t>
      </w:r>
      <w:r>
        <w:rPr>
          <w:rFonts w:ascii="Arial" w:cs="Arial" w:eastAsia="Arial" w:hAnsi="Arial"/>
          <w:sz w:val="16"/>
          <w:szCs w:val="16"/>
          <w:color w:val="auto"/>
        </w:rPr>
        <w:t>. BPSC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11(a), as incurred, but only with respect to untrue statements or omissions, or alleged untrue statements or omissions, made in the Registration Statement (or any amendments thereto) or any Issuer Free Writing Prospectus or the Prospectus (or any amendment or supplement thereto) in reliance upon and in conformity with information furnished to the Company in writing by BPSC expressly for use therein.</w:t>
      </w:r>
    </w:p>
    <w:p>
      <w:pPr>
        <w:spacing w:after="0" w:line="120" w:lineRule="exact"/>
        <w:rPr>
          <w:rFonts w:ascii="Arial" w:cs="Arial" w:eastAsia="Arial" w:hAnsi="Arial"/>
          <w:sz w:val="16"/>
          <w:szCs w:val="16"/>
          <w:color w:val="auto"/>
        </w:rPr>
      </w:pPr>
    </w:p>
    <w:p>
      <w:pPr>
        <w:ind w:left="-40" w:right="40" w:firstLine="921"/>
        <w:spacing w:after="0" w:line="288" w:lineRule="auto"/>
        <w:tabs>
          <w:tab w:leader="none" w:pos="1112"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Any party that proposes to assert the right to be indemnified under this Section 11 will, promptly after receipt of notice of commencement of any action against such party in respect of which a claim is to be made against an indemnifying party or parties under this Section 11,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11 and (ii) any liability that it may have to any indemnified party under the foregoing provision of this Section 11 unless, and only to the extent that, such omission results in the forfeiture or material impairment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80" w:top="280" w:right="279" w:bottom="1440" w:gutter="0" w:footer="0" w:header="0"/>
        </w:sectPr>
      </w:pPr>
    </w:p>
    <w:bookmarkStart w:id="195" w:name="page196"/>
    <w:bookmarkEnd w:id="19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11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31" w:lineRule="exact"/>
        <w:rPr>
          <w:sz w:val="20"/>
          <w:szCs w:val="20"/>
          <w:color w:val="auto"/>
        </w:rPr>
      </w:pPr>
    </w:p>
    <w:p>
      <w:pPr>
        <w:ind w:firstLine="921"/>
        <w:spacing w:after="0" w:line="288" w:lineRule="auto"/>
        <w:tabs>
          <w:tab w:leader="none" w:pos="1161"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just and equitable contribution in circumstances in which the indemnification provided for in the foregoing paragraphs of this Section 11 is applicable in accordance with its terms but for any reason is held to be unavailable from the Company or BPSC, the Company and BPSC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BPSC, such as persons who control the Company within the meaning of the Securities Act, officers of the Company who signed the Registration Statement and directors of the Company, who also may be liable for contribution) to which the Company and BPSC may be subject in such proportion as shall be appropriate to reflect the relative benefits received by the Company on the one hand and BPSC on the other hand. The relative benefits received by the Company on the one hand and BPSC on the other hand shall be deemed to be in the same proportion as the total net proceeds from the sale of the Placement Shares (before deducting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96" w:name="page197"/>
    <w:bookmarkEnd w:id="19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received by the Company bear to the total compensation received by BPSC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BPSC,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BPSC, the intent of the parties and their relative knowledge, access to information and opportunity to correct or prevent such statement or omission. The Company and BPSC agree that it would not be just and equitable if contributions pursuant to this Section 11(d)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11(d) shall be deemed to include, for the purpose of this Section 11(d), any legal or other expenses reasonably incurred by such indemnified party in connection with investigating or defending any such action or claim to the extent consistent with Section 11(c) hereof. Notwithstanding the foregoing provisions of this Section 11(d), BPSC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11(d), any person who controls a party to this Agreement within the meaning of the Securities Act, and any officers, directors, partners, employees or agents of BPSC,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11(d), will notify any such party or parties from whom contribution may be sought, but the omission to so notify will not relieve that party or parties from whom contribution may be sought from any other obligation it or they may have under this Section 11(d) except to the extent that the failure to so notify such other party materially prejudiced the substantive rights or defenses of the party from whom contribution is sought. Except for a settlement entered into pursuant to the last sentence of Section 11(c) hereof, no party will be liable for contribution with respect to any action or claim settled without its written consent if such consent is required pursuant to Section 11(c) hereof.</w:t>
      </w:r>
    </w:p>
    <w:p>
      <w:pPr>
        <w:spacing w:after="0" w:line="125" w:lineRule="exact"/>
        <w:rPr>
          <w:sz w:val="20"/>
          <w:szCs w:val="20"/>
          <w:color w:val="auto"/>
        </w:rPr>
      </w:pPr>
    </w:p>
    <w:p>
      <w:pPr>
        <w:ind w:right="120" w:firstLine="464"/>
        <w:spacing w:after="0" w:line="298" w:lineRule="auto"/>
        <w:tabs>
          <w:tab w:leader="none" w:pos="72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Representations and Agreements to Survive Delivery</w:t>
      </w:r>
      <w:r>
        <w:rPr>
          <w:rFonts w:ascii="Arial" w:cs="Arial" w:eastAsia="Arial" w:hAnsi="Arial"/>
          <w:sz w:val="16"/>
          <w:szCs w:val="16"/>
          <w:color w:val="auto"/>
        </w:rPr>
        <w:t>. The indemnity and contribution agreements contained in Section 11 of this Agreement and all representations and warranties of the Company and BPSC herein or in certificates delivered pursuant hereto shall survive, as of their respective dates, regardless of (i) any investigation made by or on behalf of BPSC, any controlling persons, or the Company (or any of their respective officers, directors or controlling persons), (ii) delivery and acceptance of the Placement Shares and payment therefor or (iii) any termination of this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97" w:name="page198"/>
    <w:bookmarkEnd w:id="197"/>
    <w:p>
      <w:pPr>
        <w:ind w:left="660" w:hanging="256"/>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0" w:firstLine="921"/>
        <w:spacing w:after="0" w:line="285" w:lineRule="auto"/>
        <w:tabs>
          <w:tab w:leader="none" w:pos="109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BPSC may terminate this Agreement, by notice to the Company, as hereinafter specified at any time (1) if there has been, since the time of execution of this Agreement or since the date as of which information is given in the Prospectus, any Material Adverse Effect, or any development that has occurred that is reasonably likely to have a Material Adverse Effect has occurred or in the sole judgment of BPSC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sole judgment of BPSC,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for at least ten (10) Trading Days,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Section 9 (Payment of Expenses), Section 11 (Indemnification and Contribution), Section 12 (Representations and Agreements to Survive Delivery), Section 18 (Governing Law and Time; Waiver of Jury Trial) and Section 19 (Consent to Jurisdiction) hereof shall remain in full force and effect notwithstanding such termination. If BPSC elects to terminate this Agreement as provided in this Section 13(a), BPSC shall provide the required notice as specified in Section 14 (Notices).</w:t>
      </w:r>
    </w:p>
    <w:p>
      <w:pPr>
        <w:spacing w:after="0" w:line="126" w:lineRule="exact"/>
        <w:rPr>
          <w:rFonts w:ascii="Arial" w:cs="Arial" w:eastAsia="Arial" w:hAnsi="Arial"/>
          <w:sz w:val="16"/>
          <w:szCs w:val="16"/>
          <w:color w:val="auto"/>
        </w:rPr>
      </w:pPr>
    </w:p>
    <w:p>
      <w:pPr>
        <w:ind w:left="-60" w:right="40" w:firstLine="921"/>
        <w:spacing w:after="0" w:line="306" w:lineRule="auto"/>
        <w:tabs>
          <w:tab w:leader="none" w:pos="110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Section 9, Section 11, Section 12, Section 18 and Section 19 hereof shall remain in full force and effect notwithstanding such termination.</w:t>
      </w:r>
    </w:p>
    <w:p>
      <w:pPr>
        <w:spacing w:after="0" w:line="106" w:lineRule="exact"/>
        <w:rPr>
          <w:rFonts w:ascii="Arial" w:cs="Arial" w:eastAsia="Arial" w:hAnsi="Arial"/>
          <w:sz w:val="16"/>
          <w:szCs w:val="16"/>
          <w:color w:val="auto"/>
        </w:rPr>
      </w:pPr>
    </w:p>
    <w:p>
      <w:pPr>
        <w:ind w:left="-60" w:firstLine="921"/>
        <w:spacing w:after="0" w:line="306" w:lineRule="auto"/>
        <w:tabs>
          <w:tab w:leader="none" w:pos="109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BPSC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Section 9, Section 11, Section 12, Section 18 and Section 19 hereof shall remain in full force and effect notwithstanding such termination.</w:t>
      </w:r>
    </w:p>
    <w:p>
      <w:pPr>
        <w:spacing w:after="0" w:line="106" w:lineRule="exact"/>
        <w:rPr>
          <w:rFonts w:ascii="Arial" w:cs="Arial" w:eastAsia="Arial" w:hAnsi="Arial"/>
          <w:sz w:val="16"/>
          <w:szCs w:val="16"/>
          <w:color w:val="auto"/>
        </w:rPr>
      </w:pPr>
    </w:p>
    <w:p>
      <w:pPr>
        <w:jc w:val="both"/>
        <w:ind w:left="-60" w:firstLine="921"/>
        <w:spacing w:after="0" w:line="256" w:lineRule="auto"/>
        <w:tabs>
          <w:tab w:leader="none" w:pos="110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Unless earlier terminated pursuant to this Section 13, this Agreement shall automatically terminate upon the earlier to occur of (i) the third (3 rd ) year anniversary of the date hereof and (ii) the issuance and sale of all of the Placement Shares through BPSC on the terms and subject to the conditions set forth herein except that the provisions of Section 9, Section 11, Section 11, Section 12, Section 18 and Section 19 hereof shall remain in full force and effect notwithstanding such termination.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300" w:top="334" w:right="279" w:bottom="1440" w:gutter="0" w:footer="0" w:header="0"/>
        </w:sectPr>
      </w:pPr>
    </w:p>
    <w:bookmarkStart w:id="198" w:name="page199"/>
    <w:bookmarkEnd w:id="198"/>
    <w:p>
      <w:pPr>
        <w:jc w:val="both"/>
        <w:ind w:right="220" w:firstLine="921"/>
        <w:spacing w:after="0" w:line="298" w:lineRule="auto"/>
        <w:tabs>
          <w:tab w:leader="none" w:pos="1152" w:val="left"/>
        </w:tabs>
        <w:numPr>
          <w:ilvl w:val="1"/>
          <w:numId w:val="1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shall remain in full force and effect unless terminated pursuant to Sections 13(a), (b), (c), or (d) above or otherwise by mutual agreement of the parties; provided, however, that any such termination by mutual agreement shall in all cases be deemed to provide that Section 9, Section 11, Section 12, Section 18 and Section 19 shall remain in full force and effect. Upon termination of this Agreement, the Company shall not have any liability to BPSC for any discount, commission or other compensation with respect to any Placement Shares not otherwise sold by BPSC under this Agreement.</w:t>
      </w:r>
    </w:p>
    <w:p>
      <w:pPr>
        <w:spacing w:after="0" w:line="112" w:lineRule="exact"/>
        <w:rPr>
          <w:rFonts w:ascii="Arial" w:cs="Arial" w:eastAsia="Arial" w:hAnsi="Arial"/>
          <w:sz w:val="16"/>
          <w:szCs w:val="16"/>
          <w:color w:val="auto"/>
        </w:rPr>
      </w:pPr>
    </w:p>
    <w:p>
      <w:pPr>
        <w:jc w:val="both"/>
        <w:ind w:firstLine="921"/>
        <w:spacing w:after="0" w:line="306" w:lineRule="auto"/>
        <w:tabs>
          <w:tab w:leader="none" w:pos="1132"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Any termination of this Agreement shall be effective on the date specified in such notice of termination; provided, however, that such termination shall not be effective until the close of business on the date of receipt of such notice by BPSC or the Company, as the case may be. If such termination shall occur prior to the Settlement Date for any sale of Placement Shares, such Placement Shares shall settle in accordance with the provisions of this Agreement.</w:t>
      </w:r>
    </w:p>
    <w:p>
      <w:pPr>
        <w:spacing w:after="0" w:line="106" w:lineRule="exact"/>
        <w:rPr>
          <w:rFonts w:ascii="Arial" w:cs="Arial" w:eastAsia="Arial" w:hAnsi="Arial"/>
          <w:sz w:val="16"/>
          <w:szCs w:val="16"/>
          <w:color w:val="auto"/>
        </w:rPr>
      </w:pPr>
    </w:p>
    <w:p>
      <w:pPr>
        <w:ind w:right="80" w:firstLine="464"/>
        <w:spacing w:after="0" w:line="268" w:lineRule="auto"/>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required or permitted to be given by any party to any other party pursuant to the terms of this Agreement shall be in writing, unless otherwise specified, and if sent to BPSC, shall be delivered to:</w:t>
      </w:r>
    </w:p>
    <w:p>
      <w:pPr>
        <w:spacing w:after="0" w:line="17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Brinson Patrick Securities Corporation</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1515 Broadway, 11</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New York, NY 10036</w:t>
      </w:r>
    </w:p>
    <w:p>
      <w:pPr>
        <w:spacing w:after="0" w:line="16"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Corporate Finance</w:t>
      </w:r>
    </w:p>
    <w:p>
      <w:pPr>
        <w:spacing w:after="0" w:line="15"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Telephone:</w:t>
        <w:tab/>
        <w:t>(212) 453-5000</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453-5555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LeClairRyan, A Professional Corporation</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One Riverfront Plaza</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1037 Raymond Boulevard, 16th Floor</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Newark, NJ 07102</w:t>
      </w:r>
    </w:p>
    <w:p>
      <w:pPr>
        <w:spacing w:after="0" w:line="16"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James T. Seery</w:t>
      </w:r>
    </w:p>
    <w:p>
      <w:pPr>
        <w:spacing w:after="0" w:line="15"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Telephone:</w:t>
        <w:tab/>
        <w:t>(973) 491-3315</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(973) 491-3415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and if to the Company, shall be delivered to:</w:t>
      </w:r>
    </w:p>
    <w:p>
      <w:pPr>
        <w:spacing w:after="0" w:line="9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MannKind Corporation</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28903 North Avenue Paine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Valencia, CA 91355</w:t>
      </w:r>
    </w:p>
    <w:p>
      <w:pPr>
        <w:spacing w:after="0" w:line="16" w:lineRule="exact"/>
        <w:rPr>
          <w:sz w:val="20"/>
          <w:szCs w:val="20"/>
          <w:color w:val="auto"/>
        </w:rPr>
      </w:pPr>
    </w:p>
    <w:p>
      <w:pPr>
        <w:ind w:left="940"/>
        <w:spacing w:after="0"/>
        <w:tabs>
          <w:tab w:leader="none" w:pos="1820" w:val="left"/>
        </w:tabs>
        <w:rPr>
          <w:sz w:val="20"/>
          <w:szCs w:val="20"/>
          <w:color w:val="auto"/>
        </w:rPr>
      </w:pPr>
      <w:r>
        <w:rPr>
          <w:rFonts w:ascii="Arial" w:cs="Arial" w:eastAsia="Arial" w:hAnsi="Arial"/>
          <w:sz w:val="18"/>
          <w:szCs w:val="18"/>
          <w:color w:val="auto"/>
        </w:rPr>
        <w:t>Attention:</w:t>
        <w:tab/>
        <w:t>General Counsel</w:t>
      </w:r>
    </w:p>
    <w:p>
      <w:pPr>
        <w:spacing w:after="0" w:line="15" w:lineRule="exact"/>
        <w:rPr>
          <w:sz w:val="20"/>
          <w:szCs w:val="20"/>
          <w:color w:val="auto"/>
        </w:rPr>
      </w:pPr>
    </w:p>
    <w:p>
      <w:pPr>
        <w:ind w:left="940"/>
        <w:spacing w:after="0"/>
        <w:tabs>
          <w:tab w:leader="none" w:pos="182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6"/>
          <w:szCs w:val="16"/>
          <w:color w:val="auto"/>
        </w:rPr>
        <w:t>(661) 775-5350</w:t>
      </w:r>
    </w:p>
    <w:p>
      <w:pPr>
        <w:spacing w:after="0" w:line="9" w:lineRule="exact"/>
        <w:rPr>
          <w:sz w:val="20"/>
          <w:szCs w:val="20"/>
          <w:color w:val="auto"/>
        </w:rPr>
      </w:pPr>
    </w:p>
    <w:p>
      <w:pPr>
        <w:ind w:left="940"/>
        <w:spacing w:after="0"/>
        <w:tabs>
          <w:tab w:leader="none" w:pos="18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(661) 775-2086</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Cooley LLP</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 Kay Chandler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Sean M. Clayton</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Telephone:</w:t>
        <w:tab/>
        <w:t>(858) 550-6000</w:t>
      </w:r>
    </w:p>
    <w:p>
      <w:pPr>
        <w:spacing w:after="0" w:line="9"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(858) 550-6420</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on which the Exchange and commercial banks in the City of New York are open for business.</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An electronic communication (“</w:t>
      </w:r>
      <w:r>
        <w:rPr>
          <w:rFonts w:ascii="Arial" w:cs="Arial" w:eastAsia="Arial" w:hAnsi="Arial"/>
          <w:sz w:val="18"/>
          <w:szCs w:val="18"/>
          <w:u w:val="single" w:color="auto"/>
          <w:color w:val="auto"/>
        </w:rPr>
        <w:t>Electronic Notice</w:t>
      </w:r>
      <w:r>
        <w:rPr>
          <w:rFonts w:ascii="Arial" w:cs="Arial" w:eastAsia="Arial" w:hAnsi="Arial"/>
          <w:sz w:val="18"/>
          <w:szCs w:val="18"/>
          <w:color w:val="auto"/>
        </w:rPr>
        <w:t>”) shall be deemed written notice for purposes of this Section 14 if sent to the electronic mail address specified by the receiving party under separate cover. Electronic Notice shall be deemed received at the time the party sending Electronic Notice receives confirmation of receipt by the receiving party. Any party receiving Electronic Notice may request and shall be entitled to receive the notice on paper, in a nonelectronic form (“</w:t>
      </w:r>
      <w:r>
        <w:rPr>
          <w:rFonts w:ascii="Arial" w:cs="Arial" w:eastAsia="Arial" w:hAnsi="Arial"/>
          <w:sz w:val="18"/>
          <w:szCs w:val="18"/>
          <w:u w:val="single" w:color="auto"/>
          <w:color w:val="auto"/>
        </w:rPr>
        <w:t>Nonelectronic Notice</w:t>
      </w:r>
      <w:r>
        <w:rPr>
          <w:rFonts w:ascii="Arial" w:cs="Arial" w:eastAsia="Arial" w:hAnsi="Arial"/>
          <w:sz w:val="18"/>
          <w:szCs w:val="18"/>
          <w:color w:val="auto"/>
        </w:rPr>
        <w:t>”) which shall be sent to the requesting party within ten (10) days of receipt of the written request for Nonelectronic Notice.</w:t>
      </w:r>
    </w:p>
    <w:p>
      <w:pPr>
        <w:spacing w:after="0" w:line="143" w:lineRule="exact"/>
        <w:rPr>
          <w:sz w:val="20"/>
          <w:szCs w:val="20"/>
          <w:color w:val="auto"/>
        </w:rPr>
      </w:pPr>
    </w:p>
    <w:p>
      <w:pPr>
        <w:ind w:firstLine="464"/>
        <w:spacing w:after="0" w:line="254" w:lineRule="auto"/>
        <w:tabs>
          <w:tab w:leader="none" w:pos="72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inure to the benefit of and be binding upon the Company and BPSC and their respective successors and the affiliates, controlling persons, officers and directors referred to in Section 11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w:t>
      </w:r>
    </w:p>
    <w:p>
      <w:pPr>
        <w:spacing w:after="0" w:line="144" w:lineRule="exact"/>
        <w:rPr>
          <w:rFonts w:ascii="Arial" w:cs="Arial" w:eastAsia="Arial" w:hAnsi="Arial"/>
          <w:sz w:val="18"/>
          <w:szCs w:val="18"/>
          <w:color w:val="auto"/>
        </w:rPr>
      </w:pPr>
    </w:p>
    <w:p>
      <w:pPr>
        <w:ind w:right="100" w:firstLine="464"/>
        <w:spacing w:after="0" w:line="332" w:lineRule="auto"/>
        <w:tabs>
          <w:tab w:leader="none" w:pos="72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Adjustments for Stock Splits</w:t>
      </w:r>
      <w:r>
        <w:rPr>
          <w:rFonts w:ascii="Arial" w:cs="Arial" w:eastAsia="Arial" w:hAnsi="Arial"/>
          <w:sz w:val="16"/>
          <w:szCs w:val="16"/>
          <w:color w:val="auto"/>
        </w:rPr>
        <w:t>. The parties acknowledge and agree that all share-related numbers contained in this Agreement shall be adjusted to take into account any share consolidation, stock split, stock dividend, corporate domestication or similar event effected with respect to the Placement Shares.</w:t>
      </w:r>
    </w:p>
    <w:p>
      <w:pPr>
        <w:spacing w:after="0" w:line="85" w:lineRule="exact"/>
        <w:rPr>
          <w:rFonts w:ascii="Arial" w:cs="Arial" w:eastAsia="Arial" w:hAnsi="Arial"/>
          <w:sz w:val="16"/>
          <w:szCs w:val="16"/>
          <w:color w:val="auto"/>
        </w:rPr>
      </w:pPr>
    </w:p>
    <w:p>
      <w:pPr>
        <w:ind w:right="340" w:firstLine="464"/>
        <w:spacing w:after="0" w:line="268" w:lineRule="auto"/>
        <w:tabs>
          <w:tab w:leader="none" w:pos="72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 Severability</w:t>
      </w:r>
      <w:r>
        <w:rPr>
          <w:rFonts w:ascii="Arial" w:cs="Arial" w:eastAsia="Arial" w:hAnsi="Arial"/>
          <w:sz w:val="18"/>
          <w:szCs w:val="18"/>
          <w:color w:val="auto"/>
        </w:rPr>
        <w:t>. This Agreement (including all schedules and exhibits attached hereto and Placement Notices issued pursuant hereto) constitutes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280" w:right="359" w:bottom="1440" w:gutter="0" w:footer="0" w:header="0"/>
        </w:sectPr>
      </w:pPr>
    </w:p>
    <w:bookmarkStart w:id="200" w:name="page201"/>
    <w:bookmarkEnd w:id="200"/>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entire agreement of the parties with respect to the subject matter hereof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BPSC.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12" w:lineRule="exact"/>
        <w:rPr>
          <w:sz w:val="20"/>
          <w:szCs w:val="20"/>
          <w:color w:val="auto"/>
        </w:rPr>
      </w:pPr>
    </w:p>
    <w:p>
      <w:pPr>
        <w:ind w:firstLine="464"/>
        <w:spacing w:after="0" w:line="256" w:lineRule="auto"/>
        <w:tabs>
          <w:tab w:leader="none" w:pos="72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TIME; WAIVER OF JURY TRIAL</w:t>
      </w:r>
      <w:r>
        <w:rPr>
          <w:rFonts w:ascii="Arial" w:cs="Arial" w:eastAsia="Arial" w:hAnsi="Arial"/>
          <w:sz w:val="18"/>
          <w:szCs w:val="18"/>
          <w:b w:val="1"/>
          <w:bCs w:val="1"/>
          <w:color w:val="auto"/>
        </w:rPr>
        <w:t>. THIS AGREEMENT SHALL BE GOVERNED BY AND CONSTRUED IN ACCORDANCE WITH THE LAWS OF THE STATE OF NEW YORK WITHOUT REGARD TO THE PRINCIPLES OF CONFLICTS OF LAWS. SPECIFIED TIMES OF DAY REFER TO NEW YORK CITY TIME. THE COMPANY HEREBY IRREVOCABLY WAIVES, TO THE FULLEST EXTENT PERMITTED BY APPLICABLE LAW, ANY AND ALL RIGHT TO TRIAL BY JURY IN ANY LEGAL PROCEEDING ARISING OUT OF OR RELATING TO THIS AGREEMENT OR THE TRANSACTIONS CONTEMPLATED HEREBY.</w:t>
      </w:r>
    </w:p>
    <w:p>
      <w:pPr>
        <w:spacing w:after="0" w:line="138" w:lineRule="exact"/>
        <w:rPr>
          <w:rFonts w:ascii="Arial" w:cs="Arial" w:eastAsia="Arial" w:hAnsi="Arial"/>
          <w:sz w:val="18"/>
          <w:szCs w:val="18"/>
          <w:b w:val="1"/>
          <w:bCs w:val="1"/>
          <w:color w:val="auto"/>
        </w:rPr>
      </w:pPr>
    </w:p>
    <w:p>
      <w:pPr>
        <w:ind w:right="20" w:firstLine="464"/>
        <w:spacing w:after="0" w:line="288" w:lineRule="auto"/>
        <w:tabs>
          <w:tab w:leader="none" w:pos="720"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 TO JURISDICTION</w:t>
      </w:r>
      <w:r>
        <w:rPr>
          <w:rFonts w:ascii="Arial" w:cs="Arial" w:eastAsia="Arial" w:hAnsi="Arial"/>
          <w:sz w:val="16"/>
          <w:szCs w:val="16"/>
          <w:b w:val="1"/>
          <w:bCs w:val="1"/>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337" w:lineRule="exact"/>
        <w:rPr>
          <w:rFonts w:ascii="Arial" w:cs="Arial" w:eastAsia="Arial" w:hAnsi="Arial"/>
          <w:sz w:val="16"/>
          <w:szCs w:val="16"/>
          <w:b w:val="1"/>
          <w:bCs w:val="1"/>
          <w:color w:val="auto"/>
        </w:rPr>
      </w:pPr>
    </w:p>
    <w:p>
      <w:pPr>
        <w:ind w:right="820" w:firstLine="464"/>
        <w:spacing w:after="0" w:line="332" w:lineRule="auto"/>
        <w:tabs>
          <w:tab w:leader="none" w:pos="72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Use of Information</w:t>
      </w:r>
      <w:r>
        <w:rPr>
          <w:rFonts w:ascii="Arial" w:cs="Arial" w:eastAsia="Arial" w:hAnsi="Arial"/>
          <w:sz w:val="16"/>
          <w:szCs w:val="16"/>
          <w:color w:val="auto"/>
        </w:rPr>
        <w:t>. BPSC may not use any information gained in connection with this Agreement and the transactions contemplated by this Agreement, including due diligence, to advise any party with respect to transactions not expressly approved by the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201" w:name="page202"/>
    <w:bookmarkEnd w:id="201"/>
    <w:p>
      <w:pPr>
        <w:ind w:right="60" w:firstLine="464"/>
        <w:spacing w:after="0" w:line="332" w:lineRule="auto"/>
        <w:tabs>
          <w:tab w:leader="none" w:pos="720"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6"/>
          <w:szCs w:val="16"/>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transmission.</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and Exhibit headings herein are for convenience only and shall not affect the construction hereof.</w:t>
      </w:r>
    </w:p>
    <w:p>
      <w:pPr>
        <w:spacing w:after="0" w:line="171" w:lineRule="exact"/>
        <w:rPr>
          <w:rFonts w:ascii="Arial" w:cs="Arial" w:eastAsia="Arial" w:hAnsi="Arial"/>
          <w:sz w:val="18"/>
          <w:szCs w:val="18"/>
          <w:color w:val="auto"/>
        </w:rPr>
      </w:pPr>
    </w:p>
    <w:p>
      <w:pPr>
        <w:ind w:right="80" w:firstLine="464"/>
        <w:spacing w:after="0" w:line="288" w:lineRule="auto"/>
        <w:tabs>
          <w:tab w:leader="none" w:pos="720"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Permitted Free Writing Prospectuses</w:t>
      </w:r>
      <w:r>
        <w:rPr>
          <w:rFonts w:ascii="Arial" w:cs="Arial" w:eastAsia="Arial" w:hAnsi="Arial"/>
          <w:sz w:val="16"/>
          <w:szCs w:val="16"/>
          <w:color w:val="auto"/>
        </w:rPr>
        <w:t>. The Company represents, warrants and agrees that, unless it obtains the prior consent of BPSC (such consent not to be unreasonably withheld, conditioned or delayed), and BPSC represents, warrants and agrees that, unless it obtains the prior consent of the Company (such consent not to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BPSC or by the Company, as the case may be, is hereinafter referred to as a “</w:t>
      </w:r>
      <w:r>
        <w:rPr>
          <w:rFonts w:ascii="Arial" w:cs="Arial" w:eastAsia="Arial" w:hAnsi="Arial"/>
          <w:sz w:val="16"/>
          <w:szCs w:val="16"/>
          <w:u w:val="single" w:color="auto"/>
          <w:color w:val="auto"/>
        </w:rPr>
        <w:t>Permitted Free</w:t>
      </w:r>
      <w:r>
        <w:rPr>
          <w:rFonts w:ascii="Arial" w:cs="Arial" w:eastAsia="Arial" w:hAnsi="Arial"/>
          <w:sz w:val="16"/>
          <w:szCs w:val="16"/>
          <w:color w:val="auto"/>
        </w:rPr>
        <w:t xml:space="preserve"> </w:t>
      </w:r>
      <w:r>
        <w:rPr>
          <w:rFonts w:ascii="Arial" w:cs="Arial" w:eastAsia="Arial" w:hAnsi="Arial"/>
          <w:sz w:val="16"/>
          <w:szCs w:val="16"/>
          <w:u w:val="single" w:color="auto"/>
          <w:color w:val="auto"/>
        </w:rPr>
        <w:t>Writing Prospectus</w:t>
      </w:r>
      <w:r>
        <w:rPr>
          <w:rFonts w:ascii="Arial" w:cs="Arial" w:eastAsia="Arial" w:hAnsi="Arial"/>
          <w:sz w:val="16"/>
          <w:szCs w:val="16"/>
          <w:color w:val="auto"/>
        </w:rPr>
        <w:t>.”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Exhibit 23 hereto are Permitted Free Writing Prospectuses.</w:t>
      </w:r>
    </w:p>
    <w:p>
      <w:pPr>
        <w:spacing w:after="0" w:line="119" w:lineRule="exact"/>
        <w:rPr>
          <w:rFonts w:ascii="Arial" w:cs="Arial" w:eastAsia="Arial" w:hAnsi="Arial"/>
          <w:sz w:val="16"/>
          <w:szCs w:val="16"/>
          <w:color w:val="auto"/>
        </w:rPr>
      </w:pPr>
    </w:p>
    <w:p>
      <w:pPr>
        <w:ind w:left="720" w:hanging="256"/>
        <w:spacing w:after="0"/>
        <w:tabs>
          <w:tab w:leader="none" w:pos="72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Absence of Fiduciary Relationship</w:t>
      </w:r>
      <w:r>
        <w:rPr>
          <w:rFonts w:ascii="Arial" w:cs="Arial" w:eastAsia="Arial" w:hAnsi="Arial"/>
          <w:sz w:val="18"/>
          <w:szCs w:val="18"/>
          <w:color w:val="auto"/>
        </w:rPr>
        <w:t>. The Company acknowledges and agrees that:</w:t>
      </w:r>
    </w:p>
    <w:p>
      <w:pPr>
        <w:spacing w:after="0" w:line="171" w:lineRule="exact"/>
        <w:rPr>
          <w:rFonts w:ascii="Arial" w:cs="Arial" w:eastAsia="Arial" w:hAnsi="Arial"/>
          <w:sz w:val="18"/>
          <w:szCs w:val="18"/>
          <w:color w:val="auto"/>
        </w:rPr>
      </w:pPr>
    </w:p>
    <w:p>
      <w:pPr>
        <w:ind w:firstLine="921"/>
        <w:spacing w:after="0" w:line="254" w:lineRule="auto"/>
        <w:tabs>
          <w:tab w:leader="none" w:pos="115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BPSC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BPSC, on the other hand, has been or will be created in respect of any of the transactions contemplated by this Agreement, irrespective of whether or not BPSC has advised or is advising the Company on other matters, and BPSC has no obligation to the Company with respect to the transactions contemplated by this Agreement except the obligations expressly set forth in this Agreement;</w:t>
      </w:r>
    </w:p>
    <w:p>
      <w:pPr>
        <w:spacing w:after="0" w:line="144" w:lineRule="exact"/>
        <w:rPr>
          <w:rFonts w:ascii="Arial" w:cs="Arial" w:eastAsia="Arial" w:hAnsi="Arial"/>
          <w:sz w:val="18"/>
          <w:szCs w:val="18"/>
          <w:color w:val="auto"/>
        </w:rPr>
      </w:pPr>
    </w:p>
    <w:p>
      <w:pPr>
        <w:ind w:left="1160" w:hanging="239"/>
        <w:spacing w:after="0"/>
        <w:tabs>
          <w:tab w:leader="none" w:pos="116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it is capable of evaluating and understanding, and understands and accepts, the terms, risks and conditions of the transactions contemplated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164" w:lineRule="exact"/>
        <w:rPr>
          <w:rFonts w:ascii="Arial" w:cs="Arial" w:eastAsia="Arial" w:hAnsi="Arial"/>
          <w:sz w:val="16"/>
          <w:szCs w:val="16"/>
          <w:color w:val="auto"/>
        </w:rPr>
      </w:pPr>
    </w:p>
    <w:p>
      <w:pPr>
        <w:ind w:firstLine="921"/>
        <w:spacing w:after="0" w:line="268" w:lineRule="auto"/>
        <w:tabs>
          <w:tab w:leader="none" w:pos="115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BPSC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80" w:right="279" w:bottom="1440" w:gutter="0" w:footer="0" w:header="0"/>
        </w:sectPr>
      </w:pPr>
    </w:p>
    <w:bookmarkStart w:id="202" w:name="page203"/>
    <w:bookmarkEnd w:id="202"/>
    <w:p>
      <w:pPr>
        <w:ind w:right="220" w:firstLine="921"/>
        <w:spacing w:after="0" w:line="259" w:lineRule="auto"/>
        <w:tabs>
          <w:tab w:leader="none" w:pos="1162" w:val="left"/>
        </w:tabs>
        <w:numPr>
          <w:ilvl w:val="1"/>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aware that BPSC and its affiliates are engaged in a broad range of transactions which may involve interests that differ from those of the Company and BPSC has no obligation to disclose such interests and transactions to the Company by virtue of any fiduciary, advisory or agency relationship or otherwise; and</w:t>
      </w:r>
    </w:p>
    <w:p>
      <w:pPr>
        <w:spacing w:after="0" w:line="140" w:lineRule="exact"/>
        <w:rPr>
          <w:rFonts w:ascii="Arial" w:cs="Arial" w:eastAsia="Arial" w:hAnsi="Arial"/>
          <w:sz w:val="18"/>
          <w:szCs w:val="18"/>
          <w:color w:val="auto"/>
        </w:rPr>
      </w:pPr>
    </w:p>
    <w:p>
      <w:pPr>
        <w:ind w:right="100" w:firstLine="921"/>
        <w:spacing w:after="0" w:line="294" w:lineRule="auto"/>
        <w:tabs>
          <w:tab w:leader="none" w:pos="1152"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it waives, to the fullest extent permitted by law, any claims it may have against BPSC for breach of fiduciary duty or alleged breach of fiduciary duty in connection with the sale of Placement Shares under this Agreement and agrees that BPSC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BPSC’s obligations under this Agreement and to keep information provided by the Company to BPSC and BPSC’s counsel confidential to the extent not otherwise publicly-available.</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Time</w:t>
      </w:r>
      <w:r>
        <w:rPr>
          <w:rFonts w:ascii="Arial" w:cs="Arial" w:eastAsia="Arial" w:hAnsi="Arial"/>
          <w:sz w:val="16"/>
          <w:szCs w:val="16"/>
          <w:color w:val="auto"/>
        </w:rPr>
        <w:t>” means (i) each Representation Date and (ii) the time of each sale of any Placement Shares pursuant to this Agreement.</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164</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424(b)</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Securities Act Regulations.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BPSC outside of the United States.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203" w:name="page204"/>
    <w:bookmarkEnd w:id="20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understanding between the Company and BPSC, please so indicate in the space provided below for that purpose, whereupon this letter shall constitute a binding agreement between the Company and BPSC.</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MANNKIND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Matthew J. Pfeffer</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213"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ACCEPTED as of the date first-above written: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BRINSON PATRICK SECURITIES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Todd Wyche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Todd Wyche</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Executive Officer</w:t>
      </w:r>
    </w:p>
    <w:p>
      <w:pPr>
        <w:spacing w:after="0" w:line="16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[Signature Page to At-The-Market Issuance Sales Agreement]</w:t>
      </w:r>
    </w:p>
    <w:p>
      <w:pPr>
        <w:sectPr>
          <w:pgSz w:w="11900" w:h="16838" w:orient="portrait"/>
          <w:cols w:equalWidth="0" w:num="1">
            <w:col w:w="11140"/>
          </w:cols>
          <w:pgMar w:left="240" w:top="280" w:right="519" w:bottom="1440" w:gutter="0" w:footer="0" w:header="0"/>
        </w:sectPr>
      </w:pPr>
    </w:p>
    <w:bookmarkStart w:id="204" w:name="page205"/>
    <w:bookmarkEnd w:id="204"/>
    <w:tbl>
      <w:tblPr>
        <w:tblLayout w:type="fixed"/>
        <w:tblInd w:w="46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SCHEDULE 1</w:t>
            </w:r>
          </w:p>
        </w:tc>
      </w:tr>
      <w:tr>
        <w:trPr>
          <w:trHeight w:val="286"/>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370"/>
        </w:trPr>
        <w:tc>
          <w:tcPr>
            <w:tcW w:w="780" w:type="dxa"/>
            <w:vAlign w:val="bottom"/>
          </w:tcPr>
          <w:p>
            <w:pPr>
              <w:spacing w:after="0"/>
              <w:rPr>
                <w:sz w:val="24"/>
                <w:szCs w:val="24"/>
                <w:color w:val="auto"/>
              </w:rPr>
            </w:pPr>
          </w:p>
        </w:tc>
        <w:tc>
          <w:tcPr>
            <w:tcW w:w="5840" w:type="dxa"/>
            <w:vAlign w:val="bottom"/>
            <w:gridSpan w:val="3"/>
          </w:tcPr>
          <w:p>
            <w:pPr>
              <w:jc w:val="center"/>
              <w:ind w:left="3032"/>
              <w:spacing w:after="0"/>
              <w:rPr>
                <w:sz w:val="20"/>
                <w:szCs w:val="20"/>
                <w:color w:val="auto"/>
              </w:rPr>
            </w:pPr>
            <w:r>
              <w:rPr>
                <w:rFonts w:ascii="Arial" w:cs="Arial" w:eastAsia="Arial" w:hAnsi="Arial"/>
                <w:sz w:val="18"/>
                <w:szCs w:val="18"/>
                <w:b w:val="1"/>
                <w:bCs w:val="1"/>
                <w:color w:val="auto"/>
                <w:w w:val="99"/>
              </w:rPr>
              <w:t>FORM OF PLACEMENT NOTICE</w:t>
            </w:r>
          </w:p>
        </w:tc>
      </w:tr>
      <w:tr>
        <w:trPr>
          <w:trHeight w:val="299"/>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437"/>
        </w:trPr>
        <w:tc>
          <w:tcPr>
            <w:tcW w:w="780" w:type="dxa"/>
            <w:vAlign w:val="bottom"/>
          </w:tcPr>
          <w:p>
            <w:pPr>
              <w:spacing w:after="0"/>
              <w:rPr>
                <w:sz w:val="20"/>
                <w:szCs w:val="20"/>
                <w:color w:val="auto"/>
              </w:rPr>
            </w:pPr>
            <w:r>
              <w:rPr>
                <w:rFonts w:ascii="Arial" w:cs="Arial" w:eastAsia="Arial" w:hAnsi="Arial"/>
                <w:sz w:val="18"/>
                <w:szCs w:val="18"/>
                <w:color w:val="auto"/>
              </w:rPr>
              <w:t>From:</w:t>
            </w:r>
          </w:p>
        </w:tc>
        <w:tc>
          <w:tcPr>
            <w:tcW w:w="5840" w:type="dxa"/>
            <w:vAlign w:val="bottom"/>
            <w:gridSpan w:val="3"/>
          </w:tcPr>
          <w:p>
            <w:pPr>
              <w:ind w:left="180"/>
              <w:spacing w:after="0"/>
              <w:rPr>
                <w:sz w:val="20"/>
                <w:szCs w:val="20"/>
                <w:color w:val="auto"/>
              </w:rPr>
            </w:pPr>
            <w:r>
              <w:rPr>
                <w:rFonts w:ascii="Arial" w:cs="Arial" w:eastAsia="Arial" w:hAnsi="Arial"/>
                <w:sz w:val="18"/>
                <w:szCs w:val="18"/>
                <w:color w:val="auto"/>
              </w:rPr>
              <w:t>MannKind Corporation</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To:</w:t>
            </w:r>
          </w:p>
        </w:tc>
        <w:tc>
          <w:tcPr>
            <w:tcW w:w="5840" w:type="dxa"/>
            <w:vAlign w:val="bottom"/>
            <w:gridSpan w:val="3"/>
          </w:tcPr>
          <w:p>
            <w:pPr>
              <w:ind w:left="180"/>
              <w:spacing w:after="0"/>
              <w:rPr>
                <w:sz w:val="20"/>
                <w:szCs w:val="20"/>
                <w:color w:val="auto"/>
              </w:rPr>
            </w:pPr>
            <w:r>
              <w:rPr>
                <w:rFonts w:ascii="Arial" w:cs="Arial" w:eastAsia="Arial" w:hAnsi="Arial"/>
                <w:sz w:val="18"/>
                <w:szCs w:val="18"/>
                <w:color w:val="auto"/>
              </w:rPr>
              <w:t>Brinson Patrick Securities Corporation</w:t>
            </w:r>
          </w:p>
        </w:tc>
      </w:tr>
      <w:tr>
        <w:trPr>
          <w:trHeight w:val="426"/>
        </w:trPr>
        <w:tc>
          <w:tcPr>
            <w:tcW w:w="780" w:type="dxa"/>
            <w:vAlign w:val="bottom"/>
          </w:tcPr>
          <w:p>
            <w:pPr>
              <w:spacing w:after="0"/>
              <w:rPr>
                <w:sz w:val="24"/>
                <w:szCs w:val="24"/>
                <w:color w:val="auto"/>
              </w:rPr>
            </w:pPr>
          </w:p>
        </w:tc>
        <w:tc>
          <w:tcPr>
            <w:tcW w:w="5840" w:type="dxa"/>
            <w:vAlign w:val="bottom"/>
            <w:gridSpan w:val="3"/>
          </w:tcPr>
          <w:p>
            <w:pPr>
              <w:ind w:left="180"/>
              <w:spacing w:after="0"/>
              <w:rPr>
                <w:sz w:val="20"/>
                <w:szCs w:val="20"/>
                <w:color w:val="auto"/>
              </w:rPr>
            </w:pPr>
            <w:r>
              <w:rPr>
                <w:rFonts w:ascii="Arial" w:cs="Arial" w:eastAsia="Arial" w:hAnsi="Arial"/>
                <w:sz w:val="18"/>
                <w:szCs w:val="18"/>
                <w:color w:val="auto"/>
              </w:rPr>
              <w:t>Attention:  Todd Wyche</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Subject:</w:t>
            </w:r>
          </w:p>
        </w:tc>
        <w:tc>
          <w:tcPr>
            <w:tcW w:w="5840" w:type="dxa"/>
            <w:vAlign w:val="bottom"/>
            <w:gridSpan w:val="3"/>
          </w:tcPr>
          <w:p>
            <w:pPr>
              <w:ind w:left="180"/>
              <w:spacing w:after="0"/>
              <w:rPr>
                <w:sz w:val="20"/>
                <w:szCs w:val="20"/>
                <w:color w:val="auto"/>
              </w:rPr>
            </w:pPr>
            <w:r>
              <w:rPr>
                <w:rFonts w:ascii="Arial" w:cs="Arial" w:eastAsia="Arial" w:hAnsi="Arial"/>
                <w:sz w:val="18"/>
                <w:szCs w:val="18"/>
                <w:color w:val="auto"/>
              </w:rPr>
              <w:t>At-The-Market Issuance—Placement Notice</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Gentlemen:</w:t>
      </w:r>
    </w:p>
    <w:p>
      <w:pPr>
        <w:spacing w:after="0" w:line="171"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Pursuant to the terms and subject to the conditions contained in the At-The-Market Issuance Sales Agreement between MannKind Corporation,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and Brinson Patrick Securities Corporation (“</w:t>
      </w:r>
      <w:r>
        <w:rPr>
          <w:rFonts w:ascii="Arial" w:cs="Arial" w:eastAsia="Arial" w:hAnsi="Arial"/>
          <w:sz w:val="15"/>
          <w:szCs w:val="15"/>
          <w:u w:val="single" w:color="auto"/>
          <w:color w:val="auto"/>
        </w:rPr>
        <w:t>BPSC</w:t>
      </w:r>
      <w:r>
        <w:rPr>
          <w:rFonts w:ascii="Arial" w:cs="Arial" w:eastAsia="Arial" w:hAnsi="Arial"/>
          <w:sz w:val="15"/>
          <w:szCs w:val="15"/>
          <w:color w:val="auto"/>
        </w:rPr>
        <w:t>”), dated March 18, 2013, the Company hereby requests that BPSC sell up to</w:t>
      </w:r>
    </w:p>
    <w:p>
      <w:pPr>
        <w:ind w:right="280" w:firstLine="922"/>
        <w:spacing w:after="0" w:line="323" w:lineRule="auto"/>
        <w:rPr>
          <w:sz w:val="20"/>
          <w:szCs w:val="20"/>
          <w:color w:val="auto"/>
        </w:rPr>
      </w:pPr>
      <w:r>
        <w:rPr>
          <w:rFonts w:ascii="Arial" w:cs="Arial" w:eastAsia="Arial" w:hAnsi="Arial"/>
          <w:sz w:val="16"/>
          <w:szCs w:val="16"/>
          <w:color w:val="auto"/>
        </w:rPr>
        <w:t>of the Company’s Common Stock, par value $0.01 per share, at a minimum market price of $ per share, during the time period beginning [month, day, time] and ending [month, day, time]. [The Company may include such other sales parameters as it deems appropriate.]</w:t>
      </w:r>
    </w:p>
    <w:p>
      <w:pPr>
        <w:sectPr>
          <w:pgSz w:w="11900" w:h="16838" w:orient="portrait"/>
          <w:cols w:equalWidth="0" w:num="1">
            <w:col w:w="11380"/>
          </w:cols>
          <w:pgMar w:left="240" w:top="274" w:right="279" w:bottom="1440" w:gutter="0" w:footer="0" w:header="0"/>
        </w:sectPr>
      </w:pPr>
    </w:p>
    <w:bookmarkStart w:id="205" w:name="page206"/>
    <w:bookmarkEnd w:id="205"/>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shall pay to BPSC in cash, upon each sale of Placement Shares pursuant to this Agreement, an amount up to 3.0% of the gross proceeds from each sale of Placement Shares.</w:t>
      </w:r>
    </w:p>
    <w:p>
      <w:pPr>
        <w:sectPr>
          <w:pgSz w:w="11900" w:h="16838" w:orient="portrait"/>
          <w:cols w:equalWidth="0" w:num="1">
            <w:col w:w="11040"/>
          </w:cols>
          <w:pgMar w:left="240" w:top="274" w:right="619" w:bottom="1440" w:gutter="0" w:footer="0" w:header="0"/>
        </w:sectPr>
      </w:pPr>
    </w:p>
    <w:bookmarkStart w:id="206" w:name="page207"/>
    <w:bookmarkEnd w:id="206"/>
    <w:p>
      <w:pPr>
        <w:ind w:left="4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194945</wp:posOffset>
            </wp:positionV>
            <wp:extent cx="15176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203835</wp:posOffset>
            </wp:positionV>
            <wp:extent cx="151765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Matthew Pfeffer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David Thomson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Hakan Edstrom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BPSC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Nino Jimenz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Tim Studley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Todd Wyche</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The above-mentioned individuals from BPSC can be reached at trading@brinsonpatrick.com and at 212-453-3000</w:t>
      </w:r>
    </w:p>
    <w:p>
      <w:pPr>
        <w:sectPr>
          <w:pgSz w:w="11900" w:h="16838" w:orient="portrait"/>
          <w:cols w:equalWidth="0" w:num="1">
            <w:col w:w="9759"/>
          </w:cols>
          <w:pgMar w:left="700" w:top="274" w:right="1440" w:bottom="1440" w:gutter="0" w:footer="0" w:header="0"/>
        </w:sectPr>
      </w:pPr>
    </w:p>
    <w:bookmarkStart w:id="207" w:name="page208"/>
    <w:bookmarkEnd w:id="207"/>
    <w:p>
      <w:pPr>
        <w:jc w:val="right"/>
        <w:ind w:right="39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194945</wp:posOffset>
            </wp:positionV>
            <wp:extent cx="151765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800"/>
        <w:spacing w:after="0"/>
        <w:rPr>
          <w:sz w:val="20"/>
          <w:szCs w:val="20"/>
          <w:color w:val="auto"/>
        </w:rPr>
      </w:pPr>
      <w:r>
        <w:rPr>
          <w:rFonts w:ascii="Arial" w:cs="Arial" w:eastAsia="Arial" w:hAnsi="Arial"/>
          <w:sz w:val="16"/>
          <w:szCs w:val="16"/>
          <w:b w:val="1"/>
          <w:bCs w:val="1"/>
          <w:color w:val="auto"/>
        </w:rPr>
        <w:t>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218440</wp:posOffset>
            </wp:positionV>
            <wp:extent cx="151765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759"/>
          </w:cols>
          <w:pgMar w:left="700" w:top="274" w:right="1440" w:bottom="1440" w:gutter="0" w:footer="0" w:header="0"/>
        </w:sectPr>
      </w:pPr>
    </w:p>
    <w:bookmarkStart w:id="208" w:name="page209"/>
    <w:bookmarkEnd w:id="20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Representation Date Certificate</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Officers Certificate (this “</w:t>
      </w:r>
      <w:r>
        <w:rPr>
          <w:rFonts w:ascii="Arial" w:cs="Arial" w:eastAsia="Arial" w:hAnsi="Arial"/>
          <w:sz w:val="18"/>
          <w:szCs w:val="18"/>
          <w:u w:val="single" w:color="auto"/>
          <w:color w:val="auto"/>
        </w:rPr>
        <w:t>Certificate</w:t>
      </w:r>
      <w:r>
        <w:rPr>
          <w:rFonts w:ascii="Arial" w:cs="Arial" w:eastAsia="Arial" w:hAnsi="Arial"/>
          <w:sz w:val="18"/>
          <w:szCs w:val="18"/>
          <w:color w:val="auto"/>
        </w:rPr>
        <w:t>”) is executed and delivered in connection with Section 7(l) of the At-The-Market Issuance Sales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March 18, 2013, and entered into between MannKind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Brinson Patrick Securities Corporation. All capitalized terms used but not defined herein shall have the meanings given to such terms in the Agreement.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a duly appointed and authorized officer of the Company, having made reasonable inquiries to establish the accuracy of the statements below and having been authorized by the Company to execute this certificate on behalf of the Company, hereby certifies, on behalf of the Company and not in the undersigned’s individual capacity, as follows:</w:t>
      </w:r>
    </w:p>
    <w:p>
      <w:pPr>
        <w:spacing w:after="0" w:line="140" w:lineRule="exact"/>
        <w:rPr>
          <w:sz w:val="20"/>
          <w:szCs w:val="20"/>
          <w:color w:val="auto"/>
        </w:rPr>
      </w:pPr>
    </w:p>
    <w:p>
      <w:pPr>
        <w:ind w:firstLine="464"/>
        <w:spacing w:after="0" w:line="294" w:lineRule="auto"/>
        <w:tabs>
          <w:tab w:leader="none" w:pos="63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contains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 for (i) and (ii) to be true.</w:t>
      </w:r>
    </w:p>
    <w:p>
      <w:pPr>
        <w:spacing w:after="0" w:line="115" w:lineRule="exact"/>
        <w:rPr>
          <w:rFonts w:ascii="Arial" w:cs="Arial" w:eastAsia="Arial" w:hAnsi="Arial"/>
          <w:sz w:val="16"/>
          <w:szCs w:val="16"/>
          <w:color w:val="auto"/>
        </w:rPr>
      </w:pPr>
    </w:p>
    <w:p>
      <w:pPr>
        <w:ind w:right="340" w:firstLine="464"/>
        <w:spacing w:after="0" w:line="370" w:lineRule="auto"/>
        <w:tabs>
          <w:tab w:leader="none" w:pos="632" w:val="left"/>
        </w:tabs>
        <w:numPr>
          <w:ilvl w:val="0"/>
          <w:numId w:val="155"/>
        </w:numPr>
        <w:rPr>
          <w:rFonts w:ascii="Arial" w:cs="Arial" w:eastAsia="Arial" w:hAnsi="Arial"/>
          <w:sz w:val="15"/>
          <w:szCs w:val="15"/>
          <w:color w:val="auto"/>
        </w:rPr>
      </w:pPr>
      <w:r>
        <w:rPr>
          <w:rFonts w:ascii="Arial" w:cs="Arial" w:eastAsia="Arial" w:hAnsi="Arial"/>
          <w:sz w:val="15"/>
          <w:szCs w:val="15"/>
          <w:color w:val="auto"/>
        </w:rPr>
        <w:t>Each of the representations and warranties of the Company contained in the Agreement was true and correct in all material respects, when originally made, and, except for those representations and warranties that speak solely as of a specific date, is true and correct as of the date of this Certificate.</w:t>
      </w:r>
    </w:p>
    <w:p>
      <w:pPr>
        <w:spacing w:after="0" w:line="62" w:lineRule="exact"/>
        <w:rPr>
          <w:rFonts w:ascii="Arial" w:cs="Arial" w:eastAsia="Arial" w:hAnsi="Arial"/>
          <w:sz w:val="15"/>
          <w:szCs w:val="15"/>
          <w:color w:val="auto"/>
        </w:rPr>
      </w:pPr>
    </w:p>
    <w:p>
      <w:pPr>
        <w:ind w:right="60" w:firstLine="464"/>
        <w:spacing w:after="0" w:line="298" w:lineRule="auto"/>
        <w:tabs>
          <w:tab w:leader="none" w:pos="63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Except as waived by BPSC in writing, each of the covenants required to be performed by the Company in the Agreement on or prior to the date of the Agreement, this Representation Date, and each such other date prior to the date hereof as set forth in the Agreement, has been duly, timely and fully performed in all material respects and each condition required to be complied with by the Company on or prior to the date of the Agreement, this Representation Date, and each such other date prior to the date hereof as set forth in the Agreement has been duly, timely and fully complied with in all material respects.</w:t>
      </w:r>
    </w:p>
    <w:p>
      <w:pPr>
        <w:spacing w:after="0" w:line="112" w:lineRule="exact"/>
        <w:rPr>
          <w:rFonts w:ascii="Arial" w:cs="Arial" w:eastAsia="Arial" w:hAnsi="Arial"/>
          <w:sz w:val="16"/>
          <w:szCs w:val="16"/>
          <w:color w:val="auto"/>
        </w:rPr>
      </w:pPr>
    </w:p>
    <w:p>
      <w:pPr>
        <w:ind w:firstLine="464"/>
        <w:spacing w:after="0" w:line="259" w:lineRule="auto"/>
        <w:tabs>
          <w:tab w:leader="none" w:pos="63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of any part thereof has been issued, and, to the Company’s knowledge, no proceedings for that purpose have been instituted or are pending or threatened by any securities or other governmental authority (including, without limitation, the Commission).</w:t>
      </w:r>
    </w:p>
    <w:p>
      <w:pPr>
        <w:spacing w:after="0" w:line="140" w:lineRule="exact"/>
        <w:rPr>
          <w:rFonts w:ascii="Arial" w:cs="Arial" w:eastAsia="Arial" w:hAnsi="Arial"/>
          <w:sz w:val="18"/>
          <w:szCs w:val="18"/>
          <w:color w:val="auto"/>
        </w:rPr>
      </w:pPr>
    </w:p>
    <w:p>
      <w:pPr>
        <w:ind w:right="20" w:firstLine="464"/>
        <w:spacing w:after="0" w:line="259" w:lineRule="auto"/>
        <w:tabs>
          <w:tab w:leader="none" w:pos="63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 order suspending the effectiveness of the Registration Statement or the qualification or registration of the Placement Shares under the securities or Blue Sky laws of any jurisdiction are in effect and no proceeding for such purpose is pending before, or threatened, to the Company’s knowledge or in writing by, any securities or other governmental authority (including, without limitation, the Commission).</w:t>
      </w:r>
    </w:p>
    <w:p>
      <w:pPr>
        <w:sectPr>
          <w:pgSz w:w="11900" w:h="16838" w:orient="portrait"/>
          <w:cols w:equalWidth="0" w:num="1">
            <w:col w:w="11400"/>
          </w:cols>
          <w:pgMar w:left="240" w:top="490" w:right="259" w:bottom="1440" w:gutter="0" w:footer="0" w:header="0"/>
        </w:sectPr>
      </w:pPr>
    </w:p>
    <w:bookmarkStart w:id="209" w:name="page210"/>
    <w:bookmarkEnd w:id="20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has executed this Officer’s Certificate on behalf of the Company as of the date first written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46126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46126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10795</wp:posOffset>
            </wp:positionV>
            <wp:extent cx="24612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ectPr>
          <w:pgSz w:w="11900" w:h="16838" w:orient="portrait"/>
          <w:cols w:equalWidth="0" w:num="1">
            <w:col w:w="10219"/>
          </w:cols>
          <w:pgMar w:left="240" w:top="334" w:right="1440" w:bottom="1440" w:gutter="0" w:footer="0" w:header="0"/>
        </w:sectPr>
      </w:pPr>
    </w:p>
    <w:bookmarkStart w:id="210" w:name="page211"/>
    <w:bookmarkEnd w:id="210"/>
    <w:p>
      <w:pPr>
        <w:jc w:val="center"/>
        <w:ind w:right="-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23</w:t>
      </w:r>
    </w:p>
    <w:p>
      <w:pPr>
        <w:spacing w:after="0" w:line="171" w:lineRule="exact"/>
        <w:rPr>
          <w:sz w:val="20"/>
          <w:szCs w:val="20"/>
          <w:color w:val="auto"/>
        </w:rPr>
      </w:pPr>
    </w:p>
    <w:p>
      <w:pPr>
        <w:jc w:val="center"/>
        <w:ind w:right="-740"/>
        <w:spacing w:after="0"/>
        <w:rPr>
          <w:sz w:val="20"/>
          <w:szCs w:val="20"/>
          <w:color w:val="auto"/>
        </w:rPr>
      </w:pPr>
      <w:r>
        <w:rPr>
          <w:rFonts w:ascii="Arial" w:cs="Arial" w:eastAsia="Arial" w:hAnsi="Arial"/>
          <w:sz w:val="15"/>
          <w:szCs w:val="15"/>
          <w:b w:val="1"/>
          <w:bCs w:val="1"/>
          <w:color w:val="auto"/>
        </w:rPr>
        <w:t>Permitted Free Writing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759"/>
          </w:cols>
          <w:pgMar w:left="700" w:top="274" w:right="1440"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consent to the incorporation by reference in Registration Statement No. 333-166404 and 333-183679 on Form S-3 and Registration Statement Nos. 333-117811, 333-127876, 333-137332, 333-149049, 333-160225, 333-176409 and 333-182457 on Form S-8 of our reports dated March 18, 2013, relating to the consolidated financial statements of MannKind Corporation and subsidiaries (a development stage company) (“MannKind Corporation”) (which report expresses an unqualified opinion and includes an explanatory paragraph relating to the Company’s ability to continue as a going concern), and the effectiveness of MannKind Corporation’s internal control over financial reporting, appearing in the Annual Report on Form 10-K of MannKind Corporation for the year ended December 31, 2012.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2013</w:t>
      </w:r>
    </w:p>
    <w:p>
      <w:pPr>
        <w:sectPr>
          <w:pgSz w:w="11900" w:h="16838" w:orient="portrait"/>
          <w:cols w:equalWidth="0" w:num="1">
            <w:col w:w="11420"/>
          </w:cols>
          <w:pgMar w:left="240" w:top="125"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90" w:lineRule="exact"/>
        <w:rPr>
          <w:sz w:val="20"/>
          <w:szCs w:val="20"/>
          <w:color w:val="auto"/>
        </w:rPr>
      </w:pPr>
    </w:p>
    <w:p>
      <w:pPr>
        <w:ind w:left="420" w:hanging="184"/>
        <w:spacing w:after="0"/>
        <w:tabs>
          <w:tab w:leader="none" w:pos="4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90" w:lineRule="exact"/>
        <w:rPr>
          <w:rFonts w:ascii="Arial" w:cs="Arial" w:eastAsia="Arial" w:hAnsi="Arial"/>
          <w:sz w:val="18"/>
          <w:szCs w:val="18"/>
          <w:color w:val="auto"/>
        </w:rPr>
      </w:pPr>
    </w:p>
    <w:p>
      <w:pPr>
        <w:ind w:firstLine="236"/>
        <w:spacing w:after="0" w:line="332" w:lineRule="auto"/>
        <w:tabs>
          <w:tab w:leader="none" w:pos="40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firstLine="236"/>
        <w:spacing w:after="0" w:line="259" w:lineRule="auto"/>
        <w:tabs>
          <w:tab w:leader="none" w:pos="40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240" w:right="260" w:firstLine="220"/>
        <w:spacing w:after="0" w:line="259" w:lineRule="auto"/>
        <w:tabs>
          <w:tab w:leader="none" w:pos="70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240" w:right="60" w:firstLine="220"/>
        <w:spacing w:after="0" w:line="259" w:lineRule="auto"/>
        <w:tabs>
          <w:tab w:leader="none" w:pos="71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240" w:right="100" w:firstLine="220"/>
        <w:spacing w:after="0" w:line="332" w:lineRule="auto"/>
        <w:tabs>
          <w:tab w:leader="none" w:pos="702" w:val="left"/>
        </w:tabs>
        <w:numPr>
          <w:ilvl w:val="1"/>
          <w:numId w:val="1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240" w:right="320" w:firstLine="220"/>
        <w:spacing w:after="0" w:line="259" w:lineRule="auto"/>
        <w:tabs>
          <w:tab w:leader="none" w:pos="71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680" w:firstLine="236"/>
        <w:spacing w:after="0" w:line="332" w:lineRule="auto"/>
        <w:tabs>
          <w:tab w:leader="none" w:pos="40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240" w:right="40" w:firstLine="220"/>
        <w:spacing w:after="0" w:line="268" w:lineRule="auto"/>
        <w:tabs>
          <w:tab w:leader="none" w:pos="70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240" w:right="260" w:firstLine="220"/>
        <w:spacing w:after="0" w:line="268" w:lineRule="auto"/>
        <w:tabs>
          <w:tab w:leader="none" w:pos="712"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1"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Alfred E. Mann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2013</w:t>
      </w:r>
    </w:p>
    <w:p>
      <w:pPr>
        <w:sectPr>
          <w:pgSz w:w="11900" w:h="16838" w:orient="portrait"/>
          <w:cols w:equalWidth="0" w:num="1">
            <w:col w:w="11420"/>
          </w:cols>
          <w:pgMar w:left="240" w:top="125"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90" w:lineRule="exact"/>
        <w:rPr>
          <w:sz w:val="20"/>
          <w:szCs w:val="20"/>
          <w:color w:val="auto"/>
        </w:rPr>
      </w:pPr>
    </w:p>
    <w:p>
      <w:pPr>
        <w:ind w:left="420" w:hanging="184"/>
        <w:spacing w:after="0"/>
        <w:tabs>
          <w:tab w:leader="none" w:pos="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90" w:lineRule="exact"/>
        <w:rPr>
          <w:rFonts w:ascii="Arial" w:cs="Arial" w:eastAsia="Arial" w:hAnsi="Arial"/>
          <w:sz w:val="18"/>
          <w:szCs w:val="18"/>
          <w:color w:val="auto"/>
        </w:rPr>
      </w:pPr>
    </w:p>
    <w:p>
      <w:pPr>
        <w:ind w:firstLine="236"/>
        <w:spacing w:after="0" w:line="332" w:lineRule="auto"/>
        <w:tabs>
          <w:tab w:leader="none" w:pos="40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firstLine="236"/>
        <w:spacing w:after="0" w:line="259" w:lineRule="auto"/>
        <w:tabs>
          <w:tab w:leader="none" w:pos="40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240" w:right="260" w:firstLine="220"/>
        <w:spacing w:after="0" w:line="259" w:lineRule="auto"/>
        <w:tabs>
          <w:tab w:leader="none" w:pos="70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240" w:right="60" w:firstLine="220"/>
        <w:spacing w:after="0" w:line="259" w:lineRule="auto"/>
        <w:tabs>
          <w:tab w:leader="none" w:pos="71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240" w:right="100" w:firstLine="220"/>
        <w:spacing w:after="0" w:line="332" w:lineRule="auto"/>
        <w:tabs>
          <w:tab w:leader="none" w:pos="702"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240" w:right="320" w:firstLine="220"/>
        <w:spacing w:after="0" w:line="259" w:lineRule="auto"/>
        <w:tabs>
          <w:tab w:leader="none" w:pos="71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right="680" w:firstLine="236"/>
        <w:spacing w:after="0" w:line="332" w:lineRule="auto"/>
        <w:tabs>
          <w:tab w:leader="none" w:pos="40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240" w:right="40" w:firstLine="220"/>
        <w:spacing w:after="0" w:line="268" w:lineRule="auto"/>
        <w:tabs>
          <w:tab w:leader="none" w:pos="70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240" w:right="260" w:firstLine="220"/>
        <w:spacing w:after="0" w:line="268" w:lineRule="auto"/>
        <w:tabs>
          <w:tab w:leader="none" w:pos="71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7"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J. Pfeffer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Corporate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2013</w:t>
      </w:r>
    </w:p>
    <w:p>
      <w:pPr>
        <w:sectPr>
          <w:pgSz w:w="11900" w:h="16838" w:orient="portrait"/>
          <w:cols w:equalWidth="0" w:num="1">
            <w:col w:w="11420"/>
          </w:cols>
          <w:pgMar w:left="240" w:top="125"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1"/>
          <w:szCs w:val="11"/>
          <w:b w:val="1"/>
          <w:bCs w:val="1"/>
          <w:color w:val="auto"/>
        </w:rPr>
        <w:t>1</w:t>
      </w:r>
    </w:p>
    <w:p>
      <w:pPr>
        <w:spacing w:after="0" w:line="177" w:lineRule="exact"/>
        <w:rPr>
          <w:sz w:val="20"/>
          <w:szCs w:val="20"/>
          <w:color w:val="auto"/>
        </w:rPr>
      </w:pPr>
    </w:p>
    <w:p>
      <w:pPr>
        <w:jc w:val="both"/>
        <w:ind w:right="340" w:firstLine="228"/>
        <w:spacing w:after="0" w:line="306" w:lineRule="auto"/>
        <w:rPr>
          <w:sz w:val="20"/>
          <w:szCs w:val="20"/>
          <w:color w:val="auto"/>
        </w:rPr>
      </w:pPr>
      <w:r>
        <w:rPr>
          <w:rFonts w:ascii="Arial" w:cs="Arial" w:eastAsia="Arial" w:hAnsi="Arial"/>
          <w:sz w:val="16"/>
          <w:szCs w:val="16"/>
          <w:color w:val="auto"/>
        </w:rPr>
        <w:t>Pursuant to the requirement set forth in Rule 13a-14(b) or Rule 15d-14(b) of the Securities Exchange Act of 1934, as amended (the “Exchange Act”), and Section 1350 of Chapter 63 of Title 18 of the United States Code (18 U.S.C. §1350), Alfred E. Mann, Chief Executive Officer of MannKind Corporation (the “Company”), and Matthew J. Pfeffer, Chief Financial Officer of the Company, each hereby certifies that, to the best of his knowledge:</w:t>
      </w:r>
    </w:p>
    <w:p>
      <w:pPr>
        <w:spacing w:after="0" w:line="26" w:lineRule="exact"/>
        <w:rPr>
          <w:sz w:val="20"/>
          <w:szCs w:val="20"/>
          <w:color w:val="auto"/>
        </w:rPr>
      </w:pPr>
    </w:p>
    <w:p>
      <w:pPr>
        <w:ind w:left="240" w:firstLine="220"/>
        <w:spacing w:after="0" w:line="268" w:lineRule="auto"/>
        <w:tabs>
          <w:tab w:leader="none" w:pos="63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2012, to which this Certification is attached as Exhibit 32 (the “Annual Report”) fully complies with the requirements of Section 13(a) or Section 15(d) of the Exchange Act, and</w:t>
      </w:r>
    </w:p>
    <w:p>
      <w:pPr>
        <w:spacing w:after="0" w:line="50" w:lineRule="exact"/>
        <w:rPr>
          <w:rFonts w:ascii="Arial" w:cs="Arial" w:eastAsia="Arial" w:hAnsi="Arial"/>
          <w:sz w:val="18"/>
          <w:szCs w:val="18"/>
          <w:color w:val="auto"/>
        </w:rPr>
      </w:pPr>
    </w:p>
    <w:p>
      <w:pPr>
        <w:ind w:left="240" w:right="40" w:firstLine="220"/>
        <w:spacing w:after="0" w:line="362" w:lineRule="auto"/>
        <w:tabs>
          <w:tab w:leader="none" w:pos="63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The information contained in the Annual Report fairly presents, in all material respects, the financial condition and results of operations of the Company. </w:t>
      </w: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18</w:t>
      </w:r>
      <w:r>
        <w:rPr>
          <w:rFonts w:ascii="Arial" w:cs="Arial" w:eastAsia="Arial" w:hAnsi="Arial"/>
          <w:sz w:val="11"/>
          <w:szCs w:val="11"/>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Alfred E. Mann</w:t>
            </w: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 Matthew J. Pfeffer</w:t>
            </w:r>
          </w:p>
        </w:tc>
      </w:tr>
      <w:tr>
        <w:trPr>
          <w:trHeight w:val="210"/>
        </w:trPr>
        <w:tc>
          <w:tcPr>
            <w:tcW w:w="20" w:type="dxa"/>
            <w:vAlign w:val="bottom"/>
          </w:tcPr>
          <w:p>
            <w:pPr>
              <w:spacing w:after="0"/>
              <w:rPr>
                <w:sz w:val="18"/>
                <w:szCs w:val="18"/>
                <w:color w:val="auto"/>
              </w:rPr>
            </w:pPr>
          </w:p>
        </w:tc>
        <w:tc>
          <w:tcPr>
            <w:tcW w:w="6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Alfred E. Mann</w:t>
            </w:r>
          </w:p>
        </w:tc>
        <w:tc>
          <w:tcPr>
            <w:tcW w:w="100" w:type="dxa"/>
            <w:vAlign w:val="bottom"/>
          </w:tcPr>
          <w:p>
            <w:pPr>
              <w:spacing w:after="0"/>
              <w:rPr>
                <w:sz w:val="18"/>
                <w:szCs w:val="18"/>
                <w:color w:val="auto"/>
              </w:rPr>
            </w:pPr>
          </w:p>
        </w:tc>
        <w:tc>
          <w:tcPr>
            <w:tcW w:w="4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Matthew J. Pfeffer</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4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8658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23" w:lineRule="exact"/>
        <w:rPr>
          <w:sz w:val="20"/>
          <w:szCs w:val="20"/>
          <w:color w:val="auto"/>
        </w:rPr>
      </w:pPr>
    </w:p>
    <w:p>
      <w:pPr>
        <w:ind w:left="460" w:right="80" w:hanging="452"/>
        <w:spacing w:after="0" w:line="239" w:lineRule="auto"/>
        <w:tabs>
          <w:tab w:leader="none" w:pos="460" w:val="left"/>
        </w:tabs>
        <w:numPr>
          <w:ilvl w:val="0"/>
          <w:numId w:val="159"/>
        </w:numPr>
        <w:rPr>
          <w:rFonts w:ascii="Arial" w:cs="Arial" w:eastAsia="Arial" w:hAnsi="Arial"/>
          <w:sz w:val="22"/>
          <w:szCs w:val="22"/>
          <w:color w:val="auto"/>
          <w:vertAlign w:val="superscript"/>
        </w:rPr>
      </w:pPr>
      <w:r>
        <w:rPr>
          <w:rFonts w:ascii="Arial" w:cs="Arial" w:eastAsia="Arial" w:hAnsi="Arial"/>
          <w:sz w:val="18"/>
          <w:szCs w:val="18"/>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the Annual Report on Form 10-K to which this certification relates),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lvl w:ilvl="1">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1)"/>
      <w:numFmt w:val="lowerRoman"/>
      <w:start w:val="2"/>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1)"/>
      <w:numFmt w:val="decimal"/>
      <w:start w:val="1"/>
    </w:lvl>
  </w:abstractNum>
  <w:abstractNum w:abstractNumId="24">
    <w:nsid w:val="39EE015C"/>
    <w:multiLevelType w:val="hybridMultilevel"/>
    <w:lvl w:ilvl="0">
      <w:lvlJc w:val="left"/>
      <w:lvlText w:val="(%1)"/>
      <w:numFmt w:val="decimal"/>
      <w:start w:val="2"/>
    </w:lvl>
  </w:abstractNum>
  <w:abstractNum w:abstractNumId="25">
    <w:nsid w:val="57FC4FBB"/>
    <w:multiLevelType w:val="hybridMultilevel"/>
    <w:lvl w:ilvl="0">
      <w:lvlJc w:val="left"/>
      <w:lvlText w:val="(%1)"/>
      <w:numFmt w:val="lowerLetter"/>
      <w:start w:val="1"/>
    </w:lvl>
  </w:abstractNum>
  <w:abstractNum w:abstractNumId="26">
    <w:nsid w:val="CC1016F"/>
    <w:multiLevelType w:val="hybridMultilevel"/>
    <w:lvl w:ilvl="0">
      <w:lvlJc w:val="left"/>
      <w:lvlText w:val="(%1)"/>
      <w:numFmt w:val="decimal"/>
      <w:start w:val="3"/>
    </w:lvl>
  </w:abstractNum>
  <w:abstractNum w:abstractNumId="27">
    <w:nsid w:val="43F18422"/>
    <w:multiLevelType w:val="hybridMultilevel"/>
    <w:lvl w:ilvl="0">
      <w:lvlJc w:val="left"/>
      <w:lvlText w:val="(%1)"/>
      <w:numFmt w:val="lowerLetter"/>
      <w:start w:val="2"/>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1)"/>
      <w:numFmt w:val="decimal"/>
      <w:start w:val="1"/>
    </w:lvl>
  </w:abstractNum>
  <w:abstractNum w:abstractNumId="31">
    <w:nsid w:val="49DA307D"/>
    <w:multiLevelType w:val="hybridMultilevel"/>
    <w:lvl w:ilvl="0">
      <w:lvlJc w:val="left"/>
      <w:lvlText w:val="(%1)"/>
      <w:numFmt w:val="decimal"/>
      <w:start w:val="6"/>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1)"/>
      <w:numFmt w:val="lowerRoman"/>
      <w:start w:val="1"/>
    </w:lvl>
  </w:abstractNum>
  <w:abstractNum w:abstractNumId="35">
    <w:nsid w:val="488AC1A"/>
    <w:multiLevelType w:val="hybridMultilevel"/>
    <w:lvl w:ilvl="0">
      <w:lvlJc w:val="left"/>
      <w:lvlText w:val="(%1)"/>
      <w:numFmt w:val="lowerRoman"/>
      <w:start w:val="1"/>
    </w:lvl>
  </w:abstractNum>
  <w:abstractNum w:abstractNumId="36">
    <w:nsid w:val="5FB8011C"/>
    <w:multiLevelType w:val="hybridMultilevel"/>
    <w:lvl w:ilvl="0">
      <w:lvlJc w:val="left"/>
      <w:lvlText w:val="%1."/>
      <w:numFmt w:val="decimal"/>
      <w:start w:val="1"/>
    </w:lvl>
  </w:abstractNum>
  <w:abstractNum w:abstractNumId="37">
    <w:nsid w:val="6AA78F7F"/>
    <w:multiLevelType w:val="hybridMultilevel"/>
    <w:lvl w:ilvl="0">
      <w:lvlJc w:val="left"/>
      <w:lvlText w:val="%1"/>
      <w:numFmt w:val="upperLetter"/>
      <w:start w:val="1"/>
    </w:lvl>
    <w:lvl w:ilvl="1">
      <w:lvlJc w:val="left"/>
      <w:lvlText w:val="(%2)"/>
      <w:numFmt w:val="lowerLetter"/>
      <w:start w:val="1"/>
    </w:lvl>
  </w:abstractNum>
  <w:abstractNum w:abstractNumId="38">
    <w:nsid w:val="7672BD23"/>
    <w:multiLevelType w:val="hybridMultilevel"/>
    <w:lvl w:ilvl="0">
      <w:lvlJc w:val="left"/>
      <w:lvlText w:val="(%1)"/>
      <w:numFmt w:val="upperLetter"/>
      <w:start w:val="1"/>
    </w:lvl>
    <w:lvl w:ilvl="1">
      <w:lvlJc w:val="left"/>
      <w:lvlText w:val="%2"/>
      <w:numFmt w:val="lowerLetter"/>
      <w:start w:val="1"/>
    </w:lvl>
  </w:abstractNum>
  <w:abstractNum w:abstractNumId="39">
    <w:nsid w:val="6FC75AF8"/>
    <w:multiLevelType w:val="hybridMultilevel"/>
    <w:lvl w:ilvl="0">
      <w:lvlJc w:val="left"/>
      <w:lvlText w:val="(%1)"/>
      <w:numFmt w:val="decimal"/>
      <w:start w:val="5"/>
    </w:lvl>
    <w:lvl w:ilvl="1">
      <w:lvlJc w:val="left"/>
      <w:lvlText w:val="(%2)"/>
      <w:numFmt w:val="lowerLetter"/>
      <w:start w:val="2"/>
    </w:lvl>
  </w:abstractNum>
  <w:abstractNum w:abstractNumId="40">
    <w:nsid w:val="6A5F7029"/>
    <w:multiLevelType w:val="hybridMultilevel"/>
    <w:lvl w:ilvl="0">
      <w:lvlJc w:val="left"/>
      <w:lvlText w:val="%1."/>
      <w:numFmt w:val="decimal"/>
      <w:start w:val="2"/>
    </w:lvl>
  </w:abstractNum>
  <w:abstractNum w:abstractNumId="41">
    <w:nsid w:val="7D5E18F8"/>
    <w:multiLevelType w:val="hybridMultilevel"/>
    <w:lvl w:ilvl="0">
      <w:lvlJc w:val="left"/>
      <w:lvlText w:val="(%1)"/>
      <w:numFmt w:val="lowerLetter"/>
      <w:start w:val="1"/>
    </w:lvl>
  </w:abstractNum>
  <w:abstractNum w:abstractNumId="42">
    <w:nsid w:val="5F3534A4"/>
    <w:multiLevelType w:val="hybridMultilevel"/>
    <w:lvl w:ilvl="0">
      <w:lvlJc w:val="left"/>
      <w:lvlText w:val="%1."/>
      <w:numFmt w:val="decimal"/>
      <w:start w:val="3"/>
    </w:lvl>
  </w:abstractNum>
  <w:abstractNum w:abstractNumId="43">
    <w:nsid w:val="73A1821B"/>
    <w:multiLevelType w:val="hybridMultilevel"/>
    <w:lvl w:ilvl="0">
      <w:lvlJc w:val="left"/>
      <w:lvlText w:val="(%1)"/>
      <w:numFmt w:val="lowerLetter"/>
      <w:start w:val="1"/>
    </w:lvl>
  </w:abstractNum>
  <w:abstractNum w:abstractNumId="44">
    <w:nsid w:val="7DE67713"/>
    <w:multiLevelType w:val="hybridMultilevel"/>
    <w:lvl w:ilvl="0">
      <w:lvlJc w:val="left"/>
      <w:lvlText w:val="(%1)"/>
      <w:numFmt w:val="lowerLetter"/>
      <w:start w:val="2"/>
    </w:lvl>
  </w:abstractNum>
  <w:abstractNum w:abstractNumId="45">
    <w:nsid w:val="555C55B5"/>
    <w:multiLevelType w:val="hybridMultilevel"/>
    <w:lvl w:ilvl="0">
      <w:lvlJc w:val="left"/>
      <w:lvlText w:val="%1."/>
      <w:numFmt w:val="decimal"/>
      <w:start w:val="5"/>
    </w:lvl>
  </w:abstractNum>
  <w:abstractNum w:abstractNumId="46">
    <w:nsid w:val="3FA62ACA"/>
    <w:multiLevelType w:val="hybridMultilevel"/>
    <w:lvl w:ilvl="0">
      <w:lvlJc w:val="left"/>
      <w:lvlText w:val="(%1)"/>
      <w:numFmt w:val="lowerLetter"/>
      <w:start w:val="1"/>
    </w:lvl>
  </w:abstractNum>
  <w:abstractNum w:abstractNumId="47">
    <w:nsid w:val="14FCE74E"/>
    <w:multiLevelType w:val="hybridMultilevel"/>
    <w:lvl w:ilvl="0">
      <w:lvlJc w:val="left"/>
      <w:lvlText w:val="(%1)"/>
      <w:numFmt w:val="lowerLetter"/>
      <w:start w:val="2"/>
    </w:lvl>
    <w:lvl w:ilvl="1">
      <w:lvlJc w:val="left"/>
      <w:lvlText w:val="(%2)"/>
      <w:numFmt w:val="lowerRoman"/>
      <w:start w:val="1"/>
    </w:lvl>
  </w:abstractNum>
  <w:abstractNum w:abstractNumId="48">
    <w:nsid w:val="6A3DD3E8"/>
    <w:multiLevelType w:val="hybridMultilevel"/>
    <w:lvl w:ilvl="0">
      <w:lvlJc w:val="left"/>
      <w:lvlText w:val="%1"/>
      <w:numFmt w:val="lowerRoman"/>
      <w:start w:val="1"/>
    </w:lvl>
    <w:lvl w:ilvl="1">
      <w:lvlJc w:val="left"/>
      <w:lvlText w:val="(%2)"/>
      <w:numFmt w:val="upperLetter"/>
      <w:start w:val="1"/>
    </w:lvl>
  </w:abstractNum>
  <w:abstractNum w:abstractNumId="49">
    <w:nsid w:val="71C91298"/>
    <w:multiLevelType w:val="hybridMultilevel"/>
    <w:lvl w:ilvl="0">
      <w:lvlJc w:val="left"/>
      <w:lvlText w:val="(%1)"/>
      <w:numFmt w:val="lowerRoman"/>
      <w:start w:val="2"/>
    </w:lvl>
    <w:lvl w:ilvl="1">
      <w:lvlJc w:val="left"/>
      <w:lvlText w:val="%2"/>
      <w:numFmt w:val="upperLetter"/>
      <w:start w:val="1"/>
    </w:lvl>
  </w:abstractNum>
  <w:abstractNum w:abstractNumId="50">
    <w:nsid w:val="9DAF632"/>
    <w:multiLevelType w:val="hybridMultilevel"/>
    <w:lvl w:ilvl="0">
      <w:lvlJc w:val="left"/>
      <w:lvlText w:val="(%1)"/>
      <w:numFmt w:val="lowerLetter"/>
      <w:start w:val="4"/>
    </w:lvl>
  </w:abstractNum>
  <w:abstractNum w:abstractNumId="51">
    <w:nsid w:val="53299938"/>
    <w:multiLevelType w:val="hybridMultilevel"/>
    <w:lvl w:ilvl="0">
      <w:lvlJc w:val="left"/>
      <w:lvlText w:val="%1."/>
      <w:numFmt w:val="decimal"/>
      <w:start w:val="7"/>
    </w:lvl>
  </w:abstractNum>
  <w:abstractNum w:abstractNumId="52">
    <w:nsid w:val="1FBFE8E0"/>
    <w:multiLevelType w:val="hybridMultilevel"/>
    <w:lvl w:ilvl="0">
      <w:lvlJc w:val="left"/>
      <w:lvlText w:val="(%1)"/>
      <w:numFmt w:val="lowerLetter"/>
      <w:start w:val="3"/>
    </w:lvl>
  </w:abstractNum>
  <w:abstractNum w:abstractNumId="53">
    <w:nsid w:val="5092CA79"/>
    <w:multiLevelType w:val="hybridMultilevel"/>
    <w:lvl w:ilvl="0">
      <w:lvlJc w:val="left"/>
      <w:lvlText w:val="%1."/>
      <w:numFmt w:val="decimal"/>
      <w:start w:val="8"/>
    </w:lvl>
  </w:abstractNum>
  <w:abstractNum w:abstractNumId="54">
    <w:nsid w:val="1D545C4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4"/>
    </w:lvl>
  </w:abstractNum>
  <w:abstractNum w:abstractNumId="55">
    <w:nsid w:val="59ADEA3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6">
    <w:nsid w:val="288F1A34"/>
    <w:multiLevelType w:val="hybridMultilevel"/>
    <w:lvl w:ilvl="0">
      <w:lvlJc w:val="left"/>
      <w:lvlText w:val="(%1)"/>
      <w:numFmt w:val="lowerLetter"/>
      <w:start w:val="35"/>
    </w:lvl>
    <w:lvl w:ilvl="1">
      <w:lvlJc w:val="left"/>
      <w:lvlText w:val="(%2)"/>
      <w:numFmt w:val="lowerLetter"/>
      <w:start w:val="3"/>
    </w:lvl>
    <w:lvl w:ilvl="2">
      <w:lvlJc w:val="left"/>
      <w:lvlText w:val="%3"/>
      <w:numFmt w:val="decimal"/>
      <w:start w:val="1"/>
    </w:lvl>
  </w:abstractNum>
  <w:abstractNum w:abstractNumId="57">
    <w:nsid w:val="2A155DBC"/>
    <w:multiLevelType w:val="hybridMultilevel"/>
    <w:lvl w:ilvl="0">
      <w:lvlJc w:val="left"/>
      <w:lvlText w:val="(%1)"/>
      <w:numFmt w:val="lowerLetter"/>
      <w:start w:val="8"/>
    </w:lvl>
  </w:abstractNum>
  <w:abstractNum w:abstractNumId="58">
    <w:nsid w:val="1D9F6E5F"/>
    <w:multiLevelType w:val="hybridMultilevel"/>
    <w:lvl w:ilvl="0">
      <w:lvlJc w:val="left"/>
      <w:lvlText w:val="%1."/>
      <w:numFmt w:val="decimal"/>
      <w:start w:val="1"/>
    </w:lvl>
    <w:lvl w:ilvl="1">
      <w:lvlJc w:val="left"/>
      <w:lvlText w:val="☐"/>
      <w:numFmt w:val="bullet"/>
      <w:start w:val="1"/>
    </w:lvl>
  </w:abstractNum>
  <w:abstractNum w:abstractNumId="59">
    <w:nsid w:val="97E1B4E"/>
    <w:multiLevelType w:val="hybridMultilevel"/>
    <w:lvl w:ilvl="0">
      <w:lvlJc w:val="left"/>
      <w:lvlText w:val="%1."/>
      <w:numFmt w:val="decimal"/>
      <w:start w:val="4"/>
    </w:lvl>
  </w:abstractNum>
  <w:abstractNum w:abstractNumId="60">
    <w:nsid w:val="51088277"/>
    <w:multiLevelType w:val="hybridMultilevel"/>
    <w:lvl w:ilvl="0">
      <w:lvlJc w:val="left"/>
      <w:lvlText w:val="%1:"/>
      <w:numFmt w:val="upperLetter"/>
      <w:start w:val="20"/>
    </w:lvl>
  </w:abstractNum>
  <w:abstractNum w:abstractNumId="61">
    <w:nsid w:val="1CA0C5FA"/>
    <w:multiLevelType w:val="hybridMultilevel"/>
    <w:lvl w:ilvl="0">
      <w:lvlJc w:val="left"/>
      <w:lvlText w:val="%1."/>
      <w:numFmt w:val="decimal"/>
      <w:start w:val="1"/>
    </w:lvl>
  </w:abstractNum>
  <w:abstractNum w:abstractNumId="62">
    <w:nsid w:val="53584BCB"/>
    <w:multiLevelType w:val="hybridMultilevel"/>
    <w:lvl w:ilvl="0">
      <w:lvlJc w:val="left"/>
      <w:lvlText w:val="%1."/>
      <w:numFmt w:val="decimal"/>
      <w:start w:val="2"/>
    </w:lvl>
  </w:abstractNum>
  <w:abstractNum w:abstractNumId="63">
    <w:nsid w:val="415E286C"/>
    <w:multiLevelType w:val="hybridMultilevel"/>
    <w:lvl w:ilvl="0">
      <w:lvlJc w:val="left"/>
      <w:lvlText w:val="%1."/>
      <w:numFmt w:val="decimal"/>
      <w:start w:val="3"/>
    </w:lvl>
    <w:lvl w:ilvl="1">
      <w:lvlJc w:val="left"/>
      <w:lvlText w:val="(%2)"/>
      <w:numFmt w:val="lowerLetter"/>
      <w:start w:val="1"/>
    </w:lvl>
  </w:abstractNum>
  <w:abstractNum w:abstractNumId="64">
    <w:nsid w:val="7C58FD05"/>
    <w:multiLevelType w:val="hybridMultilevel"/>
    <w:lvl w:ilvl="0">
      <w:lvlJc w:val="left"/>
      <w:lvlText w:val="%1."/>
      <w:numFmt w:val="decimal"/>
      <w:start w:val="5"/>
    </w:lvl>
    <w:lvl w:ilvl="1">
      <w:lvlJc w:val="left"/>
      <w:lvlText w:val="(%2)"/>
      <w:numFmt w:val="lowerLetter"/>
      <w:start w:val="1"/>
    </w:lvl>
  </w:abstractNum>
  <w:abstractNum w:abstractNumId="65">
    <w:nsid w:val="23D86AAC"/>
    <w:multiLevelType w:val="hybridMultilevel"/>
    <w:lvl w:ilvl="0">
      <w:lvlJc w:val="left"/>
      <w:lvlText w:val="%1"/>
      <w:numFmt w:val="decimal"/>
      <w:start w:val="1"/>
    </w:lvl>
    <w:lvl w:ilvl="1">
      <w:lvlJc w:val="left"/>
      <w:lvlText w:val="(%2)"/>
      <w:numFmt w:val="lowerLetter"/>
      <w:start w:val="4"/>
    </w:lvl>
  </w:abstractNum>
  <w:abstractNum w:abstractNumId="66">
    <w:nsid w:val="45E6D486"/>
    <w:multiLevelType w:val="hybridMultilevel"/>
    <w:lvl w:ilvl="0">
      <w:lvlJc w:val="left"/>
      <w:lvlText w:val="%1."/>
      <w:numFmt w:val="decimal"/>
      <w:start w:val="6"/>
    </w:lvl>
    <w:lvl w:ilvl="1">
      <w:lvlJc w:val="left"/>
      <w:lvlText w:val="(%2)"/>
      <w:numFmt w:val="lowerLetter"/>
      <w:start w:val="1"/>
    </w:lvl>
  </w:abstractNum>
  <w:abstractNum w:abstractNumId="67">
    <w:nsid w:val="5C10FE21"/>
    <w:multiLevelType w:val="hybridMultilevel"/>
    <w:lvl w:ilvl="0">
      <w:lvlJc w:val="left"/>
      <w:lvlText w:val="(%1)"/>
      <w:numFmt w:val="lowerLetter"/>
      <w:start w:val="2"/>
    </w:lvl>
  </w:abstractNum>
  <w:abstractNum w:abstractNumId="68">
    <w:nsid w:val="E7FFA2B"/>
    <w:multiLevelType w:val="hybridMultilevel"/>
    <w:lvl w:ilvl="0">
      <w:lvlJc w:val="left"/>
      <w:lvlText w:val="(%1)"/>
      <w:numFmt w:val="lowerLetter"/>
      <w:start w:val="5"/>
    </w:lvl>
  </w:abstractNum>
  <w:abstractNum w:abstractNumId="69">
    <w:nsid w:val="3C5991AA"/>
    <w:multiLevelType w:val="hybridMultilevel"/>
    <w:lvl w:ilvl="0">
      <w:lvlJc w:val="left"/>
      <w:lvlText w:val="%1"/>
      <w:numFmt w:val="lowerLetter"/>
      <w:start w:val="1"/>
    </w:lvl>
    <w:lvl w:ilvl="1">
      <w:lvlJc w:val="left"/>
      <w:lvlText w:val="(%2)"/>
      <w:numFmt w:val="lowerLetter"/>
      <w:start w:val="9"/>
    </w:lvl>
  </w:abstractNum>
  <w:abstractNum w:abstractNumId="70">
    <w:nsid w:val="4BD8591A"/>
    <w:multiLevelType w:val="hybridMultilevel"/>
    <w:lvl w:ilvl="0">
      <w:lvlJc w:val="left"/>
      <w:lvlText w:val="(%1)"/>
      <w:numFmt w:val="lowerLetter"/>
      <w:start w:val="9"/>
    </w:lvl>
    <w:lvl w:ilvl="1">
      <w:lvlJc w:val="left"/>
      <w:lvlText w:val="(%2)"/>
      <w:numFmt w:val="lowerLetter"/>
      <w:start w:val="10"/>
    </w:lvl>
  </w:abstractNum>
  <w:abstractNum w:abstractNumId="71">
    <w:nsid w:val="78DF6A55"/>
    <w:multiLevelType w:val="hybridMultilevel"/>
    <w:lvl w:ilvl="0">
      <w:lvlJc w:val="left"/>
      <w:lvlText w:val="(%1)"/>
      <w:numFmt w:val="lowerLetter"/>
      <w:start w:val="11"/>
    </w:lvl>
  </w:abstractNum>
  <w:abstractNum w:abstractNumId="72">
    <w:nsid w:val="39B7AAA2"/>
    <w:multiLevelType w:val="hybridMultilevel"/>
    <w:lvl w:ilvl="0">
      <w:lvlJc w:val="left"/>
      <w:lvlText w:val="(%1)"/>
      <w:numFmt w:val="lowerLetter"/>
      <w:start w:val="15"/>
    </w:lvl>
  </w:abstractNum>
  <w:abstractNum w:abstractNumId="73">
    <w:nsid w:val="2B0D8DBE"/>
    <w:multiLevelType w:val="hybridMultilevel"/>
    <w:lvl w:ilvl="0">
      <w:lvlJc w:val="left"/>
      <w:lvlText w:val="(%1)"/>
      <w:numFmt w:val="lowerLetter"/>
      <w:start w:val="18"/>
    </w:lvl>
  </w:abstractNum>
  <w:abstractNum w:abstractNumId="74">
    <w:nsid w:val="6C80EC70"/>
    <w:multiLevelType w:val="hybridMultilevel"/>
    <w:lvl w:ilvl="0">
      <w:lvlJc w:val="left"/>
      <w:lvlText w:val="(%1)"/>
      <w:numFmt w:val="lowerLetter"/>
      <w:start w:val="22"/>
    </w:lvl>
  </w:abstractNum>
  <w:abstractNum w:abstractNumId="75">
    <w:nsid w:val="379E21B5"/>
    <w:multiLevelType w:val="hybridMultilevel"/>
    <w:lvl w:ilvl="0">
      <w:lvlJc w:val="left"/>
      <w:lvlText w:val="(%1)"/>
      <w:numFmt w:val="lowerLetter"/>
      <w:start w:val="27"/>
    </w:lvl>
  </w:abstractNum>
  <w:abstractNum w:abstractNumId="76">
    <w:nsid w:val="69E373"/>
    <w:multiLevelType w:val="hybridMultilevel"/>
    <w:lvl w:ilvl="0">
      <w:lvlJc w:val="left"/>
      <w:lvlText w:val="(%1)"/>
      <w:numFmt w:val="lowerLetter"/>
      <w:start w:val="29"/>
    </w:lvl>
  </w:abstractNum>
  <w:abstractNum w:abstractNumId="77">
    <w:nsid w:val="2C27173B"/>
    <w:multiLevelType w:val="hybridMultilevel"/>
    <w:lvl w:ilvl="0">
      <w:lvlJc w:val="left"/>
      <w:lvlText w:val="%1"/>
      <w:numFmt w:val="lowerLetter"/>
      <w:start w:val="1"/>
    </w:lvl>
    <w:lvl w:ilvl="1">
      <w:lvlJc w:val="left"/>
      <w:lvlText w:val="(%2)"/>
      <w:numFmt w:val="lowerLetter"/>
      <w:start w:val="34"/>
    </w:lvl>
  </w:abstractNum>
  <w:abstractNum w:abstractNumId="78">
    <w:nsid w:val="4C9B0904"/>
    <w:multiLevelType w:val="hybridMultilevel"/>
    <w:lvl w:ilvl="0">
      <w:lvlJc w:val="left"/>
      <w:lvlText w:val="(%1)"/>
      <w:numFmt w:val="lowerLetter"/>
      <w:start w:val="35"/>
    </w:lvl>
    <w:lvl w:ilvl="1">
      <w:lvlJc w:val="left"/>
      <w:lvlText w:val="(%2)"/>
      <w:numFmt w:val="lowerLetter"/>
      <w:start w:val="37"/>
    </w:lvl>
  </w:abstractNum>
  <w:abstractNum w:abstractNumId="79">
    <w:nsid w:val="6AA7B75C"/>
    <w:multiLevelType w:val="hybridMultilevel"/>
    <w:lvl w:ilvl="0">
      <w:lvlJc w:val="left"/>
      <w:lvlText w:val="(%1)"/>
      <w:numFmt w:val="lowerLetter"/>
      <w:start w:val="38"/>
    </w:lvl>
  </w:abstractNum>
  <w:abstractNum w:abstractNumId="80">
    <w:nsid w:val="1DF029D3"/>
    <w:multiLevelType w:val="hybridMultilevel"/>
    <w:lvl w:ilvl="0">
      <w:lvlJc w:val="left"/>
      <w:lvlText w:val="%1"/>
      <w:numFmt w:val="lowerLetter"/>
      <w:start w:val="1"/>
    </w:lvl>
    <w:lvl w:ilvl="1">
      <w:lvlJc w:val="left"/>
      <w:lvlText w:val="(%2)"/>
      <w:numFmt w:val="lowerLetter"/>
      <w:start w:val="41"/>
    </w:lvl>
  </w:abstractNum>
  <w:abstractNum w:abstractNumId="81">
    <w:nsid w:val="5675FF36"/>
    <w:multiLevelType w:val="hybridMultilevel"/>
    <w:lvl w:ilvl="0">
      <w:lvlJc w:val="left"/>
      <w:lvlText w:val="(%1)"/>
      <w:numFmt w:val="lowerLetter"/>
      <w:start w:val="25"/>
    </w:lvl>
    <w:lvl w:ilvl="1">
      <w:lvlJc w:val="left"/>
      <w:lvlText w:val="(%2)"/>
      <w:numFmt w:val="lowerLetter"/>
      <w:start w:val="44"/>
    </w:lvl>
  </w:abstractNum>
  <w:abstractNum w:abstractNumId="82">
    <w:nsid w:val="3DD15094"/>
    <w:multiLevelType w:val="hybridMultilevel"/>
    <w:lvl w:ilvl="0">
      <w:lvlJc w:val="left"/>
      <w:lvlText w:val="%1"/>
      <w:numFmt w:val="lowerRoman"/>
      <w:start w:val="1"/>
    </w:lvl>
    <w:lvl w:ilvl="1">
      <w:lvlJc w:val="left"/>
      <w:lvlText w:val="(%2)"/>
      <w:numFmt w:val="lowerLetter"/>
      <w:start w:val="45"/>
    </w:lvl>
    <w:lvl w:ilvl="2">
      <w:lvlJc w:val="left"/>
      <w:lvlText w:val="(%3)"/>
      <w:numFmt w:val="upperLetter"/>
      <w:start w:val="1"/>
    </w:lvl>
  </w:abstractNum>
  <w:abstractNum w:abstractNumId="83">
    <w:nsid w:val="3DB012B3"/>
    <w:multiLevelType w:val="hybridMultilevel"/>
    <w:lvl w:ilvl="0">
      <w:lvlJc w:val="left"/>
      <w:lvlText w:val="(%1)"/>
      <w:numFmt w:val="lowerRoman"/>
      <w:start w:val="2"/>
    </w:lvl>
    <w:lvl w:ilvl="1">
      <w:lvlJc w:val="left"/>
      <w:lvlText w:val="(%2)"/>
      <w:numFmt w:val="lowerLetter"/>
      <w:start w:val="47"/>
    </w:lvl>
    <w:lvl w:ilvl="2">
      <w:lvlJc w:val="left"/>
      <w:lvlText w:val="(%3)"/>
      <w:numFmt w:val="upperLetter"/>
      <w:start w:val="1"/>
    </w:lvl>
  </w:abstractNum>
  <w:abstractNum w:abstractNumId="84">
    <w:nsid w:val="2708C9AF"/>
    <w:multiLevelType w:val="hybridMultilevel"/>
    <w:lvl w:ilvl="0">
      <w:lvlJc w:val="left"/>
      <w:lvlText w:val="%1."/>
      <w:numFmt w:val="decimal"/>
      <w:start w:val="7"/>
    </w:lvl>
    <w:lvl w:ilvl="1">
      <w:lvlJc w:val="left"/>
      <w:lvlText w:val="(%2)"/>
      <w:numFmt w:val="lowerLetter"/>
      <w:start w:val="1"/>
    </w:lvl>
  </w:abstractNum>
  <w:abstractNum w:abstractNumId="85">
    <w:nsid w:val="5B25ACE2"/>
    <w:multiLevelType w:val="hybridMultilevel"/>
    <w:lvl w:ilvl="0">
      <w:lvlJc w:val="left"/>
      <w:lvlText w:val="(%1)"/>
      <w:numFmt w:val="lowerLetter"/>
      <w:start w:val="3"/>
    </w:lvl>
  </w:abstractNum>
  <w:abstractNum w:abstractNumId="86">
    <w:nsid w:val="175DFCF0"/>
    <w:multiLevelType w:val="hybridMultilevel"/>
    <w:lvl w:ilvl="0">
      <w:lvlJc w:val="left"/>
      <w:lvlText w:val="(%1)"/>
      <w:numFmt w:val="lowerLetter"/>
      <w:start w:val="6"/>
    </w:lvl>
  </w:abstractNum>
  <w:abstractNum w:abstractNumId="87">
    <w:nsid w:val="4F97E3E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0"/>
    </w:lvl>
  </w:abstractNum>
  <w:abstractNum w:abstractNumId="88">
    <w:nsid w:val="53B0A9E"/>
    <w:multiLevelType w:val="hybridMultilevel"/>
    <w:lvl w:ilvl="0">
      <w:lvlJc w:val="left"/>
      <w:lvlText w:val="(%1)"/>
      <w:numFmt w:val="lowerLetter"/>
      <w:start w:val="35"/>
    </w:lvl>
    <w:lvl w:ilvl="1">
      <w:lvlJc w:val="left"/>
      <w:lvlText w:val="(%2)"/>
      <w:numFmt w:val="lowerRoman"/>
    </w:lvl>
    <w:lvl w:ilvl="2">
      <w:lvlJc w:val="left"/>
      <w:lvlText w:val="(%3)"/>
      <w:numFmt w:val="lowerLetter"/>
      <w:start w:val="12"/>
    </w:lvl>
  </w:abstractNum>
  <w:abstractNum w:abstractNumId="89">
    <w:nsid w:val="34FD6B4F"/>
    <w:multiLevelType w:val="hybridMultilevel"/>
    <w:lvl w:ilvl="0">
      <w:lvlJc w:val="left"/>
      <w:lvlText w:val="(%1)"/>
      <w:numFmt w:val="lowerLetter"/>
      <w:start w:val="13"/>
    </w:lvl>
  </w:abstractNum>
  <w:abstractNum w:abstractNumId="90">
    <w:nsid w:val="5915FF32"/>
    <w:multiLevelType w:val="hybridMultilevel"/>
    <w:lvl w:ilvl="0">
      <w:lvlJc w:val="left"/>
      <w:lvlText w:val="(%1)"/>
      <w:numFmt w:val="lowerLetter"/>
      <w:start w:val="15"/>
    </w:lvl>
  </w:abstractNum>
  <w:abstractNum w:abstractNumId="91">
    <w:nsid w:val="56438D15"/>
    <w:multiLevelType w:val="hybridMultilevel"/>
    <w:lvl w:ilvl="0">
      <w:lvlJc w:val="left"/>
      <w:lvlText w:val="%1."/>
      <w:numFmt w:val="decimal"/>
      <w:start w:val="8"/>
    </w:lvl>
    <w:lvl w:ilvl="1">
      <w:lvlJc w:val="left"/>
      <w:lvlText w:val="(%2)"/>
      <w:numFmt w:val="lowerLetter"/>
      <w:start w:val="1"/>
    </w:lvl>
  </w:abstractNum>
  <w:abstractNum w:abstractNumId="92">
    <w:nsid w:val="519E3149"/>
    <w:multiLevelType w:val="hybridMultilevel"/>
    <w:lvl w:ilvl="0">
      <w:lvlJc w:val="left"/>
      <w:lvlText w:val="(%1)"/>
      <w:numFmt w:val="lowerLetter"/>
      <w:start w:val="2"/>
    </w:lvl>
  </w:abstractNum>
  <w:abstractNum w:abstractNumId="93">
    <w:nsid w:val="2C6E4AFD"/>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8"/>
    </w:lvl>
  </w:abstractNum>
  <w:abstractNum w:abstractNumId="94">
    <w:nsid w:val="17A1B582"/>
    <w:multiLevelType w:val="hybridMultilevel"/>
    <w:lvl w:ilvl="0">
      <w:lvlJc w:val="left"/>
      <w:lvlText w:val="%1."/>
      <w:numFmt w:val="decimal"/>
      <w:start w:val="11"/>
    </w:lvl>
    <w:lvl w:ilvl="1">
      <w:lvlJc w:val="left"/>
      <w:lvlText w:val="(%2)"/>
      <w:numFmt w:val="lowerRoman"/>
    </w:lvl>
    <w:lvl w:ilvl="2">
      <w:lvlJc w:val="left"/>
      <w:lvlText w:val="(%3)"/>
      <w:numFmt w:val="lowerLetter"/>
      <w:start w:val="1"/>
    </w:lvl>
  </w:abstractNum>
  <w:abstractNum w:abstractNumId="95">
    <w:nsid w:val="4DF72E4E"/>
    <w:multiLevelType w:val="hybridMultilevel"/>
    <w:lvl w:ilvl="0">
      <w:lvlJc w:val="left"/>
      <w:lvlText w:val="(%1)"/>
      <w:numFmt w:val="lowerRoman"/>
      <w:start w:val="3"/>
    </w:lvl>
  </w:abstractNum>
  <w:abstractNum w:abstractNumId="96">
    <w:nsid w:val="5046B5A9"/>
    <w:multiLevelType w:val="hybridMultilevel"/>
    <w:lvl w:ilvl="0">
      <w:lvlJc w:val="left"/>
      <w:lvlText w:val="(%1)"/>
      <w:numFmt w:val="lowerLetter"/>
      <w:start w:val="2"/>
    </w:lvl>
  </w:abstractNum>
  <w:abstractNum w:abstractNumId="97">
    <w:nsid w:val="5D888A08"/>
    <w:multiLevelType w:val="hybridMultilevel"/>
    <w:lvl w:ilvl="0">
      <w:lvlJc w:val="left"/>
      <w:lvlText w:val="(%1)"/>
      <w:numFmt w:val="lowerLetter"/>
      <w:start w:val="4"/>
    </w:lvl>
  </w:abstractNum>
  <w:abstractNum w:abstractNumId="98">
    <w:nsid w:val="2A082C70"/>
    <w:multiLevelType w:val="hybridMultilevel"/>
    <w:lvl w:ilvl="0">
      <w:lvlJc w:val="left"/>
      <w:lvlText w:val="%1"/>
      <w:numFmt w:val="lowerRoman"/>
      <w:start w:val="1"/>
    </w:lvl>
    <w:lvl w:ilvl="1">
      <w:lvlJc w:val="left"/>
      <w:lvlText w:val="%2."/>
      <w:numFmt w:val="decimal"/>
      <w:start w:val="12"/>
    </w:lvl>
  </w:abstractNum>
  <w:abstractNum w:abstractNumId="99">
    <w:nsid w:val="5EC6AFD4"/>
    <w:multiLevelType w:val="hybridMultilevel"/>
    <w:lvl w:ilvl="0">
      <w:lvlJc w:val="left"/>
      <w:lvlText w:val="(%1)"/>
      <w:numFmt w:val="lowerRoman"/>
      <w:start w:val="1"/>
    </w:lvl>
    <w:lvl w:ilvl="1">
      <w:lvlJc w:val="left"/>
      <w:lvlText w:val="%2"/>
      <w:numFmt w:val="decimal"/>
      <w:start w:val="1"/>
    </w:lvl>
  </w:abstractNum>
  <w:abstractNum w:abstractNumId="100">
    <w:nsid w:val="19E21BB2"/>
    <w:multiLevelType w:val="hybridMultilevel"/>
    <w:lvl w:ilvl="0">
      <w:lvlJc w:val="left"/>
      <w:lvlText w:val="%1."/>
      <w:numFmt w:val="decimal"/>
      <w:start w:val="13"/>
    </w:lvl>
    <w:lvl w:ilvl="1">
      <w:lvlJc w:val="left"/>
      <w:lvlText w:val="(%2)"/>
      <w:numFmt w:val="lowerLetter"/>
      <w:start w:val="1"/>
    </w:lvl>
  </w:abstractNum>
  <w:abstractNum w:abstractNumId="101">
    <w:nsid w:val="75E0858A"/>
    <w:multiLevelType w:val="hybridMultilevel"/>
    <w:lvl w:ilvl="0">
      <w:lvlJc w:val="left"/>
      <w:lvlText w:val="%1"/>
      <w:numFmt w:val="decimal"/>
      <w:start w:val="1"/>
    </w:lvl>
    <w:lvl w:ilvl="1">
      <w:lvlJc w:val="left"/>
      <w:lvlText w:val="(%2)"/>
      <w:numFmt w:val="lowerLetter"/>
      <w:start w:val="5"/>
    </w:lvl>
  </w:abstractNum>
  <w:abstractNum w:abstractNumId="102">
    <w:nsid w:val="57A61A29"/>
    <w:multiLevelType w:val="hybridMultilevel"/>
    <w:lvl w:ilvl="0">
      <w:lvlJc w:val="left"/>
      <w:lvlText w:val="%1."/>
      <w:numFmt w:val="decimal"/>
      <w:start w:val="14"/>
    </w:lvl>
    <w:lvl w:ilvl="1">
      <w:lvlJc w:val="left"/>
      <w:lvlText w:val="%2"/>
      <w:numFmt w:val="lowerLetter"/>
      <w:start w:val="1"/>
    </w:lvl>
  </w:abstractNum>
  <w:abstractNum w:abstractNumId="103">
    <w:nsid w:val="5399C654"/>
    <w:multiLevelType w:val="hybridMultilevel"/>
    <w:lvl w:ilvl="0">
      <w:lvlJc w:val="left"/>
      <w:lvlText w:val="%1."/>
      <w:numFmt w:val="decimal"/>
      <w:start w:val="15"/>
    </w:lvl>
  </w:abstractNum>
  <w:abstractNum w:abstractNumId="104">
    <w:nsid w:val="20EE1348"/>
    <w:multiLevelType w:val="hybridMultilevel"/>
    <w:lvl w:ilvl="0">
      <w:lvlJc w:val="left"/>
      <w:lvlText w:val="%1."/>
      <w:numFmt w:val="decimal"/>
      <w:start w:val="18"/>
    </w:lvl>
  </w:abstractNum>
  <w:abstractNum w:abstractNumId="105">
    <w:nsid w:val="4427069A"/>
    <w:multiLevelType w:val="hybridMultilevel"/>
    <w:lvl w:ilvl="0">
      <w:lvlJc w:val="left"/>
      <w:lvlText w:val="%1."/>
      <w:numFmt w:val="decimal"/>
      <w:start w:val="21"/>
    </w:lvl>
    <w:lvl w:ilvl="1">
      <w:lvlJc w:val="left"/>
      <w:lvlText w:val="(%2)"/>
      <w:numFmt w:val="lowerLetter"/>
      <w:start w:val="1"/>
    </w:lvl>
  </w:abstractNum>
  <w:abstractNum w:abstractNumId="106">
    <w:nsid w:val="B37E80A"/>
    <w:multiLevelType w:val="hybridMultilevel"/>
    <w:lvl w:ilvl="0">
      <w:lvlJc w:val="left"/>
      <w:lvlText w:val="%1"/>
      <w:numFmt w:val="decimal"/>
      <w:start w:val="1"/>
    </w:lvl>
    <w:lvl w:ilvl="1">
      <w:lvlJc w:val="left"/>
      <w:lvlText w:val="(%2)"/>
      <w:numFmt w:val="lowerLetter"/>
      <w:start w:val="5"/>
    </w:lvl>
  </w:abstractNum>
  <w:abstractNum w:abstractNumId="107">
    <w:nsid w:val="2157F6BC"/>
    <w:multiLevelType w:val="hybridMultilevel"/>
    <w:lvl w:ilvl="0">
      <w:lvlJc w:val="left"/>
      <w:lvlText w:val="%1."/>
      <w:numFmt w:val="decimal"/>
      <w:start w:val="25"/>
    </w:lvl>
    <w:lvl w:ilvl="1">
      <w:lvlJc w:val="left"/>
      <w:lvlText w:val="%2"/>
      <w:numFmt w:val="lowerLetter"/>
      <w:start w:val="1"/>
    </w:lvl>
  </w:abstractNum>
  <w:abstractNum w:abstractNumId="108">
    <w:nsid w:val="704E1DD5"/>
    <w:multiLevelType w:val="hybridMultilevel"/>
    <w:lvl w:ilvl="0">
      <w:lvlJc w:val="left"/>
      <w:lvlText w:val="%1."/>
      <w:numFmt w:val="decimal"/>
      <w:start w:val="1"/>
    </w:lvl>
  </w:abstractNum>
  <w:abstractNum w:abstractNumId="109">
    <w:nsid w:val="57D2F10E"/>
    <w:multiLevelType w:val="hybridMultilevel"/>
    <w:lvl w:ilvl="0">
      <w:lvlJc w:val="left"/>
      <w:lvlText w:val="%1"/>
      <w:numFmt w:val="lowerLetter"/>
      <w:start w:val="1"/>
    </w:lvl>
    <w:lvl w:ilvl="1">
      <w:lvlJc w:val="left"/>
      <w:lvlText w:val="%2."/>
      <w:numFmt w:val="decimal"/>
      <w:start w:val="1"/>
    </w:lvl>
  </w:abstractNum>
  <w:abstractNum w:abstractNumId="110">
    <w:nsid w:val="BFFAE18"/>
    <w:multiLevelType w:val="hybridMultilevel"/>
    <w:lvl w:ilvl="0">
      <w:lvlJc w:val="left"/>
      <w:lvlText w:val="(%1)"/>
      <w:numFmt w:val="lowerLetter"/>
      <w:start w:val="1"/>
    </w:lvl>
    <w:lvl w:ilvl="1">
      <w:lvlJc w:val="left"/>
      <w:lvlText w:val="%2"/>
      <w:numFmt w:val="decimal"/>
      <w:start w:val="1"/>
    </w:lvl>
  </w:abstractNum>
  <w:abstractNum w:abstractNumId="111">
    <w:nsid w:val="E3E47A8"/>
    <w:multiLevelType w:val="hybridMultilevel"/>
    <w:lvl w:ilvl="0">
      <w:lvlJc w:val="left"/>
      <w:lvlText w:val="%1."/>
      <w:numFmt w:val="decimal"/>
      <w:start w:val="2"/>
    </w:lvl>
  </w:abstractNum>
  <w:abstractNum w:abstractNumId="112">
    <w:nsid w:val="2E48F044"/>
    <w:multiLevelType w:val="hybridMultilevel"/>
    <w:lvl w:ilvl="0">
      <w:lvlJc w:val="left"/>
      <w:lvlText w:val="%1."/>
      <w:numFmt w:val="decimal"/>
      <w:start w:val="3"/>
    </w:lvl>
    <w:lvl w:ilvl="1">
      <w:lvlJc w:val="left"/>
      <w:lvlText w:val="(%2)"/>
      <w:numFmt w:val="lowerLetter"/>
      <w:start w:val="1"/>
    </w:lvl>
  </w:abstractNum>
  <w:abstractNum w:abstractNumId="113">
    <w:nsid w:val="49D0FEAC"/>
    <w:multiLevelType w:val="hybridMultilevel"/>
    <w:lvl w:ilvl="0">
      <w:lvlJc w:val="left"/>
      <w:lvlText w:val="%1."/>
      <w:numFmt w:val="decimal"/>
      <w:start w:val="5"/>
    </w:lvl>
    <w:lvl w:ilvl="1">
      <w:lvlJc w:val="left"/>
      <w:lvlText w:val="(%2)"/>
      <w:numFmt w:val="lowerLetter"/>
      <w:start w:val="1"/>
    </w:lvl>
  </w:abstractNum>
  <w:abstractNum w:abstractNumId="114">
    <w:nsid w:val="4BEE5A5B"/>
    <w:multiLevelType w:val="hybridMultilevel"/>
    <w:lvl w:ilvl="0">
      <w:lvlJc w:val="left"/>
      <w:lvlText w:val="%1"/>
      <w:numFmt w:val="decimal"/>
      <w:start w:val="1"/>
    </w:lvl>
    <w:lvl w:ilvl="1">
      <w:lvlJc w:val="left"/>
      <w:lvlText w:val="(%2)"/>
      <w:numFmt w:val="lowerLetter"/>
      <w:start w:val="4"/>
    </w:lvl>
  </w:abstractNum>
  <w:abstractNum w:abstractNumId="115">
    <w:nsid w:val="5551B9F3"/>
    <w:multiLevelType w:val="hybridMultilevel"/>
    <w:lvl w:ilvl="0">
      <w:lvlJc w:val="left"/>
      <w:lvlText w:val="%1."/>
      <w:numFmt w:val="decimal"/>
      <w:start w:val="6"/>
    </w:lvl>
    <w:lvl w:ilvl="1">
      <w:lvlJc w:val="left"/>
      <w:lvlText w:val="(%2)"/>
      <w:numFmt w:val="lowerLetter"/>
      <w:start w:val="1"/>
    </w:lvl>
  </w:abstractNum>
  <w:abstractNum w:abstractNumId="116">
    <w:nsid w:val="24F6AB8E"/>
    <w:multiLevelType w:val="hybridMultilevel"/>
    <w:lvl w:ilvl="0">
      <w:lvlJc w:val="left"/>
      <w:lvlText w:val="(%1)"/>
      <w:numFmt w:val="lowerLetter"/>
      <w:start w:val="2"/>
    </w:lvl>
  </w:abstractNum>
  <w:abstractNum w:abstractNumId="117">
    <w:nsid w:val="634C574C"/>
    <w:multiLevelType w:val="hybridMultilevel"/>
    <w:lvl w:ilvl="0">
      <w:lvlJc w:val="left"/>
      <w:lvlText w:val="(%1)"/>
      <w:numFmt w:val="lowerLetter"/>
      <w:start w:val="5"/>
    </w:lvl>
  </w:abstractNum>
  <w:abstractNum w:abstractNumId="118">
    <w:nsid w:val="24E99DD7"/>
    <w:multiLevelType w:val="hybridMultilevel"/>
    <w:lvl w:ilvl="0">
      <w:lvlJc w:val="left"/>
      <w:lvlText w:val="(%1)"/>
      <w:numFmt w:val="lowerLetter"/>
      <w:start w:val="8"/>
    </w:lvl>
  </w:abstractNum>
  <w:abstractNum w:abstractNumId="119">
    <w:nsid w:val="2A31B62D"/>
    <w:multiLevelType w:val="hybridMultilevel"/>
    <w:lvl w:ilvl="0">
      <w:lvlJc w:val="left"/>
      <w:lvlText w:val="(%1)"/>
      <w:numFmt w:val="lowerLetter"/>
      <w:start w:val="11"/>
    </w:lvl>
  </w:abstractNum>
  <w:abstractNum w:abstractNumId="120">
    <w:nsid w:val="1849C29B"/>
    <w:multiLevelType w:val="hybridMultilevel"/>
    <w:lvl w:ilvl="0">
      <w:lvlJc w:val="left"/>
      <w:lvlText w:val="(%1)"/>
      <w:numFmt w:val="lowerRoman"/>
      <w:start w:val="4"/>
    </w:lvl>
    <w:lvl w:ilvl="1">
      <w:lvlJc w:val="left"/>
      <w:lvlText w:val="(%2)"/>
      <w:numFmt w:val="lowerLetter"/>
      <w:start w:val="15"/>
    </w:lvl>
  </w:abstractNum>
  <w:abstractNum w:abstractNumId="121">
    <w:nsid w:val="7DFF9D09"/>
    <w:multiLevelType w:val="hybridMultilevel"/>
    <w:lvl w:ilvl="0">
      <w:lvlJc w:val="left"/>
      <w:lvlText w:val="(%1)"/>
      <w:numFmt w:val="lowerLetter"/>
      <w:start w:val="18"/>
    </w:lvl>
  </w:abstractNum>
  <w:abstractNum w:abstractNumId="122">
    <w:nsid w:val="754342"/>
    <w:multiLevelType w:val="hybridMultilevel"/>
    <w:lvl w:ilvl="0">
      <w:lvlJc w:val="left"/>
      <w:lvlText w:val="(%1)"/>
      <w:numFmt w:val="lowerLetter"/>
      <w:start w:val="22"/>
    </w:lvl>
  </w:abstractNum>
  <w:abstractNum w:abstractNumId="123">
    <w:nsid w:val="69E7F3E5"/>
    <w:multiLevelType w:val="hybridMultilevel"/>
    <w:lvl w:ilvl="0">
      <w:lvlJc w:val="left"/>
      <w:lvlText w:val="(%1)"/>
      <w:numFmt w:val="lowerLetter"/>
      <w:start w:val="27"/>
    </w:lvl>
  </w:abstractNum>
  <w:abstractNum w:abstractNumId="124">
    <w:nsid w:val="2A6DE806"/>
    <w:multiLevelType w:val="hybridMultilevel"/>
    <w:lvl w:ilvl="0">
      <w:lvlJc w:val="left"/>
      <w:lvlText w:val="(%1)"/>
      <w:numFmt w:val="lowerLetter"/>
      <w:start w:val="29"/>
    </w:lvl>
  </w:abstractNum>
  <w:abstractNum w:abstractNumId="125">
    <w:nsid w:val="1816F8C4"/>
    <w:multiLevelType w:val="hybridMultilevel"/>
    <w:lvl w:ilvl="0">
      <w:lvlJc w:val="left"/>
      <w:lvlText w:val="%1"/>
      <w:numFmt w:val="lowerLetter"/>
      <w:start w:val="1"/>
    </w:lvl>
    <w:lvl w:ilvl="1">
      <w:lvlJc w:val="left"/>
      <w:lvlText w:val="(%2)"/>
      <w:numFmt w:val="lowerLetter"/>
      <w:start w:val="34"/>
    </w:lvl>
  </w:abstractNum>
  <w:abstractNum w:abstractNumId="126">
    <w:nsid w:val="37DF2233"/>
    <w:multiLevelType w:val="hybridMultilevel"/>
    <w:lvl w:ilvl="0">
      <w:lvlJc w:val="left"/>
      <w:lvlText w:val="(%1)"/>
      <w:numFmt w:val="lowerLetter"/>
      <w:start w:val="35"/>
    </w:lvl>
    <w:lvl w:ilvl="1">
      <w:lvlJc w:val="left"/>
      <w:lvlText w:val="(%2)"/>
      <w:numFmt w:val="lowerLetter"/>
      <w:start w:val="37"/>
    </w:lvl>
  </w:abstractNum>
  <w:abstractNum w:abstractNumId="127">
    <w:nsid w:val="7AB49DAF"/>
    <w:multiLevelType w:val="hybridMultilevel"/>
    <w:lvl w:ilvl="0">
      <w:lvlJc w:val="left"/>
      <w:lvlText w:val="(%1)"/>
      <w:numFmt w:val="lowerLetter"/>
      <w:start w:val="38"/>
    </w:lvl>
  </w:abstractNum>
  <w:abstractNum w:abstractNumId="128">
    <w:nsid w:val="759F82CD"/>
    <w:multiLevelType w:val="hybridMultilevel"/>
    <w:lvl w:ilvl="0">
      <w:lvlJc w:val="left"/>
      <w:lvlText w:val="%1"/>
      <w:numFmt w:val="lowerLetter"/>
      <w:start w:val="1"/>
    </w:lvl>
    <w:lvl w:ilvl="1">
      <w:lvlJc w:val="left"/>
      <w:lvlText w:val="(%2)"/>
      <w:numFmt w:val="lowerLetter"/>
      <w:start w:val="41"/>
    </w:lvl>
  </w:abstractNum>
  <w:abstractNum w:abstractNumId="129">
    <w:nsid w:val="61E74EA3"/>
    <w:multiLevelType w:val="hybridMultilevel"/>
    <w:lvl w:ilvl="0">
      <w:lvlJc w:val="left"/>
      <w:lvlText w:val="(%1)"/>
      <w:numFmt w:val="lowerLetter"/>
      <w:start w:val="25"/>
    </w:lvl>
    <w:lvl w:ilvl="1">
      <w:lvlJc w:val="left"/>
      <w:lvlText w:val="(%2)"/>
      <w:numFmt w:val="lowerLetter"/>
      <w:start w:val="44"/>
    </w:lvl>
  </w:abstractNum>
  <w:abstractNum w:abstractNumId="130">
    <w:nsid w:val="597B4D84"/>
    <w:multiLevelType w:val="hybridMultilevel"/>
    <w:lvl w:ilvl="0">
      <w:lvlJc w:val="left"/>
      <w:lvlText w:val="%1"/>
      <w:numFmt w:val="lowerRoman"/>
      <w:start w:val="1"/>
    </w:lvl>
    <w:lvl w:ilvl="1">
      <w:lvlJc w:val="left"/>
      <w:lvlText w:val="(%2)"/>
      <w:numFmt w:val="lowerLetter"/>
      <w:start w:val="45"/>
    </w:lvl>
    <w:lvl w:ilvl="2">
      <w:lvlJc w:val="left"/>
      <w:lvlText w:val="(%3)"/>
      <w:numFmt w:val="upperLetter"/>
      <w:start w:val="1"/>
    </w:lvl>
  </w:abstractNum>
  <w:abstractNum w:abstractNumId="131">
    <w:nsid w:val="F819E7F"/>
    <w:multiLevelType w:val="hybridMultilevel"/>
    <w:lvl w:ilvl="0">
      <w:lvlJc w:val="left"/>
      <w:lvlText w:val="(%1)"/>
      <w:numFmt w:val="lowerRoman"/>
      <w:start w:val="2"/>
    </w:lvl>
    <w:lvl w:ilvl="1">
      <w:lvlJc w:val="left"/>
      <w:lvlText w:val="(%2)"/>
      <w:numFmt w:val="lowerLetter"/>
      <w:start w:val="47"/>
    </w:lvl>
    <w:lvl w:ilvl="2">
      <w:lvlJc w:val="left"/>
      <w:lvlText w:val="(%3)"/>
      <w:numFmt w:val="upperLetter"/>
      <w:start w:val="1"/>
    </w:lvl>
  </w:abstractNum>
  <w:abstractNum w:abstractNumId="132">
    <w:nsid w:val="57C7D42D"/>
    <w:multiLevelType w:val="hybridMultilevel"/>
    <w:lvl w:ilvl="0">
      <w:lvlJc w:val="left"/>
      <w:lvlText w:val="%1."/>
      <w:numFmt w:val="decimal"/>
      <w:start w:val="7"/>
    </w:lvl>
    <w:lvl w:ilvl="1">
      <w:lvlJc w:val="left"/>
      <w:lvlText w:val="(%2)"/>
      <w:numFmt w:val="lowerLetter"/>
      <w:start w:val="1"/>
    </w:lvl>
  </w:abstractNum>
  <w:abstractNum w:abstractNumId="133">
    <w:nsid w:val="312167AD"/>
    <w:multiLevelType w:val="hybridMultilevel"/>
    <w:lvl w:ilvl="0">
      <w:lvlJc w:val="left"/>
      <w:lvlText w:val="(%1)"/>
      <w:numFmt w:val="lowerLetter"/>
      <w:start w:val="3"/>
    </w:lvl>
  </w:abstractNum>
  <w:abstractNum w:abstractNumId="134">
    <w:nsid w:val="631B64D4"/>
    <w:multiLevelType w:val="hybridMultilevel"/>
    <w:lvl w:ilvl="0">
      <w:lvlJc w:val="left"/>
      <w:lvlText w:val="(%1)"/>
      <w:numFmt w:val="lowerLetter"/>
      <w:start w:val="6"/>
    </w:lvl>
  </w:abstractNum>
  <w:abstractNum w:abstractNumId="135">
    <w:nsid w:val="78B5E77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0"/>
    </w:lvl>
  </w:abstractNum>
  <w:abstractNum w:abstractNumId="136">
    <w:nsid w:val="75486E47"/>
    <w:multiLevelType w:val="hybridMultilevel"/>
    <w:lvl w:ilvl="0">
      <w:lvlJc w:val="left"/>
      <w:lvlText w:val="(%1)"/>
      <w:numFmt w:val="lowerLetter"/>
      <w:start w:val="35"/>
    </w:lvl>
    <w:lvl w:ilvl="1">
      <w:lvlJc w:val="left"/>
      <w:lvlText w:val="(%2)"/>
      <w:numFmt w:val="lowerRoman"/>
    </w:lvl>
    <w:lvl w:ilvl="2">
      <w:lvlJc w:val="left"/>
      <w:lvlText w:val="(%3)"/>
      <w:numFmt w:val="lowerLetter"/>
      <w:start w:val="12"/>
    </w:lvl>
  </w:abstractNum>
  <w:abstractNum w:abstractNumId="137">
    <w:nsid w:val="6E534CDE"/>
    <w:multiLevelType w:val="hybridMultilevel"/>
    <w:lvl w:ilvl="0">
      <w:lvlJc w:val="left"/>
      <w:lvlText w:val="(%1)"/>
      <w:numFmt w:val="lowerLetter"/>
      <w:start w:val="13"/>
    </w:lvl>
  </w:abstractNum>
  <w:abstractNum w:abstractNumId="138">
    <w:nsid w:val="1A0DDE32"/>
    <w:multiLevelType w:val="hybridMultilevel"/>
    <w:lvl w:ilvl="0">
      <w:lvlJc w:val="left"/>
      <w:lvlText w:val="(%1)"/>
      <w:numFmt w:val="lowerLetter"/>
      <w:start w:val="15"/>
    </w:lvl>
  </w:abstractNum>
  <w:abstractNum w:abstractNumId="139">
    <w:nsid w:val="65968C1C"/>
    <w:multiLevelType w:val="hybridMultilevel"/>
    <w:lvl w:ilvl="0">
      <w:lvlJc w:val="left"/>
      <w:lvlText w:val="%1."/>
      <w:numFmt w:val="decimal"/>
      <w:start w:val="8"/>
    </w:lvl>
    <w:lvl w:ilvl="1">
      <w:lvlJc w:val="left"/>
      <w:lvlText w:val="(%2)"/>
      <w:numFmt w:val="lowerLetter"/>
      <w:start w:val="1"/>
    </w:lvl>
  </w:abstractNum>
  <w:abstractNum w:abstractNumId="140">
    <w:nsid w:val="46263DEC"/>
    <w:multiLevelType w:val="hybridMultilevel"/>
    <w:lvl w:ilvl="0">
      <w:lvlJc w:val="left"/>
      <w:lvlText w:val="(%1)"/>
      <w:numFmt w:val="lowerLetter"/>
      <w:start w:val="2"/>
    </w:lvl>
  </w:abstractNum>
  <w:abstractNum w:abstractNumId="141">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142">
    <w:nsid w:val="73D4D3C4"/>
    <w:multiLevelType w:val="hybridMultilevel"/>
    <w:lvl w:ilvl="0">
      <w:lvlJc w:val="left"/>
      <w:lvlText w:val="%1."/>
      <w:numFmt w:val="decimal"/>
      <w:start w:val="11"/>
    </w:lvl>
    <w:lvl w:ilvl="1">
      <w:lvlJc w:val="left"/>
      <w:lvlText w:val="(%2)"/>
      <w:numFmt w:val="lowerLetter"/>
      <w:start w:val="8"/>
    </w:lvl>
    <w:lvl w:ilvl="2">
      <w:lvlJc w:val="left"/>
      <w:lvlText w:val="(%3)"/>
      <w:numFmt w:val="lowerLetter"/>
      <w:start w:val="1"/>
    </w:lvl>
  </w:abstractNum>
  <w:abstractNum w:abstractNumId="143">
    <w:nsid w:val="746F2E30"/>
    <w:multiLevelType w:val="hybridMultilevel"/>
    <w:lvl w:ilvl="0">
      <w:lvlJc w:val="left"/>
      <w:lvlText w:val="(%1)"/>
      <w:numFmt w:val="lowerRoman"/>
      <w:start w:val="2"/>
    </w:lvl>
    <w:lvl w:ilvl="1">
      <w:lvlJc w:val="left"/>
      <w:lvlText w:val="(%2)"/>
      <w:numFmt w:val="lowerLetter"/>
      <w:start w:val="2"/>
    </w:lvl>
  </w:abstractNum>
  <w:abstractNum w:abstractNumId="144">
    <w:nsid w:val="6FDE8AF6"/>
    <w:multiLevelType w:val="hybridMultilevel"/>
    <w:lvl w:ilvl="0">
      <w:lvlJc w:val="left"/>
      <w:lvlText w:val="(%1)"/>
      <w:numFmt w:val="lowerLetter"/>
      <w:start w:val="4"/>
    </w:lvl>
  </w:abstractNum>
  <w:abstractNum w:abstractNumId="145">
    <w:nsid w:val="3FC32E20"/>
    <w:multiLevelType w:val="hybridMultilevel"/>
    <w:lvl w:ilvl="0">
      <w:lvlJc w:val="left"/>
      <w:lvlText w:val="%1."/>
      <w:numFmt w:val="decimal"/>
      <w:start w:val="12"/>
    </w:lvl>
  </w:abstractNum>
  <w:abstractNum w:abstractNumId="146">
    <w:nsid w:val="49C0E823"/>
    <w:multiLevelType w:val="hybridMultilevel"/>
    <w:lvl w:ilvl="0">
      <w:lvlJc w:val="left"/>
      <w:lvlText w:val="%1."/>
      <w:numFmt w:val="decimal"/>
      <w:start w:val="13"/>
    </w:lvl>
    <w:lvl w:ilvl="1">
      <w:lvlJc w:val="left"/>
      <w:lvlText w:val="(%2)"/>
      <w:numFmt w:val="lowerLetter"/>
      <w:start w:val="1"/>
    </w:lvl>
  </w:abstractNum>
  <w:abstractNum w:abstractNumId="147">
    <w:nsid w:val="14D53685"/>
    <w:multiLevelType w:val="hybridMultilevel"/>
    <w:lvl w:ilvl="0">
      <w:lvlJc w:val="left"/>
      <w:lvlText w:val="%1"/>
      <w:numFmt w:val="decimal"/>
      <w:start w:val="1"/>
    </w:lvl>
    <w:lvl w:ilvl="1">
      <w:lvlJc w:val="left"/>
      <w:lvlText w:val="(%2)"/>
      <w:numFmt w:val="lowerLetter"/>
      <w:start w:val="5"/>
    </w:lvl>
  </w:abstractNum>
  <w:abstractNum w:abstractNumId="148">
    <w:nsid w:val="230F856C"/>
    <w:multiLevelType w:val="hybridMultilevel"/>
    <w:lvl w:ilvl="0">
      <w:lvlJc w:val="left"/>
      <w:lvlText w:val="%1."/>
      <w:numFmt w:val="decimal"/>
      <w:start w:val="14"/>
    </w:lvl>
    <w:lvl w:ilvl="1">
      <w:lvlJc w:val="left"/>
      <w:lvlText w:val="%2"/>
      <w:numFmt w:val="lowerLetter"/>
      <w:start w:val="1"/>
    </w:lvl>
  </w:abstractNum>
  <w:abstractNum w:abstractNumId="149">
    <w:nsid w:val="6EAA85FB"/>
    <w:multiLevelType w:val="hybridMultilevel"/>
    <w:lvl w:ilvl="0">
      <w:lvlJc w:val="left"/>
      <w:lvlText w:val="%1."/>
      <w:numFmt w:val="decimal"/>
      <w:start w:val="15"/>
    </w:lvl>
  </w:abstractNum>
  <w:abstractNum w:abstractNumId="150">
    <w:nsid w:val="3F06ECB2"/>
    <w:multiLevelType w:val="hybridMultilevel"/>
    <w:lvl w:ilvl="0">
      <w:lvlJc w:val="left"/>
      <w:lvlText w:val="%1."/>
      <w:numFmt w:val="decimal"/>
      <w:start w:val="18"/>
    </w:lvl>
  </w:abstractNum>
  <w:abstractNum w:abstractNumId="151">
    <w:nsid w:val="3B594807"/>
    <w:multiLevelType w:val="hybridMultilevel"/>
    <w:lvl w:ilvl="0">
      <w:lvlJc w:val="left"/>
      <w:lvlText w:val="%1."/>
      <w:numFmt w:val="decimal"/>
      <w:start w:val="21"/>
    </w:lvl>
    <w:lvl w:ilvl="1">
      <w:lvlJc w:val="left"/>
      <w:lvlText w:val="(%2)"/>
      <w:numFmt w:val="lowerLetter"/>
      <w:start w:val="1"/>
    </w:lvl>
  </w:abstractNum>
  <w:abstractNum w:abstractNumId="152">
    <w:nsid w:val="6CAA2304"/>
    <w:multiLevelType w:val="hybridMultilevel"/>
    <w:lvl w:ilvl="0">
      <w:lvlJc w:val="left"/>
      <w:lvlText w:val="%1"/>
      <w:numFmt w:val="decimal"/>
      <w:start w:val="1"/>
    </w:lvl>
    <w:lvl w:ilvl="1">
      <w:lvlJc w:val="left"/>
      <w:lvlText w:val="(%2)"/>
      <w:numFmt w:val="lowerLetter"/>
      <w:start w:val="4"/>
    </w:lvl>
  </w:abstractNum>
  <w:abstractNum w:abstractNumId="153">
    <w:nsid w:val="3F7C2FF4"/>
    <w:multiLevelType w:val="hybridMultilevel"/>
    <w:lvl w:ilvl="0">
      <w:lvlJc w:val="left"/>
      <w:lvlText w:val="%1."/>
      <w:numFmt w:val="decimal"/>
      <w:start w:val="25"/>
    </w:lvl>
    <w:lvl w:ilvl="1">
      <w:lvlJc w:val="left"/>
      <w:lvlText w:val="%2"/>
      <w:numFmt w:val="lowerLetter"/>
      <w:start w:val="1"/>
    </w:lvl>
  </w:abstractNum>
  <w:abstractNum w:abstractNumId="154">
    <w:nsid w:val="25413BEC"/>
    <w:multiLevelType w:val="hybridMultilevel"/>
    <w:lvl w:ilvl="0">
      <w:lvlJc w:val="left"/>
      <w:lvlText w:val="%1."/>
      <w:numFmt w:val="decimal"/>
      <w:start w:val="1"/>
    </w:lvl>
  </w:abstractNum>
  <w:abstractNum w:abstractNumId="155">
    <w:nsid w:val="17180B0B"/>
    <w:multiLevelType w:val="hybridMultilevel"/>
    <w:lvl w:ilvl="0">
      <w:lvlJc w:val="left"/>
      <w:lvlText w:val="%1."/>
      <w:numFmt w:val="decimal"/>
      <w:start w:val="1"/>
    </w:lvl>
    <w:lvl w:ilvl="1">
      <w:lvlJc w:val="left"/>
      <w:lvlText w:val="(%2)"/>
      <w:numFmt w:val="lowerLetter"/>
      <w:start w:val="1"/>
    </w:lvl>
  </w:abstractNum>
  <w:abstractNum w:abstractNumId="156">
    <w:nsid w:val="579328B9"/>
    <w:multiLevelType w:val="hybridMultilevel"/>
    <w:lvl w:ilvl="0">
      <w:lvlJc w:val="left"/>
      <w:lvlText w:val="%1."/>
      <w:numFmt w:val="decimal"/>
      <w:start w:val="1"/>
    </w:lvl>
    <w:lvl w:ilvl="1">
      <w:lvlJc w:val="left"/>
      <w:lvlText w:val="(%2)"/>
      <w:numFmt w:val="lowerLetter"/>
      <w:start w:val="1"/>
    </w:lvl>
  </w:abstractNum>
  <w:abstractNum w:abstractNumId="157">
    <w:nsid w:val="5D205E20"/>
    <w:multiLevelType w:val="hybridMultilevel"/>
    <w:lvl w:ilvl="0">
      <w:lvlJc w:val="left"/>
      <w:lvlText w:val="%1."/>
      <w:numFmt w:val="decimal"/>
      <w:start w:val="1"/>
    </w:lvl>
  </w:abstractNum>
  <w:abstractNum w:abstractNumId="158">
    <w:nsid w:val="11CCA8B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2019-12-06T09:32:51Z</dcterms:created>
  <dcterms:modified xsi:type="dcterms:W3CDTF">2019-12-06T09:32:51Z</dcterms:modified>
</cp:coreProperties>
</file>