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36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June 30, 2011</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620" w:val="left"/>
          <w:tab w:leader="none" w:pos="5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668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6825" cy="8890"/>
                    </a:xfrm>
                    <a:prstGeom prst="rect">
                      <a:avLst/>
                    </a:prstGeom>
                    <a:noFill/>
                  </pic:spPr>
                </pic:pic>
              </a:graphicData>
            </a:graphic>
          </wp:anchor>
        </w:drawing>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000-50865</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MannKind Corporation</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300" w:type="dxa"/>
        <w:tblCellMar>
          <w:top w:w="0" w:type="dxa"/>
          <w:left w:w="0" w:type="dxa"/>
          <w:bottom w:w="0" w:type="dxa"/>
          <w:right w:w="0" w:type="dxa"/>
        </w:tblCellMar>
      </w:tblPr>
      <w:tr>
        <w:trPr>
          <w:trHeight w:val="220"/>
        </w:trPr>
        <w:tc>
          <w:tcPr>
            <w:tcW w:w="4780" w:type="dxa"/>
            <w:vAlign w:val="bottom"/>
          </w:tcPr>
          <w:p>
            <w:pPr>
              <w:jc w:val="center"/>
              <w:ind w:right="1850"/>
              <w:spacing w:after="0"/>
              <w:rPr>
                <w:sz w:val="20"/>
                <w:szCs w:val="20"/>
                <w:color w:val="auto"/>
              </w:rPr>
            </w:pPr>
            <w:r>
              <w:rPr>
                <w:rFonts w:ascii="Arial" w:cs="Arial" w:eastAsia="Arial" w:hAnsi="Arial"/>
                <w:sz w:val="18"/>
                <w:szCs w:val="18"/>
                <w:b w:val="1"/>
                <w:bCs w:val="1"/>
                <w:color w:val="auto"/>
                <w:w w:val="91"/>
              </w:rPr>
              <w:t>Delaware</w:t>
            </w:r>
          </w:p>
        </w:tc>
        <w:tc>
          <w:tcPr>
            <w:tcW w:w="3300" w:type="dxa"/>
            <w:vAlign w:val="bottom"/>
          </w:tcPr>
          <w:p>
            <w:pPr>
              <w:jc w:val="right"/>
              <w:ind w:right="150"/>
              <w:spacing w:after="0"/>
              <w:rPr>
                <w:sz w:val="20"/>
                <w:szCs w:val="20"/>
                <w:color w:val="auto"/>
              </w:rPr>
            </w:pPr>
            <w:r>
              <w:rPr>
                <w:rFonts w:ascii="Arial" w:cs="Arial" w:eastAsia="Arial" w:hAnsi="Arial"/>
                <w:sz w:val="18"/>
                <w:szCs w:val="18"/>
                <w:b w:val="1"/>
                <w:bCs w:val="1"/>
                <w:color w:val="auto"/>
              </w:rPr>
              <w:t>13-3607736</w:t>
            </w:r>
          </w:p>
        </w:tc>
      </w:tr>
      <w:tr>
        <w:trPr>
          <w:trHeight w:val="216"/>
        </w:trPr>
        <w:tc>
          <w:tcPr>
            <w:tcW w:w="4780" w:type="dxa"/>
            <w:vAlign w:val="bottom"/>
          </w:tcPr>
          <w:p>
            <w:pPr>
              <w:jc w:val="center"/>
              <w:ind w:right="1910"/>
              <w:spacing w:after="0"/>
              <w:rPr>
                <w:sz w:val="20"/>
                <w:szCs w:val="20"/>
                <w:color w:val="auto"/>
              </w:rPr>
            </w:pPr>
            <w:r>
              <w:rPr>
                <w:rFonts w:ascii="Arial" w:cs="Arial" w:eastAsia="Arial" w:hAnsi="Arial"/>
                <w:sz w:val="18"/>
                <w:szCs w:val="18"/>
                <w:i w:val="1"/>
                <w:iCs w:val="1"/>
                <w:color w:val="auto"/>
                <w:w w:val="93"/>
              </w:rPr>
              <w:t>(State or other jurisdiction of</w:t>
            </w:r>
          </w:p>
        </w:tc>
        <w:tc>
          <w:tcPr>
            <w:tcW w:w="3300" w:type="dxa"/>
            <w:vAlign w:val="bottom"/>
          </w:tcPr>
          <w:p>
            <w:pPr>
              <w:jc w:val="center"/>
              <w:ind w:left="18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4780" w:type="dxa"/>
            <w:vAlign w:val="bottom"/>
          </w:tcPr>
          <w:p>
            <w:pPr>
              <w:jc w:val="center"/>
              <w:ind w:right="1870"/>
              <w:spacing w:after="0"/>
              <w:rPr>
                <w:sz w:val="20"/>
                <w:szCs w:val="20"/>
                <w:color w:val="auto"/>
              </w:rPr>
            </w:pPr>
            <w:r>
              <w:rPr>
                <w:rFonts w:ascii="Arial" w:cs="Arial" w:eastAsia="Arial" w:hAnsi="Arial"/>
                <w:sz w:val="18"/>
                <w:szCs w:val="18"/>
                <w:i w:val="1"/>
                <w:iCs w:val="1"/>
                <w:color w:val="auto"/>
                <w:w w:val="94"/>
              </w:rPr>
              <w:t>incorporation or organization)</w:t>
            </w:r>
          </w:p>
        </w:tc>
        <w:tc>
          <w:tcPr>
            <w:tcW w:w="3300" w:type="dxa"/>
            <w:vAlign w:val="bottom"/>
          </w:tcPr>
          <w:p>
            <w:pPr>
              <w:jc w:val="center"/>
              <w:ind w:left="1870"/>
              <w:spacing w:after="0"/>
              <w:rPr>
                <w:sz w:val="20"/>
                <w:szCs w:val="20"/>
                <w:color w:val="auto"/>
              </w:rPr>
            </w:pPr>
            <w:r>
              <w:rPr>
                <w:rFonts w:ascii="Arial" w:cs="Arial" w:eastAsia="Arial" w:hAnsi="Arial"/>
                <w:sz w:val="18"/>
                <w:szCs w:val="18"/>
                <w:i w:val="1"/>
                <w:iCs w:val="1"/>
                <w:color w:val="auto"/>
                <w:w w:val="95"/>
              </w:rPr>
              <w:t>Identification No.)</w:t>
            </w:r>
          </w:p>
        </w:tc>
      </w:tr>
      <w:tr>
        <w:trPr>
          <w:trHeight w:val="414"/>
        </w:trPr>
        <w:tc>
          <w:tcPr>
            <w:tcW w:w="4780" w:type="dxa"/>
            <w:vAlign w:val="bottom"/>
          </w:tcPr>
          <w:p>
            <w:pPr>
              <w:jc w:val="center"/>
              <w:ind w:right="1890"/>
              <w:spacing w:after="0"/>
              <w:rPr>
                <w:sz w:val="20"/>
                <w:szCs w:val="20"/>
                <w:color w:val="auto"/>
              </w:rPr>
            </w:pPr>
            <w:r>
              <w:rPr>
                <w:rFonts w:ascii="Arial" w:cs="Arial" w:eastAsia="Arial" w:hAnsi="Arial"/>
                <w:sz w:val="18"/>
                <w:szCs w:val="18"/>
                <w:b w:val="1"/>
                <w:bCs w:val="1"/>
                <w:color w:val="auto"/>
                <w:w w:val="90"/>
              </w:rPr>
              <w:t>28903 North Avenue Paine</w:t>
            </w:r>
          </w:p>
        </w:tc>
        <w:tc>
          <w:tcPr>
            <w:tcW w:w="3300" w:type="dxa"/>
            <w:vAlign w:val="bottom"/>
          </w:tcPr>
          <w:p>
            <w:pPr>
              <w:jc w:val="right"/>
              <w:ind w:right="350"/>
              <w:spacing w:after="0"/>
              <w:rPr>
                <w:sz w:val="20"/>
                <w:szCs w:val="20"/>
                <w:color w:val="auto"/>
              </w:rPr>
            </w:pPr>
            <w:r>
              <w:rPr>
                <w:rFonts w:ascii="Arial" w:cs="Arial" w:eastAsia="Arial" w:hAnsi="Arial"/>
                <w:sz w:val="18"/>
                <w:szCs w:val="18"/>
                <w:b w:val="1"/>
                <w:bCs w:val="1"/>
                <w:color w:val="auto"/>
              </w:rPr>
              <w:t>91355</w:t>
            </w:r>
          </w:p>
        </w:tc>
      </w:tr>
      <w:tr>
        <w:trPr>
          <w:trHeight w:val="220"/>
        </w:trPr>
        <w:tc>
          <w:tcPr>
            <w:tcW w:w="4780" w:type="dxa"/>
            <w:vAlign w:val="bottom"/>
          </w:tcPr>
          <w:p>
            <w:pPr>
              <w:jc w:val="center"/>
              <w:ind w:right="1870"/>
              <w:spacing w:after="0"/>
              <w:rPr>
                <w:sz w:val="20"/>
                <w:szCs w:val="20"/>
                <w:color w:val="auto"/>
              </w:rPr>
            </w:pPr>
            <w:r>
              <w:rPr>
                <w:rFonts w:ascii="Arial" w:cs="Arial" w:eastAsia="Arial" w:hAnsi="Arial"/>
                <w:sz w:val="18"/>
                <w:szCs w:val="18"/>
                <w:b w:val="1"/>
                <w:bCs w:val="1"/>
                <w:color w:val="auto"/>
                <w:w w:val="92"/>
              </w:rPr>
              <w:t>Valencia, California</w:t>
            </w:r>
          </w:p>
        </w:tc>
        <w:tc>
          <w:tcPr>
            <w:tcW w:w="3300" w:type="dxa"/>
            <w:vAlign w:val="bottom"/>
          </w:tcPr>
          <w:p>
            <w:pPr>
              <w:jc w:val="center"/>
              <w:ind w:left="1870"/>
              <w:spacing w:after="0"/>
              <w:rPr>
                <w:sz w:val="20"/>
                <w:szCs w:val="20"/>
                <w:color w:val="auto"/>
              </w:rPr>
            </w:pPr>
            <w:r>
              <w:rPr>
                <w:rFonts w:ascii="Arial" w:cs="Arial" w:eastAsia="Arial" w:hAnsi="Arial"/>
                <w:sz w:val="18"/>
                <w:szCs w:val="18"/>
                <w:i w:val="1"/>
                <w:iCs w:val="1"/>
                <w:color w:val="auto"/>
                <w:w w:val="91"/>
              </w:rPr>
              <w:t>(Zip Code)</w:t>
            </w:r>
          </w:p>
        </w:tc>
      </w:tr>
      <w:tr>
        <w:trPr>
          <w:trHeight w:val="230"/>
        </w:trPr>
        <w:tc>
          <w:tcPr>
            <w:tcW w:w="4780" w:type="dxa"/>
            <w:vAlign w:val="bottom"/>
          </w:tcPr>
          <w:p>
            <w:pPr>
              <w:jc w:val="center"/>
              <w:ind w:right="187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300" w:type="dxa"/>
            <w:vAlign w:val="bottom"/>
          </w:tcPr>
          <w:p>
            <w:pPr>
              <w:spacing w:after="0"/>
              <w:rPr>
                <w:sz w:val="20"/>
                <w:szCs w:val="20"/>
                <w:color w:val="auto"/>
              </w:rPr>
            </w:pPr>
          </w:p>
        </w:tc>
      </w:tr>
    </w:tbl>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(661) 775-5300</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Registrant’s telephone number, including area code)</w:t>
      </w:r>
    </w:p>
    <w:p>
      <w:pPr>
        <w:spacing w:after="0" w:line="103" w:lineRule="exact"/>
        <w:rPr>
          <w:sz w:val="20"/>
          <w:szCs w:val="20"/>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122" w:right="279" w:bottom="1440" w:gutter="0" w:footer="0" w:header="0"/>
        </w:sectPr>
      </w:pPr>
    </w:p>
    <w:p>
      <w:pPr>
        <w:spacing w:after="0" w:line="14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440" w:space="720"/>
            <w:col w:w="1460" w:space="720"/>
            <w:col w:w="3340" w:space="460"/>
            <w:col w:w="2240"/>
          </w:cols>
          <w:pgMar w:left="240" w:top="122" w:right="279" w:bottom="1440" w:gutter="0" w:footer="0" w:header="0"/>
          <w:type w:val="continuous"/>
        </w:sect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o No </w:t>
      </w:r>
      <w:r>
        <w:rPr>
          <w:rFonts w:ascii="MS PGothic" w:cs="MS PGothic" w:eastAsia="MS PGothic" w:hAnsi="MS PGothic"/>
          <w:sz w:val="17"/>
          <w:szCs w:val="17"/>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As of July 22, 2011, there were 130,969,041 shares of the registrant’s common stock, $.01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type w:val="continuous"/>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MANNKIND CORPORATION</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2011</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Borders>
              <w:bottom w:val="single" w:sz="8" w:color="0000EE"/>
            </w:tcBorders>
            <w:gridSpan w:val="15"/>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6860" w:type="dxa"/>
            <w:vAlign w:val="bottom"/>
            <w:gridSpan w:val="7"/>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9760" w:type="dxa"/>
            <w:vAlign w:val="bottom"/>
            <w:gridSpan w:val="2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9760" w:type="dxa"/>
            <w:vAlign w:val="bottom"/>
            <w:gridSpan w:val="2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June 30, 2011 and December 31, 2010</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976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Three and Six months ended June 30, 2011 and 2010 and the period from inception</w:t>
              </w:r>
            </w:hyperlink>
          </w:p>
        </w:tc>
        <w:tc>
          <w:tcPr>
            <w:tcW w:w="156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40" w:type="dxa"/>
            <w:vAlign w:val="bottom"/>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(February 14, 1991) to June 30, 2011</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9760" w:type="dxa"/>
            <w:vAlign w:val="bottom"/>
            <w:gridSpan w:val="22"/>
          </w:tcPr>
          <w:p>
            <w:pPr>
              <w:spacing w:after="0" w:line="196"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Condensed Consolidated Statements of Cash Flows: Six months ended June 30, 2011 and 2010 and the period from inception</w:t>
              </w:r>
            </w:hyperlink>
          </w:p>
        </w:tc>
        <w:tc>
          <w:tcPr>
            <w:tcW w:w="1560" w:type="dxa"/>
            <w:vAlign w:val="bottom"/>
          </w:tcPr>
          <w:p>
            <w:pPr>
              <w:spacing w:after="0"/>
              <w:rPr>
                <w:sz w:val="17"/>
                <w:szCs w:val="17"/>
                <w:color w:val="auto"/>
              </w:rPr>
            </w:pPr>
          </w:p>
        </w:tc>
      </w:tr>
      <w:tr>
        <w:trPr>
          <w:trHeight w:val="196"/>
        </w:trPr>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8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(February 14, 1991) to June 30, 2011</w:t>
              </w:r>
            </w:hyperlink>
          </w:p>
        </w:tc>
        <w:tc>
          <w:tcPr>
            <w:tcW w:w="720" w:type="dxa"/>
            <w:vAlign w:val="bottom"/>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9760" w:type="dxa"/>
            <w:vAlign w:val="bottom"/>
            <w:gridSpan w:val="2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9760" w:type="dxa"/>
            <w:vAlign w:val="bottom"/>
            <w:gridSpan w:val="22"/>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Item 2. Management’s Discussion and Analysis of Financial Condition and Results of Operations</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494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2740" w:type="dxa"/>
            <w:vAlign w:val="bottom"/>
            <w:gridSpan w:val="2"/>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3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Item 4. Controls and Procedures</w:t>
              </w:r>
            </w:hyperlink>
          </w:p>
        </w:tc>
        <w:tc>
          <w:tcPr>
            <w:tcW w:w="7420" w:type="dxa"/>
            <w:vAlign w:val="bottom"/>
            <w:gridSpan w:val="11"/>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9760" w:type="dxa"/>
            <w:vAlign w:val="bottom"/>
            <w:gridSpan w:val="22"/>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PART II: OTHER INFORMATION</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9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4"/>
          </w:tcPr>
          <w:p>
            <w:pPr>
              <w:spacing w:after="0"/>
              <w:rPr>
                <w:sz w:val="17"/>
                <w:szCs w:val="17"/>
                <w:color w:val="auto"/>
              </w:rPr>
            </w:pPr>
          </w:p>
        </w:tc>
        <w:tc>
          <w:tcPr>
            <w:tcW w:w="7180" w:type="dxa"/>
            <w:vAlign w:val="bottom"/>
            <w:gridSpan w:val="9"/>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6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Item 1A. Risk Factors</w:t>
              </w:r>
            </w:hyperlink>
          </w:p>
        </w:tc>
        <w:tc>
          <w:tcPr>
            <w:tcW w:w="8160" w:type="dxa"/>
            <w:vAlign w:val="bottom"/>
            <w:gridSpan w:val="15"/>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492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Item 2. Unregistered Sales of Equity Securities and Use of Proceeds</w:t>
              </w:r>
            </w:hyperlink>
          </w:p>
        </w:tc>
        <w:tc>
          <w:tcPr>
            <w:tcW w:w="4840" w:type="dxa"/>
            <w:vAlign w:val="bottom"/>
            <w:gridSpan w:val="5"/>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9760" w:type="dxa"/>
            <w:vAlign w:val="bottom"/>
            <w:gridSpan w:val="22"/>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Item 3. Defaults Upon Senior Securities</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24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Item 4. (Removed and Reserved)</w:t>
              </w:r>
            </w:hyperlink>
          </w:p>
        </w:tc>
        <w:tc>
          <w:tcPr>
            <w:tcW w:w="480" w:type="dxa"/>
            <w:vAlign w:val="bottom"/>
            <w:tcBorders>
              <w:top w:val="single" w:sz="8" w:color="0000EE"/>
            </w:tcBorders>
            <w:gridSpan w:val="2"/>
          </w:tcPr>
          <w:p>
            <w:pPr>
              <w:spacing w:after="0"/>
              <w:rPr>
                <w:sz w:val="17"/>
                <w:szCs w:val="17"/>
                <w:color w:val="auto"/>
              </w:rPr>
            </w:pPr>
          </w:p>
        </w:tc>
        <w:tc>
          <w:tcPr>
            <w:tcW w:w="6880" w:type="dxa"/>
            <w:vAlign w:val="bottom"/>
            <w:gridSpan w:val="8"/>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188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Item 5. Other Information</w:t>
              </w:r>
            </w:hyperlink>
          </w:p>
        </w:tc>
        <w:tc>
          <w:tcPr>
            <w:tcW w:w="7880" w:type="dxa"/>
            <w:vAlign w:val="bottom"/>
            <w:gridSpan w:val="14"/>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9760" w:type="dxa"/>
            <w:vAlign w:val="bottom"/>
            <w:gridSpan w:val="22"/>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Item 6. Exhibits</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1160" w:type="dxa"/>
            <w:vAlign w:val="bottom"/>
            <w:tcBorders>
              <w:top w:val="single" w:sz="8" w:color="0000EE"/>
            </w:tcBorders>
            <w:gridSpan w:val="6"/>
          </w:tcPr>
          <w:p>
            <w:pPr>
              <w:spacing w:after="0" w:line="196" w:lineRule="exact"/>
              <w:rPr>
                <w:rFonts w:ascii="Arial" w:cs="Arial" w:eastAsia="Arial" w:hAnsi="Arial"/>
                <w:sz w:val="18"/>
                <w:szCs w:val="18"/>
                <w:color w:val="0000EE"/>
                <w:w w:val="97"/>
              </w:rPr>
            </w:pPr>
            <w:hyperlink w:anchor="page44">
              <w:r>
                <w:rPr>
                  <w:rFonts w:ascii="Arial" w:cs="Arial" w:eastAsia="Arial" w:hAnsi="Arial"/>
                  <w:sz w:val="18"/>
                  <w:szCs w:val="18"/>
                  <w:color w:val="0000EE"/>
                  <w:w w:val="97"/>
                </w:rPr>
                <w:t>SIGNATURES</w:t>
              </w:r>
            </w:hyperlink>
          </w:p>
        </w:tc>
        <w:tc>
          <w:tcPr>
            <w:tcW w:w="8600" w:type="dxa"/>
            <w:vAlign w:val="bottom"/>
            <w:gridSpan w:val="16"/>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6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EX-3.4</w:t>
            </w:r>
          </w:p>
        </w:tc>
        <w:tc>
          <w:tcPr>
            <w:tcW w:w="8660" w:type="dxa"/>
            <w:vAlign w:val="bottom"/>
            <w:gridSpan w:val="17"/>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100" w:type="dxa"/>
            <w:vAlign w:val="bottom"/>
            <w:gridSpan w:val="18"/>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EX-10.2</w:t>
            </w:r>
          </w:p>
        </w:tc>
        <w:tc>
          <w:tcPr>
            <w:tcW w:w="9100" w:type="dxa"/>
            <w:vAlign w:val="bottom"/>
            <w:gridSpan w:val="18"/>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EX-10.3</w:t>
            </w:r>
          </w:p>
        </w:tc>
        <w:tc>
          <w:tcPr>
            <w:tcW w:w="9100" w:type="dxa"/>
            <w:vAlign w:val="bottom"/>
            <w:gridSpan w:val="18"/>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EX-31.1</w:t>
            </w:r>
          </w:p>
        </w:tc>
        <w:tc>
          <w:tcPr>
            <w:tcW w:w="9100" w:type="dxa"/>
            <w:vAlign w:val="bottom"/>
            <w:gridSpan w:val="18"/>
          </w:tcPr>
          <w:p>
            <w:pPr>
              <w:spacing w:after="0"/>
              <w:rPr>
                <w:sz w:val="17"/>
                <w:szCs w:val="17"/>
                <w:color w:val="auto"/>
              </w:rPr>
            </w:pPr>
          </w:p>
        </w:tc>
        <w:tc>
          <w:tcPr>
            <w:tcW w:w="1560" w:type="dxa"/>
            <w:vAlign w:val="bottom"/>
          </w:tcPr>
          <w:p>
            <w:pPr>
              <w:spacing w:after="0"/>
              <w:rPr>
                <w:sz w:val="17"/>
                <w:szCs w:val="17"/>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10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AFREZZA</w:t>
      </w:r>
      <w:r>
        <w:rPr>
          <w:rFonts w:ascii="Arial" w:cs="Arial" w:eastAsia="Arial" w:hAnsi="Arial"/>
          <w:sz w:val="15"/>
          <w:szCs w:val="15"/>
          <w:color w:val="auto"/>
        </w:rPr>
        <w:t>®</w:t>
      </w:r>
      <w:r>
        <w:rPr>
          <w:rFonts w:ascii="Arial" w:cs="Arial" w:eastAsia="Arial" w:hAnsi="Arial"/>
          <w:sz w:val="18"/>
          <w:szCs w:val="18"/>
          <w:color w:val="auto"/>
        </w:rPr>
        <w:t>, MedTone</w:t>
      </w:r>
      <w:r>
        <w:rPr>
          <w:rFonts w:ascii="Arial" w:cs="Arial" w:eastAsia="Arial" w:hAnsi="Arial"/>
          <w:sz w:val="15"/>
          <w:szCs w:val="15"/>
          <w:color w:val="auto"/>
        </w:rPr>
        <w:t>®</w:t>
      </w:r>
      <w:r>
        <w:rPr>
          <w:rFonts w:ascii="Arial" w:cs="Arial" w:eastAsia="Arial" w:hAnsi="Arial"/>
          <w:sz w:val="18"/>
          <w:szCs w:val="18"/>
          <w:color w:val="auto"/>
        </w:rPr>
        <w:t xml:space="preserve"> and Technosphere</w:t>
      </w:r>
      <w:r>
        <w:rPr>
          <w:rFonts w:ascii="Arial" w:cs="Arial" w:eastAsia="Arial" w:hAnsi="Arial"/>
          <w:sz w:val="15"/>
          <w:szCs w:val="15"/>
          <w:color w:val="auto"/>
        </w:rPr>
        <w:t>®</w:t>
      </w:r>
      <w:r>
        <w:rPr>
          <w:rFonts w:ascii="Arial" w:cs="Arial" w:eastAsia="Arial" w:hAnsi="Arial"/>
          <w:sz w:val="18"/>
          <w:szCs w:val="18"/>
          <w:color w:val="auto"/>
        </w:rPr>
        <w:t xml:space="preserve"> are our registered trademarks in the United States. We have also applied for and have registered company trademarks in other jurisdictions, including Europe and Japan.</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20" w:type="dxa"/>
            <w:vAlign w:val="bottom"/>
          </w:tcPr>
          <w:p>
            <w:pPr>
              <w:spacing w:after="0"/>
              <w:rPr>
                <w:sz w:val="14"/>
                <w:szCs w:val="14"/>
                <w:color w:val="auto"/>
              </w:rPr>
            </w:pPr>
          </w:p>
        </w:tc>
        <w:tc>
          <w:tcPr>
            <w:tcW w:w="12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2"/>
              </w:rPr>
              <w:t>June 30, 2011</w:t>
            </w:r>
          </w:p>
        </w:tc>
        <w:tc>
          <w:tcPr>
            <w:tcW w:w="15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37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24,770</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66,061</w:t>
            </w:r>
          </w:p>
        </w:tc>
        <w:tc>
          <w:tcPr>
            <w:tcW w:w="0" w:type="dxa"/>
            <w:vAlign w:val="bottom"/>
          </w:tcPr>
          <w:p>
            <w:pPr>
              <w:spacing w:after="0"/>
              <w:rPr>
                <w:sz w:val="1"/>
                <w:szCs w:val="1"/>
                <w:color w:val="auto"/>
              </w:rPr>
            </w:pPr>
          </w:p>
        </w:tc>
      </w:tr>
      <w:tr>
        <w:trPr>
          <w:trHeight w:val="216"/>
        </w:trPr>
        <w:tc>
          <w:tcPr>
            <w:tcW w:w="862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497</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4,370</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research and development credit exchange receivable — current</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23"/>
        </w:trPr>
        <w:tc>
          <w:tcPr>
            <w:tcW w:w="862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26,860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73,954</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Property and equipment — net</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200,383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202,356</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State research and development credit exchange receivable — net of current portion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228,358</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277,256</w:t>
            </w:r>
          </w:p>
        </w:tc>
        <w:tc>
          <w:tcPr>
            <w:tcW w:w="0" w:type="dxa"/>
            <w:vAlign w:val="bottom"/>
          </w:tcPr>
          <w:p>
            <w:pPr>
              <w:spacing w:after="0"/>
              <w:rPr>
                <w:sz w:val="1"/>
                <w:szCs w:val="1"/>
                <w:color w:val="auto"/>
              </w:rPr>
            </w:pPr>
          </w:p>
        </w:tc>
      </w:tr>
      <w:tr>
        <w:trPr>
          <w:trHeight w:val="20"/>
        </w:trPr>
        <w:tc>
          <w:tcPr>
            <w:tcW w:w="8620" w:type="dxa"/>
            <w:vAlign w:val="bottom"/>
            <w:vMerge w:val="restart"/>
          </w:tcPr>
          <w:p>
            <w:pPr>
              <w:ind w:left="2080"/>
              <w:spacing w:after="0"/>
              <w:rPr>
                <w:sz w:val="20"/>
                <w:szCs w:val="20"/>
                <w:color w:val="auto"/>
              </w:rPr>
            </w:pPr>
            <w:r>
              <w:rPr>
                <w:rFonts w:ascii="Arial" w:cs="Arial" w:eastAsia="Arial" w:hAnsi="Arial"/>
                <w:sz w:val="18"/>
                <w:szCs w:val="18"/>
                <w:b w:val="1"/>
                <w:bCs w:val="1"/>
                <w:color w:val="auto"/>
              </w:rPr>
              <w:t>LIABILITIES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1,600</w:t>
            </w:r>
          </w:p>
        </w:tc>
        <w:tc>
          <w:tcPr>
            <w:tcW w:w="320" w:type="dxa"/>
            <w:vAlign w:val="bottom"/>
          </w:tcPr>
          <w:p>
            <w:pPr>
              <w:spacing w:after="0"/>
              <w:rPr>
                <w:sz w:val="18"/>
                <w:szCs w:val="18"/>
                <w:color w:val="auto"/>
              </w:rPr>
            </w:pP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3,294</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19,958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14,840</w:t>
            </w:r>
          </w:p>
        </w:tc>
        <w:tc>
          <w:tcPr>
            <w:tcW w:w="0" w:type="dxa"/>
            <w:vAlign w:val="bottom"/>
          </w:tcPr>
          <w:p>
            <w:pPr>
              <w:spacing w:after="0"/>
              <w:rPr>
                <w:sz w:val="1"/>
                <w:szCs w:val="1"/>
                <w:color w:val="auto"/>
              </w:rPr>
            </w:pPr>
          </w:p>
        </w:tc>
      </w:tr>
      <w:tr>
        <w:trPr>
          <w:trHeight w:val="223"/>
        </w:trPr>
        <w:tc>
          <w:tcPr>
            <w:tcW w:w="862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21,558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Senior convertible notes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209,979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209,335</w:t>
            </w:r>
          </w:p>
        </w:tc>
        <w:tc>
          <w:tcPr>
            <w:tcW w:w="0" w:type="dxa"/>
            <w:vAlign w:val="bottom"/>
          </w:tcPr>
          <w:p>
            <w:pPr>
              <w:spacing w:after="0"/>
              <w:rPr>
                <w:sz w:val="1"/>
                <w:szCs w:val="1"/>
                <w:color w:val="auto"/>
              </w:rPr>
            </w:pP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Note payable to related party</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242,203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473,740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462,788</w:t>
            </w:r>
          </w:p>
        </w:tc>
        <w:tc>
          <w:tcPr>
            <w:tcW w:w="0" w:type="dxa"/>
            <w:vAlign w:val="bottom"/>
          </w:tcPr>
          <w:p>
            <w:pPr>
              <w:spacing w:after="0"/>
              <w:rPr>
                <w:sz w:val="1"/>
                <w:szCs w:val="1"/>
                <w:color w:val="auto"/>
              </w:rPr>
            </w:pP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20" w:type="dxa"/>
            <w:vAlign w:val="bottom"/>
          </w:tcPr>
          <w:p>
            <w:pPr>
              <w:spacing w:after="0" w:line="201" w:lineRule="exact"/>
              <w:rPr>
                <w:sz w:val="20"/>
                <w:szCs w:val="20"/>
                <w:color w:val="auto"/>
              </w:rPr>
            </w:pPr>
            <w:r>
              <w:rPr>
                <w:rFonts w:ascii="Arial" w:cs="Arial" w:eastAsia="Arial" w:hAnsi="Arial"/>
                <w:sz w:val="18"/>
                <w:szCs w:val="18"/>
                <w:color w:val="auto"/>
                <w:w w:val="95"/>
              </w:rPr>
              <w:t>Undesignated preferred stock, $0.01 par value — 10,000,000 shares authorized; no shares issued or outstanding</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220"/>
              <w:spacing w:after="0"/>
              <w:rPr>
                <w:sz w:val="20"/>
                <w:szCs w:val="20"/>
                <w:color w:val="auto"/>
              </w:rPr>
            </w:pPr>
            <w:r>
              <w:rPr>
                <w:rFonts w:ascii="Arial" w:cs="Arial" w:eastAsia="Arial" w:hAnsi="Arial"/>
                <w:sz w:val="18"/>
                <w:szCs w:val="18"/>
                <w:color w:val="auto"/>
              </w:rPr>
              <w:t>at June 30, 2011 and December 31, 2010</w:t>
            </w:r>
          </w:p>
        </w:tc>
        <w:tc>
          <w:tcPr>
            <w:tcW w:w="100" w:type="dxa"/>
            <w:vAlign w:val="bottom"/>
          </w:tcPr>
          <w:p>
            <w:pPr>
              <w:spacing w:after="0"/>
              <w:rPr>
                <w:sz w:val="20"/>
                <w:szCs w:val="20"/>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$0.01 par value — 250,000,000 and 200,000,000 shares authorized at June 30, 2011 and</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December 31, 2010, respectively; 130,905,582 and 127,793,178 shares issued and outstanding at June 30,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2011 and December 31, 2010, respectively</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1,309</w:t>
            </w: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1,614,018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1,587,858</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Deficit accumulated during the development stage</w:t>
            </w:r>
          </w:p>
        </w:tc>
        <w:tc>
          <w:tcPr>
            <w:tcW w:w="10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w w:val="91"/>
              </w:rPr>
              <w:t>(1,860,747)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(1,774,742)</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deficit</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(245,382)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(185,532)</w:t>
            </w:r>
          </w:p>
        </w:tc>
        <w:tc>
          <w:tcPr>
            <w:tcW w:w="0" w:type="dxa"/>
            <w:vAlign w:val="bottom"/>
          </w:tcPr>
          <w:p>
            <w:pPr>
              <w:spacing w:after="0"/>
              <w:rPr>
                <w:sz w:val="1"/>
                <w:szCs w:val="1"/>
                <w:color w:val="auto"/>
              </w:rPr>
            </w:pPr>
          </w:p>
        </w:tc>
      </w:tr>
      <w:tr>
        <w:trPr>
          <w:trHeight w:val="223"/>
        </w:trPr>
        <w:tc>
          <w:tcPr>
            <w:tcW w:w="8620" w:type="dxa"/>
            <w:vAlign w:val="bottom"/>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228,358</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277,256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Cumulative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from 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40" w:type="dxa"/>
            <w:vAlign w:val="bottom"/>
            <w:gridSpan w:val="7"/>
            <w:vMerge w:val="restart"/>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2"/>
                <w:szCs w:val="12"/>
                <w:color w:val="auto"/>
              </w:rPr>
            </w:pPr>
          </w:p>
        </w:tc>
        <w:tc>
          <w:tcPr>
            <w:tcW w:w="2560" w:type="dxa"/>
            <w:vAlign w:val="bottom"/>
            <w:gridSpan w:val="5"/>
            <w:vMerge w:val="restart"/>
          </w:tcPr>
          <w:p>
            <w:pPr>
              <w:jc w:val="right"/>
              <w:ind w:right="104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4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inception)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June 30,</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53"/>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3,131</w:t>
            </w: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30,296</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26,160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4"/>
              <w:spacing w:after="0"/>
              <w:rPr>
                <w:sz w:val="20"/>
                <w:szCs w:val="20"/>
                <w:color w:val="auto"/>
              </w:rPr>
            </w:pPr>
            <w:r>
              <w:rPr>
                <w:rFonts w:ascii="Arial" w:cs="Arial" w:eastAsia="Arial" w:hAnsi="Arial"/>
                <w:sz w:val="18"/>
                <w:szCs w:val="18"/>
                <w:color w:val="auto"/>
              </w:rPr>
              <w:t>56,585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56,651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1,322,677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8,890</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11,196</w:t>
            </w:r>
          </w:p>
        </w:tc>
        <w:tc>
          <w:tcPr>
            <w:tcW w:w="120" w:type="dxa"/>
            <w:vAlign w:val="bottom"/>
          </w:tcPr>
          <w:p>
            <w:pPr>
              <w:spacing w:after="0"/>
              <w:rPr>
                <w:sz w:val="18"/>
                <w:szCs w:val="18"/>
                <w:color w:val="auto"/>
              </w:rPr>
            </w:pPr>
          </w:p>
        </w:tc>
        <w:tc>
          <w:tcPr>
            <w:tcW w:w="1220" w:type="dxa"/>
            <w:vAlign w:val="bottom"/>
            <w:gridSpan w:val="2"/>
          </w:tcPr>
          <w:p>
            <w:pPr>
              <w:jc w:val="right"/>
              <w:ind w:right="544"/>
              <w:spacing w:after="0"/>
              <w:rPr>
                <w:sz w:val="20"/>
                <w:szCs w:val="20"/>
                <w:color w:val="auto"/>
              </w:rPr>
            </w:pPr>
            <w:r>
              <w:rPr>
                <w:rFonts w:ascii="Arial" w:cs="Arial" w:eastAsia="Arial" w:hAnsi="Arial"/>
                <w:sz w:val="18"/>
                <w:szCs w:val="18"/>
                <w:color w:val="auto"/>
              </w:rPr>
              <w:t>20,652</w:t>
            </w:r>
          </w:p>
        </w:tc>
        <w:tc>
          <w:tcPr>
            <w:tcW w:w="1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21,306</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360,253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In-process research and development costs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Goodwill impairment</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39,186</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37,356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4"/>
              <w:spacing w:after="0"/>
              <w:rPr>
                <w:sz w:val="20"/>
                <w:szCs w:val="20"/>
                <w:color w:val="auto"/>
              </w:rPr>
            </w:pPr>
            <w:r>
              <w:rPr>
                <w:rFonts w:ascii="Arial" w:cs="Arial" w:eastAsia="Arial" w:hAnsi="Arial"/>
                <w:sz w:val="18"/>
                <w:szCs w:val="18"/>
                <w:color w:val="auto"/>
              </w:rPr>
              <w:t>77,237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77,957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1,854,084</w:t>
            </w: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(39,186)</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(37,263)</w:t>
            </w: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(77,187)</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(77,864)</w:t>
            </w: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(1,850,953)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(1,257)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(2,047)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Interest expense on note payable to related party</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468"/>
              <w:spacing w:after="0"/>
              <w:rPr>
                <w:sz w:val="20"/>
                <w:szCs w:val="20"/>
                <w:color w:val="auto"/>
              </w:rPr>
            </w:pPr>
            <w:r>
              <w:rPr>
                <w:rFonts w:ascii="Arial" w:cs="Arial" w:eastAsia="Arial" w:hAnsi="Arial"/>
                <w:sz w:val="18"/>
                <w:szCs w:val="18"/>
                <w:color w:val="auto"/>
              </w:rPr>
              <w:t>(2,509)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(2,523)</w:t>
            </w:r>
          </w:p>
        </w:tc>
        <w:tc>
          <w:tcPr>
            <w:tcW w:w="120" w:type="dxa"/>
            <w:vAlign w:val="bottom"/>
          </w:tcPr>
          <w:p>
            <w:pPr>
              <w:spacing w:after="0"/>
              <w:rPr>
                <w:sz w:val="18"/>
                <w:szCs w:val="18"/>
                <w:color w:val="auto"/>
              </w:rPr>
            </w:pPr>
          </w:p>
        </w:tc>
        <w:tc>
          <w:tcPr>
            <w:tcW w:w="1220" w:type="dxa"/>
            <w:vAlign w:val="bottom"/>
            <w:gridSpan w:val="2"/>
          </w:tcPr>
          <w:p>
            <w:pPr>
              <w:jc w:val="right"/>
              <w:ind w:right="484"/>
              <w:spacing w:after="0"/>
              <w:rPr>
                <w:sz w:val="20"/>
                <w:szCs w:val="20"/>
                <w:color w:val="auto"/>
              </w:rPr>
            </w:pPr>
            <w:r>
              <w:rPr>
                <w:rFonts w:ascii="Arial" w:cs="Arial" w:eastAsia="Arial" w:hAnsi="Arial"/>
                <w:sz w:val="18"/>
                <w:szCs w:val="18"/>
                <w:color w:val="auto"/>
              </w:rPr>
              <w:t>(4,985)</w:t>
            </w:r>
          </w:p>
        </w:tc>
        <w:tc>
          <w:tcPr>
            <w:tcW w:w="1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(4,625)</w:t>
            </w: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senior convertible notes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68"/>
              <w:spacing w:after="0"/>
              <w:rPr>
                <w:sz w:val="20"/>
                <w:szCs w:val="20"/>
                <w:color w:val="auto"/>
              </w:rPr>
            </w:pPr>
            <w:r>
              <w:rPr>
                <w:rFonts w:ascii="Arial" w:cs="Arial" w:eastAsia="Arial" w:hAnsi="Arial"/>
                <w:sz w:val="18"/>
                <w:szCs w:val="18"/>
                <w:color w:val="auto"/>
              </w:rPr>
              <w:t>(2,834)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(1,211)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4"/>
              <w:spacing w:after="0"/>
              <w:rPr>
                <w:sz w:val="20"/>
                <w:szCs w:val="20"/>
                <w:color w:val="auto"/>
              </w:rPr>
            </w:pPr>
            <w:r>
              <w:rPr>
                <w:rFonts w:ascii="Arial" w:cs="Arial" w:eastAsia="Arial" w:hAnsi="Arial"/>
                <w:sz w:val="18"/>
                <w:szCs w:val="18"/>
                <w:color w:val="auto"/>
              </w:rPr>
              <w:t>(5,247)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(2,421)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68"/>
              <w:spacing w:after="0"/>
              <w:rPr>
                <w:sz w:val="20"/>
                <w:szCs w:val="20"/>
                <w:color w:val="auto"/>
              </w:rPr>
            </w:pPr>
            <w:r>
              <w:rPr>
                <w:rFonts w:ascii="Arial" w:cs="Arial" w:eastAsia="Arial" w:hAnsi="Arial"/>
                <w:sz w:val="18"/>
                <w:szCs w:val="18"/>
                <w:color w:val="auto"/>
                <w:w w:val="95"/>
              </w:rPr>
              <w:t>(44,480)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(42,251)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4"/>
              <w:spacing w:after="0"/>
              <w:rPr>
                <w:sz w:val="20"/>
                <w:szCs w:val="20"/>
                <w:color w:val="auto"/>
              </w:rPr>
            </w:pPr>
            <w:r>
              <w:rPr>
                <w:rFonts w:ascii="Arial" w:cs="Arial" w:eastAsia="Arial" w:hAnsi="Arial"/>
                <w:sz w:val="18"/>
                <w:szCs w:val="18"/>
                <w:color w:val="auto"/>
                <w:w w:val="95"/>
              </w:rPr>
              <w:t>(86,005)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(86,951)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(1,860,721)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Income taxes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68"/>
              <w:spacing w:after="0"/>
              <w:rPr>
                <w:sz w:val="20"/>
                <w:szCs w:val="20"/>
                <w:color w:val="auto"/>
              </w:rPr>
            </w:pPr>
            <w:r>
              <w:rPr>
                <w:rFonts w:ascii="Arial" w:cs="Arial" w:eastAsia="Arial" w:hAnsi="Arial"/>
                <w:sz w:val="18"/>
                <w:szCs w:val="18"/>
                <w:color w:val="auto"/>
                <w:w w:val="95"/>
              </w:rPr>
              <w:t>(44,480)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(42,251)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4"/>
              <w:spacing w:after="0"/>
              <w:rPr>
                <w:sz w:val="20"/>
                <w:szCs w:val="20"/>
                <w:color w:val="auto"/>
              </w:rPr>
            </w:pPr>
            <w:r>
              <w:rPr>
                <w:rFonts w:ascii="Arial" w:cs="Arial" w:eastAsia="Arial" w:hAnsi="Arial"/>
                <w:sz w:val="18"/>
                <w:szCs w:val="18"/>
                <w:color w:val="auto"/>
                <w:w w:val="95"/>
              </w:rPr>
              <w:t>(86,005)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(86,951)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(1,860,747)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tcPr>
          <w:p>
            <w:pPr>
              <w:spacing w:after="0" w:line="201" w:lineRule="exact"/>
              <w:rPr>
                <w:sz w:val="20"/>
                <w:szCs w:val="20"/>
                <w:color w:val="auto"/>
              </w:rPr>
            </w:pPr>
            <w:r>
              <w:rPr>
                <w:rFonts w:ascii="Arial" w:cs="Arial" w:eastAsia="Arial" w:hAnsi="Arial"/>
                <w:sz w:val="18"/>
                <w:szCs w:val="18"/>
                <w:color w:val="auto"/>
                <w:w w:val="99"/>
              </w:rPr>
              <w:t>Deemed dividend related to beneficial conversion feature</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of convertible preferred stock</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52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54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Accretion on redeemable preferred stock</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(44,480</w:t>
            </w:r>
          </w:p>
        </w:tc>
        <w:tc>
          <w:tcPr>
            <w:tcW w:w="600" w:type="dxa"/>
            <w:vAlign w:val="bottom"/>
            <w:gridSpan w:val="2"/>
          </w:tcPr>
          <w:p>
            <w:pPr>
              <w:jc w:val="right"/>
              <w:ind w:right="468"/>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(42,251</w:t>
            </w:r>
          </w:p>
        </w:tc>
        <w:tc>
          <w:tcPr>
            <w:tcW w:w="620" w:type="dxa"/>
            <w:vAlign w:val="bottom"/>
          </w:tcPr>
          <w:p>
            <w:pPr>
              <w:jc w:val="right"/>
              <w:ind w:right="4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(86,005</w:t>
            </w:r>
          </w:p>
        </w:tc>
        <w:tc>
          <w:tcPr>
            <w:tcW w:w="620" w:type="dxa"/>
            <w:vAlign w:val="bottom"/>
          </w:tcPr>
          <w:p>
            <w:pPr>
              <w:jc w:val="right"/>
              <w:ind w:right="484"/>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(86,951</w:t>
            </w:r>
          </w:p>
        </w:tc>
        <w:tc>
          <w:tcPr>
            <w:tcW w:w="640" w:type="dxa"/>
            <w:vAlign w:val="bottom"/>
          </w:tcPr>
          <w:p>
            <w:pPr>
              <w:jc w:val="right"/>
              <w:ind w:right="50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(1,883,959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8"/>
              </w:rPr>
              <w:t>Net loss per share applicable to common stockholders —</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and diluted</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468"/>
              <w:spacing w:after="0"/>
              <w:rPr>
                <w:sz w:val="20"/>
                <w:szCs w:val="20"/>
                <w:color w:val="auto"/>
              </w:rPr>
            </w:pPr>
            <w:r>
              <w:rPr>
                <w:rFonts w:ascii="Arial" w:cs="Arial" w:eastAsia="Arial" w:hAnsi="Arial"/>
                <w:sz w:val="18"/>
                <w:szCs w:val="18"/>
                <w:color w:val="auto"/>
              </w:rPr>
              <w:t>(0.37)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(0.37)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84"/>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(0.77)</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w w:val="93"/>
              </w:rPr>
              <w:t>Shares used to compute basic and diluted net loss per share</w:t>
            </w: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applicable to common stockholders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121,708</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113,116</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121,385</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113,105</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gridSpan w:val="6"/>
            <w:vMerge w:val="restart"/>
          </w:tcPr>
          <w:p>
            <w:pPr>
              <w:jc w:val="right"/>
              <w:ind w:right="1140"/>
              <w:spacing w:after="0"/>
              <w:rPr>
                <w:sz w:val="20"/>
                <w:szCs w:val="20"/>
                <w:color w:val="auto"/>
              </w:rPr>
            </w:pPr>
            <w:r>
              <w:rPr>
                <w:rFonts w:ascii="Arial" w:cs="Arial" w:eastAsia="Arial" w:hAnsi="Arial"/>
                <w:sz w:val="14"/>
                <w:szCs w:val="14"/>
                <w:b w:val="1"/>
                <w:bCs w:val="1"/>
                <w:color w:val="auto"/>
              </w:rPr>
              <w:t>Six months ended</w:t>
            </w: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gridSpan w:val="6"/>
            <w:vMerge w:val="continue"/>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June 30,</w:t>
            </w: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0"/>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ind w:right="31"/>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(86,005)</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w w:val="89"/>
              </w:rPr>
              <w:t>(86,951)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1"/>
              </w:rPr>
              <w:t>(1,860,747)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8,023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8,607</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104,486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4,701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8,005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Stock expense for shares issued pursuant to research agreement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(Gain) loss on sale, abandonment/disposal or impairment of property and equipment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Accrued interest on investments, net of amortization of discounts</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Goodwill impairment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on available-for-sale securities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600"/>
              <w:spacing w:after="0"/>
              <w:rPr>
                <w:sz w:val="20"/>
                <w:szCs w:val="20"/>
                <w:color w:val="auto"/>
              </w:rPr>
            </w:pPr>
            <w:r>
              <w:rPr>
                <w:rFonts w:ascii="Arial" w:cs="Arial" w:eastAsia="Arial" w:hAnsi="Arial"/>
                <w:sz w:val="18"/>
                <w:szCs w:val="18"/>
                <w:color w:val="auto"/>
              </w:rPr>
              <w:t>State research and development credit exchange receivable</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418</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1,221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60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(3,810)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60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4,574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(3,313)</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18,503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80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(67,447)</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(74,834)</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(1,420,011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(796,779)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Sales and maturities of marketable securities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796,393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(6,109)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(4,052)</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(326,360)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(2,218)</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(4,052)</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(326,399)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Issuance of common stock and warrants</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10,424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1,229,504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Collection of Series C convertible preferred stock subscriptions receivable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Issuance of Series B convertible preferred stock for cash</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for common stock to be issued</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Put shares sold to majority stockholder</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Borrowings under lines of credit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notes receivables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Borrowings on notes payable to related party</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18,000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77,000</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notes payable to principal stockholder</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Borrowings on notes payable</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notes payable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Proceeds from senior convertible notes</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207,050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Payment of employment taxes related to vested restricted stock units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(1,302)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28,374</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77,225</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1,771,180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(41,291)</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66,061</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30,019</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24,770</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28,358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24,770</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FLOWS DISCLOSURES: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Interest paid in cash</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10,136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6,131</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42,285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Accretion on redeemable convertible preferred stock</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Issuance of common stock upon conversion of notes payable</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additional paid-in capital resulting from merger</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Issuance of common stock for notes receivable</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put option by stockholder</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Put option redemption by stockholder</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Series C convertible preferred stock subscriptions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Issuance of Series A redeemable convertible preferred stock</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Conversion of Series A redeemable convertible preferred stock</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Non-cash construction in progress and property and equipment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1,039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Cancellation of principal on note payable to related party</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11,116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27,797</w:t>
            </w: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0" w:gutter="0" w:footer="0" w:header="0"/>
        </w:sectPr>
      </w:pPr>
    </w:p>
    <w:bookmarkStart w:id="6" w:name="page7"/>
    <w:bookmarkEnd w:id="6"/>
    <w:p>
      <w:pPr>
        <w:spacing w:after="0" w:line="277" w:lineRule="auto"/>
        <w:rPr>
          <w:sz w:val="20"/>
          <w:szCs w:val="20"/>
          <w:color w:val="auto"/>
        </w:rPr>
      </w:pPr>
      <w:r>
        <w:rPr>
          <w:rFonts w:ascii="Arial" w:cs="Arial" w:eastAsia="Arial" w:hAnsi="Arial"/>
          <w:sz w:val="18"/>
          <w:szCs w:val="18"/>
          <w:color w:val="auto"/>
        </w:rPr>
        <w:t>In connection with the Company’s initial public offering, all shares of Series B and Series C convertible preferred stock, in the amount of $15.0 million and $50.0 million, respectively, automatically converted into common stock in August 2004.</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8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accompanying unaudited condensed consolidated financial statements of MannKind Corporation and its subsidiaries (the “Company”),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These statements should be read in conjunction with the financial statements and notes thereto included in the Company’s latest audited annual financial statements. The audited statements for the year ended December 31, 2010 are included in the Company’s annual report on Form 10-K for the fiscal year ended December 31, 2010 filed with the SEC on March 16, 2011 (the “Annual Report”).</w:t>
      </w:r>
    </w:p>
    <w:p>
      <w:pPr>
        <w:spacing w:after="0" w:line="8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and six months ended June 30, 2011 may not be indicative of the results that may be expected for the full year.</w:t>
      </w:r>
    </w:p>
    <w:p>
      <w:pPr>
        <w:spacing w:after="0" w:line="73"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or assumptions. The more significant estimates reflected in these accompanying financial statements involve assessing long-lived assets for impairment, accrued expenses, the valuation of stock-based compensation and the determination of the provision for income taxes and corresponding deferred tax assets and liabilities and any valuation allowance recorded against net deferred tax assets.</w:t>
      </w:r>
    </w:p>
    <w:p>
      <w:pPr>
        <w:spacing w:after="0" w:line="5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b w:val="1"/>
          <w:bCs w:val="1"/>
          <w:i w:val="1"/>
          <w:iCs w:val="1"/>
          <w:color w:val="auto"/>
        </w:rPr>
        <w:t xml:space="preserve">Business — </w:t>
      </w:r>
      <w:r>
        <w:rPr>
          <w:rFonts w:ascii="Arial" w:cs="Arial" w:eastAsia="Arial" w:hAnsi="Arial"/>
          <w:sz w:val="17"/>
          <w:szCs w:val="17"/>
          <w:color w:val="auto"/>
        </w:rPr>
        <w:t>The Company is a biopharmaceutical company focused on the discovery and development of therapeutic products for diseases such as diabetes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cancer. The Company’s lead product candidate, AFREZZA (insulin human [rDNA origin]) Inhalation Powder, is an ultra rapid-acting insulin therapy in late-stage clinical investigation for the treatment of adults with type 1 or type 2 diabetes for the control of hyperglycemia.</w:t>
      </w:r>
    </w:p>
    <w:p>
      <w:pPr>
        <w:spacing w:after="0" w:line="5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AFREZZA consists of the Company’s proprietary Technosphere particles onto which insulin molecules are loaded. These loaded particles are then aerosolized and inhaled deep into the lung using the Company’s AFREZZA inhaler.</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Basis of Presentation — </w:t>
      </w:r>
      <w:r>
        <w:rPr>
          <w:rFonts w:ascii="Arial" w:cs="Arial" w:eastAsia="Arial" w:hAnsi="Arial"/>
          <w:sz w:val="16"/>
          <w:szCs w:val="16"/>
          <w:color w:val="auto"/>
        </w:rPr>
        <w:t>The Company is considered to be in the development stage as its primary activities since incorporation have been establishing its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facilities, recruiting personnel, conducting research and development, business development, business and financial planning, and raising capital. Since its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inception through June 30, 2011 the Company has reported accumulated net losses of $1.9 billion, which include a goodwill impairment charge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$151.4 million, and cumulative negative cash flow from operations of $1.4 billion. It is costly to develop therapeutic products and conduct clinical trials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products. At June 30, 2011, the Company’s capital resources consisted of cash, cash equivalents, and marketable securities of $25.3 million and $80.0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of available borrowings under the loan agreement with an entity controlled by the Company’s principal stockholder (see Note 12 — Related-party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arrangements). Based upon the Company’s current expectations, management believes the Company’s existing capital resources will enable it to continue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planned operations into the first quarter of 2012. However, the Company cannot provide assurances that its plans will not change or that changed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circumstances will not result in the depletion of its capital resources more rapidly than it currently anticipates. If the Company is not successful in raising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additional capital through equity or debt financing, entering a business collaboration, establishing other funding facilities, licensing arrangements, assets sales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other means, or increasing the borrowings available under the loan arrangement with its related party, the Company will be required to reduce expenses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through the delay, reduction or curtailment of its projects, including AFREZZA development activities, or further reduction of costs for facilities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administration, and there will be substantial doubt about its ability to continue as a going concern.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b w:val="1"/>
          <w:bCs w:val="1"/>
          <w:i w:val="1"/>
          <w:iCs w:val="1"/>
          <w:color w:val="auto"/>
        </w:rPr>
        <w:t xml:space="preserve">Fair Value of Financial Instruments — </w:t>
      </w:r>
      <w:r>
        <w:rPr>
          <w:rFonts w:ascii="Arial" w:cs="Arial" w:eastAsia="Arial" w:hAnsi="Arial"/>
          <w:sz w:val="17"/>
          <w:szCs w:val="17"/>
          <w:color w:val="auto"/>
        </w:rPr>
        <w:t>The carrying amounts of financial instruments, which include cash equivalents, marketable securities and accounts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payable, approximate their fair values due to their relatively short maturities. The fair value of the note payable to related party cannot be reasonably estimated as the Company would not be able to obtain a similar credit arrangement in the current economic environment.</w:t>
      </w:r>
    </w:p>
    <w:p>
      <w:pPr>
        <w:spacing w:after="0" w:line="5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Cash equivalents consist of highly liquid investments, with original or remaining maturities of 90 days or less at the time of purchase, that are readily convertible into cash. As of June 30, 2011 and December 31, 2010, the Company held $8.8 million and $52.8 million, respectively of cash equivalents, consisting of money market funds, U.S. Treasury notes and commercial paper. The $8.8 million of cash equivalents at June 30, 2011 consisted entirely of money market funds. The fair value of these investments was determined by using quoted prices for identical investments in an active market (Level 1 in the fair value hierarchy).</w:t>
      </w:r>
    </w:p>
    <w:p>
      <w:pPr>
        <w:spacing w:after="0" w:line="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marketable securities consist principally of a certificate of deposit with a maturity greater than 90 days, held as collateral for the Company’s commercial card programs and a common stock investment that are classified as available-for-sale securities. The certificate of deposit is stated at fair value based on quoted prices for similar instruments in an active market (Level 2 in the fair value hierarchy) and the common stock investment is stated at fair value based on quoted prices in an active market (Level 1 in the fair value hierarchy). As of June 30, 2011 and December 31, 2010, there were marketable securities of $0.5 million and $4.4 million,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carrying values and estimated fair values of the Company’s senior convertible notes due in 2013 and 2015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104"/>
              <w:spacing w:after="0"/>
              <w:rPr>
                <w:sz w:val="20"/>
                <w:szCs w:val="20"/>
                <w:color w:val="auto"/>
              </w:rPr>
            </w:pPr>
            <w:r>
              <w:rPr>
                <w:rFonts w:ascii="Arial" w:cs="Arial" w:eastAsia="Arial" w:hAnsi="Arial"/>
                <w:sz w:val="14"/>
                <w:szCs w:val="14"/>
                <w:b w:val="1"/>
                <w:bCs w:val="1"/>
                <w:color w:val="auto"/>
              </w:rPr>
              <w:t>June 30, 2011</w:t>
            </w:r>
          </w:p>
        </w:tc>
        <w:tc>
          <w:tcPr>
            <w:tcW w:w="46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2010</w:t>
            </w: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4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040" w:type="dxa"/>
            <w:vAlign w:val="bottom"/>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rPr>
              <w:t>Carrying</w:t>
            </w:r>
          </w:p>
        </w:tc>
        <w:tc>
          <w:tcPr>
            <w:tcW w:w="360" w:type="dxa"/>
            <w:vAlign w:val="bottom"/>
          </w:tcPr>
          <w:p>
            <w:pPr>
              <w:spacing w:after="0"/>
              <w:rPr>
                <w:sz w:val="10"/>
                <w:szCs w:val="10"/>
                <w:color w:val="auto"/>
              </w:rPr>
            </w:pPr>
          </w:p>
        </w:tc>
        <w:tc>
          <w:tcPr>
            <w:tcW w:w="6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Estimated</w:t>
            </w:r>
          </w:p>
        </w:tc>
        <w:tc>
          <w:tcPr>
            <w:tcW w:w="660" w:type="dxa"/>
            <w:vAlign w:val="bottom"/>
          </w:tcPr>
          <w:p>
            <w:pPr>
              <w:spacing w:after="0"/>
              <w:rPr>
                <w:sz w:val="10"/>
                <w:szCs w:val="10"/>
                <w:color w:val="auto"/>
              </w:rPr>
            </w:pPr>
          </w:p>
        </w:tc>
        <w:tc>
          <w:tcPr>
            <w:tcW w:w="1020" w:type="dxa"/>
            <w:vAlign w:val="bottom"/>
            <w:gridSpan w:val="3"/>
          </w:tcPr>
          <w:p>
            <w:pPr>
              <w:jc w:val="right"/>
              <w:ind w:right="400"/>
              <w:spacing w:after="0" w:line="119" w:lineRule="exact"/>
              <w:rPr>
                <w:sz w:val="20"/>
                <w:szCs w:val="20"/>
                <w:color w:val="auto"/>
              </w:rPr>
            </w:pPr>
            <w:r>
              <w:rPr>
                <w:rFonts w:ascii="Arial" w:cs="Arial" w:eastAsia="Arial" w:hAnsi="Arial"/>
                <w:sz w:val="13"/>
                <w:szCs w:val="13"/>
                <w:b w:val="1"/>
                <w:bCs w:val="1"/>
                <w:color w:val="auto"/>
              </w:rPr>
              <w:t>Carrying</w:t>
            </w:r>
          </w:p>
        </w:tc>
        <w:tc>
          <w:tcPr>
            <w:tcW w:w="340" w:type="dxa"/>
            <w:vAlign w:val="bottom"/>
          </w:tcPr>
          <w:p>
            <w:pPr>
              <w:spacing w:after="0"/>
              <w:rPr>
                <w:sz w:val="10"/>
                <w:szCs w:val="10"/>
                <w:color w:val="auto"/>
              </w:rPr>
            </w:pPr>
          </w:p>
        </w:tc>
        <w:tc>
          <w:tcPr>
            <w:tcW w:w="6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Estimated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40" w:type="dxa"/>
            <w:vAlign w:val="bottom"/>
            <w:vMerge w:val="restart"/>
          </w:tcPr>
          <w:p>
            <w:pPr>
              <w:spacing w:after="0"/>
              <w:rPr>
                <w:sz w:val="20"/>
                <w:szCs w:val="20"/>
                <w:color w:val="auto"/>
              </w:rPr>
            </w:pPr>
            <w:r>
              <w:rPr>
                <w:rFonts w:ascii="Arial" w:cs="Arial" w:eastAsia="Arial" w:hAnsi="Arial"/>
                <w:sz w:val="18"/>
                <w:szCs w:val="18"/>
                <w:color w:val="auto"/>
              </w:rPr>
              <w:t>Notes due 2013</w:t>
            </w:r>
          </w:p>
        </w:tc>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value</w:t>
            </w:r>
          </w:p>
        </w:tc>
        <w:tc>
          <w:tcPr>
            <w:tcW w:w="360" w:type="dxa"/>
            <w:vAlign w:val="bottom"/>
          </w:tcPr>
          <w:p>
            <w:pPr>
              <w:spacing w:after="0"/>
              <w:rPr>
                <w:sz w:val="14"/>
                <w:szCs w:val="14"/>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4"/>
              </w:rPr>
              <w:t>value</w:t>
            </w:r>
          </w:p>
        </w:tc>
        <w:tc>
          <w:tcPr>
            <w:tcW w:w="340" w:type="dxa"/>
            <w:vAlign w:val="bottom"/>
          </w:tcPr>
          <w:p>
            <w:pPr>
              <w:spacing w:after="0"/>
              <w:rPr>
                <w:sz w:val="14"/>
                <w:szCs w:val="14"/>
                <w:color w:val="auto"/>
              </w:rPr>
            </w:pP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3840" w:type="dxa"/>
            <w:vAlign w:val="bottom"/>
            <w:vMerge w:val="continue"/>
          </w:tcPr>
          <w:p>
            <w:pPr>
              <w:spacing w:after="0"/>
              <w:rPr>
                <w:sz w:val="16"/>
                <w:szCs w:val="16"/>
                <w:color w:val="auto"/>
              </w:rPr>
            </w:pPr>
          </w:p>
        </w:tc>
        <w:tc>
          <w:tcPr>
            <w:tcW w:w="27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113.6</w:t>
            </w: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65.7</w:t>
            </w:r>
          </w:p>
        </w:tc>
        <w:tc>
          <w:tcPr>
            <w:tcW w:w="66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113.3</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69.1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Notes due 2015</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96.4</w:t>
            </w:r>
          </w:p>
        </w:tc>
        <w:tc>
          <w:tcPr>
            <w:tcW w:w="580" w:type="dxa"/>
            <w:vAlign w:val="bottom"/>
            <w:gridSpan w:val="2"/>
          </w:tcPr>
          <w:p>
            <w:pPr>
              <w:jc w:val="right"/>
              <w:ind w:right="64"/>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77.3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96.0</w:t>
            </w:r>
          </w:p>
        </w:tc>
        <w:tc>
          <w:tcPr>
            <w:tcW w:w="600" w:type="dxa"/>
            <w:vAlign w:val="bottom"/>
            <w:gridSpan w:val="2"/>
          </w:tcPr>
          <w:p>
            <w:pPr>
              <w:jc w:val="right"/>
              <w:ind w:right="104"/>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134.1</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senior convertible notes due 2013 estimated fair value was calculated based on quoted prices in an active market (Level 1 in the fair value hierarchy). The senior convertible notes due 2015 estimated fair value was calculated based on model-derived valuations, based on the market approach (Level 2 in the fair value hierarchy).</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Derivative financial instruments are reported in “Other assets” or “Accrued expenses and other current liabilities” in the condensed consolidated balance sheets and measured at fair value. The fair value of foreign exchange hedging contracts equals the carrying value at each balance sheet date. The fair value of these contracts are determined using methodologies based on market observable inputs (Level 2 in the fair value hierarchy), including foreign currency spot rates. The Company has used derivative financial instruments to manage its exposure to foreign currency exchange risks related to quarterly purchases on insulin. The Company does not use derivative financial instruments for trading or speculative purposes, nor does it use leveraged financial instruments. Credit risk related to derivative financial instruments is considered minimal and is managed by requiring high credit standards for counterparties and through periodic settlements of positions.</w:t>
      </w:r>
    </w:p>
    <w:p>
      <w:pPr>
        <w:spacing w:after="0" w:line="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Company’s derivative financial instruments are not designated as hedging instruments, and gains or losses resulting from changes in the fair value are reported in “Other income (expense)”, in the condensed consolidated statements of operations. The Company entered into foreign exchange hedging contracts with notional amounts totaling zero and $25.5 million at June 30, 2011 and December 31, 2010, respectively. The Company recorded an unrealized loss of $567,000 on the outstanding contracts at December 31, 2010. The Company recorded a realized gain of $1.3 million for the three and six months ended June 30, 2011 and a realized loss of zero and $288,000 related to these foreign exchange hedging contracts for the three and six months ended June 30, 2010, respectively. The Company terminated these contracts during the quarter ended March 31, 2011.</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Recently Issued Accounting Standards </w:t>
      </w:r>
      <w:r>
        <w:rPr>
          <w:rFonts w:ascii="Arial" w:cs="Arial" w:eastAsia="Arial" w:hAnsi="Arial"/>
          <w:sz w:val="17"/>
          <w:szCs w:val="17"/>
          <w:color w:val="auto"/>
        </w:rPr>
        <w:t>— In June 2011, the Financial Accounting Standards Board (“FASB”) issued Accounting Standards Update</w:t>
      </w:r>
    </w:p>
    <w:p>
      <w:pPr>
        <w:spacing w:after="0" w:line="35"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No. 2011-05 for Comprehensive Income (Topic 220): “Presentation of Comprehensive Income”. This Update improves the comparability, consistency and transparency of financial reporting and increases the prominence of items reported in other comprehensive income. This update is effective for interim and annual periods beginning after December 15, 2011. The adoption of this update will have an impact on the disclosure of comprehensive income on the Company’s consolidated financial statements.</w:t>
      </w:r>
    </w:p>
    <w:p>
      <w:pPr>
        <w:spacing w:after="0" w:line="8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May 2011, the FASB issued Accounting Standards Update No. 2011-04 for Fair Value Measurement (Topic 820): “Amendments to Achieve Common Fair Value Measurement and Disclosure Requirements in U.S. GAAP and IFRSs”. This Update addresses how to measure fair value and requires new disclosures about fair value measurements. The amendments in this update are effective for interim and annual periods beginning after December 15, 2011. The Company is currently evaluating the impact the adoption of this update will have on its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 in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available-for-sale securities classified as current assets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2"/>
              </w:rPr>
              <w:t>June 30,</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89"/>
              </w:rPr>
              <w:t>2011</w:t>
            </w: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89"/>
              </w:rPr>
              <w:t>2010</w:t>
            </w:r>
          </w:p>
        </w:tc>
        <w:tc>
          <w:tcPr>
            <w:tcW w:w="6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820"/>
              <w:spacing w:after="0" w:line="119" w:lineRule="exact"/>
              <w:rPr>
                <w:sz w:val="20"/>
                <w:szCs w:val="20"/>
                <w:color w:val="auto"/>
              </w:rPr>
            </w:pPr>
            <w:r>
              <w:rPr>
                <w:rFonts w:ascii="Arial" w:cs="Arial" w:eastAsia="Arial" w:hAnsi="Arial"/>
                <w:sz w:val="13"/>
                <w:szCs w:val="13"/>
                <w:b w:val="1"/>
                <w:bCs w:val="1"/>
                <w:color w:val="auto"/>
                <w:w w:val="95"/>
              </w:rPr>
              <w:t>Gross</w:t>
            </w: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820"/>
              <w:spacing w:after="0" w:line="119" w:lineRule="exact"/>
              <w:rPr>
                <w:sz w:val="20"/>
                <w:szCs w:val="20"/>
                <w:color w:val="auto"/>
              </w:rPr>
            </w:pPr>
            <w:r>
              <w:rPr>
                <w:rFonts w:ascii="Arial" w:cs="Arial" w:eastAsia="Arial" w:hAnsi="Arial"/>
                <w:sz w:val="13"/>
                <w:szCs w:val="13"/>
                <w:b w:val="1"/>
                <w:bCs w:val="1"/>
                <w:color w:val="auto"/>
                <w:w w:val="95"/>
              </w:rPr>
              <w:t>Gross</w:t>
            </w:r>
          </w:p>
        </w:tc>
        <w:tc>
          <w:tcPr>
            <w:tcW w:w="7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Cost Basis</w:t>
            </w:r>
          </w:p>
        </w:tc>
        <w:tc>
          <w:tcPr>
            <w:tcW w:w="360" w:type="dxa"/>
            <w:vAlign w:val="bottom"/>
          </w:tcPr>
          <w:p>
            <w:pPr>
              <w:spacing w:after="0"/>
              <w:rPr>
                <w:sz w:val="12"/>
                <w:szCs w:val="12"/>
                <w:color w:val="auto"/>
              </w:rPr>
            </w:pPr>
          </w:p>
        </w:tc>
        <w:tc>
          <w:tcPr>
            <w:tcW w:w="13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vMerge w:val="restart"/>
          </w:tcPr>
          <w:p>
            <w:pPr>
              <w:spacing w:after="0"/>
              <w:rPr>
                <w:sz w:val="20"/>
                <w:szCs w:val="20"/>
                <w:color w:val="auto"/>
              </w:rPr>
            </w:pPr>
            <w:r>
              <w:rPr>
                <w:rFonts w:ascii="Arial" w:cs="Arial" w:eastAsia="Arial" w:hAnsi="Arial"/>
                <w:sz w:val="18"/>
                <w:szCs w:val="18"/>
                <w:color w:val="auto"/>
              </w:rPr>
              <w:t>Available-for-sale securities</w:t>
            </w:r>
          </w:p>
        </w:tc>
        <w:tc>
          <w:tcPr>
            <w:tcW w:w="106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6"/>
              </w:rPr>
              <w:t>Gain</w:t>
            </w:r>
          </w:p>
        </w:tc>
        <w:tc>
          <w:tcPr>
            <w:tcW w:w="10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Basis</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6"/>
              </w:rPr>
              <w:t>Gain</w:t>
            </w:r>
          </w:p>
        </w:tc>
        <w:tc>
          <w:tcPr>
            <w:tcW w:w="7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4"/>
        </w:trPr>
        <w:tc>
          <w:tcPr>
            <w:tcW w:w="3780" w:type="dxa"/>
            <w:vAlign w:val="bottom"/>
            <w:vMerge w:val="continue"/>
          </w:tcPr>
          <w:p>
            <w:pPr>
              <w:spacing w:after="0"/>
              <w:rPr>
                <w:sz w:val="19"/>
                <w:szCs w:val="19"/>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68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  4,295</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680" w:type="dxa"/>
            <w:vAlign w:val="bottom"/>
          </w:tcPr>
          <w:p>
            <w:pPr>
              <w:spacing w:after="0"/>
              <w:rPr>
                <w:sz w:val="19"/>
                <w:szCs w:val="19"/>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  4,370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Company’s available-for-sale securities at June 30, 2011 consist of a $0.4 million certificate of deposit with a maturity greater than 90 days, held as collateral for the Company’s commercial card programs, and a common stock investment. The Company’s available-for-sale securities at December 31, 2010 consist principally of $4.2 million of certificates of deposit with a maturity greater than 90 days, held as collateral primarily for foreign exchange hedging instruments, and a common stock investment. Gross realized gains and losses for available-for-sale securities were insignificant and recorded as “Other income (expense)” in the condensed consolidated statements of operations. Gross unrealized gains and losses are included in “Other comprehensive gain (loss)” (see Note 5 — Comprehensive loss).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are comprised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ind w:left="6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Salary and related expenses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8,720</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5,624</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Research and clinical trial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727</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668</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4,873</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4,993</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264</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5,374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3,406</w:t>
            </w: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19,958</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14,840</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Accounting for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Total stock-based compensation expense recognized in the accompanying condensed consolidated statements of operations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2011 and 2010 was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gridSpan w:val="5"/>
          </w:tcPr>
          <w:p>
            <w:pPr>
              <w:jc w:val="center"/>
              <w:ind w:right="700"/>
              <w:spacing w:after="0"/>
              <w:rPr>
                <w:sz w:val="20"/>
                <w:szCs w:val="20"/>
                <w:color w:val="auto"/>
              </w:rPr>
            </w:pPr>
            <w:r>
              <w:rPr>
                <w:rFonts w:ascii="Arial" w:cs="Arial" w:eastAsia="Arial" w:hAnsi="Arial"/>
                <w:sz w:val="14"/>
                <w:szCs w:val="14"/>
                <w:b w:val="1"/>
                <w:bCs w:val="1"/>
                <w:color w:val="auto"/>
                <w:w w:val="91"/>
              </w:rPr>
              <w:t>Three months ended</w:t>
            </w:r>
          </w:p>
        </w:tc>
        <w:tc>
          <w:tcPr>
            <w:tcW w:w="20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tcPr>
          <w:p>
            <w:pPr>
              <w:spacing w:after="0"/>
              <w:rPr>
                <w:sz w:val="14"/>
                <w:szCs w:val="14"/>
                <w:color w:val="auto"/>
              </w:rPr>
            </w:pPr>
          </w:p>
        </w:tc>
        <w:tc>
          <w:tcPr>
            <w:tcW w:w="138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6540" w:type="dxa"/>
            <w:vAlign w:val="bottom"/>
            <w:vMerge w:val="restart"/>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2"/>
                <w:szCs w:val="12"/>
                <w:color w:val="auto"/>
              </w:rPr>
            </w:pPr>
          </w:p>
        </w:tc>
        <w:tc>
          <w:tcPr>
            <w:tcW w:w="68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68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2011</w:t>
            </w:r>
          </w:p>
        </w:tc>
        <w:tc>
          <w:tcPr>
            <w:tcW w:w="13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1,993</w:t>
            </w:r>
          </w:p>
        </w:tc>
        <w:tc>
          <w:tcPr>
            <w:tcW w:w="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4,256</w:t>
            </w:r>
          </w:p>
        </w:tc>
        <w:tc>
          <w:tcPr>
            <w:tcW w:w="6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4,701</w:t>
            </w:r>
          </w:p>
        </w:tc>
        <w:tc>
          <w:tcPr>
            <w:tcW w:w="6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8,005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Company issued stock awards to employees during the quarter ended March 31, 2011 with two year vesting. The grant date fair value of the 1,467,500 stock options and 1,181,100 restricted stock units issued during the quarter ended March 31, 2011 were $3.7 million and $4.5 million, respectively, with a grant date fair value per share of $2.54 and $3.80,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Company issued an immaterial number of stock awards to employees during the quarter ended June 30, 2011 with four year vesting.</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June 30, 2011, there was $13.5 million and $16.2 million of unrecognized compensation cost related to options and restricted stock units, respectively, which are expected to be recognized over the remaining weighted average vesting period of 2.3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Comprehensive loss</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Accounting Standards Codification (“ASC”) 220-10-45 </w:t>
      </w:r>
      <w:r>
        <w:rPr>
          <w:rFonts w:ascii="Arial" w:cs="Arial" w:eastAsia="Arial" w:hAnsi="Arial"/>
          <w:sz w:val="16"/>
          <w:szCs w:val="16"/>
          <w:i w:val="1"/>
          <w:iCs w:val="1"/>
          <w:color w:val="auto"/>
        </w:rPr>
        <w:t>Comprehensive Income Other Presentation</w:t>
      </w:r>
      <w:r>
        <w:rPr>
          <w:rFonts w:ascii="Arial" w:cs="Arial" w:eastAsia="Arial" w:hAnsi="Arial"/>
          <w:sz w:val="16"/>
          <w:szCs w:val="16"/>
          <w:color w:val="auto"/>
        </w:rPr>
        <w:t xml:space="preserve"> requires reporting and displaying comprehensive income (loss) and its components, which, for the Company, includes net loss and unrealized gains and losses on investments and cumulative translation gains and losses. In accordance with this guidance, the accumulated balance of other comprehensive income (loss) is disclosed as a separate component of stockholders’ equity. For the three and six months ended June 30, 2011 and 2010, comprehensive loss consisted of (in thousands):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74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21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80" w:type="dxa"/>
            <w:vAlign w:val="bottom"/>
            <w:gridSpan w:val="3"/>
          </w:tcPr>
          <w:p>
            <w:pPr>
              <w:jc w:val="right"/>
              <w:ind w:right="1460"/>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(44,480)</w:t>
            </w:r>
          </w:p>
        </w:tc>
        <w:tc>
          <w:tcPr>
            <w:tcW w:w="19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 (42,251)</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 (86,005)</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(86,951)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 (loss) on investments</w:t>
            </w:r>
          </w:p>
        </w:tc>
        <w:tc>
          <w:tcPr>
            <w:tcW w:w="2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9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273</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Cumulative translation (loss) gain</w:t>
            </w:r>
          </w:p>
        </w:tc>
        <w:tc>
          <w:tcPr>
            <w:tcW w:w="18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(3)</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(44,528)</w:t>
            </w:r>
          </w:p>
        </w:tc>
        <w:tc>
          <w:tcPr>
            <w:tcW w:w="19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 (41,981)</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 (86,041)</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(86,671)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loss per common share</w:t>
      </w:r>
    </w:p>
    <w:p>
      <w:pPr>
        <w:spacing w:after="0" w:line="1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Basic net loss per share excludes dilution for potentially dilutive securities and is computed by dividing loss applicable to common stockholders by the weighted average number of common shares outstanding during the period excluding the shares loaned under the share lending arrangement (see Note 10 — Common and preferred stock). As of June 30, 2011, 9,000,000 shares of the Company’s common stock, which were loaned to a share borrower pursuant to the terms of a share lending agreement as described in Note 10, were issued and are outstanding, and holders of the borrowed shares have all the rights of a holder of the Company’s common stock. However, because the share borrower must return all borrowed shares to the Company (or, in certain circumstances, the cash value thereof), the borrowed shares are not considered outstanding for the purpose of computing and reporting basic or diluted earnings (loss) per share. Diluted net loss per share reflects the potential dilution that could occur if securities or other contracts to issue common stock were exercised or converted into common stock. Potentially dilutive securities are excluded from the computation of diluted net loss per share for all of the periods presented in the accompanying statements of operations because the reported net loss in each of these periods results in their inclusion being antidilutive. Antidilutive securities, which consist of stock options, restricted stock units, warrants, and shares that could be issued upon conversion of the senior convertible notes, that are not included in the diluted net loss per share calculation consisted of an aggregate of 32,048,936 shares and 17,257,838 shares as of June 30, 2011 and 2010, respectively, and exclude the 9,000,000 shares loaned under the share lending arrangement.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Restructuring charges</w:t>
      </w:r>
    </w:p>
    <w:p>
      <w:pPr>
        <w:spacing w:after="0" w:line="1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On February 10, 2011, the Company announced that following receipt of the Complete Response letter from the United States Food and Drug Administration (“FDA”) regarding the new drug application (“NDA”) for AFREZZA, it implemented a restructuring to streamline operations, reduce operating expenses, extend the cash runway and focus its resources on securing the FDA’s approval of the NDA for AFREZZA. In connection with the restructuring, the Company reduced its total workforce by approximately 41% to 257 employees. The Company recorded charges of approximately $6.7 million for employee severance and other related termination benefits and recognized a liability of $6.7 million in February, which approximated fair value.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4"/>
                <w:szCs w:val="14"/>
                <w:b w:val="1"/>
                <w:bCs w:val="1"/>
                <w:color w:val="auto"/>
              </w:rPr>
              <w:t>Workforce</w:t>
            </w:r>
          </w:p>
        </w:tc>
      </w:tr>
      <w:tr>
        <w:trPr>
          <w:trHeight w:val="171"/>
        </w:trPr>
        <w:tc>
          <w:tcPr>
            <w:tcW w:w="10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Reduction</w:t>
            </w:r>
          </w:p>
        </w:tc>
        <w:tc>
          <w:tcPr>
            <w:tcW w:w="100" w:type="dxa"/>
            <w:vAlign w:val="bottom"/>
            <w:gridSpan w:val="2"/>
          </w:tcPr>
          <w:p>
            <w:pPr>
              <w:spacing w:after="0"/>
              <w:rPr>
                <w:sz w:val="14"/>
                <w:szCs w:val="14"/>
                <w:color w:val="auto"/>
              </w:rPr>
            </w:pPr>
          </w:p>
        </w:tc>
      </w:tr>
      <w:tr>
        <w:trPr>
          <w:trHeight w:val="210"/>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Balance, February 11, 2011</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6,659</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Cash payments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(5,482)</w:t>
            </w: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Adjustment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(287)</w:t>
            </w:r>
          </w:p>
        </w:tc>
      </w:tr>
      <w:tr>
        <w:trPr>
          <w:trHeight w:val="223"/>
        </w:trPr>
        <w:tc>
          <w:tcPr>
            <w:tcW w:w="10640" w:type="dxa"/>
            <w:vAlign w:val="bottom"/>
          </w:tcPr>
          <w:p>
            <w:pPr>
              <w:spacing w:after="0"/>
              <w:rPr>
                <w:sz w:val="20"/>
                <w:szCs w:val="20"/>
                <w:color w:val="auto"/>
              </w:rPr>
            </w:pPr>
            <w:r>
              <w:rPr>
                <w:rFonts w:ascii="Arial" w:cs="Arial" w:eastAsia="Arial" w:hAnsi="Arial"/>
                <w:sz w:val="18"/>
                <w:szCs w:val="18"/>
                <w:color w:val="auto"/>
              </w:rPr>
              <w:t>Restructuring Balance, June 30, 2011</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quarter ended June 30, 2011, the Company adjusted the restructuring balance based on the election of certain termination benefits by a portion of the terminated employees.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remaining restructuring balance as of June 30, 2011 primarily consists of health benefits which are paid out over six months subsequent to termination.</w:t>
      </w:r>
    </w:p>
    <w:p>
      <w:pPr>
        <w:spacing w:after="0" w:line="140" w:lineRule="exact"/>
        <w:rPr>
          <w:sz w:val="20"/>
          <w:szCs w:val="20"/>
          <w:color w:val="auto"/>
        </w:rPr>
      </w:pPr>
    </w:p>
    <w:p>
      <w:pPr>
        <w:jc w:val="both"/>
        <w:ind w:right="500"/>
        <w:spacing w:after="0" w:line="342" w:lineRule="auto"/>
        <w:rPr>
          <w:sz w:val="20"/>
          <w:szCs w:val="20"/>
          <w:color w:val="auto"/>
        </w:rPr>
      </w:pPr>
      <w:r>
        <w:rPr>
          <w:rFonts w:ascii="Arial" w:cs="Arial" w:eastAsia="Arial" w:hAnsi="Arial"/>
          <w:sz w:val="16"/>
          <w:szCs w:val="16"/>
          <w:color w:val="auto"/>
        </w:rPr>
        <w:t>The net $6.4 million of costs associated with the restructuring are included in “Research and development” and “General and administrative” operating expenses in the condensed consolidated statements of operations as $4.8 million and $1.6 million, respectively, for the six months ended June 30, 2011.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State research and development credit exchange receivable</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State of Connecticut provides certain companies with the opportunity to exchange certain research and development income tax credit carryforwards for cash in exchange for forgoing the carryforward of the research and development income tax credits. The program provides for an exchange of research and development income tax credits for cash equal to 65% of the value of corporation tax credit available for exchange. Estimated amounts receivable under the program are recorded as a reduction of research and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development expenses. At June 30, 2011 and December 31, 2010, the estimated amounts receivable under the program were $0.9 million and $1.3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and equipment —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 net consist of the following (dollar 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Estimated</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Useful</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Life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5,273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Buildings</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39-40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54,948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54,948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Building improvements</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113,489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3-15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73,609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73,812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5,369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16,332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19,809</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288,882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(88,499)</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(81,390)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200,383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 are amortized over four years which is the shorter of the term of the lease or the service lives of the improvements.</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Depreciation and amortization expense related to property and equipment for the three and six months ended June 30, 2011 and 2010 was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gridSpan w:val="5"/>
          </w:tcPr>
          <w:p>
            <w:pPr>
              <w:jc w:val="center"/>
              <w:ind w:right="700"/>
              <w:spacing w:after="0"/>
              <w:rPr>
                <w:sz w:val="20"/>
                <w:szCs w:val="20"/>
                <w:color w:val="auto"/>
              </w:rPr>
            </w:pPr>
            <w:r>
              <w:rPr>
                <w:rFonts w:ascii="Arial" w:cs="Arial" w:eastAsia="Arial" w:hAnsi="Arial"/>
                <w:sz w:val="14"/>
                <w:szCs w:val="14"/>
                <w:b w:val="1"/>
                <w:bCs w:val="1"/>
                <w:color w:val="auto"/>
                <w:w w:val="91"/>
              </w:rPr>
              <w:t>Three months ended</w:t>
            </w:r>
          </w:p>
        </w:tc>
        <w:tc>
          <w:tcPr>
            <w:tcW w:w="20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tcPr>
          <w:p>
            <w:pPr>
              <w:spacing w:after="0"/>
              <w:rPr>
                <w:sz w:val="14"/>
                <w:szCs w:val="14"/>
                <w:color w:val="auto"/>
              </w:rPr>
            </w:pPr>
          </w:p>
        </w:tc>
        <w:tc>
          <w:tcPr>
            <w:tcW w:w="138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6540" w:type="dxa"/>
            <w:vAlign w:val="bottom"/>
            <w:vMerge w:val="restart"/>
          </w:tcPr>
          <w:p>
            <w:pPr>
              <w:spacing w:after="0"/>
              <w:rPr>
                <w:sz w:val="20"/>
                <w:szCs w:val="20"/>
                <w:color w:val="auto"/>
              </w:rPr>
            </w:pPr>
            <w:r>
              <w:rPr>
                <w:rFonts w:ascii="Arial" w:cs="Arial" w:eastAsia="Arial" w:hAnsi="Arial"/>
                <w:sz w:val="18"/>
                <w:szCs w:val="18"/>
                <w:color w:val="auto"/>
              </w:rPr>
              <w:t>Depreciation and amortization expense</w:t>
            </w:r>
          </w:p>
        </w:tc>
        <w:tc>
          <w:tcPr>
            <w:tcW w:w="20" w:type="dxa"/>
            <w:vAlign w:val="bottom"/>
          </w:tcPr>
          <w:p>
            <w:pPr>
              <w:spacing w:after="0"/>
              <w:rPr>
                <w:sz w:val="12"/>
                <w:szCs w:val="12"/>
                <w:color w:val="auto"/>
              </w:rPr>
            </w:pPr>
          </w:p>
        </w:tc>
        <w:tc>
          <w:tcPr>
            <w:tcW w:w="68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68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2011</w:t>
            </w:r>
          </w:p>
        </w:tc>
        <w:tc>
          <w:tcPr>
            <w:tcW w:w="13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3,580</w:t>
            </w:r>
          </w:p>
        </w:tc>
        <w:tc>
          <w:tcPr>
            <w:tcW w:w="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4,170</w:t>
            </w:r>
          </w:p>
        </w:tc>
        <w:tc>
          <w:tcPr>
            <w:tcW w:w="6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7,379</w:t>
            </w:r>
          </w:p>
        </w:tc>
        <w:tc>
          <w:tcPr>
            <w:tcW w:w="6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8,342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and preferred stock</w:t>
      </w:r>
    </w:p>
    <w:p>
      <w:pPr>
        <w:spacing w:after="0" w:line="12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In June 2011, the Company’s stockholders approved an increase in its authorized shares of common stock from 200,000,000 to 250,000,000. As such, the Company is authorized to issue 250,000,000 shares of common stock, par value $0.01 per share, and 10,000,000 shares of undesignated preferred stock, par value $0.01 per share, issuable in one or more series designated by the Company’s board of directors. No other class of capital stock is authorized. As of June 30, 2011 and December 31, 2010, 130,905,582 and 127,793,178 shares of common stock, respectively, were issued and outstanding. Included in the common stock outstanding as of June 30, 2011 are 9,000,000 shares of common stock loaned to Bank of America under a share lending agreement in connection with the offering of the $100 million aggregate principal amount of 5.75% Senior Convertible Notes due 2015 (see Note 13 — Senior convertible notes). Bank of America is obligated to return the borrowed shares (or, in certain circumstances, the cash value thereof) to the Company on or about the 45th business day following the date as of which the entire principal amount of the notes ceases to be outstanding, subject to extension or acceleration in certain circumstances or early termination at Bank of America’s option. The Company did not receive any proceeds from the sale of the borrowed shares by Bank of America, but the Company did receive a nominal lending fee of $0.01 per share from Bank of America for the use of borrowed shares.</w:t>
      </w:r>
    </w:p>
    <w:p>
      <w:pPr>
        <w:spacing w:after="0" w:line="61"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In August 2010, the Company entered into an agreement with Seaside 88, LP (“Seaside”) for the sale of up to 18,200,000 shares of common stock in increments of 700,000 shares on a bi-weekly basis with the first closing date scheduled for September 22, 2010 provided that certain conditions are met, including for a particular closing to take place, the ten-day volume weighted average trading price for the Company’s common stock immediately prior to such closing must meet or exceed a minimum priced set by the Company at $6.50 per share. If the ten-day volume weighted average trading price for a particular closing is below $6.50 per share, then that closing will not occur and the aggregate number of shares to be purchased will be reduced by 700,000 shares. The purchase price per share at each closing will be equal to 92% of that 10-day volume weighted average price. The agreement with Seaside will terminate on the day following the final closing under the agreement, or the Company may terminate the Seaside agreement at any time upon written notice. During the quarter ended March 31, 2011, the Company issued and sold a total of 1.4 million shares of common stock to Seaside for net proceeds of</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$9.7 million. During the three months ended June 30, 2011, no shares of common stock were sold to Seaside under this agreement. As of June 30, 2011, the Company had issued and sold a total of 3,500,000 shares of common stock to Seaside for net proceeds of $23.8 million in accordance with the agreement, and a total of 3,500,000 shares remained subject to future sale if the Company is able to satisfy the conditions precedent for sales of shares under the agreement, including the minimum price requirement.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conjunction with the Seaside agreement, in August 2010, the Company entered into a common stock purchase agreement with The Mann Group LLC (“The Mann Group”), an entity controlled by the Company’s principal stockholder. Under this common stock purchase agreement, the Company is required to issue and sell, and The Mann Group is obligated to purchase at a price equal to the greater of $7.15 per share (the closing bid price of the Company’s common stock on August 10, 2010) and the closing bid price of common stock on the trading day immediately preceding the applicable closing date, the same number of shares of the Company’s common stock that Seaside purchases on each closing date under its agreement with the Company (see Note 12 — Related-party arrangements). During the quarter ended March 31, 2011, the Company issued and sold a total of 1.4 million shares of common stock to The Mann Group that resulted in reduction in the note payable to related party of $11.1 million. During the three months ended June 30, 2011, no shares of common stock were sold to The Mann Group under this agreement. As of June 30, 2011, the Company had issued and sold a total of 3,500,000 shares of common stock to The Mann Group that had resulted in total reduction in the note payable to related party of $27.8 million, and a total of 3,500,000 shares remained subject to future sale.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b w:val="1"/>
          <w:bCs w:val="1"/>
          <w:i w:val="1"/>
          <w:iCs w:val="1"/>
          <w:color w:val="auto"/>
        </w:rPr>
        <w:t xml:space="preserve">Supply Commitments — </w:t>
      </w:r>
      <w:r>
        <w:rPr>
          <w:rFonts w:ascii="Arial" w:cs="Arial" w:eastAsia="Arial" w:hAnsi="Arial"/>
          <w:sz w:val="16"/>
          <w:szCs w:val="16"/>
          <w:color w:val="auto"/>
        </w:rPr>
        <w:t>In November 2007, the Company entered into a long-term supply agreement (the “Supply Agreement”) with N.V. Organon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(“Organon”), now a subsidiary of Merck &amp; Co., Inc., pursuant to which Organon manufactured and supplied specified quantities of recombinant human insulin to the Company. In June 2011, the Company entered into a letter agreement (the “Letter Agreement”) with Organon to settle a dispute that arose between the Company and Organon in connection with the termination by the Company of the Supply Agreement. Under the terms of the Letter Agreement, the Company will pay Organon an aggregate of $16.0 million in two installments, each of which will be paid after the Company receives certain quantities of recombinant human insulin manufactured and supplied by Organon. The Letter Agreement is in full and final settlement of, and the Company and Organon agreed to release each other from, any and all actions and claims that the Company and Organon had or may have against each other in connection with the dispute regarding the Supply Agreement and related maters. The Company has concluded that the Letter Agreement represents a multiple element arrangement consisting of two elements representing the purchase of insulin and a contract cancellation fee. The Company has allocated the $16 million settlement first to the fair value of the insulin with the residual being allocated to the contract cancellation fee. During the three months ended June 30, 2011, the Company received the first of two shipments of recombinant human insulin and paid the first installment of $8.0 million. The Company expensed</w:t>
      </w:r>
    </w:p>
    <w:p>
      <w:pPr>
        <w:spacing w:after="0" w:line="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$4.3 million for insulin received and recorded $3.7 million for a contract cancellation fee. As of June 30, 2011, the Company recorded a loss contingency of $3.9 million in connection with the Letter Agreement representing the portion of the second $8.0 million payment related to the contract cancellation fee, which was paid in July 2011.</w:t>
      </w:r>
    </w:p>
    <w:p>
      <w:pPr>
        <w:spacing w:after="0" w:line="82"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Guarantees and Indemnifications — </w:t>
      </w:r>
      <w:r>
        <w:rPr>
          <w:rFonts w:ascii="Arial" w:cs="Arial" w:eastAsia="Arial" w:hAnsi="Arial"/>
          <w:sz w:val="17"/>
          <w:szCs w:val="17"/>
          <w:color w:val="auto"/>
        </w:rPr>
        <w:t>In the ordinary course of its business, the Company makes certain indemnities, commitments and guarantees 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condensed consolidated balance sheets. However,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74"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auto"/>
        </w:rPr>
        <w:t xml:space="preserve">Litigation — </w:t>
      </w:r>
      <w:r>
        <w:rPr>
          <w:rFonts w:ascii="Arial" w:cs="Arial" w:eastAsia="Arial" w:hAnsi="Arial"/>
          <w:sz w:val="18"/>
          <w:szCs w:val="18"/>
          <w:color w:val="auto"/>
        </w:rPr>
        <w:t>The Company is involved in various legal proceedings and other matters. In accordance with ASC 450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previously the FASB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Statement No. 5,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the Company would record a provision for a liability when it is both probable that a liability has been incurred and the amount of the loss can be reasonably estimated.</w:t>
      </w:r>
    </w:p>
    <w:p>
      <w:pPr>
        <w:spacing w:after="0" w:line="7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On November 23, 2010, John Arditi, former Senior Director — GCP — Regulatory Affairs of the Company, filed a Demand for Arbitration against the Company and three of its employees — the Chief Scientific Officer, the Vice President — World Wide Regulatory Affairs, and the Chief Financial Officer — claiming that the Company terminated his employment in retaliation for his purported reporting of alleged unlawful practices in connection with the Company’s clinical trials. Mr. Arditi has asserted claims for violation of the New Jersey Conscientious Employee Protection Act, wrongful discharge, breach of contract, breach of the implied covenant of good faith and fair dealing, defamation and intentional infliction of emotional distress. Mr. Arditi is seeking, among other relief, compensatory and punitive damages and counsel fees, costs and interest. Before Mr. Arditi filed his arbitration demand, the Company completed an internal investigation and retained an independent outside firm to conduct an independent investigation of Mr. Arditi’s claims. Neither investigation found any basis for his claims. The Company believes the allegations made by Mr. Arditi are without merit and intends to defend against them vigorously.</w:t>
      </w:r>
    </w:p>
    <w:p>
      <w:pPr>
        <w:spacing w:after="0" w:line="8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Following the receipt of the Complete Response letter from the FDA regarding the NDA for AFREZZA in January 2011 and the subsequent decline of the price of the Company’s common stock, several complaints were filed in the U.S. District Court for the Central District of California against the Company and certain of its officers and directors on behalf of certain purchasers of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Company’s common stock. The complaints include claims asserted under Sections 10(b) and 20(a) of the Exchange Act and have been brought as purported shareholder class actions. In general, the complaints allege that the Company and certain of its officers and directors violated federal securities laws by making materially false and misleading statements regarding the Company’s business and prospects for AFREZZA, thereby artificially inflating the price of its common stock. The plaintiffs are seeking unspecified monetary damages and other relief. The complaints have been transferred to a single court and consolidated for all purposes. The court has appointed a lead plaintiff and lead counsel and a consolidated complaint was filed on June 27, 2011. The Company plans to vigorously defend against the claims advanced.</w:t>
      </w:r>
    </w:p>
    <w:p>
      <w:pPr>
        <w:spacing w:after="0" w:line="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Starting in February 2011, shareholder derivative complaints were filed in the Superior Court of California for the County of Los Angeles and in the U.S. District Court for the Central District of California against the Company’s directors and certain of its officers. The complaints in the shareholder derivative actions allege breaches of fiduciary duties by the defendants and other violations of law. In general, the complaints allege that the Company’s directors and certain of its officers caused or allowed for the dissemination of materially false and misleading statements regarding the Company’s business and prospects for AFREZZA, thereby artificially inflating the price of its common stock. The plaintiffs are seeking unspecified monetary damages and other relief, including reforms to the Company’s corporate governance and internal procedures. The Superior Court of California for the County of Los Angeles has consolidated the actions pending before it. Likewise, the U.S. District Court for the Central District of California has consolidated the actions pending before it. The U.S. District Court for the Central District of California has also appointed lead plaintiffs and lead counsel and ordered the federal lead plaintiffs to file a consolidated complaint by mid-August 2011. The Company plans to vigorously defend against the claims advanced.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Related-party arrangements</w:t>
      </w:r>
    </w:p>
    <w:p>
      <w:pPr>
        <w:spacing w:after="0" w:line="12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 xml:space="preserve">In October 2007, the Company entered into a $350.0 million loan arrangement with its principal stockholder. In February 2009, the promissory note underlying the loan arrangement was revised as a result of the principal stockholder being licensed as a finance lender under the California Finance Lenders Law. Accordingly, the lender was revised to The Mann Group. Interest accrues on each outstanding advance at a fixed rate equal to the one-year LIBOR rate as reported by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on the date of such advance plus 3% per annum and is payable quarterly in arrears. The borrowing rate was 4.6% and</w:t>
      </w:r>
    </w:p>
    <w:p>
      <w:pPr>
        <w:spacing w:after="0" w:line="2"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4.7% at June 30, 2011 and December 31, 2010, respectively. In August 2010, the Company amended and restated the promissory note to extend the maturity date from December 31, 2011 to December 31, 2012, to provide for the cancellation of indebtedness under the note as described below, to provide that The Mann Group may require the Company to prepay the note in an amount not to exceed $200.0 million (less the amount of cancelled indebtedness) upon</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90 days’ prior written notice or on December 31, 2012, whichever is earlier, and to limit the Company’s ability to borrow and reborrow under the note through December 31, 2011 to an amount equal to $350.0 million less the amount of cancelled indebtedness. The Mann Group has agreed not to exercise its prepayment right if such prepayment would require the use of working capital resources to repay the loan. In the event of a default, all unpaid principal and interest either becomes immediately due and payable or may be accelerated at The Mann Group’s option, and the interest rate will increase to the one-year LIBOR rate calculated on the date of the initial advance or in effect on the date of default, whichever is greater, plus 5% per annum. All borrowings under the loan arrangement are unsecured. The loan arrangement contains no financial covenants. There are no warrants associated with the loan arrangement. The principal amount outstanding under the loan arrangement was $242.2 million and $235.3 million at June 30, 2011 and December 31, 2010, respectively. As of June 30, 2011, the Company had accrued interest of $2.5 million related to the amount outstanding, had cancelled a total of $27.8 million indebtedness and had $80.0 million of available borrowings under the loan arrangement.</w:t>
      </w:r>
    </w:p>
    <w:p>
      <w:pPr>
        <w:spacing w:after="0" w:line="7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August 2010, the Company entered into a common stock purchase agreement with The Mann Group. Under this common stock purchase agreement, the Company is required to issue and sell, and The Mann Group is obligated to purchase, the same number of shares of the Company’s common stock that Seaside purchases on each closing date under its agreement with the Company. The price of the shares that the Company sells to The Mann Group under the agreement will be equal to the greater of $7.15 per share (the closing bid price of the Company’s common stock on August 10, 2010) and the closing bid price of the Company’s common stock on the trading day immediately preceding the applicable closing date. The aggregate purchase price for the shares of common stock the Company issues and sells to The Mann Group will be paid by cancelling an equal amount of the outstanding principal under the</w:t>
      </w:r>
    </w:p>
    <w:p>
      <w:pPr>
        <w:spacing w:after="0" w:line="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$350.0 million loan arrangement provided by The Mann Group. To the extent that the outstanding principal amount owed under the loan arrangement is insufficient to pay the full purchase price for the shares of common stock to be acquired, The Mann Group will be obligated to pay cash for the balance of the shares of common stock it is obligated to purchase under the common stock purchase agreement. The common stock purchase agreement with The Mann Group will terminate on the day following the final closing under the Company’s common stock purchase agreement with Seaside or upon termination of the Seaside agreement.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Senior convertible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Senior convertible notes consist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572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due 2013</w:t>
            </w:r>
          </w:p>
        </w:tc>
        <w:tc>
          <w:tcPr>
            <w:tcW w:w="50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Principal amount</w:t>
            </w:r>
          </w:p>
        </w:tc>
        <w:tc>
          <w:tcPr>
            <w:tcW w:w="6100" w:type="dxa"/>
            <w:vAlign w:val="bottom"/>
            <w:gridSpan w:val="3"/>
          </w:tcPr>
          <w:p>
            <w:pPr>
              <w:jc w:val="right"/>
              <w:ind w:right="380"/>
              <w:spacing w:after="0"/>
              <w:rPr>
                <w:sz w:val="20"/>
                <w:szCs w:val="20"/>
                <w:color w:val="auto"/>
              </w:rPr>
            </w:pPr>
            <w:r>
              <w:rPr>
                <w:rFonts w:ascii="Arial" w:cs="Arial" w:eastAsia="Arial" w:hAnsi="Arial"/>
                <w:sz w:val="18"/>
                <w:szCs w:val="18"/>
                <w:color w:val="auto"/>
              </w:rPr>
              <w:t>$ 115,000</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issuance expense</w:t>
            </w:r>
          </w:p>
        </w:tc>
        <w:tc>
          <w:tcPr>
            <w:tcW w:w="6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(1,423)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23"/>
        </w:trPr>
        <w:tc>
          <w:tcPr>
            <w:tcW w:w="4100" w:type="dxa"/>
            <w:vAlign w:val="bottom"/>
            <w:gridSpan w:val="2"/>
          </w:tcPr>
          <w:p>
            <w:pPr>
              <w:spacing w:after="0"/>
              <w:rPr>
                <w:sz w:val="20"/>
                <w:szCs w:val="20"/>
                <w:color w:val="auto"/>
              </w:rPr>
            </w:pPr>
            <w:r>
              <w:rPr>
                <w:rFonts w:ascii="Arial" w:cs="Arial" w:eastAsia="Arial" w:hAnsi="Arial"/>
                <w:sz w:val="18"/>
                <w:szCs w:val="18"/>
                <w:color w:val="auto"/>
              </w:rPr>
              <w:t>Net carrying amount</w:t>
            </w:r>
          </w:p>
        </w:tc>
        <w:tc>
          <w:tcPr>
            <w:tcW w:w="50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113,577</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113,301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08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due 2015</w:t>
            </w:r>
          </w:p>
        </w:tc>
        <w:tc>
          <w:tcPr>
            <w:tcW w:w="5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Principal amount</w:t>
            </w:r>
          </w:p>
        </w:tc>
        <w:tc>
          <w:tcPr>
            <w:tcW w:w="6100" w:type="dxa"/>
            <w:vAlign w:val="bottom"/>
            <w:gridSpan w:val="3"/>
          </w:tcPr>
          <w:p>
            <w:pPr>
              <w:jc w:val="right"/>
              <w:ind w:right="380"/>
              <w:spacing w:after="0"/>
              <w:rPr>
                <w:sz w:val="20"/>
                <w:szCs w:val="20"/>
                <w:color w:val="auto"/>
              </w:rPr>
            </w:pPr>
            <w:r>
              <w:rPr>
                <w:rFonts w:ascii="Arial" w:cs="Arial" w:eastAsia="Arial" w:hAnsi="Arial"/>
                <w:sz w:val="18"/>
                <w:szCs w:val="18"/>
                <w:color w:val="auto"/>
              </w:rPr>
              <w:t>$ 100,000</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issuance expense</w:t>
            </w:r>
          </w:p>
        </w:tc>
        <w:tc>
          <w:tcPr>
            <w:tcW w:w="6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(3,598)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(3,966)</w:t>
            </w:r>
          </w:p>
        </w:tc>
        <w:tc>
          <w:tcPr>
            <w:tcW w:w="0" w:type="dxa"/>
            <w:vAlign w:val="bottom"/>
          </w:tcPr>
          <w:p>
            <w:pPr>
              <w:spacing w:after="0"/>
              <w:rPr>
                <w:sz w:val="1"/>
                <w:szCs w:val="1"/>
                <w:color w:val="auto"/>
              </w:rPr>
            </w:pPr>
          </w:p>
        </w:tc>
      </w:tr>
      <w:tr>
        <w:trPr>
          <w:trHeight w:val="223"/>
        </w:trPr>
        <w:tc>
          <w:tcPr>
            <w:tcW w:w="4100" w:type="dxa"/>
            <w:vAlign w:val="bottom"/>
            <w:gridSpan w:val="2"/>
          </w:tcPr>
          <w:p>
            <w:pPr>
              <w:spacing w:after="0"/>
              <w:rPr>
                <w:sz w:val="20"/>
                <w:szCs w:val="20"/>
                <w:color w:val="auto"/>
              </w:rPr>
            </w:pPr>
            <w:r>
              <w:rPr>
                <w:rFonts w:ascii="Arial" w:cs="Arial" w:eastAsia="Arial" w:hAnsi="Arial"/>
                <w:sz w:val="18"/>
                <w:szCs w:val="18"/>
                <w:color w:val="auto"/>
              </w:rPr>
              <w:t>Net carrying amount</w:t>
            </w:r>
          </w:p>
        </w:tc>
        <w:tc>
          <w:tcPr>
            <w:tcW w:w="50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96,402</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08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Senior convertible notes</w:t>
            </w:r>
          </w:p>
        </w:tc>
        <w:tc>
          <w:tcPr>
            <w:tcW w:w="61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$ 209,979</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209,335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020" w:type="dxa"/>
            <w:vAlign w:val="bottom"/>
            <w:vMerge w:val="restart"/>
          </w:tcPr>
          <w:p>
            <w:pPr>
              <w:jc w:val="right"/>
              <w:ind w:right="3233"/>
              <w:spacing w:after="0"/>
              <w:rPr>
                <w:sz w:val="20"/>
                <w:szCs w:val="20"/>
                <w:color w:val="auto"/>
              </w:rPr>
            </w:pPr>
            <w:r>
              <w:rPr>
                <w:rFonts w:ascii="Arial" w:cs="Arial" w:eastAsia="Arial" w:hAnsi="Arial"/>
                <w:sz w:val="18"/>
                <w:szCs w:val="18"/>
                <w:color w:val="auto"/>
              </w:rPr>
              <w:t>13</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50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50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In August 2010, the Company completed a Rule 144A offering of $100.0 million aggregate principal amount of 5.75% Senior Convertible Notes due 2015. The Notes due 2015 are governed by the terms of an indenture dated as of August 24, 2010. The Notes due 2015 bear interest at the rate of 5.75% per year on the principal amount, payable in cash semi-annually in arrears on February 15 and August 15 of each year, beginning February 15, 2011. As of June 30, 2011 and December 31, 2010, the Company had accrued interest of $2.2 million and $2.0 million, respectively related to the Notes due 2015. The Notes due 2015 are general, unsecured, senior obligations of the Company and effectively rank junior in right of payment to all of the Company’s secured debt, to the extent of the value of the assets securing such debt, and to the debt and all other liabilities of the Company’s subsidiaries. The maturity date of the Notes due 2015 is August 15, 2015 and payment is due in full on that date for unconverted securities. Holders of the Notes due 2015 may convert, at any time prior to the close of business on the business day immediately preceding the stated maturity date, any outstanding principal into shares of the Company’s common stock at an initial conversion rate of 147.0859 shares per $1,000 principal amount, which is equal to a conversion price of approximately $6.80 per share, subject to adjustment. Except in certain circumstances, if the Company undergoes a fundamental change: (1) the Company will pay a make-whole premium on the Notes due 2015 converted in connection with a fundamental change by increasing the conversion rate on such Notes, which amount, if any, will be based on the Company’s common stock price and the effective date of the fundamental change, and (2) each holder of Notes due 2015 will have the option to require the Company to repurchase all or any portion of such holder’s Notes at a repurchase price of 100% of the principal amount of the Notes to be repurchased plus accrued and unpaid interest, if any. The Company may elect to redeem some or all of the Notes due 2015 if the closing stock price has equaled 150% of the conversion price for at least 20 of the 30 consecutive trading days ending on the trading day before the Company’s redemption notice. The redemption price will equal 100% of the principal amount of the Notes due 2013 to be redeemed, plus accrued and unpaid interest, if any, to, but excluding, the redemption date, plus a make-whole payment equal to the sum of the present values of the remaining scheduled interest payments through and including August 15, 2015 (other than interest accrued up to, but excluding, the redemption date). The Company will be obligated to make the make-whole payment on all the Notes due 2015 called for redemption and converted during the period from the date the Company mailed the notice of redemption to and including the redemption date. The Company may elect to make the make-whole payment in cash or shares of its common stock, subject to certain limitations. The Company incurred approximately $4.2 million in issuance costs which are recorded as an offset to the Notes due 2015 in the accompanying condensed consolidated balance sheets. These costs are being amortized to interest expense using the effective interest method over the term of the Notes due 2015.</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In December 2006, the Company completed a registered offering of $115.0 million aggregate principal amount of 3.75% Senior Convertible Notes due 2013.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Notes due 2013 are governed by the terms of an indenture dated as of November 1, 2006 and a First Supplemental Indenture, dated as of December 12,</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2006. The Notes due 2013 bear interest at the rate of 3.75% per year on the principal amount, payable in cash semi-annually in arrears on June 15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15 of each year, beginning June 15, 2007. As of June 30, 2011 and December 31, 2010, the Company had accrued interest of $0.2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$0.2 million, respectively, related to the Notes due 2013. The Notes due 2013 are general, unsecured, senior obligations of the Company and effectively rank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junior in right of payment to all of the Company’s secured debt, to the extent of the value of the assets securing such debt, and to the debt and all other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liabilities of the Company’s subsidiaries. The maturity date of the Notes due 2013 is December 15, 2013 and payment is due in full on that date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unconverted securities. Holders of the Notes due 2013 may convert, at any time prior to the close of business on the business day immediately preceding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stated maturity date, any outstanding principal into shares of the Company’s common stock at an initial conversion rate of 44.5002 shares per $1,000 principal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amount, which is equal to a conversion price of approximately $22.47 per share, subject to adjustment. Except in certain circumstances, if the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undergoes a fundamental change: (1) the Company will pay a make-whole premium on the Notes due 2013 converted in connection with a fundamental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change by increasing the conversion rate on such Notes, which amount, if any, will be based on the Company’s common stock price and the effective date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fundamental change, and (2) each holder of Notes due 2013 will have the option to require the Company to repurchase all or any portion of such holder’s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at a repurchase price of 100% of the principal amount of the Notes to be repurchased plus accrued and unpaid interest, if any. The Company incurred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$3.7 million in issuance costs which are recorded as an offset to the Notes due 2013 in the accompanying condensed consolidated balance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sheets. These costs are being amortized to interest expense using the effective interest method over the term of the Notes due 2013.</w:t>
      </w:r>
    </w:p>
    <w:p>
      <w:pPr>
        <w:spacing w:after="0" w:line="10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Amortization of debt issuance expense in connection with the Notes during the three and six months ended June 30, 2011 and 2010 was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jc w:val="center"/>
              <w:ind w:right="820"/>
              <w:spacing w:after="0"/>
              <w:rPr>
                <w:sz w:val="20"/>
                <w:szCs w:val="20"/>
                <w:color w:val="auto"/>
              </w:rPr>
            </w:pPr>
            <w:r>
              <w:rPr>
                <w:rFonts w:ascii="Arial" w:cs="Arial" w:eastAsia="Arial" w:hAnsi="Arial"/>
                <w:sz w:val="14"/>
                <w:szCs w:val="14"/>
                <w:b w:val="1"/>
                <w:bCs w:val="1"/>
                <w:color w:val="auto"/>
                <w:w w:val="91"/>
              </w:rPr>
              <w:t>Three months ended</w:t>
            </w:r>
          </w:p>
        </w:tc>
        <w:tc>
          <w:tcPr>
            <w:tcW w:w="160" w:type="dxa"/>
            <w:vAlign w:val="bottom"/>
          </w:tcPr>
          <w:p>
            <w:pPr>
              <w:spacing w:after="0"/>
              <w:rPr>
                <w:sz w:val="14"/>
                <w:szCs w:val="14"/>
                <w:color w:val="auto"/>
              </w:rPr>
            </w:pPr>
          </w:p>
        </w:tc>
        <w:tc>
          <w:tcPr>
            <w:tcW w:w="19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25"/>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65"/>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vMerge w:val="restart"/>
          </w:tcPr>
          <w:p>
            <w:pPr>
              <w:spacing w:after="0"/>
              <w:rPr>
                <w:sz w:val="20"/>
                <w:szCs w:val="20"/>
                <w:color w:val="auto"/>
              </w:rPr>
            </w:pPr>
            <w:r>
              <w:rPr>
                <w:rFonts w:ascii="Arial" w:cs="Arial" w:eastAsia="Arial" w:hAnsi="Arial"/>
                <w:sz w:val="18"/>
                <w:szCs w:val="18"/>
                <w:color w:val="auto"/>
              </w:rPr>
              <w:t>Amortization expense</w:t>
            </w: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w w:val="96"/>
              </w:rPr>
              <w:t>2011</w:t>
            </w: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6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 xml:space="preserve">As required by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formerly FASB Statement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xml:space="preserve"> management of the Company has evaluated the positive and negative evidence bearing upon the realizability of its deferred tax assets. Management has concluded, in accordance with the applicable accounting standards, that it is more likely than not that the Company may not realize the benefit of its deferred tax assets due to its history of operating losses. Accordingly, the net deferred tax assets have been fully reserved.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ASC 740-10-25 </w:t>
      </w:r>
      <w:r>
        <w:rPr>
          <w:rFonts w:ascii="Arial" w:cs="Arial" w:eastAsia="Arial" w:hAnsi="Arial"/>
          <w:sz w:val="17"/>
          <w:szCs w:val="17"/>
          <w:i w:val="1"/>
          <w:iCs w:val="1"/>
          <w:color w:val="auto"/>
        </w:rPr>
        <w:t>Income Taxes Recognition</w:t>
      </w:r>
      <w:r>
        <w:rPr>
          <w:rFonts w:ascii="Arial" w:cs="Arial" w:eastAsia="Arial" w:hAnsi="Arial"/>
          <w:sz w:val="17"/>
          <w:szCs w:val="17"/>
          <w:color w:val="auto"/>
        </w:rPr>
        <w:t xml:space="preserve"> clarifies the accounting and disclosure for uncertainty in tax positions, as defined. This guidance seeks to reduce the diversity in practice associated with certain aspects of the recognition and measurement related to accounting for income taxes.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this guidance. Tax years since 1993 remain subject to examination by the major tax jurisdictions in which the Company is subject to tax.</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The following discussion contains forward-looking statements, which involve risks and uncertainties. Our actual results could differ materially from those anticipated in these forward-looking statements as a result of various factors, including those set forth below in Part II, Item 1A Risk Factors and elsewhere in this quarterly report on Form 10-Q. These interim condensed consolidated financial statements and this Management’s Discussion and Analysis of Financial Condition and Results of Operations should be read in conjunction with the financial statements and notes for the year ended December 31, 2010 and the related Management’s Discussion and Analysis of Financial Condition and Results of Operations, both of which are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are a biopharmaceutical company focused on the discovery, development and commercialization of therapeutic products for diseases such as diabetes and cancer. Our lead product candidate, AFREZZA (insulin human [rDNA origin]) Inhalation Powder, is an ultra rapid-acting insulin that is in late-stage clinical investigation for the treatment of adults with type 1 or type 2 diabetes for the control of hyperglycemia.</w:t>
      </w:r>
    </w:p>
    <w:p>
      <w:pPr>
        <w:spacing w:after="0" w:line="73"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In March 2009, we submitted a new drug application, or NDA, for AFREZZA to the U.S. Food and Drug Administration, or FDA. On March 12, 2010, we received a Complete Response letter from the FDA regarding the NDA for AFREZZA. A Complete Response letter is issued by the FDA’s Center for Drug Evaluation and Research when the review of a submitted file is completed and questions remain that preclude the approval of the NDA in its current form. One of the questions raised in the March 2010 Complete Response letter was a request for information about the comparability of the then proposed commercial version of the inhaler to the version of the device that was used in clinical trials, which we refer to as the MedTone (model C) inhaler.</w:t>
      </w:r>
    </w:p>
    <w:p>
      <w:pPr>
        <w:spacing w:after="0" w:line="5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June 2010, we held an End-of-Review meeting with the FDA to discuss our approach for addressing their questions. During the meeting, we discussed a study in which we had demonstrated that the MedTone (model C) inhaler and our next-generation inhaler, which we sometimes refer to as the Dreamboat inhaler, are bioequivalent — that is, the same amount of the same insulin formulation passes quickly through the pulmonary membrane and reaches the bloodstream when either inhaler is used. Following the conclusion of this meeting, we determined that submitting our comparability data for the next-generation inhaler was the best approach for addressing the FDA’s inhaler-related questions. Accordingly, in late June 2010, we submitted the bioequivalency results as part of our response to the March 2010 Complete Response letter.</w:t>
      </w:r>
    </w:p>
    <w:p>
      <w:pPr>
        <w:spacing w:after="0" w:line="8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 xml:space="preserve">On January 18, 2011 we received a second Complete Response letter from the FDA, in which the principal issue was the usage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performance data and bioequivalence data to bridge our next-generation inhaler to the Phase 3 trials conducted using our MedTone (model C) inhaler. The FDA requested that we conduct two clinical studies with the next-generation inhaler (one in patients with type 1 diabetes and one in patients with type 2 diabetes), with at least one trial including a treatment group using the MedTone (model C) inhaler in order to obtain a head-to-head comparison of the pulmonary safety data for the two devices. In the January 2011 Complete Response letter, the FDA also stated that after an adequate titration of study medication there should be at least 12 weeks of relatively stable insulin dosing during the treatment period. In addition to this request, the FDA requested additional information concerning the performance characteristics, usage, handling, shipment and storage of the next-generation inhaler, an update of safety information related to AFREZZA as well as information on proposed user training and changes to the proposed labeling of the device, blister pack, foil wrap and cartons.</w:t>
      </w:r>
    </w:p>
    <w:p>
      <w:pPr>
        <w:spacing w:after="0" w:line="5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May 4, 2011, we held an End-of-Review meeting with the FDA to discuss the design of the requested Phase 3 clinical trials. In this meeting, we were able to clarify many details about the FDA’s requirements for approval of AFREZZA, and we received further guidance on the design of the studies on May 27, 2011, when we received the agency’s minutes of the End-of-Review meeting. Subsequently, we submitted the proposed protocols and requested a meeting with the FDA to reach agreement on the final protocol designs. The proposed study in patients with type 1 diabetes, known as study 171, is an open-label, forced-titration design that will evaluate the efficacy and safety of AFREZZA in combination with a basal insulin versus insulin aspart, or Novolog, in combination with a basal insulin over a 24-week treatment period. This study will also include a treatment group using the MedTone (model C) inhaler in order to obtain a head-to-head comparison of the pulmonary safety data for the two devices. The design of the study in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patients with type 2 diabetes, known as study 174, is subject to further discussion with the FDA, but in general terms we have proposed to evaluate the efficacy and safety of meal-time AFREZZA in insulin naïve patients that are inadequately controlled on metformin or metformin plus another oral antidiabetic drug. We will meet with the FDA on August 10, 2011 in an effort to reach agreement on the final protocol designs for both studies and we will continue to work closely with the FDA in an effort to ensure that our clinical studies address the agency’s requests for additional information about AFREZZA. There can be no assurance that we will be able to satisfy all of the FDA’s requirements or that the FDA will find our proposed approach to these clinical studies acceptable. The FDA could also request that we conduct additional clinical studies beyond the currently planned studies in order to provide sufficient data for approval of the NDA.</w:t>
      </w:r>
    </w:p>
    <w:p>
      <w:pPr>
        <w:spacing w:after="0" w:line="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a development stage enterprise and have incurred significant losses since our inception in 1991. As of June 30, 2011, we have incurred a cumulative net loss of $1.9 billion and an accumulated stockholders’ deficit of $245.4 million. To date, we have not generated any product revenues and have funded our operations primarily through the sale of equity securities, convertible debt securities and borrowings under our related party loan. As discussed below in “Liquidity and Capital Resources,” if we are unable to obtain additional funding in the future, there will be substantial doubt about our ability to continue as a going concern.</w:t>
      </w:r>
    </w:p>
    <w:p>
      <w:pPr>
        <w:spacing w:after="0" w:line="8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have held extensive discussions with a number of pharmaceutical companies concerning a potential strategic business collaboration for AFREZZA. To date we have not reached an agreement on a collaboration with any of these companies. There can be no assurance that any such collaboration will be available to us on a timely basis or on acceptable terms, if at all.</w:t>
      </w:r>
    </w:p>
    <w:p>
      <w:pPr>
        <w:spacing w:after="0" w:line="73"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do not expect to record sales of any product prior to regulatory approval and commercialization of AFREZZA. We currently do not have the required approvals to market any of our product candidates, and we may not receive such approvals. We may not be profitable even if we succeed in commercializing any of our product candidates. We expect to make substantial expenditures and to incur additional operating losses for at least the next several years as we:</w:t>
      </w:r>
    </w:p>
    <w:p>
      <w:pPr>
        <w:spacing w:after="0" w:line="39" w:lineRule="exact"/>
        <w:rPr>
          <w:sz w:val="20"/>
          <w:szCs w:val="20"/>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continue the clinical development of AFREZZA and new inhalation systems for the treatment of diabetes;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seek regulatory approval to sell AFREZZA in the United States and other markets;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seek development and commercialization collaborations for AFREZZA;</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seek development collaborations for our cancer immunotherapy and cancer drug programs;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develop additional applications of our proprietary Technosphere platform technology for the pulmonary delivery of other drugs.</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Our business is subject to significant risks, including but not limited to the risks inherent in our ongoing clinical trials and the regulatory approval process, our potential inability to enter into sales and marketing collaborations or to commercialize our lead product candidate in a timely manner, the results of our research and development efforts, competition from other products and technologies and uncertainties associated with obtaining and enforcing patent rights.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Our research and development expenses consist mainly of costs associated with the clinical trials of our product candidates that have not yet received regulatory approval for marketing and for which no alternative future use has been identified. This includes the salaries, benefits and stock-based compensation of research and development personnel, raw materials, such as insulin purchases, laboratory supplies and materials, facility costs, costs for consultants and related contract research, licensing fees, and depreciation of laboratory equipment.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research and development staff conducts our internal research and development activities, which include research, product development, clinical development, manufacturing and related activities. This staff is located in our facilities in Valencia, California; Paramus, New Jersey; and Danbury, Connecticut. We expense the majority of research and development costs as we incur them. Clinical development timelines, likelihood of success and total costs vary widely. We are focused primarily on advancing AFREZZA through regulatory filings. Based on the results of preclinical studies, we plan to develop additional applications of our Technosphere technology. Additionally, we anticipate that we will continue to determine which research and development projects to pursue, and how much funding to direct to each project, on an ongoing basis, in response to the scientific and clinical success of each product candidate. We cannot be certain when any revenues from the commercialization of our products will commence.</w:t>
      </w:r>
    </w:p>
    <w:p>
      <w:pPr>
        <w:spacing w:after="0" w:line="7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At this time, due to the risks inherent in the clinical trial process and given the early stage of development of our product candidates other than AFREZZA, we are unable to estimate with any certainty the costs that we will incur in the continued development of our product candidates for commercialization. The costs required to complete the development of AFREZZA will be largely dependent on the cost and efficiency of our manufacturing process and discussions with the FDA regarding its requirements.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Our general and administrative expenses consist primarily of salaries, benefits and stock-based compensation for administrative, finance, business development, human resources, legal and information systems support personnel. In addition, general and administrative expenses include professional service fees and business insurance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critical accounting policies as described in Item 7 of our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2011 and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did not recognize any revenue for the three months ended June 30, 2011 and recognized revenue of $50,000 under a license agreement for the six months ended June 30, 2011. We recognized revenue of $93,000 in both the three and six months ended June 30, 2010. We do not anticipate sales of any product prior to regulatory approval and commercialization of AFREZZA.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provides a comparison of the research and development expense categories for the three and six months ended June 30, 2011 and 2010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w w:val="91"/>
              </w:rPr>
              <w:t>Three months ended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110"/>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vMerge w:val="restart"/>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660" w:type="dxa"/>
            <w:vAlign w:val="bottom"/>
            <w:vMerge w:val="restart"/>
          </w:tcPr>
          <w:p>
            <w:pPr>
              <w:spacing w:after="0"/>
              <w:rPr>
                <w:sz w:val="14"/>
                <w:szCs w:val="14"/>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 Change</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6,175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6,897</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(722)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Manufacturing</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21,131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12,849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8,282</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2,525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(1,530)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(198)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(1,935)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30,296</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26,160</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4,136</w:t>
            </w:r>
          </w:p>
        </w:tc>
        <w:tc>
          <w:tcPr>
            <w:tcW w:w="6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1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w w:val="91"/>
              </w:rPr>
              <w:t>Six months ended</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110"/>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vMerge w:val="restart"/>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660" w:type="dxa"/>
            <w:vAlign w:val="bottom"/>
            <w:vMerge w:val="restart"/>
          </w:tcPr>
          <w:p>
            <w:pPr>
              <w:spacing w:after="0"/>
              <w:rPr>
                <w:sz w:val="14"/>
                <w:szCs w:val="14"/>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 Change</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12,624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13,826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(1,202)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Manufacturing</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35,460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30,835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4,625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6,738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7,634</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(896)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(433)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177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4,789</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(2,770)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56,585</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56,651</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6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340" w:type="dxa"/>
            <w:vAlign w:val="bottom"/>
            <w:vMerge w:val="restart"/>
          </w:tcPr>
          <w:p>
            <w:pPr>
              <w:jc w:val="right"/>
              <w:ind w:right="590"/>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14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14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increase in research and development expenses for the three months ended June 30, 2011, as compared to the three months ended June 30, 2010, was primarily due to a payment by us under the letter agreement that was entered into between us and N.V. Organon, or Organon, now a subsidiary of Merck, in June 2011 to settle a dispute that arose between us and Organon in connection with the termination by us of the Supply Agreement. In connection with the letter agreement, we received the first of two shipments of recombinant human insulin from Organon and paid the first $8.0 million installment. During the quarter, we expensed $4.3 million for insulin received and recorded $3.7 million for a contract cancellation fee. Additionally, we recorded a loss contingency as of June 30, 2011 of $3.9 million representing the portion of the second $8.0 million payment related to the contract cancellation fee. Increases were partially offset by decreases of $3.3 million in salary related costs and $1.9 million in stock based compensation expense as a result of the February 2011 reduction in force as well as the positive impact of our cost cutting measures on operating expenses.</w:t>
      </w:r>
    </w:p>
    <w:p>
      <w:pPr>
        <w:spacing w:after="0" w:line="5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Total research and development expenses for the six months ended June 30, 2011 were consistent with the same period in the prior year. The increase in manufacturing costs related to the letter agreement between us and Organon was offset by decreases of $2.8 million in stock based compensation expense as a result of the February 2011 reduction in force as well as the positive impact of our cost cutting measures on operating expenses. Restructuring costs of $4.8 million incurred for the February 2011 reduction in force were offset by savings in salary related costs.</w:t>
      </w:r>
    </w:p>
    <w:p>
      <w:pPr>
        <w:spacing w:after="0" w:line="6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anticipate that our research and development expenses will increase in 2011 compared to the prior year as we incur costs associated with the additional trials required by the FDA.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provides a comparison of the general and administrative expense categories for the three and six months ended June 30, 2011 and 2010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91"/>
              </w:rPr>
              <w:t>Three months ended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vMerge w:val="restart"/>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Change</w:t>
            </w:r>
          </w:p>
        </w:tc>
        <w:tc>
          <w:tcPr>
            <w:tcW w:w="660" w:type="dxa"/>
            <w:vAlign w:val="bottom"/>
            <w:vMerge w:val="restart"/>
          </w:tcPr>
          <w:p>
            <w:pPr>
              <w:spacing w:after="0"/>
              <w:rPr>
                <w:sz w:val="14"/>
                <w:szCs w:val="14"/>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7"/>
              </w:rPr>
              <w:t>%Change</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Salaries, employee related and other general expenses</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7,519</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9,497</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(1,978)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1,371</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1,699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(328)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8,890</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11,196</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(2,306)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2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91"/>
              </w:rPr>
              <w:t>Six months ended</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vMerge w:val="restart"/>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Change</w:t>
            </w:r>
          </w:p>
        </w:tc>
        <w:tc>
          <w:tcPr>
            <w:tcW w:w="660" w:type="dxa"/>
            <w:vAlign w:val="bottom"/>
            <w:vMerge w:val="restart"/>
          </w:tcPr>
          <w:p>
            <w:pPr>
              <w:spacing w:after="0"/>
              <w:rPr>
                <w:sz w:val="14"/>
                <w:szCs w:val="14"/>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7"/>
              </w:rPr>
              <w:t>%Change</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Salaries, employee related and other general expenses</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17,970</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18,090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2,682</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3,216</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(534)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20,652</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21,306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(654)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General and administrative expenses for the three months ended June 30, 2011 decreased as compared to the same period in the prior year primarily due to decreased salaries and wages of $1.2 million and stock based compensation of $0.3 million as a result of the February 2011 reduction in force as well as the positive impact of our cost cutting measures on other general operating expenses.</w:t>
      </w:r>
    </w:p>
    <w:p>
      <w:pPr>
        <w:spacing w:after="0" w:line="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General and administrative expenses for the six months ended June 30, 2011 decreased as compared to the same period in the prior year primarily due to decreased stock based compensation of $0.5 million as a result of the February 2011 reduction in force as well as the positive impact of our cost cutting measures on other general operating expenses. Restructuring costs of $1.6 million incurred for the February 2011 reduction in force were offset by savings in salary related costs.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Overall, we expect general and administrative expenses to decrease in 2011 as a result of a smaller workforce going forward.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Other income for the three months ended June 30, 2011 was $47,000 compared to expense of $1.3 million in the same period in the prior year. In the prior year quarter we recorded a $941,000 increase to the unrealized loss on foreign exchange hedging contracts and recognized a $347,000 other than temporary impairment on marketable securities.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Other income for the six months ended June 30, 2011 increased $3.4 million as compared to the same period in the prior year. We recorded a realized gain of $1.3 million on foreign exchange hedging contracts for the six months ended June 30, 2011. The foreign exchange hedging contracts were terminated during the quarter ended March 31, 2011. During the six months ended June 30, 2010, we recorded a $1.8 million loss on foreign exchange hedging contracts and recognized a $347,000 other than temporary impairment on marketable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Expense</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Interest income for the three months ended June 30, 2011 decreased $1,000 from the same period in the prior year. Interest income for the six months ended June 30, 2011 increased by $11,000 as compared to the same period in the prior year primarily due to a higher annualized yield on our investment account and a higher investment balance during the period.</w:t>
      </w:r>
    </w:p>
    <w:p>
      <w:pPr>
        <w:spacing w:after="0" w:line="73"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Interest expense for the three and six months ended June 30, 2011 increased by $1.6 million and $3.2 million, respectively, as compared to the same periods in the prior year primarily due to the additional interest expense associated with our issuance of 5.75% Senior Convertible Notes in August 2010. (See Note 13 — Senior convertible notes, of the Notes to the accompanying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have funded our operations primarily through the sale of equity securities, convertible debt securities and borrowings under our related party note.</w:t>
      </w:r>
    </w:p>
    <w:p>
      <w:pPr>
        <w:spacing w:after="0" w:line="12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In October 2007, we entered into a loan arrangement with our principal stockholder allowing us to borrow up to a total of $350.0 million. In February 2009, as a result of our principal stockholder being licensed as a finance lender under the California Finance Lenders Law, the promissory note underlying the loan arrangement was revised to reflect the lender as The Mann Group LLC, an entity controlled by our principal stockholder. Interest accrues on each outstanding advance at a fixed rate equal to the one-year LIBOR rate as reported by the </w:t>
      </w:r>
      <w:r>
        <w:rPr>
          <w:rFonts w:ascii="Arial" w:cs="Arial" w:eastAsia="Arial" w:hAnsi="Arial"/>
          <w:sz w:val="17"/>
          <w:szCs w:val="17"/>
          <w:i w:val="1"/>
          <w:iCs w:val="1"/>
          <w:color w:val="auto"/>
        </w:rPr>
        <w:t>Wall Street Journal</w:t>
      </w:r>
      <w:r>
        <w:rPr>
          <w:rFonts w:ascii="Arial" w:cs="Arial" w:eastAsia="Arial" w:hAnsi="Arial"/>
          <w:sz w:val="17"/>
          <w:szCs w:val="17"/>
          <w:color w:val="auto"/>
        </w:rPr>
        <w:t xml:space="preserve"> on the date of such advance plus 3% per annum and is payable quarterly in arrears. In August 2010, we amended and restated the existing promissory note evidencing the loan arrangement with The Mann Group to extend the maturity date from December 31, 2011 to December 31, 2012. Under the amended and restated promissory note, The Mann Group can require us to prepay up to $200.0 million in advances that have been outstanding for at least 12 months. If The Mann Group exercises this right, we will have 90 days after The Mann Group provides written notice (or the number of days to maturity of the note if less than 90 days) to prepay such advances. In August 2010, we entered into a letter agreement confirming a previous commitment by The Mann Group to not require us to prepay amounts outstanding under the amended and restated promissory note if the prepayment would require us to use our working capital resources, including the proceeds from the sale of our 5.75% Senior Convertible Notes due 2015. In the event of a default, all unpaid principal and interest either becomes immediately due and payable or may be accelerated at the lender’s option, and the interest rate will increase to the one-year LIBOR rate calculated on the date of the initial advance or in effect on the date of default, whichever is greater, plus 5% per annum. All borrowings under the loan arrangement are unsecured. The loan arrangement contains no financial covenants. As of June 30, 2011, the amount borrowed and outstanding under the arrangement was $242.2 million and we had $80.0 million of available borrowings under the arrangement.</w:t>
      </w:r>
    </w:p>
    <w:p>
      <w:pPr>
        <w:spacing w:after="0" w:line="7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August 2010, Seaside and we entered into a common stock purchase agreement, or the Seaside purchase agreement. The Seaside purchase agreement requires us to issue and sell, and Seaside to buy, up to 18,200,000 shares of our common stock in installments of 700,000 shares once every 14 days, subject to the satisfaction of certain closing conditions at each closing, beginning on September 22, 2010 and ending approximately 50 weeks after the initial closing. The price of the shares that we sell to Seaside is at an 8% discount to the volume weighted average trading price for our common stock for the ten consecutive trading days immediately preceding each closing date. For a particular closing to take place, the ten-day volume weighted average trading price for our common stock immediately prior to such closing must meet or exceed a minimum price set by us at $6.50 per share. If the ten-day volume weighted average trading price for a particular closing is below $6.50 per share, then that closing will not occur and the aggregate number of shares to be purchased will be reduced by 700,000 shares. Seaside also has the right not to complete a purchase of shares at a closing if it would cause Seaside’s beneficial ownership of our common stock, calculated in accordance with Rule 13d-3 under the Securities Exchange Act of 1934, as amended, or the Exchange Act, to exceed 10% of our outstanding common stock immediately after such subsequent closing. Seaside has agreed not to engage in short sales of our common stock during the term of the Seaside purchase agreement and agreed that it will not sell more than 10% of the total number of shares of common stock traded on any trading day. In August 2010, we entered into an agreement with Omni Capital Corporation to pay that firm a finder’s fee in an amount equal to 1% of the aggregate value of all cash invested by Seaside under the Seaside purchase agreement. As of June 30, 2011, a total of 3,500,000 shares had been sold to Seaside under the Seaside purchase agreement for net proceeds of $23.8 million.</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conjunction with the Seaside agreement, in August 2010, The Mann Group and we entered into a common stock purchase agreement, or the Mann purchase agreement. Under the Mann purchase agreement, we are required to issue and sell, and The Mann Group is obligated to purchase, the same number of shares of our common stock that Seaside purchases on each closing date under the Seaside purchase agreement. The price of the shares that we issue and sell to The Mann Group is equal to the greater of $7.15 per share (the closing bid price of our common stock on August 10, 2010) and the closing bid price of our common stock on the trading day immediately preceding the applicable closing date. The aggregate purchase price for the shares of common stock we issue and sell to The Mann Group is paid by cancelling an equal amount of the outstanding principal under the $350.0 million revolving loan arrangement provided by The Mann Group. To the extent that the outstanding principal amount owed under the loan arrangement is insufficient to pay the full purchase price for the shares of common stock to be acquired, The Mann Group will be obligated to pay cash for the balance of the shares of common stock it is obligated to purchase under the Mann purchase agreement. The Mann purchase agreement will terminate on the day following the final closing under the Seaside purchase agreement or upon termination of the Seaside purchase agreement. As of June 30, 2011, a total of 3,500,000 shares had been issued to The Mann Group under the Mann purchase agreement, which were paid for by the cancellation of $27.8 million of outstanding principal under the loan arrangement.</w:t>
      </w:r>
    </w:p>
    <w:p>
      <w:pPr>
        <w:spacing w:after="0" w:line="7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six months ended June 30, 2011, we used $67.5 million of cash for our operations compared to using $74.8 million for our operations in the six months ended June 30, 2010. We had a net loss of $86.0 million for the six months ended June 30, 2011, of which $12.7 million consisted of non-cash charges such as depreciation and amortization, and stock-based compensation. We expect our negative operating cash flow to continue at least until we obtain regulatory approval and achieve commercialization of AFREZZA.</w:t>
      </w:r>
    </w:p>
    <w:p>
      <w:pPr>
        <w:spacing w:after="0" w:line="79" w:lineRule="exact"/>
        <w:rPr>
          <w:sz w:val="20"/>
          <w:szCs w:val="20"/>
          <w:color w:val="auto"/>
        </w:rPr>
      </w:pPr>
    </w:p>
    <w:p>
      <w:pPr>
        <w:jc w:val="both"/>
        <w:ind w:right="300"/>
        <w:spacing w:after="0" w:line="257" w:lineRule="auto"/>
        <w:rPr>
          <w:sz w:val="20"/>
          <w:szCs w:val="20"/>
          <w:color w:val="auto"/>
        </w:rPr>
      </w:pPr>
      <w:r>
        <w:rPr>
          <w:rFonts w:ascii="Arial" w:cs="Arial" w:eastAsia="Arial" w:hAnsi="Arial"/>
          <w:sz w:val="18"/>
          <w:szCs w:val="18"/>
          <w:color w:val="auto"/>
        </w:rPr>
        <w:t>We used $2.2 million of cash for investing activities during the six months ended June 30, 2011, compared to $4.1 million of cash used for the six months ended June 30, 2010. For the six months ended June 30, 2011 and 2010, $6.1 million and $4.1 million, respectively, were used to purchase machinery and equipment to expand our manufacturing operations and our quality systems that support clinical trials for AFREZZA. We received $3.8 million in the six months ended June 30, 2011 related to the early termination of certificates of deposit that were previously held as collateral for foreign exchange hedging instruments.</w:t>
      </w:r>
    </w:p>
    <w:p>
      <w:pPr>
        <w:spacing w:after="0" w:line="8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financing activities generated $28.4 million of cash for the six months ended June 30, 2011, compared to $77.2 million for the same period in 2010. For the six months ended June 30, 2011, cash from financing activities was primarily from related party borrowings and the sale of common stock to Seaside during the first quarter of 2011 as well as the exercise of stock options.</w:t>
      </w:r>
    </w:p>
    <w:p>
      <w:pPr>
        <w:spacing w:after="0" w:line="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of June 30, 2011, we had $25.3 million in cash, cash equivalents and marketable securities. Although we believe our existing cash resources, including the $80.0 million remaining available under our loan arrangement with The Mann Group, will be sufficient to fund our anticipated cash requirements into the first quarter of 2012, we will require significant additional financing in the future to fund our operations and if we are unable to do so, there will be substantial doubt about our ability to continue as a going concern. Accordingly, we expect that we will need to raise additional capital, either through the sale of equity or debt securities, the entry into a strategic business collaboration with a pharmaceutical or biotechnology company, the establishment of other funding facilities, licensing arrangements, asset sales or other means, or an increase in the borrowings available under the loan arrangement with our related party, in order to continue the development and commercialization of AFREZZA and other product candidates and to support our other ongoing activities.</w:t>
      </w:r>
    </w:p>
    <w:p>
      <w:pPr>
        <w:spacing w:after="0" w:line="5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intend to use our capital resources to continue the development and commercialization of AFREZZA, if approved. In addition, a portion of our capital resources will be devoted to ongoing development of our products for the treatment of different types of cancers. We are expending a portion of our capital to scale up our manufacturing capabilities in our Danbury facilities. We also intend to use our capital resources for general corporate purposes.</w:t>
      </w:r>
    </w:p>
    <w:p>
      <w:pPr>
        <w:spacing w:after="0" w:line="3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have held extensive discussions with a number of pharmaceutical companies concerning a potential strategic business collaboration for AFREZZA. We cannot predict when, if ever, we could conclude an agreement with a partner. There can be no assurance that any such collaboration will be available to us on a timely basis or on acceptable terms, if at all.</w:t>
      </w:r>
    </w:p>
    <w:p>
      <w:pPr>
        <w:spacing w:after="0" w:line="7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If we enter into a strategic business collaboration with a pharmaceutical or biotechnology company, we would expect, as part of the transaction, to receive additional capital. In addition, we expect to pursue the sale of equity and/or debt securities,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will be required to enter into agreements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with third parties to develop or commercialize products or technologies that we otherwise would have sought to develop independently, and any such agreements may not be on terms that are commercially favorable to us.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However, 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capital through equity or debt financing or entering a business collaboration, we may be required to reduce expenses through the delay, reduction or curtailment of our projects, including AFREZZA development activities, or further reduction of costs for facilities and administration, and there will be substantial doubt about our ability to continue as a going concern.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2011 we did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June 2011, we entered into a letter agreement, or the Letter Agreement, with Organon, to settle a dispute that arose between us and Organon in connection with the termination by us of the supply agreement between us and Organon dated November 16, 2007, or the Supply Agreement. Under the terms of the Letter Agreement, we will pay Organon an aggregate of $16.0 million in two installments, each of which will be paid after we receive certain quantities of recombinant human insulin manufactured and supplied by Organon. The Letter Agreement is in full and final settlement of, and we and Organon agreed to release each other from, any and all actions and claims that we and Organon had or may have against each other in connection with the dispute regarding the Supply Agreement and related matters. During the quarter ended June 30, 2011, we received the first of two shipments of recombinant human insulin and paid the first installment of $8.0 million. (See Note 11 — Commitments and contingencies of the Notes to the accompanying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We are exposed to market risk related to changes in interest rates impacting our short-term investment portfolio as well as the interest rate on our credit facility with The Mann Group. The interest rate on our credit facility with The Mann Group is a fixed rate equal to the one-year LIBOR rate as reported by the </w:t>
      </w:r>
      <w:r>
        <w:rPr>
          <w:rFonts w:ascii="Arial" w:cs="Arial" w:eastAsia="Arial" w:hAnsi="Arial"/>
          <w:sz w:val="17"/>
          <w:szCs w:val="17"/>
          <w:i w:val="1"/>
          <w:iCs w:val="1"/>
          <w:color w:val="auto"/>
        </w:rPr>
        <w:t>Wall Street Journal</w:t>
      </w:r>
      <w:r>
        <w:rPr>
          <w:rFonts w:ascii="Arial" w:cs="Arial" w:eastAsia="Arial" w:hAnsi="Arial"/>
          <w:sz w:val="17"/>
          <w:szCs w:val="17"/>
          <w:color w:val="auto"/>
        </w:rPr>
        <w:t xml:space="preserve"> on the date of such advance plus 3% per annum. Our current policy requires us to maintain a highly liquid short-term investment portfolio consisting mainly of U.S. money market funds and investment-grade corporate, government and municipal debt. None of these investments is entered into for trading purposes. Our cash is deposited in and invested through highly rated financial institutions in North America. Our short-term investments at June 30, 2011 are comprised mainly of a certificate of deposit and a common stock investment. We continue to utilize our $350.0 million credit facility to fund operations. As of June 30, 2011, the amount borrowed and outstanding under the credit facility was $242.2 million, with $80.0 million of available borrowings. The interest rate is fixed at the time of the draw. If interest rates were to increase from levels at June 30, 2011 we could experience a higher level of interest expense than assumed in our current operating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7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Our chief executive officer and chief financial officer performed an evaluation under the supervision and with the participation of our management, of our disclosure controls and procedures (as defined in Rules 13a-15(e) and 15d-15(e) of the Exchange Act) as of June 30, 2011. Based on that evaluation, our chief executive officer and chief financial officer concluded that our disclosure controls and procedures were effective at the reasonable assurance level.</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fiscal quarter ended June 30, 2011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November 23, 2010, John Arditi, our former Senior Director — GCP — Regulatory Affairs, filed a Demand for Arbitration against us and three employees — our Chief Scientific Officer, our Vice President — World Wide Regulatory Affairs, and our Chief Financial Officer — claiming that we terminated his employment in retaliation for his purported reporting of alleged unlawful practices in connection with our clinical trials. Mr. Arditi has asserted claims for violation of the New Jersey Conscientious Employee Protection Act, wrongful discharge, breach of contract, breach of the implied covenant of good faith and fair dealing, defamation and intentional infliction of emotional distress. Mr. Arditi is seeking, among other relief, compensatory and punitive damages and counsel fees, costs and interest. Before Mr. Arditi filed his arbitration demand, we had completed an internal investigation and retained an independent outside firm to conduct an independent investigation of Mr. Arditi’s claims. Neither investigation found any basis for his claims. We believe the allegations made by Mr. Arditi are without merit and we intend to defend against them vigorously.</w:t>
      </w:r>
    </w:p>
    <w:p>
      <w:pPr>
        <w:spacing w:after="0" w:line="7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Following the receipt by us of the Complete Response letter from the FDA regarding the NDA for AFREZZA in January 2011 and the subsequent decline of the price of our common stock, several complaints were filed in the U.S. District Court for the Central District of California against us and certain of our officers and directors on behalf of certain purchasers of our common stock. The complaints include claims asserted under Sections 10(b) and 20(a) of the Exchange Act and have been brought as purported shareholder class actions. In general, the complaints allege that we and certain of our officers and directors violated federal securities laws by making materially false and misleading statements regarding our business and prospects for AFREZZA, thereby artificially inflating the price of our common stock. The plaintiffs are seeking unspecified monetary damages and other relief. The complaints have been transferred to a single court and consolidated for all purposes. The court has appointed a lead plaintiff and lead counsel and a consolidated complaint was filed on June 27, 2011. We will vigorously defend against the claims advanced.</w:t>
      </w:r>
    </w:p>
    <w:p>
      <w:pPr>
        <w:spacing w:after="0" w:line="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Starting in February 2011, shareholder derivative complaints were filed in the Superior Court of California for the County of Los Angeles and in the U.S. District Court for the Central District of California against our directors and certain of our officers. The complaints in the shareholder derivative actions allege breaches of fiduciary duties by the defendants and other violations of law. In general, the complaints allege that our directors and certain of our officers caused or allowed for the dissemination of materially false and misleading statements regarding our business and prospects for AFREZZA, thereby artificially inflating the price of our common stock. The plaintiffs are seeking unspecified monetary damages and other relief, including reforms to our corporate governance and internal procedures. The Superior Court of California for the County of Los Angeles has consolidated the actions pending before it. Likewise, the U.S. District Court for the Central District of California has consolidated the actions pending before it. The U.S. District Court for the Central District of California has also appointed lead plaintiffs and lead counsel and ordered the federal lead plaintiffs to file a consolidated complaint by mid-August 2011. We will vigorously defend against the claims advanced.</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with an asterisk (*) next to the title contain changes to the description of the risk factors previously disclosed in Item 1A to our annual report on Form 10-K.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heavily on the successful development and commercialization of our lead product candidate, AFREZZA, which is not yet approved. *</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 date, we have not commercialized any product candidates. We have expended significant time, money and effort in the development of our lead product candidate, AFREZZA, which has not yet received regulatory approval and which may not be approved by the FDA in a timely manner, or at all. Our other product candidates are generally in early clinical or preclinical development. We anticipate that in the near term, our ability to generate revenues will depend solely on the successful development and commercialization of AFREZZA.</w:t>
      </w:r>
    </w:p>
    <w:p>
      <w:pPr>
        <w:spacing w:after="0" w:line="7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January 2011, the FDA requested that we conduct additional clinical studies of AFREZZA using our next-generation inhaler. In early May 2011, we held an End-of-Review meeting with the agency to discuss the protocols for the additional studies and we will meet again with the FDA on August 10, 2011 in an effort to reach agreement on the final proposed protocols for the requested studies. We plan to work closely with the FDA in our effort to ensure that our clinical studies address the agency’s requests for additional information about AFREZZA. There can be no assurance that we will be able to satisfy all of the FDA’s requirements or that the FDA will find our proposed approach to these clinical studies acceptable. The FDA could also again request that we conduct additional clinical trials to provide sufficient data for approval of the NDA. There can be no assurance that we will obtain approval of the NDA in a timely manner or at all.</w:t>
      </w:r>
    </w:p>
    <w:p>
      <w:pPr>
        <w:spacing w:after="0" w:line="81" w:lineRule="exact"/>
        <w:rPr>
          <w:sz w:val="20"/>
          <w:szCs w:val="20"/>
          <w:color w:val="auto"/>
        </w:rPr>
      </w:pPr>
    </w:p>
    <w:p>
      <w:pPr>
        <w:jc w:val="both"/>
        <w:ind w:right="280"/>
        <w:spacing w:after="0" w:line="302" w:lineRule="auto"/>
        <w:rPr>
          <w:sz w:val="20"/>
          <w:szCs w:val="20"/>
          <w:color w:val="auto"/>
        </w:rPr>
      </w:pPr>
      <w:r>
        <w:rPr>
          <w:rFonts w:ascii="Arial" w:cs="Arial" w:eastAsia="Arial" w:hAnsi="Arial"/>
          <w:sz w:val="16"/>
          <w:szCs w:val="16"/>
          <w:color w:val="auto"/>
        </w:rPr>
        <w:t>We must receive the necessary approvals from the FDA and similar foreign regulatory agencies before AFREZZA can be marketed and sold in the United States or elsewhere. Even if we were to receive regulatory approval, we ultimately may be unable to gain market acceptance of AFREZZA for a variety of reasons, including the treatment and dosage regimen, potential adverse effects, the availability of alternative treatments and cost effectiveness. If we fail to commercialize AFREZZA, our business, financial condition and results of operations will be materially and adversely affected.</w:t>
      </w:r>
    </w:p>
    <w:p>
      <w:pPr>
        <w:spacing w:after="0" w:line="4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have sought to develop our product candidates through our internal research programs. All of our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w:t>
      </w:r>
    </w:p>
    <w:p>
      <w:pPr>
        <w:spacing w:after="0" w:line="7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A significant portion of the research that we have conducted involves new and unproven compounds and technologies, including AFREZZA, Technosphere platform technology and immunotherapy product candidates. Even if our research programs identify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successfully complete the development and commercialization of AFREZZA or develop or expand our other product candidates, or are significantly delayed in doing so, our business and results of operations will be harmed and the value of our stock could decline.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we expect to continue to incur losses and we may never become profitable.*</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are a development stage company with no commercial products. All of our product candidates are still being developed, and all but AFREZZA are still in the early stages of development. Our product candidates will require significant additional development, clinical trials, regulatory clearances and additional investment before they can be commercialized. We cannot be certain when AFREZZA may be approved or if it will be approved.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never been profitable and, as of June 30, 2011, we had incurred a cumulative net loss of $1.9 billion. The cumulative net loss has resulted principally from costs incurred in our research and development programs, the write-off of goodwill and general operating expenses. We expect to make substantial expenditures and to incur increasing operating losses in the future in order to further develop and commercialize our product candidates, including costs and expenses to complete clinical trials, seek regulatory approvals and market our product candidates, including AFREZZA. This cumulative net loss may increase significantly as we continue development and clinical trial efforts.</w:t>
      </w:r>
    </w:p>
    <w:p>
      <w:pPr>
        <w:spacing w:after="0" w:line="64"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Our losses have had, and are expected to continue to have, an adverse impact on our working capital, total assets and stockholders’ equity. As of June 30, 2011, we had a stockholders’ deficit of $245.4 million. Our ability to achieve and sustain profitability depends upon obtaining regulatory approvals for and successfully commercializing AFREZZA, either alone or with third parties. We do not currently have the required approvals to market any of our product candidates, and we may not receive them. We may not be profitable even if we succeed in commercializing any of our product candidates. As a result, we cannot be sure when we will become profitable, if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raise additional capital our financial condition and business would suffer.*</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It is costly to develop therapeutic product candidates and conduct clinical trials for these product candidates. Although we are currently focusing on AFREZZA as our lead product candidate, we had begun to conduct clinical trials for additional product candidates. Our existing capital resources will not be sufficient to support the expense of fully developing and commercializing AFREZZA or fully developing any of our other product candidates.</w:t>
      </w:r>
    </w:p>
    <w:p>
      <w:pPr>
        <w:spacing w:after="0" w:line="5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Based upon our current expectations, we believe that our existing capital resources, including the loan arrangement with The Mann Group. but excluding any proceeds to us from the common stock purchase agreement that we entered into with Seaside, will enable us to continue planned operations into the first quarter of 2012. However, we cannot assure you that our plans will not change or that changed circumstances will not result in the depletion of our capital resources more rapidly than we currently anticipate. In any event, we plan to raise additional funds, whether through the sale of equity or debt securities, the entry into strategic business collaborations, the establishment of other funding facilities, licensing arrangements, asset sales or other means, or an increase in the borrowings available under the loan arrangement with our related party, in order to continue the development and commercialization of AFREZZA and other product candidates and to support our other ongoing activities. However, it may be difficult for us to raise additional funds through these planned measures. As of June 30, 2011, we had a stockholders’ deficit of $245.4 million which may raise concerns about our solvency and affect our ability to raise additional capital. The amount of additional funds we need will depend on a number of factors, including:</w:t>
      </w:r>
    </w:p>
    <w:p>
      <w:pPr>
        <w:spacing w:after="0" w:line="59" w:lineRule="exact"/>
        <w:rPr>
          <w:sz w:val="20"/>
          <w:szCs w:val="20"/>
          <w:color w:val="auto"/>
        </w:rPr>
      </w:pPr>
    </w:p>
    <w:p>
      <w:pPr>
        <w:ind w:left="660" w:right="560" w:hanging="314"/>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rate of progress and costs of our clinical trials and research and development activities, including costs of procuring clinical materials and operating our manufacturing facilities;</w:t>
      </w:r>
    </w:p>
    <w:p>
      <w:pPr>
        <w:spacing w:after="0" w:line="75" w:lineRule="exact"/>
        <w:rPr>
          <w:rFonts w:ascii="Arial" w:cs="Arial" w:eastAsia="Arial" w:hAnsi="Arial"/>
          <w:sz w:val="18"/>
          <w:szCs w:val="18"/>
          <w:b w:val="1"/>
          <w:bCs w:val="1"/>
          <w:color w:val="auto"/>
        </w:rPr>
      </w:pPr>
    </w:p>
    <w:p>
      <w:pPr>
        <w:ind w:left="660" w:hanging="314"/>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success in establishing strategic business collaborations and the timing and amount of any payments we might receive from any collaboration we are able to establish;</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actions taken by the FDA and other regulatory authorities affecting our products and competitive products;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degree of success in commercializing AFREZZA;</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emergence of competing technologies and products and other adverse market developments;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timing and amount of payments we might receive from potential licensees;</w:t>
      </w:r>
    </w:p>
    <w:p>
      <w:pPr>
        <w:spacing w:after="0" w:line="130" w:lineRule="exact"/>
        <w:rPr>
          <w:rFonts w:ascii="Arial" w:cs="Arial" w:eastAsia="Arial" w:hAnsi="Arial"/>
          <w:sz w:val="18"/>
          <w:szCs w:val="18"/>
          <w:b w:val="1"/>
          <w:bCs w:val="1"/>
          <w:color w:val="auto"/>
        </w:rPr>
      </w:pPr>
    </w:p>
    <w:p>
      <w:pPr>
        <w:ind w:left="660" w:right="80" w:hanging="314"/>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75" w:lineRule="exact"/>
        <w:rPr>
          <w:rFonts w:ascii="Arial" w:cs="Arial" w:eastAsia="Arial" w:hAnsi="Arial"/>
          <w:sz w:val="18"/>
          <w:szCs w:val="18"/>
          <w:b w:val="1"/>
          <w:bCs w:val="1"/>
          <w:color w:val="auto"/>
        </w:rPr>
      </w:pPr>
    </w:p>
    <w:p>
      <w:pPr>
        <w:ind w:left="660" w:right="420" w:hanging="314"/>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level of our legal expenses, including those expenses associated with the securities class actions and derivative lawsuits filed against us and certain of our executive officers and directors and any settlement or damages payments associated with litigation;</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costs of discontinuing projects and technologies;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costs of decommissioning existing facilities, if we undertake such activities.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raised capital in the past primarily through the sale of equity and debt securities. We may in the future pursue the sale of additional equity and/or debt securities, or the establishment of other funding facilities. In August 2010, we entered into the Seaside purchase agreement and the Mann purchase agreement for the sale and issuance by us of up to 36,400,000 shares of our common stock over a period of approximately 50 weeks. To date, we have issued and sold a total of 7,000,000 shares to Seaside and The Mann Group under these agreements, and could issue and sell an additional 4,200,000 shares under both agreements if we are able to satisfy the conditions precedent for sales of shares under these agreements, including the minimum price requirement. Issuances of additional debt or equity securities or the conversion of any of our currently outstanding convertible debt securities into shares of our common stock could impact the rights of the holders of our common stock and may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also may seek to raise additional capital by pursuing opportunities for the licensing or sale of certain intellectual property and other assets. We cannot offer assurances, however, that any strategic collaborations,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event that sufficient additional funds are not obtained through strategic collaboration opportunities, sales of securities, credit facilities, licensing arrangements and/or asset sales on a timely basis, we will be required to reduce expenses through the delay, reduction or curtailment of our projects, including AFREZZA commercialization, or further reduction of costs for facilities and administration. Moreover, if we do not obtain such additional funds, there will be substantial doubt about our ability to continue as a going concern and increased risk of insolvency and loss of investment to the holders of our securities. As of the date hereof, we have not obtained a solvency opinion or otherwise conducted a valuation of our properties to determine whether our debts exceed the fair value of our property within the meaning of applicable solvency laws. If we are or become insolvent, investors in our stock may lose the entire value of their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Deteriorating global economic conditions may have an adverse impact on the loan facility with The Mann Group, which we currently cannot predict.*</w:t>
      </w:r>
    </w:p>
    <w:p>
      <w:pPr>
        <w:spacing w:after="0" w:line="14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widely reported, financial markets in the United States, Europe and Asia have experienced a period of unprecedented turmoil and upheaval characterized by extreme volatility and declines in security prices, severely diminished liquidity and credit availability, inability to access capital markets, the bankruptcy, failure, collapse or sale of various financial institutions and an unprecedented level of intervention from the United States federal government and other governments. We cannot predict the impact of these events on the loan facility with The Mann Group. If we are unable to draw on this financial resource, our business and financial condition will be adversely affected.</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our business would be harmed and the market price of our common stock could decline.*</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40" w:hanging="314"/>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rate of progress, costs and results of our clinical trial and research and development activities, which will be impacted by the level of proficiency and experience of our clinical staff;</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ability to identify and enroll patients who meet clinical trial eligibility criteria;</w:t>
      </w:r>
    </w:p>
    <w:p>
      <w:pPr>
        <w:spacing w:after="0" w:line="130" w:lineRule="exact"/>
        <w:rPr>
          <w:rFonts w:ascii="Arial" w:cs="Arial" w:eastAsia="Arial" w:hAnsi="Arial"/>
          <w:sz w:val="18"/>
          <w:szCs w:val="18"/>
          <w:b w:val="1"/>
          <w:bCs w:val="1"/>
          <w:color w:val="auto"/>
        </w:rPr>
      </w:pPr>
    </w:p>
    <w:p>
      <w:pPr>
        <w:ind w:left="660" w:right="160" w:hanging="314"/>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ability to access sufficient, reliable and affordable supplies of components used in the manufacture of our product candidates, including insulin and other materials for AFREZZA;</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costs of expanding and maintaining manufacturing operations, as necessary;</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extent of scheduling conflicts with participating clinicians and clinical institutions;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receipt of approvals by our competitors and by us from the FDA and other regulatory agencies;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ability to enter into sales and marketing collaborations for AFREZZA;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other actions by regulators.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if we do not obtain sufficient additional funds through sales of securities, strategic collaborations or the license or sale of certain of our assets on a timely basis, we will be required to reduce expenses by delaying, reducing or curtailing our development of AFREZZA. If we fail to commence or complete, or experience delays in or are forced to curtail, our proposed clinical programs or otherwise fail to adhere to our projected development goals in the timeframes we announce and expect (or within the timeframes expected by analysts or investors), our business and results of operations will be harmed and the market price of our common stock will decline.</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in the development of our product candidates and may not be able to compete successfully, and our product candidates may be rendered obsolete by rapid technological change.</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number of established pharmaceutical companies have or are developing technologies for the treatment of diabetes. We also face substantial competition for the development of our other product candidates.</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Many of our existing or potential competitors have, or have access to, substantially greater financial, research and development, production, and sales and marketing resources than we do and have a greater depth and number of experienced managers. As a result, our competitors may be better equipped than we are to develop, manufacture, market and sell competing products. In addition, gaining favorable reimbursement is critical to the success of AFREZZA. Many of our competitors have existing infrastructure and relationships with managed care organizations and reimbursement authorities which can be used to their advantage.</w:t>
      </w:r>
    </w:p>
    <w:p>
      <w:pPr>
        <w:spacing w:after="0" w:line="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rapid rate of scientific discoveries and technological changes could result in one or more of our product candidates becoming obsolete or noncompetitive. Our competitors may develop or introduce new products that render our technology and AFREZZA less competitive, uneconomical or obsolete. Our future success will depend not only on our ability to develop our product candidates but to improve them and keep pace with emerging industry developments. We cannot assure you that we will be able to do so.</w:t>
      </w:r>
    </w:p>
    <w:p>
      <w:pPr>
        <w:spacing w:after="0" w:line="7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also expect to face increasing competition from universities and other non-profit research organizations. These institutions carry out a significant amount of research and development in the areas of diabetes and cancer. These institutions are becoming increasingly aware of the commercial value of their findings and are more active in seeking patent and other proprietary rights as well as licensing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enter into a strategic collaboration with respect to AFREZZA, we may not be able to execute on our business model.</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have held extensive discussions with a number of pharmaceutical companies concerning a potential strategic business collaboration for AFREZZA. To date we have not reached an agreement on a collaboration with any of these companies. We cannot predict when, if ever, we could conclude an agreement with a partner. There can be no assurance that any such collaboration will be available to us on a timely basis or on acceptable terms. If we are not able to enter into a collaboration on terms that are favorable to us, we may be unable to undertake and fund product development, clinical trials, manufacturing and/or marketing activities at our own expense, which would delay or otherwise impede the commercialization of AFREZZA. We will face similar challenges as we seek to develop our other product candidates. Our current strategy for developing, manufacturing and commercializing our other product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candidates includes evaluating the potential for collaborating with pharmaceutical and biotechnology companies at some point in the drug development process and for these collaborators to undertake the advanced clinical development and commercialization of our product candidates. It may be difficult for us to find third parties that are willing to enter into collaborations on economic terms that are favorable to us, or at all. Failure to enter into a collaboration with respect to any other product candidate could substantially increase our requirements for capital and force us to substantially reduce our development effort.</w:t>
      </w:r>
    </w:p>
    <w:p>
      <w:pPr>
        <w:spacing w:after="0" w:line="154" w:lineRule="exact"/>
        <w:rPr>
          <w:sz w:val="20"/>
          <w:szCs w:val="20"/>
          <w:color w:val="auto"/>
        </w:rPr>
      </w:pPr>
    </w:p>
    <w:p>
      <w:pPr>
        <w:ind w:right="920"/>
        <w:spacing w:after="0" w:line="342" w:lineRule="auto"/>
        <w:rPr>
          <w:sz w:val="20"/>
          <w:szCs w:val="20"/>
          <w:color w:val="auto"/>
        </w:rPr>
      </w:pPr>
      <w:r>
        <w:rPr>
          <w:rFonts w:ascii="Arial" w:cs="Arial" w:eastAsia="Arial" w:hAnsi="Arial"/>
          <w:sz w:val="16"/>
          <w:szCs w:val="16"/>
          <w:b w:val="1"/>
          <w:bCs w:val="1"/>
          <w:i w:val="1"/>
          <w:iCs w:val="1"/>
          <w:color w:val="auto"/>
        </w:rPr>
        <w:t>If we enter into collaborative agreements with respect to AFREZZA and if our third-party collaborators do not perform satisfactorily or if our collaborations fail, development or commercialization of AFREZZA may be delayed and our business could be harmed.</w:t>
      </w:r>
    </w:p>
    <w:p>
      <w:pPr>
        <w:spacing w:after="0" w:line="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may enter into license agreements, partnerships or other collaborative arrangements to support the financing, development and marketing of AFREZZA. We may also license technology from others to enhance or supplement our technologies. These various collaborators may enter into arrangements that would make them potential competitors. These various collaborators also may breach their agreements with us and delay our progress or fail to perform under their agreements, which could harm our business.</w:t>
      </w:r>
    </w:p>
    <w:p>
      <w:pPr>
        <w:spacing w:after="0" w:line="7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If we enter into collaborative arrangements, we will have less control over the timing, planning and other aspects of our clinical trials, and the sale and marketing of AFREZZA and our other product candidates. We cannot offer assurances that we will be able to enter into satisfactory arrangements with third parties as contemplated or that any of our existing or future collaborations will be successful.</w:t>
      </w:r>
    </w:p>
    <w:p>
      <w:pPr>
        <w:spacing w:after="0" w:line="181"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Continued testing of AFREZZA or our other product candidates may not yield successful results, and even if it does, we may still be unable to commercialize our product candidates.*</w:t>
      </w:r>
    </w:p>
    <w:p>
      <w:pPr>
        <w:spacing w:after="0" w:line="62"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Our research and development programs are designed to test the safety and efficacy of AFREZZA and our other product candidates through extensive nonclinical and clinical testing. We may experience numerous unforeseen events during, or as a result of, the testing process that could delay or prevent commercialization of AFREZZA or any of our other product candidates, including the following:</w:t>
      </w:r>
    </w:p>
    <w:p>
      <w:pPr>
        <w:spacing w:after="0" w:line="73" w:lineRule="exact"/>
        <w:rPr>
          <w:sz w:val="20"/>
          <w:szCs w:val="20"/>
          <w:color w:val="auto"/>
        </w:rPr>
      </w:pPr>
    </w:p>
    <w:p>
      <w:pPr>
        <w:jc w:val="both"/>
        <w:ind w:left="660" w:right="200" w:hanging="314"/>
        <w:spacing w:after="0" w:line="342" w:lineRule="auto"/>
        <w:tabs>
          <w:tab w:leader="none" w:pos="66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safety and efficacy results for AFREZZA obtained in our nonclinical and previous clinical testing may be inconclusive or may not be predictive of results that we may obtain in our future clinical trials or following long-term use, and we may as a result be forced to stop developing AFREZZA;</w:t>
      </w:r>
    </w:p>
    <w:p>
      <w:pPr>
        <w:spacing w:after="0" w:line="29" w:lineRule="exact"/>
        <w:rPr>
          <w:rFonts w:ascii="Arial" w:cs="Arial" w:eastAsia="Arial" w:hAnsi="Arial"/>
          <w:sz w:val="16"/>
          <w:szCs w:val="16"/>
          <w:b w:val="1"/>
          <w:bCs w:val="1"/>
          <w:color w:val="auto"/>
        </w:rPr>
      </w:pPr>
    </w:p>
    <w:p>
      <w:pPr>
        <w:ind w:left="660" w:hanging="314"/>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data collected from clinical trials of AFREZZA or our other product candidates may not reach statistical significance or otherwise be sufficient to support FDA or other regulatory approval;</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after reviewing test results, we or any potential collaborators may abandon projects that we previously believed were promising; and</w:t>
      </w:r>
    </w:p>
    <w:p>
      <w:pPr>
        <w:spacing w:after="0" w:line="130" w:lineRule="exact"/>
        <w:rPr>
          <w:rFonts w:ascii="Arial" w:cs="Arial" w:eastAsia="Arial" w:hAnsi="Arial"/>
          <w:sz w:val="18"/>
          <w:szCs w:val="18"/>
          <w:b w:val="1"/>
          <w:bCs w:val="1"/>
          <w:color w:val="auto"/>
        </w:rPr>
      </w:pPr>
    </w:p>
    <w:p>
      <w:pPr>
        <w:ind w:left="660" w:right="280" w:hanging="314"/>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if approved.</w:t>
      </w:r>
    </w:p>
    <w:p>
      <w:pPr>
        <w:spacing w:after="0" w:line="6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Forecasts about the effects of the use of drugs, including AFREZZA, over terms longer than the clinical trials or in much larger populations may not be consistent with the clinical results. If use of AFREZZA results in adverse health effects or reduced efficacy or both, the FDA or other regulatory agencies may terminate our ability to market and sell AFREZZA, may narrow the approved indications for use or otherwise require restrictive product labeling or marketing, or may require further clinical trials, which may be time-consuming and expensive and may not produce favorable results.</w:t>
      </w:r>
    </w:p>
    <w:p>
      <w:pPr>
        <w:spacing w:after="0" w:line="6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trials or marketing of AFREZZA at any time. Any suspension or termination of our clinical trials or marketing activities may harm our business and results of operations and the market price of our common stock may decline.</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If our suppliers fail to deliver materials and services needed for the production of AFREZZA in a timely and sufficient manner, or they fail to comply with applicable regulations, our business and results of operations would be harmed and the market price of our common stock could decline .*</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 AFREZZA to be commercially viable, we need access to sufficient, reliable and affordable supplies of insulin, our AFREZZA inhaler, the related cartridges and other materials. In addition to our existing stock of insulin obtained from Organon under a now-terminated supply agreement, in June 2009, we purchased from Pfizer, a portion of its inventory of bulk insulin and acquired an option to purchase the remainder of Pfizer’s insulin inventory, in whole or in part, at a specified price to the extent that Pfizer has not otherwise disposed of or used the retained insulin.</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obtain FDKP, the precursor raw material for AFREZZA, from a major multinational chemical manufacturer. We have completed a successful validation campaign of FDKP at commercial scale. We can also utilize our in-house chemical manufacturing plant for supplemental capacity. We believe our contract manufacturer has the capacity to supply our current clinical and future commercial requirements. We obtain our intended commercial AFREZZA inhaler and cartridges from a plastic molding company located in the United States.</w:t>
      </w:r>
    </w:p>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must rely on our suppliers to comply with relevant regulatory and other legal requirements, including the production of insulin in accordance with the FDA’s current good manufacturing practices, or cGMP for drug products, and the production of the AFREZZA inhaler and related cartridges in accordance with Quality System Regulations, or QSR. The supply of any of these materials may be limited or any of the manufacturers may not meet relevant regulatory requirements, and if we are unable to obtain any of these materials in sufficient amounts, in a timely manner and at reasonable prices, or if we should encounter delays or difficulties in our relationships with manufacturers or suppliers, the development or manufacturing of AFREZZA may be delayed. Any such events could delay market introduction and subsequent sales of AFREZZA and, if so, our business and results of operations will be harmed and the market price of our common stock may decline.</w:t>
      </w:r>
    </w:p>
    <w:p>
      <w:pPr>
        <w:spacing w:after="0" w:line="189" w:lineRule="exact"/>
        <w:rPr>
          <w:sz w:val="20"/>
          <w:szCs w:val="20"/>
          <w:color w:val="auto"/>
        </w:rPr>
      </w:pPr>
    </w:p>
    <w:p>
      <w:pPr>
        <w:ind w:right="120"/>
        <w:spacing w:after="0" w:line="375" w:lineRule="auto"/>
        <w:rPr>
          <w:sz w:val="20"/>
          <w:szCs w:val="20"/>
          <w:color w:val="auto"/>
        </w:rPr>
      </w:pPr>
      <w:r>
        <w:rPr>
          <w:rFonts w:ascii="Arial" w:cs="Arial" w:eastAsia="Arial" w:hAnsi="Arial"/>
          <w:sz w:val="15"/>
          <w:szCs w:val="15"/>
          <w:b w:val="1"/>
          <w:bCs w:val="1"/>
          <w:i w:val="1"/>
          <w:iCs w:val="1"/>
          <w:color w:val="auto"/>
        </w:rPr>
        <w:t>We have never manufactured AFREZZA or any other product candidates in commercial quantities, and if we fail to develop an effective manufacturing capability for our product candidates or to engage third-party manufacturers with this capability, we may be unable to commercialize these products.*</w:t>
      </w:r>
    </w:p>
    <w:p>
      <w:pPr>
        <w:spacing w:after="0" w:line="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We use our Danbury facility to formulate AFREZZA, fill plastic cartridges with AFREZZA, blister package the cartridges, place the two blister packs into foil pouches and package three pouches plus two inhalers and the package insert as units in 90-unit boxes (and single blister pouch packs for trials). This facility has been qualified and undergone an inspection by the FDA in connection with our original NDA submission that sought approval of AFREZZA using the MedTone (model D) inhaler. We anticipate that our facility may need to undergo further inspection related to our ability to fill and package cartridges for the next-generation inhaler before we can be approved to distribute the manufactured products commercially.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7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Any of these factors could cause us to delay or suspend clinical trials, regulatory submissions or required approvals of our product candidates, could entail higher costs and may result in our being unable to effectively commercialize our products. Furthermore, if we or a third-party manufacturer fail to deliver the required commercial quantities of any product on a timely basis, and at commercially reasonable prices and acceptable quality, and we were unable to promptly find one or more replacement manufacturers capable of production at a substantially equivalent cost, in substantially equivalent volume and quality on a timely basis, we would likely be unable to meet demand for such products and we would lose potential revenues.</w:t>
      </w:r>
    </w:p>
    <w:p>
      <w:pPr>
        <w:spacing w:after="0" w:line="1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and certain of our executive officers and directors have been named as defendants in recently initiated securities class actions and derivative lawsuits that could result in substantial costs and divert management’s attention.*</w:t>
      </w:r>
    </w:p>
    <w:p>
      <w:pPr>
        <w:spacing w:after="0" w:line="6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are aware of lawsuits in which we, and certain of our executive officers, have been sued for alleged violations of federal securities laws related to alleged false and misleading statements regarding AFREZZA. We are also aware of state and federal derivative lawsuits that have been filed against certain of our directors and executive officers. We intend to engage in a vigorous defense of such litigation. If we are not successful in our defense of such litigation, we could be forced to make significant payments to or other settlements with our stockholders and their lawyers, and such payments or settlement arrangements could have a material adverse effect on our business, operating results or financial condition. Even if such claims are not successful, the litigation could result in substantial costs and significant adverse impact on our reputation and divert management’s attention and resources, which could have a material adverse effect on our business, operating results or financial condition.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interrupted by the occurrence of a natural disaster or other catastrophic event.</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expect that at least for the foreseeable future, our manufacturing facility in Danbury, Connecticut will be the sole location for the manufacturing of AFREZZA. This facility and the manufacturing equipment we use would be costly to replace and could require substantial lead time to repair or replace. We depend on our facilities and on collaborators, contractors and vendors for the continued operation of our business, some of whom are located in Europe. Natural disasters or other catastrophic events, including interruptions in the supply of natural resources, political and governmental changes, severe weather conditions, wildfires and other fires, explosions, actions of animal rights activists, terrorist attacks, volcanic eruptions, earthquakes and wars could disrupt our operations or those of our collaborators, contractors and vendors. Even though we believe we carry commercially reasonable liability insurance and stage-appropriate business interruption insurance, and our contractors may carry liability insurance that protect us in certain events,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and adversely affect, which may include stopping, our readiness for commercial production.</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15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research and development work involves the controlled storage and use of hazardous materials, including chemical, radioactive and biological materials. In addition, our manufacturing operations involve the use of a chemical that is stable and non-hazardous under normal storage conditions, but may form an explosive mixture under certain conditions. Our operations also produce hazardous waste products. We are subject to federal, state and local laws and regulations governing how we use, manufacture, store, handle and dispose of these materials.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 million per occurrence and $2 million in the aggregate and is supplemented by an umbrella policy that provides a further $4 million of coverage; however, our insurance policy excludes pollution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w:t>
      </w:r>
    </w:p>
    <w:p>
      <w:pPr>
        <w:spacing w:after="0" w:line="7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When we purchased the facilities located in Danbury, Connecticut in 2001, there was a soil cleanup plan in process. As part of the purchase, we obtained an indemnification from the seller related to the remediation of the soil for all known environmental conditions that existed at the time the seller acquired the property. The seller was, in turn, indemnified for these known environmental conditions by the previous owner. We also received an indemnification from the seller for environmental conditions created during its ownership of the property and for environmental problems unknown at the time that the seller acquired the property. These additional indemnities are limited to the purchase price that we paid for the Danbury facilities.</w:t>
      </w:r>
    </w:p>
    <w:p>
      <w:pPr>
        <w:spacing w:after="0" w:line="6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the construction of our expanded manufacturing facility, we completed the final stages of the soil cleanup plan in the third quarter of 2008, at a cost of approximately $2.25 million. We reached an agreement with the party responsible for their contribution to past clean-up costs and were reimbursed</w:t>
      </w:r>
    </w:p>
    <w:p>
      <w:pPr>
        <w:ind w:right="40"/>
        <w:spacing w:after="0" w:line="255" w:lineRule="auto"/>
        <w:rPr>
          <w:sz w:val="20"/>
          <w:szCs w:val="20"/>
          <w:color w:val="auto"/>
        </w:rPr>
      </w:pPr>
      <w:r>
        <w:rPr>
          <w:rFonts w:ascii="Arial" w:cs="Arial" w:eastAsia="Arial" w:hAnsi="Arial"/>
          <w:sz w:val="18"/>
          <w:szCs w:val="18"/>
          <w:color w:val="auto"/>
        </w:rPr>
        <w:t>$1.625 million in July 2010. The responsible party has agreed to pay for or indemnify us for any future costs and expenses directly related to the final closure of the environmental remediation. If we are unable to collect these future costs and expenses, if any, from the responsible party, our business and results of operations may be harmed.</w:t>
      </w:r>
    </w:p>
    <w:p>
      <w:pPr>
        <w:spacing w:after="0" w:line="1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enter into collaborations with third parties, we would be required to establish our own sales, marketing and distribution capabilities, which could impact the commercialization of our products and harm our business.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products are intended to be used by a large number of healthcare professionals who will require substantial education and support. For example, a broad base of physicians, including primary care physicians and endocrinologists, treat patients with diabetes. A large sales force will be required in order to educate these physicians about the benefits and advantages of AFREZZA and to provide adequate support for them. Therefore, our primary strategy is to enter into collaborations with one or more pharmaceutical companies to market, distribute and sell AFREZZA, if it is approved. If we fail to enter into collaborations, we would be required to establish our own direct sales, marketing and distribution capabilities. Establishing these capabilities can be time-consuming and expensive and would delay our ability to commercialize AFREZZA. Because we lack experience in selling pharmaceutical products to the diabetes market, we would be at a disadvantage compared to our potential competitors, all of whom have substantially more resources and experience than we do. For example, several other companies selling products to treat diabetes have existing sales forces in excess of</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1,500 sales representatives. We, acting alone, would not initially be able to field a sales force as large as our competitors or provide the same degree of marketing support. Also, we would not be able to match our competitor’s spending levels for pre-launch marketing preparation, including medical education. We cannot assure you that we will succeed in entering into acceptable collaborations, that any such collaboration will be successful or, if not, that we will successfully develop our own sales, marketing and distribution capabilities.</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any product that we may develop does not become widely accepted by physicians, patients, third-party payers and the healthcare community, we may be unable to generate significant revenue, if any.</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AFREZZA and our other product candidates are new and unproven. Even if any of our product candidates obtain regulatory approval, they may not gain market acceptance among physicians, patients, third-party payers and the healthcare community. Failure to achieve market acceptance would limit our ability to generate revenue and would adversely affect our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degree of market acceptance of AFREZZA and our other product candidates will depend on many factors, including the:</w:t>
      </w:r>
    </w:p>
    <w:p>
      <w:pPr>
        <w:spacing w:after="0" w:line="117" w:lineRule="exact"/>
        <w:rPr>
          <w:sz w:val="20"/>
          <w:szCs w:val="20"/>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claims for which FDA approval can be obtained, including superiority claims;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perceived advantages and disadvantages of competitive products;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willingness of the healthcare community and patients to adopt new technologies;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ability to manufacture the product in sufficient quantities with acceptable quality and cost;</w:t>
      </w:r>
    </w:p>
    <w:p>
      <w:pPr>
        <w:spacing w:after="0" w:line="130" w:lineRule="exact"/>
        <w:rPr>
          <w:rFonts w:ascii="Arial" w:cs="Arial" w:eastAsia="Arial" w:hAnsi="Arial"/>
          <w:sz w:val="18"/>
          <w:szCs w:val="18"/>
          <w:b w:val="1"/>
          <w:bCs w:val="1"/>
          <w:color w:val="auto"/>
        </w:rPr>
      </w:pPr>
    </w:p>
    <w:p>
      <w:pPr>
        <w:ind w:left="660" w:hanging="314"/>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perception of patients and the healthcare community, including third-party payers, regarding the safety, efficacy and benefits compared to competing products or therapies;</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convenience and ease of administration relative to existing treatment methods;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pricing and reimbursement relative to other treatment therapeutics and methods;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marketing and distribution support.</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Because of these and other factors, any product that we may develop may not gain market acceptance, which would materially harm our business, financial condition and results of operations.</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third-party payers do not reimburse consumers for our products, our products might not be used or purchased, which would adversely affect our revenues.</w:t>
      </w:r>
    </w:p>
    <w:p>
      <w:pPr>
        <w:spacing w:after="0" w:line="6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future revenues and potential for profitability may be affected by the continuing efforts of governments and third-party payers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payers for healthcare goods and services may take in response to any drug pricing reform proposals or legislation. Such reforms may make it difficult to complete the development and testing of AFREZZA and our other product candidates, and therefore may limit our ability to generate revenues from sales of our product candidates and achieve profitability. Further, to the extent that such reforms have a material adverse effect on the business, financial condition and profitability of other companies that are prospective collaborators for some of our product candidates, our ability to commercialize our product candidates under development may be adversely affected.</w:t>
      </w:r>
    </w:p>
    <w:p>
      <w:pPr>
        <w:spacing w:after="0" w:line="8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the United States and elsewhere, sales of prescription pharmaceuticals still depend in large part on the availability of reimbursement to the consumer from third-party payers, such as governmental and private insurance plans. Third-party payers are increasingly challenging the prices charged for medical products and services. In addition, because each third-party payer individually approves reimbursement, obtaining these approvals is a time-consuming and costly process. We would be required to provide scientific and clinical support for the use of any product to each third-party payer separately with no assurance that approval would be obtained. This process could delay the market acceptance of any product and could have a negative effect on our future revenues and operating results. Even if we succeed in bringing one or more products to market, we cannot be certain that any such products would be considered cost-effective or that reimbursement to the consumer would be available, in which case our business and results of operations would be harmed and the market price of our common stock could decline.</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11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testing, manufacturing, marketing and sale of AFREZZA and our other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trial volunteers and loss of revenues. We currently carry worldwide liability insurance in the amount of $10 million. We believe these limits are reasonable to cover us from potential damages arising from current and previous clinical trials of AFREZZA. In addition, we carry local policies per trial in each country in which we conduct clinical trials that require us to carry coverage based on local statutory requirements. We intend to obtain product liability coverage for commercial sales in the future if AFREZZA is approved. However, we may not be able to obtain insurance coverage that will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 coverage, we may ourselves incur substantial liabilities. If we are required to pay a product liability claim our business and results of operations would be harmed and the market price of our common stock may decline.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140"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In order to commercialize our product candidates successfully, we will be required to expand our work force, particularly in the areas of manufacturing, clinical trials management, regulatory affairs, business development, and sales and marketing. These activities will require the addition of new personnel, including management, and the development of additional expertise by existing personnel. 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w:t>
      </w:r>
    </w:p>
    <w:p>
      <w:pPr>
        <w:spacing w:after="0" w:line="6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loss of the services of any principal member of our management and scientific staff could significantly delay or prevent the achievement of our scientific and business objectives. With the exception of Dr. Peter C. Richardson,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our product candidates successfully.</w:t>
      </w:r>
    </w:p>
    <w:p>
      <w:pPr>
        <w:spacing w:after="0" w:line="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 candidates.</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our Chairman and Chief Executive Officer is unable to devote sufficient time and attention to our business, our operations and our ability to execute our business strategy could be materially harmed.</w:t>
      </w:r>
    </w:p>
    <w:p>
      <w:pPr>
        <w:spacing w:after="0" w:line="6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Alfred Mann, our Chairman and Chief Executive Officer, is involved in many other business and charitable activities. As a result, the time and attention Mr. Mann devotes to the operation of our business varies, and he may not expend the same time or focus on our activities as other, similarly situated chief executive officers. If Mr. Mann is unable to devote the time and attention necessary to running our business, we may not be able to execute our business strategy and our business could be materially harmed.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internal controls over financial reporting are not considered effective, our business and stock price could be adversely affected.</w:t>
      </w:r>
    </w:p>
    <w:p>
      <w:pPr>
        <w:spacing w:after="0" w:line="12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and on the market price of our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product candidates must undergo rigorous nonclinical and clinical testing and we must obtain regulatory approvals, which could be costly and time-consuming and subject us to unanticipated delays or prevent us from marketing any products.</w:t>
      </w:r>
    </w:p>
    <w:p>
      <w:pPr>
        <w:spacing w:after="0" w:line="62" w:lineRule="exact"/>
        <w:rPr>
          <w:sz w:val="20"/>
          <w:szCs w:val="20"/>
          <w:color w:val="auto"/>
        </w:rPr>
      </w:pPr>
    </w:p>
    <w:p>
      <w:pPr>
        <w:jc w:val="both"/>
        <w:ind w:right="720"/>
        <w:spacing w:after="0" w:line="286" w:lineRule="auto"/>
        <w:rPr>
          <w:sz w:val="20"/>
          <w:szCs w:val="20"/>
          <w:color w:val="auto"/>
        </w:rPr>
      </w:pPr>
      <w:r>
        <w:rPr>
          <w:rFonts w:ascii="Arial" w:cs="Arial" w:eastAsia="Arial" w:hAnsi="Arial"/>
          <w:sz w:val="17"/>
          <w:szCs w:val="17"/>
          <w:color w:val="auto"/>
        </w:rPr>
        <w:t>Our research and development activities, as well as the manufacturing and marketing of our product candidates, including AFREZZA,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57" w:lineRule="exact"/>
        <w:rPr>
          <w:sz w:val="20"/>
          <w:szCs w:val="20"/>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product design, development, manufacture and testing;</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product labeling;</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product storage and shipping;</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pre-market clearance or approval;</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advertising and promotion;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product sales and distribution.</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Clinical testing can be costly and take many years, and the outcome is uncertain and susceptible to varying interpretations. We cannot be certain if or when the FDA might request additional studies, under what conditions such studies might be requested, or what the size or length of any such studies might be. The clinical trials of our product candidates may not be completed on schedule, the FDA or foreign regulatory agencies may order us to stop or modify our research, or these agencies may not ultimately approve any of our product candidates for commercial sale. The data collected from our clinical trials may not be sufficient to support regulatory approval of our various product candidates, including AFREZZA. Even if we believe the data collected from our clinical trials are sufficient, the FDA has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requirements governing the conduct of clinical trials and manufacturing and marketing of our product candidates, including AFREZZA, outside the United States vary widely from country to country. Foreign approvals may take longer to obtain than FDA approvals and can require, among other things, additional testing and different clinical trial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process of obtaining FDA and other required regulatory approvals, including foreign approvals, is expensive, often takes many years and can vary substantially based upon the type, complexity and novelty of the products involved. We are not aware of any precedent for the successful commercialization of products based on our technology. In January 2006, the FDA approved the first pulmonary insulin product, Exubera. This approval has had an impact on, and notwithstanding the voluntary withdrawal of the product from the market by its manufacturer could still impact, the development and registration of AFREZZA in different ways. For example, Exubera may be used as a reference for safety and efficacy evaluations of AFREZZA, and the approval standards set for Exubera may be applied to other products that follow, including AFREZZA.</w:t>
      </w:r>
    </w:p>
    <w:p>
      <w:pPr>
        <w:spacing w:after="0" w:line="7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FDA has advised us that it will regulate AFREZZA as a “combination product” because of the complex nature of the system that includes the combination of a new drug (AFREZZA) and a new medical device (the inhaler used to administer the insulin). The FDA indicated that the review of our NDA for AFREZZA will involve several separate review groups of the FDA including: (1) the Metabolic and Endocrine Drug Products Division; (2) the Pulmonary Drug Products Division; and (3) the Center for Devices and Radiological Health, which reviews medical devices. The Metabolic and Endocrine Drug Products Division is the lead group and obtains consulting reviews from the other two FDA groups. We can make no assurances at this time about what impact FDA review by multiple groups will have on the approvability of our product or that we will obtain approval of the NDA in a timely manner or at all.</w:t>
      </w:r>
    </w:p>
    <w:p>
      <w:pPr>
        <w:spacing w:after="0" w:line="5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Also, questions that have been raised about the safety of marketed drugs generally, including pertaining to the lack of adequate labeling, may result in increased cautiousness by the FDA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 FDA review of AFREZZA as a combination product may lengthen the product development and regulatory approval process, increase our development costs and delay or prevent the commercialization of AFREZZA. Our product candidates that are currently in development for the treatment of cancer also face similar obstacles and costs.</w:t>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only limited experience in filing and pursuing applications necessary to gain regulatory approvals, which may impede our ability to obtain timely approvals from the FDA or foreign regulatory agencies, if at all.</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will not be able to commercialize AFREZZA or any other product candidates until we have obtained regulatory approval. Until we prepared and submitted our NDA for AFREZZA, we had no experience as a company in late-stage regulatory filings, such as preparing and submitting NDAs, which may place us at risk of delays, overspending and human resources inefficiencies. Any delay in obtaining, or inability to obtain, regulatory approval could harm our business.</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subject to criminal prosecution, fined or forced to remove a product from the market or experience other adverse consequences, including restrictions or delays in obtaining regulatory marketing approval.</w:t>
      </w:r>
    </w:p>
    <w:p>
      <w:pPr>
        <w:spacing w:after="0" w:line="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Even if we comply with regulatory requirements, we may not be able to obtain the labeling claims necessary or desirable for product promotion. We may also be required to undertake post-marketing trials. In addition, if we or other parties identify adverse effects after any of our products are on the market, or if manufacturing problems occur, regulatory approval may be withdrawn and a reformulation of our products, additional clinical trials, changes in labeling of, or indications of use for, our products and/or additional marketing applications may be required. If we encounter any of the foregoing problems, our business and results of operations will be harmed and the market price of our common stock may decline.</w:t>
      </w:r>
    </w:p>
    <w:p>
      <w:pPr>
        <w:spacing w:after="0" w:line="1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for our product candidates, such approval may be limited and we will be subject to stringent, ongoing government regulation.*</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Even if regulatory authorities approve any of our product candidates, they could approve less than the full scope of uses or labeling that we seek or otherwise require special warnings or other restrictions on use or marketing or could require potentially costly post-marketing follow-up clinical trials. Regulatory authorities may limit the segments of the diabetes population to which we or others may market AFREZZA or limit the target population for our other product candidates. Based on currently available clinical studies, we believe that AFREZZA may have certain advantages over currently approved insulin products including its approximation of the natural early insulin secretion normally seen in healthy individuals following the beginning of a meal. Nonetheless, there are no assurances that these or any other advantages of AFREZZA will be agreed to by the FDA or otherwise included in product labeling or advertising and, as a result, AFREZZA may not have our expected competitive advantages when compared to other insulin products.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manufacture, marketing and sale of any of our product candidates will be subject to stringent and ongoing government regulation. The FDA may also withdraw product approvals if problems concerning the safety or efficacy of a product appear following approval. We cannot be sure that FDA and United States Congressional initiatives or actions by foreign regulatory bodies pertaining to ensuring the safety of marketed drugs or other developments pertaining to the pharmaceutical industry will not adversely affect our operations.</w:t>
      </w:r>
    </w:p>
    <w:p>
      <w:pPr>
        <w:spacing w:after="0" w:line="7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If our facilities, or the facilities of our manufacturers or suppliers, cannot pass a preapproval plant inspection, the FDA will not approve the marketing of our product candidates.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w:t>
      </w:r>
      <w:r>
        <w:rPr>
          <w:rFonts w:ascii="Arial" w:cs="Arial" w:eastAsia="Arial" w:hAnsi="Arial"/>
          <w:sz w:val="16"/>
          <w:szCs w:val="16"/>
          <w:i w:val="1"/>
          <w:iCs w:val="1"/>
          <w:color w:val="auto"/>
        </w:rPr>
        <w:t>e.g.</w:t>
      </w:r>
      <w:r>
        <w:rPr>
          <w:rFonts w:ascii="Arial" w:cs="Arial" w:eastAsia="Arial" w:hAnsi="Arial"/>
          <w:sz w:val="16"/>
          <w:szCs w:val="16"/>
          <w:color w:val="auto"/>
        </w:rPr>
        <w:t>,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suppliers will be subject to FDA inspection before the agency approves an NDA for AFREZZA.</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When we are required to find a new or additional supplier of insulin, we will be required to evaluate the new supplier’s ability to provide insulin that meets regulatory requirements, including cGMP requirements as well as our specifications and quality requirements, which would require significant time and expense and could delay the manufacturing and future commercialization of AFREZZA. We also depend on suppliers for other materials that comprise AFREZZA, including our AFREZZA inhaler and cartridges. Each supplier must comply with relevant regulatory requirements including QSR, and is subject to inspection by the FDA. There can be no assurance, in the conduct of an inspection of any of our suppliers, that the agency would find that the supplier substantially complies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17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Reports of side effects or safety concerns in related technology fields or in other companies’ clinical trials could delay or prevent us from obtaining regulatory approval or negatively impact public perception of our product candidates.*</w:t>
      </w:r>
    </w:p>
    <w:p>
      <w:pPr>
        <w:spacing w:after="0" w:line="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At present, there are a number of clinical trials being conducted by us and other pharmaceutical companies involving insulin delivery systems. If we discover that AFREZZA is associated with a significantly increased frequency of adverse events, or if other pharmaceutical companies announce that they observed frequent adverse events in their trials involving insulin therapies, we could encounter delays in the timing of our clinical trials, difficulties in obtaining approval of AFREZZA or be subject to class warnings in the label for AFREZZA, if approved. As well, the public perception of AFREZZA might be adversely affected, which could harm our business and results of operations and cause the market price of our common stock to decline, even if the concern relates to another company’s products or product candidates.</w:t>
      </w:r>
    </w:p>
    <w:p>
      <w:pPr>
        <w:spacing w:after="0" w:line="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There are also a number of clinical trials being conducted by other pharmaceutical companies involving compounds similar to, or competitive with, our other product candidates. Adverse results reported by these other companies in their clinical trials could delay or prevent us from obtaining regulatory approval or negatively impact public perception of our product candidates, which could harm our business and results of operations and cause the market price of our common stock to decline.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Moreover,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re-examinations in the United States. If we attempt to enforce our patents, they may be challenged in court where they could be held invalid, unenforceable, or have their breadth narrowed to an extent that would destroy their value.</w:t>
      </w:r>
    </w:p>
    <w:p>
      <w:pPr>
        <w:spacing w:after="0" w:line="7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We also execute confidentiality agreements with outside collaborators. There can be no assurance, however, that these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17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8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Interference proceedings brought by the U.S. Patent and Trademark Office may be necessary to determine the priority of inventions with respect to our patent applications or those of our collaborators or licensors. Litigation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or interference proceeding in which we are involved. Even if we do prevail, these proceedings can be very expensive and distract our management.</w:t>
      </w:r>
    </w:p>
    <w:p>
      <w:pPr>
        <w:spacing w:after="0" w:line="5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w:t>
      </w:r>
    </w:p>
    <w:p>
      <w:pPr>
        <w:spacing w:after="0" w:line="1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Over the past three decades the number of patents issued to biotechnology companies has expanded dramatically.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Moreover, certain components of AFREZZA and/or our cancer vaccines may be manufactured outside the United States and imported into the United States. As such, third parties could file complaints under 19 U.S.C. Section 337(a)(1)(B), or a 337 action, with the International Trade Commission, or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Although we own a number of domestic and foreign patents and patent applications relating to AFREZZA and cancer vaccine products under development, we have identified certain third-party patents having claims relating to pulmonary insulin delivery that may trigger an allegation of infringement upon the commercial manufacture and sale of AFREZZA, as well as third-party patents disclosing methods of use and compositions of matter related to cancer vaccines that also may trigger an allegation of infringement upon the commercial manufacture and sale of our cancer immunotherapy. If a court were to determine that our insulin products or cancer therapies were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would be harmed and our profitability could be materially adversely impacted.</w:t>
      </w:r>
    </w:p>
    <w:p>
      <w:pPr>
        <w:spacing w:after="0" w:line="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and results of operations and cause the market price of our common stock to decline.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not selected trade names for some of our product candidates; therefore, we have not filed trademark registrations for all of our potential trade names for our product candidates in all jurisdictions, nor can we assure that we will be granted registration of those potential trade names for which we have filed. Although we intend to defend any opposition to our trademark registrations, no assurance can be given that any of our trademarks will be registered in the United States or elsewhere or that the use of any of our trademarks will confer a competitive advantage in the marketplace. 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w:t>
      </w:r>
    </w:p>
    <w:p>
      <w:pPr>
        <w:spacing w:after="0" w:line="11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stock market, particularly in recent years, has experienced significant volatility particularly with respect to pharmaceutical and biotechnology stocks, and this trend may continue.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39" w:lineRule="exact"/>
        <w:rPr>
          <w:sz w:val="20"/>
          <w:szCs w:val="20"/>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progress and results of our clinical trials;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general economic, political or stock market conditions;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legislative developments;</w:t>
      </w:r>
    </w:p>
    <w:p>
      <w:pPr>
        <w:spacing w:after="0" w:line="130" w:lineRule="exact"/>
        <w:rPr>
          <w:rFonts w:ascii="Arial" w:cs="Arial" w:eastAsia="Arial" w:hAnsi="Arial"/>
          <w:sz w:val="18"/>
          <w:szCs w:val="18"/>
          <w:b w:val="1"/>
          <w:bCs w:val="1"/>
          <w:color w:val="auto"/>
        </w:rPr>
      </w:pPr>
    </w:p>
    <w:p>
      <w:pPr>
        <w:ind w:left="660" w:right="20" w:hanging="314"/>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announcements by us or our competitors concerning clinical trial results, acquisitions, strategic alliances, technological innovations, newly approved commercial products, product discontinuations, or other developments;</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availability of critical materials used in developing and manufacturing AFREZZA or other product candidates;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developments or disputes concerning our patents or proprietary rights;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announcements by us concerning our financial condition or operating performance;</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changes in securities analysts’ estimates of our financial condition or operating performance;</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general market conditions and fluctuations for emerging growth and pharmaceutical market sectors;</w:t>
      </w:r>
    </w:p>
    <w:p>
      <w:pPr>
        <w:spacing w:after="0" w:line="130" w:lineRule="exact"/>
        <w:rPr>
          <w:rFonts w:ascii="Arial" w:cs="Arial" w:eastAsia="Arial" w:hAnsi="Arial"/>
          <w:sz w:val="18"/>
          <w:szCs w:val="18"/>
          <w:b w:val="1"/>
          <w:bCs w:val="1"/>
          <w:color w:val="auto"/>
        </w:rPr>
      </w:pPr>
    </w:p>
    <w:p>
      <w:pPr>
        <w:ind w:left="660" w:right="260" w:hanging="314"/>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issuance and sale of our common stock pursuant to the Seaside purchase agreement and the Mann purchase agreement over the terms of these agreements;</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status of litigation against us and certain of our executive officers and directors;</w:t>
      </w:r>
    </w:p>
    <w:p>
      <w:pPr>
        <w:spacing w:after="0" w:line="130" w:lineRule="exact"/>
        <w:rPr>
          <w:rFonts w:ascii="Arial" w:cs="Arial" w:eastAsia="Arial" w:hAnsi="Arial"/>
          <w:sz w:val="18"/>
          <w:szCs w:val="18"/>
          <w:b w:val="1"/>
          <w:bCs w:val="1"/>
          <w:color w:val="auto"/>
        </w:rPr>
      </w:pPr>
    </w:p>
    <w:p>
      <w:pPr>
        <w:ind w:left="660" w:right="140" w:hanging="314"/>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existence of, and the issuance of shares of our common stock pursuant to, the share lending agreement and the short sales of our common stock effected in connection with the recently-completed sale of our 5.75% convertible notes due 2015; and</w:t>
      </w:r>
    </w:p>
    <w:p>
      <w:pPr>
        <w:spacing w:after="0" w:line="75" w:lineRule="exact"/>
        <w:rPr>
          <w:rFonts w:ascii="Arial" w:cs="Arial" w:eastAsia="Arial" w:hAnsi="Arial"/>
          <w:sz w:val="18"/>
          <w:szCs w:val="18"/>
          <w:b w:val="1"/>
          <w:bCs w:val="1"/>
          <w:color w:val="auto"/>
        </w:rPr>
      </w:pPr>
    </w:p>
    <w:p>
      <w:pPr>
        <w:ind w:left="660" w:right="40" w:hanging="314"/>
        <w:spacing w:after="0" w:line="259"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discussion of AFREZZA, our other product candidates, competitors’ products, or our stock price by the financial and scientific press, the healthcare community and online investor communities such as chat rooms. In particular, it may be difficult to verify statements about us and our investigational products that appear on interactive websites that permit users to generate content anonymously or under a pseudonym and statements attributed to company officials may, in fact, have originated elsewhere.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as well as other factors, could cause the market price of our common stock to decline.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could be adversely affected.</w:t>
      </w:r>
    </w:p>
    <w:p>
      <w:pPr>
        <w:spacing w:after="0" w:line="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Public companies in general and companies included on the NASDAQ Global Market in particular have experienced extreme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to decline, regardless of our operating performance. We have no control over this volatility and can only focus our efforts on our own operations, and even these may be affected due to the state of the capital markets.</w:t>
      </w:r>
    </w:p>
    <w:p>
      <w:pPr>
        <w:spacing w:after="0" w:line="7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Our Chairman and Chief Executive Officer and principal stockholder can individually control our direction and policies, and his interests may be adverse to the interests of our other stockholders. After his death, his stock will be left to his funding foundations for distribution to various charities, and we cannot assure you of the manner in which those entities will manage their holdings.*</w:t>
      </w:r>
    </w:p>
    <w:p>
      <w:pPr>
        <w:spacing w:after="0" w:line="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 June 30, 2011, Mr. Mann beneficially owned approximately 39.3% of our outstanding shares of capital stock. By virtue of his holdings, Mr. Mann may be able to continue to effectively control the election of the members of our board of directors, our management and our affairs and prevent corporate transactions such as mergers, consolidations or the sale of all or substantially all of our assets that may be favorable from our standpoint or that of our other stockholders or cause a transaction that we or our other stockholders may view as unfavorable.</w:t>
      </w:r>
    </w:p>
    <w:p>
      <w:pPr>
        <w:spacing w:after="0" w:line="7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Subject to compliance with United States federal and state securities laws, Mr. Mann is free to sell the shares of our stock he holds at any time. Upon his death, we have been advised by Mr. Mann that his shares of our capital stock will be left to the Alfred E. Mann Medical Research Organization, or AEMMRO, and AEM Foundation for Biomedical Engineering, or AEMFBE, not-for-profit medical research foundations that serve as funding organizations for Mr. Mann’s various charities, including the Alfred Mann Foundation, or AMF, and the Alfred Mann Institutes at the University of Southern California, the Technion-Israel Institute of Technology, and Purdue University, and that may serve as funding organizations for any other charities that he may establish. The AEMMRO is a membership foundation consisting of six members, including Mr. Mann, his wife, three of his children and Dr. Joseph Schulman, the chief scientist of the AEMFBE. The AEMFBE is a membership foundation consisting of five members, including Mr. Mann, his wife, and the same three of his children. Although we understand that the members of AEMMRO and AEMFBE have been advised of Mr. Mann’s objectives for these foundations, once Mr. Mann’s shares of our capital stock become the property of the foundations, we cannot assure you as to how those shares will be distributed or how they will be voted.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future sale of our common stock or the conversion of our senior convertible notes into common stock could negatively affect our stock price.*</w:t>
      </w:r>
    </w:p>
    <w:p>
      <w:pPr>
        <w:spacing w:after="0" w:line="14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As of June 30, 2011, we had 130,905,582 shares of common stock outstanding. Substantially all of these shares are available for public sale, subject in some cases to volume and other limitations or delivery of a prospectus. If our common stockholders sell substantial amounts of common stock in the public market, or the market perceives that such sales may occur, the market price of our common stock may decline. Likewise the issuance of additional shares of our common stock upon the conversion of some or all of our senior convertible notes could adversely affect the trading price of our common stock. In addition, the existence of these notes may encourage short selling of our common stock by market participants. Furthermore, if we were to include in a company-initiated registration statement shares held by our stockholders pursuant to the exercise of their registration rights, the sale of those shares could impair our ability to raise needed capital by depressing the price at which we could sell our common stock.</w:t>
      </w:r>
    </w:p>
    <w:p>
      <w:pPr>
        <w:spacing w:after="0" w:line="7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August 2010, we entered into the Seaside purchase agreement and the Mann purchase agreement, which together provide for the sale and issuance by us of up to 36,400,000 shares of our common stock over a period of approximately 50 weeks. As of June 30, 2011, we had issued and sold a total of 7,000,000 shares under these agreements and 7,000,000 shares remained subject to future sale pursuant to these agreements if we are able to satisfy the conditions precedent for sales of shares under these agreements, including the minimum price requirement. The future issuance of shares of our common stock pursuant to these two agreements, or the expectation that these issuances will occur, may further depress the price of our common stock.</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 addition, we will need to raise substantial additional capital in the future to fund our operations. If we raise additional funds by issuing equity securities or additional convertible debt, the market price of our common stock may decline and our existing stockholders may experience significant dilution.</w:t>
      </w:r>
    </w:p>
    <w:p>
      <w:pPr>
        <w:spacing w:after="0" w:line="124" w:lineRule="exact"/>
        <w:rPr>
          <w:sz w:val="20"/>
          <w:szCs w:val="20"/>
          <w:color w:val="auto"/>
        </w:rPr>
      </w:pPr>
    </w:p>
    <w:p>
      <w:pPr>
        <w:ind w:right="92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we do not expect to pay dividends in the foreseeable future, you must rely on stock appreciation for any return on your investment.</w:t>
      </w:r>
    </w:p>
    <w:p>
      <w:pPr>
        <w:spacing w:after="0" w:line="14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Furthermore, we may in the future become subject to contractual restrictions on, or prohibitions against, the payment of dividends. Accordingly, the success of your investment in our common stock will likely depend entirely upon any future appreciation. There is no guarantee that our common stock will appreciate or maintain its current price. You could lose the entire value of your investment in our common stock.</w:t>
      </w:r>
    </w:p>
    <w:p>
      <w:pPr>
        <w:spacing w:after="0" w:line="174" w:lineRule="exact"/>
        <w:rPr>
          <w:sz w:val="20"/>
          <w:szCs w:val="20"/>
          <w:color w:val="auto"/>
        </w:rPr>
      </w:pPr>
    </w:p>
    <w:p>
      <w:pPr>
        <w:ind w:right="4160"/>
        <w:spacing w:after="0" w:line="407"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None.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200" w:type="dxa"/>
            <w:vAlign w:val="bottom"/>
            <w:vMerge w:val="restart"/>
          </w:tcPr>
          <w:p>
            <w:pPr>
              <w:ind w:left="464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57"/>
        </w:trPr>
        <w:tc>
          <w:tcPr>
            <w:tcW w:w="880" w:type="dxa"/>
            <w:vAlign w:val="bottom"/>
          </w:tcPr>
          <w:p>
            <w:pPr>
              <w:spacing w:after="0" w:line="157" w:lineRule="exact"/>
              <w:rPr>
                <w:sz w:val="20"/>
                <w:szCs w:val="20"/>
                <w:color w:val="auto"/>
              </w:rPr>
            </w:pPr>
            <w:r>
              <w:rPr>
                <w:rFonts w:ascii="Arial" w:cs="Arial" w:eastAsia="Arial" w:hAnsi="Arial"/>
                <w:sz w:val="14"/>
                <w:szCs w:val="14"/>
                <w:b w:val="1"/>
                <w:bCs w:val="1"/>
                <w:color w:val="auto"/>
              </w:rPr>
              <w:t>Number</w:t>
            </w:r>
          </w:p>
        </w:tc>
        <w:tc>
          <w:tcPr>
            <w:tcW w:w="10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10200" w:type="dxa"/>
            <w:vAlign w:val="bottom"/>
          </w:tcPr>
          <w:p>
            <w:pPr>
              <w:ind w:left="280"/>
              <w:spacing w:after="0"/>
              <w:rPr>
                <w:sz w:val="20"/>
                <w:szCs w:val="20"/>
                <w:color w:val="auto"/>
              </w:rPr>
            </w:pPr>
            <w:r>
              <w:rPr>
                <w:rFonts w:ascii="Arial" w:cs="Arial" w:eastAsia="Arial" w:hAnsi="Arial"/>
                <w:sz w:val="18"/>
                <w:szCs w:val="18"/>
                <w:color w:val="auto"/>
              </w:rPr>
              <w:t>Amended and Restated Certificate of Incorporation.</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10200" w:type="dxa"/>
            <w:vAlign w:val="bottom"/>
          </w:tcPr>
          <w:p>
            <w:pPr>
              <w:ind w:left="280"/>
              <w:spacing w:after="0"/>
              <w:rPr>
                <w:sz w:val="20"/>
                <w:szCs w:val="20"/>
                <w:color w:val="auto"/>
              </w:rPr>
            </w:pPr>
            <w:r>
              <w:rPr>
                <w:rFonts w:ascii="Arial" w:cs="Arial" w:eastAsia="Arial" w:hAnsi="Arial"/>
                <w:sz w:val="18"/>
                <w:szCs w:val="18"/>
                <w:color w:val="auto"/>
              </w:rPr>
              <w:t>Certificate of Amendment of Amended and Restated Certificate of Incorporation.</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3.3(3)</w:t>
            </w:r>
          </w:p>
        </w:tc>
        <w:tc>
          <w:tcPr>
            <w:tcW w:w="10200" w:type="dxa"/>
            <w:vAlign w:val="bottom"/>
          </w:tcPr>
          <w:p>
            <w:pPr>
              <w:ind w:left="280"/>
              <w:spacing w:after="0"/>
              <w:rPr>
                <w:sz w:val="20"/>
                <w:szCs w:val="20"/>
                <w:color w:val="auto"/>
              </w:rPr>
            </w:pPr>
            <w:r>
              <w:rPr>
                <w:rFonts w:ascii="Arial" w:cs="Arial" w:eastAsia="Arial" w:hAnsi="Arial"/>
                <w:sz w:val="18"/>
                <w:szCs w:val="18"/>
                <w:color w:val="auto"/>
              </w:rPr>
              <w:t>Certificate of Amendment of Amended and Restated Certificate of Incorporation.</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3.4</w:t>
            </w:r>
          </w:p>
        </w:tc>
        <w:tc>
          <w:tcPr>
            <w:tcW w:w="10200" w:type="dxa"/>
            <w:vAlign w:val="bottom"/>
          </w:tcPr>
          <w:p>
            <w:pPr>
              <w:ind w:left="280"/>
              <w:spacing w:after="0"/>
              <w:rPr>
                <w:sz w:val="20"/>
                <w:szCs w:val="20"/>
                <w:color w:val="auto"/>
              </w:rPr>
            </w:pPr>
            <w:r>
              <w:rPr>
                <w:rFonts w:ascii="Arial" w:cs="Arial" w:eastAsia="Arial" w:hAnsi="Arial"/>
                <w:sz w:val="18"/>
                <w:szCs w:val="18"/>
                <w:color w:val="auto"/>
              </w:rPr>
              <w:t>Certificate of Amendment of Amended and Restated Certificate of Incorporation.</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3.5(4)</w:t>
            </w:r>
          </w:p>
        </w:tc>
        <w:tc>
          <w:tcPr>
            <w:tcW w:w="10200" w:type="dxa"/>
            <w:vAlign w:val="bottom"/>
          </w:tcPr>
          <w:p>
            <w:pPr>
              <w:ind w:left="280"/>
              <w:spacing w:after="0"/>
              <w:rPr>
                <w:sz w:val="20"/>
                <w:szCs w:val="20"/>
                <w:color w:val="auto"/>
              </w:rPr>
            </w:pPr>
            <w:r>
              <w:rPr>
                <w:rFonts w:ascii="Arial" w:cs="Arial" w:eastAsia="Arial" w:hAnsi="Arial"/>
                <w:sz w:val="18"/>
                <w:szCs w:val="18"/>
                <w:color w:val="auto"/>
              </w:rPr>
              <w:t>Amended and Restated Bylaws.</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4.1(5)</w:t>
            </w:r>
          </w:p>
        </w:tc>
        <w:tc>
          <w:tcPr>
            <w:tcW w:w="10200" w:type="dxa"/>
            <w:vAlign w:val="bottom"/>
          </w:tcPr>
          <w:p>
            <w:pPr>
              <w:ind w:left="280"/>
              <w:spacing w:after="0"/>
              <w:rPr>
                <w:sz w:val="20"/>
                <w:szCs w:val="20"/>
                <w:color w:val="auto"/>
              </w:rPr>
            </w:pPr>
            <w:r>
              <w:rPr>
                <w:rFonts w:ascii="Arial" w:cs="Arial" w:eastAsia="Arial" w:hAnsi="Arial"/>
                <w:sz w:val="18"/>
                <w:szCs w:val="18"/>
                <w:color w:val="auto"/>
              </w:rPr>
              <w:t>Indenture, by and between MannKind and Wells Fargo Bank, N.A., dated November 1, 2006.</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4.2(6)</w:t>
            </w:r>
          </w:p>
        </w:tc>
        <w:tc>
          <w:tcPr>
            <w:tcW w:w="10200" w:type="dxa"/>
            <w:vAlign w:val="bottom"/>
          </w:tcPr>
          <w:p>
            <w:pPr>
              <w:ind w:left="280"/>
              <w:spacing w:after="0"/>
              <w:rPr>
                <w:sz w:val="20"/>
                <w:szCs w:val="20"/>
                <w:color w:val="auto"/>
              </w:rPr>
            </w:pPr>
            <w:r>
              <w:rPr>
                <w:rFonts w:ascii="Arial" w:cs="Arial" w:eastAsia="Arial" w:hAnsi="Arial"/>
                <w:sz w:val="18"/>
                <w:szCs w:val="18"/>
                <w:color w:val="auto"/>
              </w:rPr>
              <w:t>First Supplemental Indenture, by and between MannKind and Wells Fargo Bank, N.A., dated December 12, 2006.</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4.3(6)</w:t>
            </w:r>
          </w:p>
        </w:tc>
        <w:tc>
          <w:tcPr>
            <w:tcW w:w="10200" w:type="dxa"/>
            <w:vAlign w:val="bottom"/>
          </w:tcPr>
          <w:p>
            <w:pPr>
              <w:ind w:left="280"/>
              <w:spacing w:after="0"/>
              <w:rPr>
                <w:sz w:val="20"/>
                <w:szCs w:val="20"/>
                <w:color w:val="auto"/>
              </w:rPr>
            </w:pPr>
            <w:r>
              <w:rPr>
                <w:rFonts w:ascii="Arial" w:cs="Arial" w:eastAsia="Arial" w:hAnsi="Arial"/>
                <w:sz w:val="18"/>
                <w:szCs w:val="18"/>
                <w:color w:val="auto"/>
              </w:rPr>
              <w:t>Form of 3.75% Senior Convertible Note due 2013.</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4.4(1)</w:t>
            </w:r>
          </w:p>
        </w:tc>
        <w:tc>
          <w:tcPr>
            <w:tcW w:w="10200" w:type="dxa"/>
            <w:vAlign w:val="bottom"/>
          </w:tcPr>
          <w:p>
            <w:pPr>
              <w:ind w:left="280"/>
              <w:spacing w:after="0"/>
              <w:rPr>
                <w:sz w:val="20"/>
                <w:szCs w:val="20"/>
                <w:color w:val="auto"/>
              </w:rPr>
            </w:pPr>
            <w:r>
              <w:rPr>
                <w:rFonts w:ascii="Arial" w:cs="Arial" w:eastAsia="Arial" w:hAnsi="Arial"/>
                <w:sz w:val="18"/>
                <w:szCs w:val="18"/>
                <w:color w:val="auto"/>
              </w:rPr>
              <w:t>Form of common stock certificate.</w:t>
            </w:r>
          </w:p>
        </w:tc>
        <w:tc>
          <w:tcPr>
            <w:tcW w:w="0" w:type="dxa"/>
            <w:vAlign w:val="bottom"/>
          </w:tcPr>
          <w:p>
            <w:pPr>
              <w:spacing w:after="0"/>
              <w:rPr>
                <w:sz w:val="1"/>
                <w:szCs w:val="1"/>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4.5(1)</w:t>
            </w:r>
          </w:p>
        </w:tc>
        <w:tc>
          <w:tcPr>
            <w:tcW w:w="10200" w:type="dxa"/>
            <w:vAlign w:val="bottom"/>
          </w:tcPr>
          <w:p>
            <w:pPr>
              <w:ind w:left="280"/>
              <w:spacing w:after="0"/>
              <w:rPr>
                <w:sz w:val="20"/>
                <w:szCs w:val="20"/>
                <w:color w:val="auto"/>
              </w:rPr>
            </w:pPr>
            <w:r>
              <w:rPr>
                <w:rFonts w:ascii="Arial" w:cs="Arial" w:eastAsia="Arial" w:hAnsi="Arial"/>
                <w:sz w:val="18"/>
                <w:szCs w:val="18"/>
                <w:color w:val="auto"/>
                <w:w w:val="93"/>
              </w:rPr>
              <w:t>Registration Rights Agreement, dated October 15, 1998, by and among CTL ImmunoTherapies Corp., Medical Research Group, LLC,</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200" w:type="dxa"/>
            <w:vAlign w:val="bottom"/>
          </w:tcPr>
          <w:p>
            <w:pPr>
              <w:ind w:left="280"/>
              <w:spacing w:after="0"/>
              <w:rPr>
                <w:sz w:val="20"/>
                <w:szCs w:val="20"/>
                <w:color w:val="auto"/>
              </w:rPr>
            </w:pPr>
            <w:r>
              <w:rPr>
                <w:rFonts w:ascii="Arial" w:cs="Arial" w:eastAsia="Arial" w:hAnsi="Arial"/>
                <w:sz w:val="18"/>
                <w:szCs w:val="18"/>
                <w:color w:val="auto"/>
              </w:rPr>
              <w:t>McLean Watson Advisory Inc. and Alfred E. Mann, as amended.</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4.6(7)</w:t>
            </w:r>
          </w:p>
        </w:tc>
        <w:tc>
          <w:tcPr>
            <w:tcW w:w="10200" w:type="dxa"/>
            <w:vAlign w:val="bottom"/>
          </w:tcPr>
          <w:p>
            <w:pPr>
              <w:ind w:left="280"/>
              <w:spacing w:after="0"/>
              <w:rPr>
                <w:sz w:val="20"/>
                <w:szCs w:val="20"/>
                <w:color w:val="auto"/>
              </w:rPr>
            </w:pPr>
            <w:r>
              <w:rPr>
                <w:rFonts w:ascii="Arial" w:cs="Arial" w:eastAsia="Arial" w:hAnsi="Arial"/>
                <w:sz w:val="18"/>
                <w:szCs w:val="18"/>
                <w:color w:val="auto"/>
              </w:rPr>
              <w:t>Indenture, by and between MannKind and Wells Fargo Bank, N.A., dated August 24, 2010.</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4.7(7)</w:t>
            </w:r>
          </w:p>
        </w:tc>
        <w:tc>
          <w:tcPr>
            <w:tcW w:w="10200" w:type="dxa"/>
            <w:vAlign w:val="bottom"/>
          </w:tcPr>
          <w:p>
            <w:pPr>
              <w:ind w:left="280"/>
              <w:spacing w:after="0"/>
              <w:rPr>
                <w:sz w:val="20"/>
                <w:szCs w:val="20"/>
                <w:color w:val="auto"/>
              </w:rPr>
            </w:pPr>
            <w:r>
              <w:rPr>
                <w:rFonts w:ascii="Arial" w:cs="Arial" w:eastAsia="Arial" w:hAnsi="Arial"/>
                <w:sz w:val="18"/>
                <w:szCs w:val="18"/>
                <w:color w:val="auto"/>
              </w:rPr>
              <w:t>Form of 5.75% Senior Convertible Note due 2015.</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10200" w:type="dxa"/>
            <w:vAlign w:val="bottom"/>
          </w:tcPr>
          <w:p>
            <w:pPr>
              <w:ind w:left="280"/>
              <w:spacing w:after="0"/>
              <w:rPr>
                <w:sz w:val="20"/>
                <w:szCs w:val="20"/>
                <w:color w:val="auto"/>
              </w:rPr>
            </w:pPr>
            <w:r>
              <w:rPr>
                <w:rFonts w:ascii="Arial" w:cs="Arial" w:eastAsia="Arial" w:hAnsi="Arial"/>
                <w:sz w:val="18"/>
                <w:szCs w:val="18"/>
                <w:color w:val="auto"/>
              </w:rPr>
              <w:t>2004 Equity Incentive Plan, as amended.</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10.2*</w:t>
            </w:r>
          </w:p>
        </w:tc>
        <w:tc>
          <w:tcPr>
            <w:tcW w:w="10200" w:type="dxa"/>
            <w:vAlign w:val="bottom"/>
          </w:tcPr>
          <w:p>
            <w:pPr>
              <w:ind w:left="280"/>
              <w:spacing w:after="0"/>
              <w:rPr>
                <w:sz w:val="20"/>
                <w:szCs w:val="20"/>
                <w:color w:val="auto"/>
              </w:rPr>
            </w:pPr>
            <w:r>
              <w:rPr>
                <w:rFonts w:ascii="Arial" w:cs="Arial" w:eastAsia="Arial" w:hAnsi="Arial"/>
                <w:sz w:val="18"/>
                <w:szCs w:val="18"/>
                <w:color w:val="auto"/>
              </w:rPr>
              <w:t>Employment Agreement, dated June 27, 2011, between MannKind and Dr. Peter C. Richardson</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10.3**</w:t>
            </w:r>
          </w:p>
        </w:tc>
        <w:tc>
          <w:tcPr>
            <w:tcW w:w="10200" w:type="dxa"/>
            <w:vAlign w:val="bottom"/>
          </w:tcPr>
          <w:p>
            <w:pPr>
              <w:ind w:left="280"/>
              <w:spacing w:after="0"/>
              <w:rPr>
                <w:sz w:val="20"/>
                <w:szCs w:val="20"/>
                <w:color w:val="auto"/>
              </w:rPr>
            </w:pPr>
            <w:r>
              <w:rPr>
                <w:rFonts w:ascii="Arial" w:cs="Arial" w:eastAsia="Arial" w:hAnsi="Arial"/>
                <w:sz w:val="18"/>
                <w:szCs w:val="18"/>
                <w:color w:val="auto"/>
              </w:rPr>
              <w:t>Letter Agreement, dated June 24, 2011, between MannKind and N.V. Organon</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10200" w:type="dxa"/>
            <w:vAlign w:val="bottom"/>
          </w:tcPr>
          <w:p>
            <w:pPr>
              <w:ind w:left="280"/>
              <w:spacing w:after="0"/>
              <w:rPr>
                <w:sz w:val="20"/>
                <w:szCs w:val="20"/>
                <w:color w:val="auto"/>
              </w:rPr>
            </w:pPr>
            <w:r>
              <w:rPr>
                <w:rFonts w:ascii="Arial" w:cs="Arial" w:eastAsia="Arial" w:hAnsi="Arial"/>
                <w:sz w:val="18"/>
                <w:szCs w:val="18"/>
                <w:color w:val="auto"/>
                <w:w w:val="90"/>
              </w:rPr>
              <w:t>Certification of the Chief Executive Officer Pursuant to Rule 13a-14(a) or 15d-14(a) of the Securities Exchange Act of 1934, as amended.</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10200" w:type="dxa"/>
            <w:vAlign w:val="bottom"/>
          </w:tcPr>
          <w:p>
            <w:pPr>
              <w:ind w:left="280"/>
              <w:spacing w:after="0"/>
              <w:rPr>
                <w:sz w:val="20"/>
                <w:szCs w:val="20"/>
                <w:color w:val="auto"/>
              </w:rPr>
            </w:pPr>
            <w:r>
              <w:rPr>
                <w:rFonts w:ascii="Arial" w:cs="Arial" w:eastAsia="Arial" w:hAnsi="Arial"/>
                <w:sz w:val="18"/>
                <w:szCs w:val="18"/>
                <w:color w:val="auto"/>
                <w:w w:val="91"/>
              </w:rPr>
              <w:t>Certification of the Chief Financial Officer Pursuant to Rule 13a-14(a) or 15d-14(a) of the Securities Exchange Act of 1934, as amended.</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60" w:right="80" w:hanging="1152"/>
        <w:spacing w:after="0" w:line="308" w:lineRule="auto"/>
        <w:tabs>
          <w:tab w:leader="none" w:pos="11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Certifications of the Chief Executive Officer and Chief Financial Officer Pursuant to Rule 13a-14(b) or 15d-14(b) of the Securities Exchange Act of 1934, as amended and Section 1350 of Chapter 63 of Title 18 of the United States Code (18 U.S.C. § 1350).</w:t>
      </w:r>
    </w:p>
    <w:p>
      <w:pPr>
        <w:spacing w:after="0" w:line="14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Files pursuant to Rule 405 of Regulation 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77"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MannKind has requested confidential treatment with respect to certain portions of this exhibit.</w:t>
      </w:r>
    </w:p>
    <w:p>
      <w:pPr>
        <w:spacing w:after="0" w:line="77"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Incorporated by reference to MannKind’s registration statement on Form S-1 (File No. 333-115020), filed with the SEC on April 30, 2004, as amended.</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MannKind’s quarterly report on Form 10-Q (File No. 000-50865), filed with the SEC on August 9, 2007.</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10-Q (File No. 000-50865), filed with the SEC on August 2, 2010.</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 No. 000-50865), filed with the SEC on November 19, 2007.</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Incorporated by reference to MannKind’s registration statement on Form S-3 (File No. 333-138373), filed with the SEC on November 2, 2006.</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Incorporated by reference to MannKind’s current report on Form 8-K (File No. 000-50865), filed with the SEC on December 12, 2006.</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Incorporated by reference to MannKind’s current report on Form 8-K (File No. 000-50865), filed with the SEC on August 24, 2010.</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Incorporated by reference to MannKind’s current report on Form 8-K (File No. 000-50865), filed with the SEC on June 8, 2011.</w:t>
      </w:r>
    </w:p>
    <w:p>
      <w:pPr>
        <w:spacing w:after="0" w:line="21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340" w:val="left"/>
        </w:tabs>
        <w:rPr>
          <w:sz w:val="20"/>
          <w:szCs w:val="20"/>
          <w:color w:val="auto"/>
        </w:rPr>
      </w:pPr>
      <w:r>
        <w:rPr>
          <w:rFonts w:ascii="Arial" w:cs="Arial" w:eastAsia="Arial" w:hAnsi="Arial"/>
          <w:sz w:val="18"/>
          <w:szCs w:val="18"/>
          <w:color w:val="auto"/>
        </w:rPr>
        <w:t>Dated: August 4, 2011</w:t>
      </w:r>
      <w:r>
        <w:rPr>
          <w:sz w:val="20"/>
          <w:szCs w:val="20"/>
          <w:color w:val="auto"/>
        </w:rPr>
        <w:tab/>
      </w:r>
      <w:r>
        <w:rPr>
          <w:rFonts w:ascii="Arial" w:cs="Arial" w:eastAsia="Arial" w:hAnsi="Arial"/>
          <w:sz w:val="17"/>
          <w:szCs w:val="17"/>
          <w:color w:val="auto"/>
        </w:rPr>
        <w:t>MANNKIND CORPORATION</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Matthew J. Pfeffer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9159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Corporate Vice President and Chief Financial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19" w:right="4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3.4</w:t>
      </w:r>
    </w:p>
    <w:p>
      <w:pPr>
        <w:spacing w:after="0" w:line="333"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CERTIFICATE OF AMENDMENT OF AMENDED AND RESTATED CERTIFICATE OF INCORPORATION OF MANNKIND CORPORATION</w:t>
      </w:r>
    </w:p>
    <w:p>
      <w:pPr>
        <w:spacing w:after="0" w:line="282" w:lineRule="exact"/>
        <w:rPr>
          <w:sz w:val="20"/>
          <w:szCs w:val="20"/>
          <w:color w:val="auto"/>
        </w:rPr>
      </w:pPr>
    </w:p>
    <w:p>
      <w:pPr>
        <w:ind w:right="740" w:firstLine="225"/>
        <w:spacing w:after="0" w:line="282" w:lineRule="auto"/>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ANN</w:t>
      </w:r>
      <w:r>
        <w:rPr>
          <w:rFonts w:ascii="Arial" w:cs="Arial" w:eastAsia="Arial" w:hAnsi="Arial"/>
          <w:sz w:val="18"/>
          <w:szCs w:val="18"/>
          <w:b w:val="1"/>
          <w:bCs w:val="1"/>
          <w:color w:val="auto"/>
        </w:rPr>
        <w:t>K</w:t>
      </w:r>
      <w:r>
        <w:rPr>
          <w:rFonts w:ascii="Arial" w:cs="Arial" w:eastAsia="Arial" w:hAnsi="Arial"/>
          <w:sz w:val="12"/>
          <w:szCs w:val="12"/>
          <w:b w:val="1"/>
          <w:bCs w:val="1"/>
          <w:color w:val="auto"/>
        </w:rPr>
        <w:t>IND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ORPORATION</w:t>
      </w:r>
      <w:r>
        <w:rPr>
          <w:rFonts w:ascii="Arial" w:cs="Arial" w:eastAsia="Arial" w:hAnsi="Arial"/>
          <w:sz w:val="18"/>
          <w:szCs w:val="18"/>
          <w:color w:val="auto"/>
        </w:rPr>
        <w:t>, a corporation organized and existing under and by virtue of the General Corporation Law of the State of Delaware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does hereby certify:</w:t>
      </w:r>
    </w:p>
    <w:p>
      <w:pPr>
        <w:spacing w:after="0" w:line="54" w:lineRule="exact"/>
        <w:rPr>
          <w:sz w:val="20"/>
          <w:szCs w:val="20"/>
          <w:color w:val="auto"/>
        </w:rPr>
      </w:pPr>
    </w:p>
    <w:p>
      <w:pPr>
        <w:ind w:right="480" w:firstLine="225"/>
        <w:spacing w:after="0" w:line="282" w:lineRule="auto"/>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IRST</w:t>
      </w:r>
      <w:r>
        <w:rPr>
          <w:rFonts w:ascii="Arial" w:cs="Arial" w:eastAsia="Arial" w:hAnsi="Arial"/>
          <w:sz w:val="18"/>
          <w:szCs w:val="18"/>
          <w:b w:val="1"/>
          <w:bCs w:val="1"/>
          <w:color w:val="auto"/>
        </w:rPr>
        <w:t xml:space="preserve">: </w:t>
      </w:r>
      <w:r>
        <w:rPr>
          <w:rFonts w:ascii="Arial" w:cs="Arial" w:eastAsia="Arial" w:hAnsi="Arial"/>
          <w:sz w:val="18"/>
          <w:szCs w:val="18"/>
          <w:color w:val="auto"/>
        </w:rPr>
        <w:t>The original name of the Corporation was Pharmaceutical Discovery Corporation. The date on which the Corporation’s original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was filed with the Secretary of State of the State of Delaware is February 14, 1991.</w:t>
      </w:r>
    </w:p>
    <w:p>
      <w:pPr>
        <w:spacing w:after="0" w:line="54" w:lineRule="exact"/>
        <w:rPr>
          <w:sz w:val="20"/>
          <w:szCs w:val="20"/>
          <w:color w:val="auto"/>
        </w:rPr>
      </w:pPr>
    </w:p>
    <w:p>
      <w:pPr>
        <w:ind w:right="180" w:firstLine="225"/>
        <w:spacing w:after="0" w:line="258" w:lineRule="auto"/>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ECOND</w:t>
      </w:r>
      <w:r>
        <w:rPr>
          <w:rFonts w:ascii="Arial" w:cs="Arial" w:eastAsia="Arial" w:hAnsi="Arial"/>
          <w:sz w:val="18"/>
          <w:szCs w:val="18"/>
          <w:b w:val="1"/>
          <w:bCs w:val="1"/>
          <w:color w:val="auto"/>
        </w:rPr>
        <w:t xml:space="preserve">: </w:t>
      </w:r>
      <w:r>
        <w:rPr>
          <w:rFonts w:ascii="Arial" w:cs="Arial" w:eastAsia="Arial" w:hAnsi="Arial"/>
          <w:sz w:val="18"/>
          <w:szCs w:val="18"/>
          <w:color w:val="auto"/>
        </w:rPr>
        <w:t>This Certificate of Amendment amends certain provisions of the Amended and Restated Certificate of Incorporation of the Corporation,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amended (the </w:t>
      </w:r>
      <w:r>
        <w:rPr>
          <w:rFonts w:ascii="Arial" w:cs="Arial" w:eastAsia="Arial" w:hAnsi="Arial"/>
          <w:sz w:val="18"/>
          <w:szCs w:val="18"/>
          <w:b w:val="1"/>
          <w:bCs w:val="1"/>
          <w:i w:val="1"/>
          <w:iCs w:val="1"/>
          <w:color w:val="auto"/>
        </w:rPr>
        <w:t>“Restated Certificate”</w:t>
      </w:r>
      <w:r>
        <w:rPr>
          <w:rFonts w:ascii="Arial" w:cs="Arial" w:eastAsia="Arial" w:hAnsi="Arial"/>
          <w:sz w:val="18"/>
          <w:szCs w:val="18"/>
          <w:color w:val="auto"/>
        </w:rPr>
        <w:t>), and has been duly adopted by the Board of Directors of the Corporation acting in accordance with the provisions of Section 242 of the General Corporation Law of the State of Delaware, and further adopted in accordance with the provisions of Sections 211 and 242 of the General Corporation Law of the State of Delaware by the stockholders of the Corporation and shall become effective upon filing with the Secretary of State of the State of Delaware.</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HIRD</w:t>
      </w:r>
      <w:r>
        <w:rPr>
          <w:rFonts w:ascii="Arial" w:cs="Arial" w:eastAsia="Arial" w:hAnsi="Arial"/>
          <w:sz w:val="18"/>
          <w:szCs w:val="18"/>
          <w:b w:val="1"/>
          <w:bCs w:val="1"/>
          <w:color w:val="auto"/>
        </w:rPr>
        <w:t xml:space="preserve">: </w:t>
      </w:r>
      <w:r>
        <w:rPr>
          <w:rFonts w:ascii="Arial" w:cs="Arial" w:eastAsia="Arial" w:hAnsi="Arial"/>
          <w:sz w:val="18"/>
          <w:szCs w:val="18"/>
          <w:color w:val="auto"/>
        </w:rPr>
        <w:t>Paragraph A of Article IV of the Restated Certificate is hereby amended and restated to read in its entirety as follows:</w:t>
      </w:r>
    </w:p>
    <w:p>
      <w:pPr>
        <w:spacing w:after="0" w:line="121" w:lineRule="exact"/>
        <w:rPr>
          <w:sz w:val="20"/>
          <w:szCs w:val="20"/>
          <w:color w:val="auto"/>
        </w:rPr>
      </w:pPr>
    </w:p>
    <w:p>
      <w:pPr>
        <w:ind w:left="240" w:right="60" w:firstLine="215"/>
        <w:spacing w:after="0" w:line="259" w:lineRule="auto"/>
        <w:rPr>
          <w:sz w:val="20"/>
          <w:szCs w:val="20"/>
          <w:color w:val="auto"/>
        </w:rPr>
      </w:pPr>
      <w:r>
        <w:rPr>
          <w:rFonts w:ascii="Arial" w:cs="Arial" w:eastAsia="Arial" w:hAnsi="Arial"/>
          <w:sz w:val="18"/>
          <w:szCs w:val="18"/>
          <w:color w:val="auto"/>
        </w:rPr>
        <w:t xml:space="preserve">A. This Corporation is authorized to issue two classes of stock to be designated, respectively, </w:t>
      </w:r>
      <w:r>
        <w:rPr>
          <w:rFonts w:ascii="Arial" w:cs="Arial" w:eastAsia="Arial" w:hAnsi="Arial"/>
          <w:sz w:val="18"/>
          <w:szCs w:val="18"/>
          <w:i w:val="1"/>
          <w:iCs w:val="1"/>
          <w:color w:val="auto"/>
        </w:rPr>
        <w:t>“Common Stock”</w:t>
      </w:r>
      <w:r>
        <w:rPr>
          <w:rFonts w:ascii="Arial" w:cs="Arial" w:eastAsia="Arial" w:hAnsi="Arial"/>
          <w:sz w:val="18"/>
          <w:szCs w:val="18"/>
          <w:color w:val="auto"/>
        </w:rPr>
        <w:t xml:space="preserve"> and </w:t>
      </w:r>
      <w:r>
        <w:rPr>
          <w:rFonts w:ascii="Arial" w:cs="Arial" w:eastAsia="Arial" w:hAnsi="Arial"/>
          <w:sz w:val="18"/>
          <w:szCs w:val="18"/>
          <w:i w:val="1"/>
          <w:iCs w:val="1"/>
          <w:color w:val="auto"/>
        </w:rPr>
        <w:t>“Preferred Stock.”</w:t>
      </w:r>
      <w:r>
        <w:rPr>
          <w:rFonts w:ascii="Arial" w:cs="Arial" w:eastAsia="Arial" w:hAnsi="Arial"/>
          <w:sz w:val="18"/>
          <w:szCs w:val="18"/>
          <w:color w:val="auto"/>
        </w:rPr>
        <w:t xml:space="preserve"> The total number of shares which the Corporation is authorized to issue is two hundred sixty million (260,000,000) shares. Two hundred fifty million (250,000,000) shares shall be Common Stock, each having a par value of one cent ($.01). Ten million (10,000,000) shares shall be Preferred Stock, each having a par value of one cent ($.01).</w:t>
      </w:r>
    </w:p>
    <w:p>
      <w:pPr>
        <w:spacing w:after="0" w:line="75" w:lineRule="exact"/>
        <w:rPr>
          <w:sz w:val="20"/>
          <w:szCs w:val="20"/>
          <w:color w:val="auto"/>
        </w:rPr>
      </w:pPr>
    </w:p>
    <w:p>
      <w:pPr>
        <w:ind w:right="280" w:firstLine="225"/>
        <w:spacing w:after="0" w:line="282"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MannKind Corporation has caused this Certificate of Amendment to be signed by its Corporate Vice President, General Counsel</w:t>
      </w:r>
      <w:r>
        <w:rPr>
          <w:rFonts w:ascii="Arial" w:cs="Arial" w:eastAsia="Arial" w:hAnsi="Arial"/>
          <w:sz w:val="18"/>
          <w:szCs w:val="18"/>
          <w:b w:val="1"/>
          <w:bCs w:val="1"/>
          <w:color w:val="auto"/>
        </w:rPr>
        <w:t xml:space="preserve"> </w:t>
      </w:r>
      <w:r>
        <w:rPr>
          <w:rFonts w:ascii="Arial" w:cs="Arial" w:eastAsia="Arial" w:hAnsi="Arial"/>
          <w:sz w:val="18"/>
          <w:szCs w:val="18"/>
          <w:color w:val="auto"/>
        </w:rPr>
        <w:t>and Secretary on June 2, 2011.</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ANN</w:t>
      </w:r>
      <w:r>
        <w:rPr>
          <w:rFonts w:ascii="Arial" w:cs="Arial" w:eastAsia="Arial" w:hAnsi="Arial"/>
          <w:sz w:val="18"/>
          <w:szCs w:val="18"/>
          <w:b w:val="1"/>
          <w:bCs w:val="1"/>
          <w:color w:val="auto"/>
        </w:rPr>
        <w:t>K</w:t>
      </w:r>
      <w:r>
        <w:rPr>
          <w:rFonts w:ascii="Arial" w:cs="Arial" w:eastAsia="Arial" w:hAnsi="Arial"/>
          <w:sz w:val="12"/>
          <w:szCs w:val="12"/>
          <w:b w:val="1"/>
          <w:bCs w:val="1"/>
          <w:color w:val="auto"/>
        </w:rPr>
        <w:t>IND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ORPORATION</w:t>
      </w:r>
    </w:p>
    <w:p>
      <w:pPr>
        <w:spacing w:after="0" w:line="22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David Thomson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David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Corporate Vice President, General Counsel and</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420"/>
          </w:cols>
          <w:pgMar w:left="240" w:top="12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10.2</w:t>
      </w:r>
    </w:p>
    <w:p>
      <w:pPr>
        <w:spacing w:after="0" w:line="33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MANNKIND CORPORATION</w:t>
      </w:r>
    </w:p>
    <w:p>
      <w:pPr>
        <w:spacing w:after="0" w:line="11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EMPLOYMENT AGREEMENT</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This Employment Agreement is entered into by and between MannKind Corporation (“MannKind” or the “Company”), on behalf of itself, its owners, successors and assigns, and Peter C. Richardson (“Employee”).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currently employs Employee in the position of Chief Scientific Officer; and</w:t>
      </w:r>
    </w:p>
    <w:p>
      <w:pPr>
        <w:spacing w:after="0" w:line="117" w:lineRule="exact"/>
        <w:rPr>
          <w:sz w:val="20"/>
          <w:szCs w:val="20"/>
          <w:color w:val="auto"/>
        </w:rPr>
      </w:pPr>
    </w:p>
    <w:p>
      <w:pPr>
        <w:ind w:right="60" w:firstLine="447"/>
        <w:spacing w:after="0" w:line="277" w:lineRule="auto"/>
        <w:rPr>
          <w:sz w:val="20"/>
          <w:szCs w:val="20"/>
          <w:color w:val="auto"/>
        </w:rPr>
      </w:pPr>
      <w:r>
        <w:rPr>
          <w:rFonts w:ascii="Arial" w:cs="Arial" w:eastAsia="Arial" w:hAnsi="Arial"/>
          <w:sz w:val="18"/>
          <w:szCs w:val="18"/>
          <w:color w:val="auto"/>
        </w:rPr>
        <w:t>WHEREAS, the Company and Employee previously entered into a written agreement regarding certain terms and conditions of employment, including provisions regarding termination and severance; and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had decided to substantially alter Employee’s role in the Company; and</w:t>
      </w:r>
    </w:p>
    <w:p>
      <w:pPr>
        <w:spacing w:after="0" w:line="117" w:lineRule="exact"/>
        <w:rPr>
          <w:sz w:val="20"/>
          <w:szCs w:val="20"/>
          <w:color w:val="auto"/>
        </w:rPr>
      </w:pPr>
    </w:p>
    <w:p>
      <w:pPr>
        <w:jc w:val="both"/>
        <w:ind w:right="120" w:firstLine="447"/>
        <w:spacing w:after="0" w:line="264" w:lineRule="auto"/>
        <w:rPr>
          <w:sz w:val="20"/>
          <w:szCs w:val="20"/>
          <w:color w:val="auto"/>
        </w:rPr>
      </w:pPr>
      <w:r>
        <w:rPr>
          <w:rFonts w:ascii="Arial" w:cs="Arial" w:eastAsia="Arial" w:hAnsi="Arial"/>
          <w:sz w:val="18"/>
          <w:szCs w:val="18"/>
          <w:color w:val="auto"/>
        </w:rPr>
        <w:t>WHEREAS, the Company and Employee desire to supersede all prior agreements regarding Employee’s compensation and termination, including, but not limited to the Executive Severance Agreement and the Change of Control Agreement, and to set forth the terms and conditions of Employee’s continued employment, termination and transition;</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therefore agreed by and between the parties:</w:t>
      </w:r>
    </w:p>
    <w:p>
      <w:pPr>
        <w:spacing w:after="0" w:line="113" w:lineRule="exact"/>
        <w:rPr>
          <w:sz w:val="20"/>
          <w:szCs w:val="20"/>
          <w:color w:val="auto"/>
        </w:rPr>
      </w:pPr>
    </w:p>
    <w:p>
      <w:pPr>
        <w:ind w:firstLine="458"/>
        <w:spacing w:after="0" w:line="266" w:lineRule="auto"/>
        <w:tabs>
          <w:tab w:leader="none" w:pos="63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Position, Title and Grade Level: </w:t>
      </w:r>
      <w:r>
        <w:rPr>
          <w:rFonts w:ascii="Arial" w:cs="Arial" w:eastAsia="Arial" w:hAnsi="Arial"/>
          <w:sz w:val="18"/>
          <w:szCs w:val="18"/>
          <w:color w:val="auto"/>
        </w:rPr>
        <w:t>Employee will continue to hold the title of Chief Scientific Officer. Employee will report to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Alfred E. Mann. The Company reserves the right to alter Employee’s title if it chooses to hire a new Chief Scientific Officer. Employee shall retain his grade level during the Term of this Agreement.</w:t>
      </w:r>
    </w:p>
    <w:p>
      <w:pPr>
        <w:spacing w:after="0" w:line="68" w:lineRule="exact"/>
        <w:rPr>
          <w:rFonts w:ascii="Arial" w:cs="Arial" w:eastAsia="Arial" w:hAnsi="Arial"/>
          <w:sz w:val="18"/>
          <w:szCs w:val="18"/>
          <w:color w:val="auto"/>
        </w:rPr>
      </w:pPr>
    </w:p>
    <w:p>
      <w:pPr>
        <w:ind w:left="640" w:hanging="18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Duties and Responsibilities:</w:t>
      </w:r>
    </w:p>
    <w:p>
      <w:pPr>
        <w:spacing w:after="0" w:line="121" w:lineRule="exact"/>
        <w:rPr>
          <w:rFonts w:ascii="Arial" w:cs="Arial" w:eastAsia="Arial" w:hAnsi="Arial"/>
          <w:sz w:val="18"/>
          <w:szCs w:val="18"/>
          <w:color w:val="auto"/>
        </w:rPr>
      </w:pPr>
    </w:p>
    <w:p>
      <w:pPr>
        <w:ind w:right="40" w:firstLine="683"/>
        <w:spacing w:after="0" w:line="259" w:lineRule="auto"/>
        <w:tabs>
          <w:tab w:leader="none" w:pos="845" w:val="left"/>
        </w:tabs>
        <w:numPr>
          <w:ilvl w:val="1"/>
          <w:numId w:val="15"/>
        </w:numPr>
        <w:rPr>
          <w:rFonts w:ascii="Arial" w:cs="Arial" w:eastAsia="Arial" w:hAnsi="Arial"/>
          <w:sz w:val="18"/>
          <w:szCs w:val="18"/>
          <w:color w:val="auto"/>
        </w:rPr>
      </w:pPr>
      <w:r>
        <w:rPr>
          <w:rFonts w:ascii="Arial" w:cs="Arial" w:eastAsia="Arial" w:hAnsi="Arial"/>
          <w:sz w:val="18"/>
          <w:szCs w:val="18"/>
          <w:color w:val="auto"/>
        </w:rPr>
        <w:t>Employee will be primarily responsible for leading the Company’s oncology research group located in Valencia, California. Employee will devote as much of his time as is necessary to properly supervise and lead these efforts. It is anticipated that Employee will be present in the Valencia facility at least once per month during the term of this Agreement. Employee may receive reasonable additional duties and special assignments as determined by the Chief Executive Officer.</w:t>
      </w:r>
    </w:p>
    <w:p>
      <w:pPr>
        <w:spacing w:after="0" w:line="78" w:lineRule="exact"/>
        <w:rPr>
          <w:rFonts w:ascii="Arial" w:cs="Arial" w:eastAsia="Arial" w:hAnsi="Arial"/>
          <w:sz w:val="18"/>
          <w:szCs w:val="18"/>
          <w:color w:val="auto"/>
        </w:rPr>
      </w:pPr>
    </w:p>
    <w:p>
      <w:pPr>
        <w:ind w:right="460" w:firstLine="683"/>
        <w:spacing w:after="0" w:line="277" w:lineRule="auto"/>
        <w:tabs>
          <w:tab w:leader="none" w:pos="855" w:val="left"/>
        </w:tabs>
        <w:numPr>
          <w:ilvl w:val="1"/>
          <w:numId w:val="15"/>
        </w:numPr>
        <w:rPr>
          <w:rFonts w:ascii="Arial" w:cs="Arial" w:eastAsia="Arial" w:hAnsi="Arial"/>
          <w:sz w:val="18"/>
          <w:szCs w:val="18"/>
          <w:color w:val="auto"/>
        </w:rPr>
      </w:pPr>
      <w:r>
        <w:rPr>
          <w:rFonts w:ascii="Arial" w:cs="Arial" w:eastAsia="Arial" w:hAnsi="Arial"/>
          <w:sz w:val="18"/>
          <w:szCs w:val="18"/>
          <w:color w:val="auto"/>
        </w:rPr>
        <w:t>Employee will no longer have other duties and responsibilities, and will no longer maintain a dedicated office in the Company’s New Jersey facilities. Employee will not be a member of the Company’s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Executive Leadership Team (“ELT”). Employee acknowledges that this represents a material change in his job duties.</w:t>
      </w:r>
    </w:p>
    <w:p>
      <w:pPr>
        <w:spacing w:after="0" w:line="117" w:lineRule="exact"/>
        <w:rPr>
          <w:sz w:val="20"/>
          <w:szCs w:val="20"/>
          <w:color w:val="auto"/>
        </w:rPr>
      </w:pPr>
    </w:p>
    <w:p>
      <w:pPr>
        <w:ind w:right="380" w:firstLine="675"/>
        <w:spacing w:after="0" w:line="264" w:lineRule="auto"/>
        <w:rPr>
          <w:sz w:val="20"/>
          <w:szCs w:val="20"/>
          <w:color w:val="auto"/>
        </w:rPr>
      </w:pPr>
      <w:r>
        <w:rPr>
          <w:rFonts w:ascii="Arial" w:cs="Arial" w:eastAsia="Arial" w:hAnsi="Arial"/>
          <w:sz w:val="18"/>
          <w:szCs w:val="18"/>
          <w:color w:val="auto"/>
        </w:rPr>
        <w:t>c. During any period of time that the Employee remains in the employ of the Company, and excluding any periods of paid time-off to which the Employee is entitled, the Employee will devote all his productive time, ability, attention, and effort to the business and affairs of the Company and the discharge of the responsibilities assigned to him hereunder.</w:t>
      </w:r>
    </w:p>
    <w:p>
      <w:pPr>
        <w:spacing w:after="0" w:line="73" w:lineRule="exact"/>
        <w:rPr>
          <w:sz w:val="20"/>
          <w:szCs w:val="20"/>
          <w:color w:val="auto"/>
        </w:rPr>
      </w:pPr>
    </w:p>
    <w:p>
      <w:pPr>
        <w:ind w:firstLine="675"/>
        <w:spacing w:after="0" w:line="291" w:lineRule="auto"/>
        <w:rPr>
          <w:sz w:val="20"/>
          <w:szCs w:val="20"/>
          <w:color w:val="auto"/>
        </w:rPr>
      </w:pPr>
      <w:r>
        <w:rPr>
          <w:rFonts w:ascii="Arial" w:cs="Arial" w:eastAsia="Arial" w:hAnsi="Arial"/>
          <w:sz w:val="16"/>
          <w:szCs w:val="16"/>
          <w:color w:val="auto"/>
        </w:rPr>
        <w:t>d. It shall not be a violation of this Agreement for the Employee to (a) serve on corporate, civic or charitable boards or committees, (b) deliver lectures, fulfill speaking engagements or teach at educational institutions, (c) manage personal investments, or (d) engage in activities permitted by the policies of the Company or as specifically permitted by the Company, so long as such activities do not significantly interfere with the full time performance of the Employee’s responsibilities in accordance with this Agreement. It is expressly understood and agreed that to the extent any such activities have been conducted by the Employee prior to the Effective Date, the continued conduct of such activities (or the conduct of activities similar in nature and scope thereto) during the Term shall not thereafter be deemed to interfere with the performance of the Employee’s responsibilities to the Company. It shall not be a violation of this Agreement for the Employee to spend reasonable time seeking an alternative position, including time for necessary travel and meetings.</w:t>
      </w:r>
    </w:p>
    <w:p>
      <w:pPr>
        <w:spacing w:after="0" w:line="55" w:lineRule="exact"/>
        <w:rPr>
          <w:sz w:val="20"/>
          <w:szCs w:val="20"/>
          <w:color w:val="auto"/>
        </w:rPr>
      </w:pPr>
    </w:p>
    <w:p>
      <w:pPr>
        <w:ind w:right="180" w:firstLine="458"/>
        <w:spacing w:after="0" w:line="314" w:lineRule="auto"/>
        <w:tabs>
          <w:tab w:leader="none" w:pos="63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Term: </w:t>
      </w:r>
      <w:r>
        <w:rPr>
          <w:rFonts w:ascii="Arial" w:cs="Arial" w:eastAsia="Arial" w:hAnsi="Arial"/>
          <w:sz w:val="16"/>
          <w:szCs w:val="16"/>
          <w:color w:val="auto"/>
        </w:rPr>
        <w:t>The Company agrees to maintain Employee’s status as an employee for twenty four (24) months from the initial date of this Agreement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 Upon the expiry of the Term, this Agreement shall terminate and Employee shall not remain employed and shall not receive salary continuation payments unless Employee and the Company agreed no later than eighteen (18) months from the initial date of this Agreement to extend the Term.</w:t>
      </w:r>
    </w:p>
    <w:p>
      <w:pPr>
        <w:spacing w:after="0" w:line="34" w:lineRule="exact"/>
        <w:rPr>
          <w:rFonts w:ascii="Arial" w:cs="Arial" w:eastAsia="Arial" w:hAnsi="Arial"/>
          <w:sz w:val="16"/>
          <w:szCs w:val="16"/>
          <w:color w:val="auto"/>
        </w:rPr>
      </w:pPr>
    </w:p>
    <w:p>
      <w:pPr>
        <w:ind w:right="80" w:firstLine="458"/>
        <w:spacing w:after="0" w:line="282" w:lineRule="auto"/>
        <w:tabs>
          <w:tab w:leader="none" w:pos="63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Termination: </w:t>
      </w:r>
      <w:r>
        <w:rPr>
          <w:rFonts w:ascii="Arial" w:cs="Arial" w:eastAsia="Arial" w:hAnsi="Arial"/>
          <w:sz w:val="18"/>
          <w:szCs w:val="18"/>
          <w:color w:val="auto"/>
        </w:rPr>
        <w:t>Subject to the conditions set forth herein, the Company may terminate this Employee’s employment under this Agreement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with or without additional cause, reason or advance notice.</w:t>
      </w:r>
    </w:p>
    <w:p>
      <w:pPr>
        <w:spacing w:after="0" w:line="53" w:lineRule="exact"/>
        <w:rPr>
          <w:rFonts w:ascii="Arial" w:cs="Arial" w:eastAsia="Arial" w:hAnsi="Arial"/>
          <w:sz w:val="18"/>
          <w:szCs w:val="18"/>
          <w:color w:val="auto"/>
        </w:rPr>
      </w:pPr>
    </w:p>
    <w:p>
      <w:pPr>
        <w:ind w:left="640" w:hanging="182"/>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Salary Continuation And Severance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If during the Term the Company terminates Employee’s employment other than for Cause, Employee shall be entitled to:</w:t>
      </w:r>
    </w:p>
    <w:p>
      <w:pPr>
        <w:spacing w:after="0" w:line="117" w:lineRule="exact"/>
        <w:rPr>
          <w:sz w:val="20"/>
          <w:szCs w:val="20"/>
          <w:color w:val="auto"/>
        </w:rPr>
      </w:pPr>
    </w:p>
    <w:p>
      <w:pPr>
        <w:ind w:left="1360" w:right="220" w:hanging="326"/>
        <w:spacing w:after="0" w:line="277" w:lineRule="auto"/>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Payment of the following accrued obligations (the “Accrued Obligations”) which shall occur on the Employee’s last date of employment (“Date of Termination”):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7" w:name="page48"/>
    <w:bookmarkEnd w:id="47"/>
    <w:p>
      <w:pPr>
        <w:ind w:left="666" w:hanging="328"/>
        <w:spacing w:after="0"/>
        <w:tabs>
          <w:tab w:leader="none" w:pos="666" w:val="left"/>
        </w:tabs>
        <w:numPr>
          <w:ilvl w:val="2"/>
          <w:numId w:val="18"/>
        </w:numPr>
        <w:rPr>
          <w:rFonts w:ascii="Arial" w:cs="Arial" w:eastAsia="Arial" w:hAnsi="Arial"/>
          <w:sz w:val="18"/>
          <w:szCs w:val="18"/>
          <w:color w:val="auto"/>
        </w:rPr>
      </w:pPr>
      <w:r>
        <w:rPr>
          <w:rFonts w:ascii="Arial" w:cs="Arial" w:eastAsia="Arial" w:hAnsi="Arial"/>
          <w:sz w:val="18"/>
          <w:szCs w:val="18"/>
          <w:color w:val="auto"/>
        </w:rPr>
        <w:t>Employee’s then current annual base salary through the Date of Termination to the extent not theretofore paid; and</w:t>
      </w:r>
    </w:p>
    <w:p>
      <w:pPr>
        <w:spacing w:after="0" w:line="130" w:lineRule="exact"/>
        <w:rPr>
          <w:rFonts w:ascii="Arial" w:cs="Arial" w:eastAsia="Arial" w:hAnsi="Arial"/>
          <w:sz w:val="18"/>
          <w:szCs w:val="18"/>
          <w:color w:val="auto"/>
        </w:rPr>
      </w:pPr>
    </w:p>
    <w:p>
      <w:pPr>
        <w:ind w:left="666" w:hanging="328"/>
        <w:spacing w:after="0"/>
        <w:tabs>
          <w:tab w:leader="none" w:pos="666" w:val="left"/>
        </w:tabs>
        <w:numPr>
          <w:ilvl w:val="2"/>
          <w:numId w:val="18"/>
        </w:numPr>
        <w:rPr>
          <w:rFonts w:ascii="Arial" w:cs="Arial" w:eastAsia="Arial" w:hAnsi="Arial"/>
          <w:sz w:val="18"/>
          <w:szCs w:val="18"/>
          <w:color w:val="auto"/>
        </w:rPr>
      </w:pPr>
      <w:r>
        <w:rPr>
          <w:rFonts w:ascii="Arial" w:cs="Arial" w:eastAsia="Arial" w:hAnsi="Arial"/>
          <w:sz w:val="18"/>
          <w:szCs w:val="18"/>
          <w:color w:val="auto"/>
        </w:rPr>
        <w:t>Payment as follows:</w:t>
      </w:r>
    </w:p>
    <w:p>
      <w:pPr>
        <w:spacing w:after="0" w:line="117" w:lineRule="exact"/>
        <w:rPr>
          <w:rFonts w:ascii="Arial" w:cs="Arial" w:eastAsia="Arial" w:hAnsi="Arial"/>
          <w:sz w:val="18"/>
          <w:szCs w:val="18"/>
          <w:color w:val="auto"/>
        </w:rPr>
      </w:pPr>
    </w:p>
    <w:p>
      <w:pPr>
        <w:ind w:left="1006" w:hanging="330"/>
        <w:spacing w:after="0" w:line="302" w:lineRule="auto"/>
        <w:tabs>
          <w:tab w:leader="none" w:pos="1006" w:val="left"/>
        </w:tabs>
        <w:numPr>
          <w:ilvl w:val="3"/>
          <w:numId w:val="18"/>
        </w:numPr>
        <w:rPr>
          <w:rFonts w:ascii="Arial" w:cs="Arial" w:eastAsia="Arial" w:hAnsi="Arial"/>
          <w:sz w:val="16"/>
          <w:szCs w:val="16"/>
          <w:color w:val="auto"/>
        </w:rPr>
      </w:pPr>
      <w:r>
        <w:rPr>
          <w:rFonts w:ascii="Arial" w:cs="Arial" w:eastAsia="Arial" w:hAnsi="Arial"/>
          <w:sz w:val="16"/>
          <w:szCs w:val="16"/>
          <w:color w:val="auto"/>
        </w:rPr>
        <w:t>if the performance criteria for earning the annual bonus for the full fiscal year of termination have been fully satisfied as of the Date of Termination (excluding any requirement that the Employee be employed by the Company at the end of the fiscal year), the product of (x) the amount of the annual bonus for that year and (y) a fraction the numerator of which is the number of days in the current fiscal year through the Date of Termination and the denominator of which is three hundred sixty-five (365);</w:t>
      </w:r>
    </w:p>
    <w:p>
      <w:pPr>
        <w:spacing w:after="0" w:line="59" w:lineRule="exact"/>
        <w:rPr>
          <w:rFonts w:ascii="Arial" w:cs="Arial" w:eastAsia="Arial" w:hAnsi="Arial"/>
          <w:sz w:val="16"/>
          <w:szCs w:val="16"/>
          <w:color w:val="auto"/>
        </w:rPr>
      </w:pPr>
    </w:p>
    <w:p>
      <w:pPr>
        <w:jc w:val="both"/>
        <w:ind w:left="1006" w:right="180" w:hanging="330"/>
        <w:spacing w:after="0" w:line="342" w:lineRule="auto"/>
        <w:tabs>
          <w:tab w:leader="none" w:pos="1006" w:val="left"/>
        </w:tabs>
        <w:numPr>
          <w:ilvl w:val="3"/>
          <w:numId w:val="18"/>
        </w:numPr>
        <w:rPr>
          <w:rFonts w:ascii="Arial" w:cs="Arial" w:eastAsia="Arial" w:hAnsi="Arial"/>
          <w:sz w:val="16"/>
          <w:szCs w:val="16"/>
          <w:color w:val="auto"/>
        </w:rPr>
      </w:pPr>
      <w:r>
        <w:rPr>
          <w:rFonts w:ascii="Arial" w:cs="Arial" w:eastAsia="Arial" w:hAnsi="Arial"/>
          <w:sz w:val="16"/>
          <w:szCs w:val="16"/>
          <w:color w:val="auto"/>
        </w:rPr>
        <w:t>if the performance criteria for earning the annual bonus for the full fiscal year of termination have not been fully satisfied as of the Date of Termination then no bonus shall be deemed earned. Employee shall not be entitled to any pro-rata or partial bonus.</w:t>
      </w:r>
    </w:p>
    <w:p>
      <w:pPr>
        <w:spacing w:after="0" w:line="15" w:lineRule="exact"/>
        <w:rPr>
          <w:rFonts w:ascii="Arial" w:cs="Arial" w:eastAsia="Arial" w:hAnsi="Arial"/>
          <w:sz w:val="16"/>
          <w:szCs w:val="16"/>
          <w:color w:val="auto"/>
        </w:rPr>
      </w:pPr>
    </w:p>
    <w:p>
      <w:pPr>
        <w:ind w:left="326" w:right="180" w:hanging="326"/>
        <w:spacing w:after="0" w:line="264" w:lineRule="auto"/>
        <w:tabs>
          <w:tab w:leader="none" w:pos="326"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Date of Termination occurs prior to the expiry of the Term, the Company shall continue to pay Employee’s annual base salary in accordance with the Company’s regular payroll processes so that Employee will receive his salary for a total of twenty four (24) months from the initial date of this Agreement.</w:t>
      </w:r>
    </w:p>
    <w:p>
      <w:pPr>
        <w:spacing w:after="0" w:line="86" w:lineRule="exact"/>
        <w:rPr>
          <w:rFonts w:ascii="Arial" w:cs="Arial" w:eastAsia="Arial" w:hAnsi="Arial"/>
          <w:sz w:val="18"/>
          <w:szCs w:val="18"/>
          <w:color w:val="auto"/>
        </w:rPr>
      </w:pPr>
    </w:p>
    <w:p>
      <w:pPr>
        <w:ind w:left="326" w:hanging="326"/>
        <w:spacing w:after="0"/>
        <w:tabs>
          <w:tab w:leader="none" w:pos="326"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Date of Termination occurs prior to the expiry of the Term, so that Employee will have coverage for a total of twenty four</w:t>
      </w:r>
    </w:p>
    <w:p>
      <w:pPr>
        <w:spacing w:after="0" w:line="23" w:lineRule="exact"/>
        <w:rPr>
          <w:rFonts w:ascii="Arial" w:cs="Arial" w:eastAsia="Arial" w:hAnsi="Arial"/>
          <w:sz w:val="18"/>
          <w:szCs w:val="18"/>
          <w:color w:val="auto"/>
        </w:rPr>
      </w:pPr>
    </w:p>
    <w:p>
      <w:pPr>
        <w:ind w:left="326" w:right="160" w:hanging="1"/>
        <w:spacing w:after="0" w:line="261" w:lineRule="auto"/>
        <w:tabs>
          <w:tab w:leader="none" w:pos="670" w:val="left"/>
        </w:tabs>
        <w:numPr>
          <w:ilvl w:val="1"/>
          <w:numId w:val="19"/>
        </w:numPr>
        <w:rPr>
          <w:rFonts w:ascii="Arial" w:cs="Arial" w:eastAsia="Arial" w:hAnsi="Arial"/>
          <w:sz w:val="18"/>
          <w:szCs w:val="18"/>
          <w:color w:val="auto"/>
        </w:rPr>
      </w:pPr>
      <w:r>
        <w:rPr>
          <w:rFonts w:ascii="Arial" w:cs="Arial" w:eastAsia="Arial" w:hAnsi="Arial"/>
          <w:sz w:val="18"/>
          <w:szCs w:val="18"/>
          <w:color w:val="auto"/>
        </w:rPr>
        <w:t>months after the initial date of this Agreement or until the Employee qualifies for comparable medical and dental insurance benefits from another employer, whichever occurs first, the Company shall pay the Employee’s premiums for:</w:t>
      </w:r>
    </w:p>
    <w:p>
      <w:pPr>
        <w:spacing w:after="0" w:line="75" w:lineRule="exact"/>
        <w:rPr>
          <w:rFonts w:ascii="Arial" w:cs="Arial" w:eastAsia="Arial" w:hAnsi="Arial"/>
          <w:sz w:val="18"/>
          <w:szCs w:val="18"/>
          <w:color w:val="auto"/>
        </w:rPr>
      </w:pPr>
    </w:p>
    <w:p>
      <w:pPr>
        <w:ind w:left="666" w:hanging="328"/>
        <w:spacing w:after="0"/>
        <w:tabs>
          <w:tab w:leader="none" w:pos="666" w:val="left"/>
        </w:tabs>
        <w:numPr>
          <w:ilvl w:val="2"/>
          <w:numId w:val="19"/>
        </w:numPr>
        <w:rPr>
          <w:rFonts w:ascii="Arial" w:cs="Arial" w:eastAsia="Arial" w:hAnsi="Arial"/>
          <w:sz w:val="17"/>
          <w:szCs w:val="17"/>
          <w:color w:val="auto"/>
        </w:rPr>
      </w:pPr>
      <w:r>
        <w:rPr>
          <w:rFonts w:ascii="Arial" w:cs="Arial" w:eastAsia="Arial" w:hAnsi="Arial"/>
          <w:sz w:val="17"/>
          <w:szCs w:val="17"/>
          <w:color w:val="auto"/>
        </w:rPr>
        <w:t>health insurance benefit continuation for the Employee and his family members, if applicable, that the Company provides to the</w:t>
      </w:r>
    </w:p>
    <w:p>
      <w:pPr>
        <w:spacing w:after="0" w:line="210" w:lineRule="exact"/>
        <w:rPr>
          <w:sz w:val="20"/>
          <w:szCs w:val="20"/>
          <w:color w:val="auto"/>
        </w:rPr>
      </w:pPr>
    </w:p>
    <w:p>
      <w:pPr>
        <w:ind w:left="4626"/>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06"/>
          </w:cols>
          <w:pgMar w:left="1274" w:top="1044" w:right="319" w:bottom="1440" w:gutter="0" w:footer="0" w:header="0"/>
        </w:sectPr>
      </w:pPr>
    </w:p>
    <w:bookmarkStart w:id="48" w:name="page49"/>
    <w:bookmarkEnd w:id="48"/>
    <w:p>
      <w:pPr>
        <w:jc w:val="both"/>
        <w:ind w:left="1640" w:right="20"/>
        <w:spacing w:after="0" w:line="264" w:lineRule="auto"/>
        <w:rPr>
          <w:sz w:val="20"/>
          <w:szCs w:val="20"/>
          <w:color w:val="auto"/>
        </w:rPr>
      </w:pPr>
      <w:r>
        <w:rPr>
          <w:rFonts w:ascii="Arial" w:cs="Arial" w:eastAsia="Arial" w:hAnsi="Arial"/>
          <w:sz w:val="18"/>
          <w:szCs w:val="18"/>
          <w:color w:val="auto"/>
        </w:rPr>
        <w:t>Employee under the provisions of the federal Consolidated Omnibus Budget Reconciliation Act of 1985, as amended (“COBRA”), to the extent that the Company would have paid such premiums had the Employee remained employed by the Company (such continued payment is hereinafter referred to as “COBRA Continuation”); and</w:t>
      </w:r>
    </w:p>
    <w:p>
      <w:pPr>
        <w:spacing w:after="0" w:line="87" w:lineRule="exact"/>
        <w:rPr>
          <w:sz w:val="20"/>
          <w:szCs w:val="20"/>
          <w:color w:val="auto"/>
        </w:rPr>
      </w:pPr>
    </w:p>
    <w:p>
      <w:pPr>
        <w:ind w:left="1640" w:hanging="328"/>
        <w:spacing w:after="0" w:line="264" w:lineRule="auto"/>
        <w:tabs>
          <w:tab w:leader="none" w:pos="1640" w:val="left"/>
        </w:tabs>
        <w:numPr>
          <w:ilvl w:val="2"/>
          <w:numId w:val="20"/>
        </w:numPr>
        <w:rPr>
          <w:rFonts w:ascii="Arial" w:cs="Arial" w:eastAsia="Arial" w:hAnsi="Arial"/>
          <w:sz w:val="18"/>
          <w:szCs w:val="18"/>
          <w:color w:val="auto"/>
        </w:rPr>
      </w:pPr>
      <w:r>
        <w:rPr>
          <w:rFonts w:ascii="Arial" w:cs="Arial" w:eastAsia="Arial" w:hAnsi="Arial"/>
          <w:sz w:val="18"/>
          <w:szCs w:val="18"/>
          <w:color w:val="auto"/>
        </w:rPr>
        <w:t>additional health coverage (such as Exec-U-Care), life, accidental death and disability and other insurance programs for the Employee and his family members, if applicable, to the extent Employee was eligible for such programs and such programs existed on the Date of Termination.</w:t>
      </w:r>
    </w:p>
    <w:p>
      <w:pPr>
        <w:spacing w:after="0" w:line="73" w:lineRule="exact"/>
        <w:rPr>
          <w:rFonts w:ascii="Arial" w:cs="Arial" w:eastAsia="Arial" w:hAnsi="Arial"/>
          <w:sz w:val="18"/>
          <w:szCs w:val="18"/>
          <w:color w:val="auto"/>
        </w:rPr>
      </w:pPr>
    </w:p>
    <w:p>
      <w:pPr>
        <w:ind w:left="1300" w:right="120" w:hanging="326"/>
        <w:spacing w:after="0" w:line="259"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specified period of time under any equity grant, agreement or plan in which any outstanding, vested stock option issued to the Employee is deemed to terminate after the termination of employment shall be extended until eighteen (18) months after the Date of Termination, except that nothing herein shall extend any such vested option beyond its original term or shall affect its termination for any reason other than termination of employment.</w:t>
      </w:r>
    </w:p>
    <w:p>
      <w:pPr>
        <w:spacing w:after="0" w:line="92" w:lineRule="exact"/>
        <w:rPr>
          <w:rFonts w:ascii="Arial" w:cs="Arial" w:eastAsia="Arial" w:hAnsi="Arial"/>
          <w:sz w:val="18"/>
          <w:szCs w:val="18"/>
          <w:color w:val="auto"/>
        </w:rPr>
      </w:pPr>
    </w:p>
    <w:p>
      <w:pPr>
        <w:ind w:left="1300" w:right="100" w:hanging="326"/>
        <w:spacing w:after="0" w:line="25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Employee’s entitlement to any and all compensation and benefits under the foregoing Sections 5.b, c, d and e, is expressly conditioned on Employee’s execution and delivery to the Company (and the expiration of any revocation period) of a general release and settlement agreement substantially in the form of Exhibit B hereto (“Release Part II”) within the time period set forth therein (but in no event later than twenty-one (21) days after the Date of Termination), which shall be material to the Company’s obligation to provide any such compensation and benefits.</w:t>
      </w:r>
    </w:p>
    <w:p>
      <w:pPr>
        <w:spacing w:after="0" w:line="76" w:lineRule="exact"/>
        <w:rPr>
          <w:rFonts w:ascii="Arial" w:cs="Arial" w:eastAsia="Arial" w:hAnsi="Arial"/>
          <w:sz w:val="18"/>
          <w:szCs w:val="18"/>
          <w:color w:val="auto"/>
        </w:rPr>
      </w:pPr>
    </w:p>
    <w:p>
      <w:pPr>
        <w:ind w:left="-60" w:right="80" w:firstLine="458"/>
        <w:spacing w:after="0" w:line="266" w:lineRule="auto"/>
        <w:tabs>
          <w:tab w:leader="none" w:pos="57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Salary: </w:t>
      </w:r>
      <w:r>
        <w:rPr>
          <w:rFonts w:ascii="Arial" w:cs="Arial" w:eastAsia="Arial" w:hAnsi="Arial"/>
          <w:sz w:val="18"/>
          <w:szCs w:val="18"/>
          <w:color w:val="auto"/>
        </w:rPr>
        <w:t>During the Term, unless terminated in accordance with the terms of this Agreement, the Company will pay Employee his current annual</w:t>
      </w:r>
      <w:r>
        <w:rPr>
          <w:rFonts w:ascii="Arial" w:cs="Arial" w:eastAsia="Arial" w:hAnsi="Arial"/>
          <w:sz w:val="18"/>
          <w:szCs w:val="18"/>
          <w:b w:val="1"/>
          <w:bCs w:val="1"/>
          <w:color w:val="auto"/>
        </w:rPr>
        <w:t xml:space="preserve"> </w:t>
      </w:r>
      <w:r>
        <w:rPr>
          <w:rFonts w:ascii="Arial" w:cs="Arial" w:eastAsia="Arial" w:hAnsi="Arial"/>
          <w:sz w:val="18"/>
          <w:szCs w:val="18"/>
          <w:color w:val="auto"/>
        </w:rPr>
        <w:t>salary of $412,000.16, paid in accordance with the Company’s standard payroll procedures. Employee will not be eligible for any salary increase or decrease during the Term.</w:t>
      </w:r>
    </w:p>
    <w:p>
      <w:pPr>
        <w:spacing w:after="0" w:line="68" w:lineRule="exact"/>
        <w:rPr>
          <w:rFonts w:ascii="Arial" w:cs="Arial" w:eastAsia="Arial" w:hAnsi="Arial"/>
          <w:sz w:val="18"/>
          <w:szCs w:val="18"/>
          <w:color w:val="auto"/>
        </w:rPr>
      </w:pPr>
    </w:p>
    <w:p>
      <w:pPr>
        <w:ind w:left="580" w:hanging="182"/>
        <w:spacing w:after="0"/>
        <w:tabs>
          <w:tab w:leader="none" w:pos="580"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 xml:space="preserve">Bonus: </w:t>
      </w:r>
      <w:r>
        <w:rPr>
          <w:rFonts w:ascii="Arial" w:cs="Arial" w:eastAsia="Arial" w:hAnsi="Arial"/>
          <w:sz w:val="17"/>
          <w:szCs w:val="17"/>
          <w:color w:val="auto"/>
        </w:rPr>
        <w:t>Employee will be eligible for a bonus for calendar years 2011 and 2012 based upon individually designated goals and objectives, in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936" w:right="279" w:bottom="1440" w:gutter="0" w:footer="0" w:header="0"/>
        </w:sectPr>
      </w:pPr>
    </w:p>
    <w:bookmarkStart w:id="49" w:name="page50"/>
    <w:bookmarkEnd w:id="49"/>
    <w:p>
      <w:pPr>
        <w:ind w:right="220"/>
        <w:spacing w:after="0" w:line="277" w:lineRule="auto"/>
        <w:rPr>
          <w:sz w:val="20"/>
          <w:szCs w:val="20"/>
          <w:color w:val="auto"/>
        </w:rPr>
      </w:pPr>
      <w:r>
        <w:rPr>
          <w:rFonts w:ascii="Arial" w:cs="Arial" w:eastAsia="Arial" w:hAnsi="Arial"/>
          <w:sz w:val="18"/>
          <w:szCs w:val="18"/>
          <w:color w:val="auto"/>
        </w:rPr>
        <w:t>accordance with the Company’s Discretionary Bonus Plan for executives. Employee will not be eligible for any bonus for the partial year worked, if any, in 2013. Employees bonus target shall be 35% based upon meeting these goals and objectives at a 100% level.</w:t>
      </w:r>
    </w:p>
    <w:p>
      <w:pPr>
        <w:spacing w:after="0" w:line="58" w:lineRule="exact"/>
        <w:rPr>
          <w:sz w:val="20"/>
          <w:szCs w:val="20"/>
          <w:color w:val="auto"/>
        </w:rPr>
      </w:pPr>
    </w:p>
    <w:p>
      <w:pPr>
        <w:ind w:right="20" w:firstLine="458"/>
        <w:spacing w:after="0" w:line="266" w:lineRule="auto"/>
        <w:tabs>
          <w:tab w:leader="none" w:pos="63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Expenses: </w:t>
      </w:r>
      <w:r>
        <w:rPr>
          <w:rFonts w:ascii="Arial" w:cs="Arial" w:eastAsia="Arial" w:hAnsi="Arial"/>
          <w:sz w:val="18"/>
          <w:szCs w:val="18"/>
          <w:color w:val="auto"/>
        </w:rPr>
        <w:t>The Company will reimburse Employee for all business expenses associated with the performance of his duties under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coach airfare associated with business travel. During the Term, unless terminated in accordance with the terms of this Agreement, the Company will maintain Employee’s car allowance at its current level.</w:t>
      </w:r>
    </w:p>
    <w:p>
      <w:pPr>
        <w:spacing w:after="0" w:line="68" w:lineRule="exact"/>
        <w:rPr>
          <w:rFonts w:ascii="Arial" w:cs="Arial" w:eastAsia="Arial" w:hAnsi="Arial"/>
          <w:sz w:val="18"/>
          <w:szCs w:val="18"/>
          <w:color w:val="auto"/>
        </w:rPr>
      </w:pPr>
    </w:p>
    <w:p>
      <w:pPr>
        <w:ind w:firstLine="458"/>
        <w:spacing w:after="0" w:line="282" w:lineRule="auto"/>
        <w:tabs>
          <w:tab w:leader="none" w:pos="63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Severance: </w:t>
      </w:r>
      <w:r>
        <w:rPr>
          <w:rFonts w:ascii="Arial" w:cs="Arial" w:eastAsia="Arial" w:hAnsi="Arial"/>
          <w:sz w:val="18"/>
          <w:szCs w:val="18"/>
          <w:color w:val="auto"/>
        </w:rPr>
        <w:t>Other than as set forth herein, Employee will not be eligible for any severance or other payments. Employee expressly acknowledges that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in lieu of the Executive Severance Agreement previously signed by Employee and the Company.</w:t>
      </w:r>
    </w:p>
    <w:p>
      <w:pPr>
        <w:spacing w:after="0" w:line="53" w:lineRule="exact"/>
        <w:rPr>
          <w:rFonts w:ascii="Arial" w:cs="Arial" w:eastAsia="Arial" w:hAnsi="Arial"/>
          <w:sz w:val="18"/>
          <w:szCs w:val="18"/>
          <w:color w:val="auto"/>
        </w:rPr>
      </w:pPr>
    </w:p>
    <w:p>
      <w:pPr>
        <w:ind w:right="80" w:firstLine="458"/>
        <w:spacing w:after="0" w:line="261"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Medical Benefits: </w:t>
      </w:r>
      <w:r>
        <w:rPr>
          <w:rFonts w:ascii="Arial" w:cs="Arial" w:eastAsia="Arial" w:hAnsi="Arial"/>
          <w:sz w:val="18"/>
          <w:szCs w:val="18"/>
          <w:color w:val="auto"/>
        </w:rPr>
        <w:t>Employee will receive Company sponsored medical benefits during the term of this Agreement. As set forth in Paragraph 5.c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if the Company terminates Employee’s employment prior to expiry of the Term, the Company will reimburse Employee for the cost of COBRA benefits for a period not to exceed twenty four (24) months from the initial date of this Agreement. Thereafter, the Company will have no obligation to provide medical benefits or reimburse Employee for the costs of COBRA.</w:t>
      </w:r>
    </w:p>
    <w:p>
      <w:pPr>
        <w:spacing w:after="0" w:line="71" w:lineRule="exact"/>
        <w:rPr>
          <w:rFonts w:ascii="Arial" w:cs="Arial" w:eastAsia="Arial" w:hAnsi="Arial"/>
          <w:sz w:val="18"/>
          <w:szCs w:val="18"/>
          <w:color w:val="auto"/>
        </w:rPr>
      </w:pPr>
    </w:p>
    <w:p>
      <w:pPr>
        <w:ind w:right="40" w:firstLine="458"/>
        <w:spacing w:after="0" w:line="282" w:lineRule="auto"/>
        <w:tabs>
          <w:tab w:leader="none" w:pos="713"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The Company may terminate Employee’s employment for cause at any point during the Term. If the Company terminates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for cause, all obligations to pay salary, bonus or medical benefits shall cease.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Agreement, termination of the Employee’s employment shall be for “Cause” if it is for any of the following:</w:t>
      </w:r>
    </w:p>
    <w:p>
      <w:pPr>
        <w:spacing w:after="0" w:line="117" w:lineRule="exact"/>
        <w:rPr>
          <w:sz w:val="20"/>
          <w:szCs w:val="20"/>
          <w:color w:val="auto"/>
        </w:rPr>
      </w:pPr>
    </w:p>
    <w:p>
      <w:pPr>
        <w:ind w:left="1360" w:right="280" w:hanging="326"/>
        <w:spacing w:after="0" w:line="277" w:lineRule="auto"/>
        <w:tabs>
          <w:tab w:leader="none" w:pos="1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refusal to carry out any material lawful duties of the Employee or any directions or instructions of the Board or Executive Leadership Team of the Company reasonably consistent with those duties;</w:t>
      </w:r>
    </w:p>
    <w:p>
      <w:pPr>
        <w:spacing w:after="0" w:line="75" w:lineRule="exact"/>
        <w:rPr>
          <w:rFonts w:ascii="Arial" w:cs="Arial" w:eastAsia="Arial" w:hAnsi="Arial"/>
          <w:sz w:val="18"/>
          <w:szCs w:val="18"/>
          <w:color w:val="auto"/>
        </w:rPr>
      </w:pPr>
    </w:p>
    <w:p>
      <w:pPr>
        <w:ind w:left="1360" w:hanging="326"/>
        <w:spacing w:after="0"/>
        <w:tabs>
          <w:tab w:leader="none" w:pos="1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Employee’s gross negligence, willful misconduct or breach of his fiduciary duty to the Company;</w:t>
      </w:r>
    </w:p>
    <w:p>
      <w:pPr>
        <w:spacing w:after="0" w:line="130" w:lineRule="exact"/>
        <w:rPr>
          <w:rFonts w:ascii="Arial" w:cs="Arial" w:eastAsia="Arial" w:hAnsi="Arial"/>
          <w:sz w:val="18"/>
          <w:szCs w:val="18"/>
          <w:color w:val="auto"/>
        </w:rPr>
      </w:pPr>
    </w:p>
    <w:p>
      <w:pPr>
        <w:jc w:val="both"/>
        <w:ind w:left="1360" w:right="320" w:hanging="326"/>
        <w:spacing w:after="0" w:line="264" w:lineRule="auto"/>
        <w:tabs>
          <w:tab w:leader="none" w:pos="1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perform satisfactorily any lawful duties of the Employee or any directions or instructions of the Board or senior management reasonably consistent with those duties; provided, however, that the Employee has been given notice and has failed to correct any such failure within ten (10) days thereafter (unless any such correction by its nature cannot be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0" w:name="page51"/>
    <w:bookmarkEnd w:id="50"/>
    <w:p>
      <w:pPr>
        <w:ind w:left="1340" w:right="40"/>
        <w:spacing w:after="0" w:line="291" w:lineRule="auto"/>
        <w:rPr>
          <w:sz w:val="20"/>
          <w:szCs w:val="20"/>
          <w:color w:val="auto"/>
        </w:rPr>
      </w:pPr>
      <w:r>
        <w:rPr>
          <w:rFonts w:ascii="Arial" w:cs="Arial" w:eastAsia="Arial" w:hAnsi="Arial"/>
          <w:sz w:val="16"/>
          <w:szCs w:val="16"/>
          <w:color w:val="auto"/>
        </w:rPr>
        <w:t>done in ten (10) days, in which event the Employee will have a reasonable time to correct failures), and provided further that the Company shall have no obligation to give notice and the Employee will have no such opportunity to correct more than two times in any twelve</w:t>
      </w:r>
    </w:p>
    <w:p>
      <w:pPr>
        <w:ind w:left="1340"/>
        <w:spacing w:after="0"/>
        <w:rPr>
          <w:sz w:val="20"/>
          <w:szCs w:val="20"/>
          <w:color w:val="auto"/>
        </w:rPr>
      </w:pPr>
      <w:r>
        <w:rPr>
          <w:rFonts w:ascii="Arial" w:cs="Arial" w:eastAsia="Arial" w:hAnsi="Arial"/>
          <w:sz w:val="18"/>
          <w:szCs w:val="18"/>
          <w:color w:val="auto"/>
        </w:rPr>
        <w:t>(12) calendar month period;</w:t>
      </w:r>
    </w:p>
    <w:p>
      <w:pPr>
        <w:spacing w:after="0" w:line="116" w:lineRule="exact"/>
        <w:rPr>
          <w:sz w:val="20"/>
          <w:szCs w:val="20"/>
          <w:color w:val="auto"/>
        </w:rPr>
      </w:pPr>
    </w:p>
    <w:p>
      <w:pPr>
        <w:ind w:left="1340" w:right="160" w:hanging="326"/>
        <w:spacing w:after="0" w:line="277" w:lineRule="auto"/>
        <w:tabs>
          <w:tab w:leader="none" w:pos="13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Violation by the Employee of a local, state or federal law involving the commission of a crime, other than minor traffic violations, or any other criminal act involving moral turpitude;</w:t>
      </w:r>
    </w:p>
    <w:p>
      <w:pPr>
        <w:spacing w:after="0" w:line="75" w:lineRule="exact"/>
        <w:rPr>
          <w:rFonts w:ascii="Arial" w:cs="Arial" w:eastAsia="Arial" w:hAnsi="Arial"/>
          <w:sz w:val="18"/>
          <w:szCs w:val="18"/>
          <w:color w:val="auto"/>
        </w:rPr>
      </w:pPr>
    </w:p>
    <w:p>
      <w:pPr>
        <w:ind w:left="1340" w:right="60" w:hanging="326"/>
        <w:spacing w:after="0" w:line="264" w:lineRule="auto"/>
        <w:tabs>
          <w:tab w:leader="none" w:pos="13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Current abuse by the Employee of alcohol or controlled substances; deception, fraud, misrepresentation or dishonesty by the Employee; or any incident materially compromising the Employee’s reputation or ability to represent the Company with investors, customers or the public;</w:t>
      </w:r>
    </w:p>
    <w:p>
      <w:pPr>
        <w:spacing w:after="0" w:line="86" w:lineRule="exact"/>
        <w:rPr>
          <w:rFonts w:ascii="Arial" w:cs="Arial" w:eastAsia="Arial" w:hAnsi="Arial"/>
          <w:sz w:val="18"/>
          <w:szCs w:val="18"/>
          <w:color w:val="auto"/>
        </w:rPr>
      </w:pPr>
    </w:p>
    <w:p>
      <w:pPr>
        <w:ind w:left="1340" w:right="420" w:hanging="326"/>
        <w:spacing w:after="0" w:line="277" w:lineRule="auto"/>
        <w:tabs>
          <w:tab w:leader="none" w:pos="13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other material violation of any provision of this Agreement by the Employee not described above, subject to the same notice and opportunity to correct provisions as are set forth in (c) above.</w:t>
      </w:r>
    </w:p>
    <w:p>
      <w:pPr>
        <w:spacing w:after="0" w:line="58" w:lineRule="exact"/>
        <w:rPr>
          <w:rFonts w:ascii="Arial" w:cs="Arial" w:eastAsia="Arial" w:hAnsi="Arial"/>
          <w:sz w:val="18"/>
          <w:szCs w:val="18"/>
          <w:color w:val="auto"/>
        </w:rPr>
      </w:pPr>
    </w:p>
    <w:p>
      <w:pPr>
        <w:ind w:left="-20" w:right="40" w:firstLine="458"/>
        <w:spacing w:after="0" w:line="277" w:lineRule="auto"/>
        <w:tabs>
          <w:tab w:leader="none" w:pos="700"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 xml:space="preserve">Termination By Employee: </w:t>
      </w:r>
      <w:r>
        <w:rPr>
          <w:rFonts w:ascii="Arial" w:cs="Arial" w:eastAsia="Arial" w:hAnsi="Arial"/>
          <w:sz w:val="17"/>
          <w:szCs w:val="17"/>
          <w:color w:val="auto"/>
        </w:rPr>
        <w:t>It is anticipated that during the Term, Employee will be actively seeking alternative employment. If Employee accepts</w:t>
      </w:r>
      <w:r>
        <w:rPr>
          <w:rFonts w:ascii="Arial" w:cs="Arial" w:eastAsia="Arial" w:hAnsi="Arial"/>
          <w:sz w:val="17"/>
          <w:szCs w:val="17"/>
          <w:b w:val="1"/>
          <w:bCs w:val="1"/>
          <w:color w:val="auto"/>
        </w:rPr>
        <w:t xml:space="preserve"> </w:t>
      </w:r>
      <w:r>
        <w:rPr>
          <w:rFonts w:ascii="Arial" w:cs="Arial" w:eastAsia="Arial" w:hAnsi="Arial"/>
          <w:sz w:val="17"/>
          <w:szCs w:val="17"/>
          <w:color w:val="auto"/>
        </w:rPr>
        <w:t>a substantially comparable position, the Company’s obligations hereunder shall cease, except that for the remaining portion of the Term, the Company shall pay to employee the difference between his current salary with the Company, and his guaranteed compensation with his new employer. Employee authorizes the Company to obtain a copy of any employment agreement and to speak with any new employer to confirm the terms of such employment. Nothing herein should be read to relieve Employee of his obligations to maintain MannKind’s Confidential Information.</w:t>
      </w:r>
    </w:p>
    <w:p>
      <w:pPr>
        <w:spacing w:after="0" w:line="60" w:lineRule="exact"/>
        <w:rPr>
          <w:rFonts w:ascii="Arial" w:cs="Arial" w:eastAsia="Arial" w:hAnsi="Arial"/>
          <w:sz w:val="17"/>
          <w:szCs w:val="17"/>
          <w:color w:val="auto"/>
        </w:rPr>
      </w:pPr>
    </w:p>
    <w:p>
      <w:pPr>
        <w:ind w:left="-20" w:firstLine="458"/>
        <w:spacing w:after="0" w:line="258"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Death or Disability: </w:t>
      </w:r>
      <w:r>
        <w:rPr>
          <w:rFonts w:ascii="Arial" w:cs="Arial" w:eastAsia="Arial" w:hAnsi="Arial"/>
          <w:sz w:val="18"/>
          <w:szCs w:val="18"/>
          <w:color w:val="auto"/>
        </w:rPr>
        <w:t>This Agreement and the Employee’s employment shall terminate automatically upon the death or Disability of the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“Disability” as used herein shall mean the Employee’s inability to perform the Employee’s essential duties for a period or periods aggregating twelve (12) weeks in any three hundred sixty-five (365) day period as a result of physical or mental illness, injury or impairment, loss of legal capacity or any other cause, subject to the Company’s rights and obligations under applicable law. Employee will remain eligible for compensation under the Company’s long term disability plan while employed pursuant to this Agreement.</w:t>
      </w:r>
    </w:p>
    <w:p>
      <w:pPr>
        <w:spacing w:after="0" w:line="75" w:lineRule="exact"/>
        <w:rPr>
          <w:rFonts w:ascii="Arial" w:cs="Arial" w:eastAsia="Arial" w:hAnsi="Arial"/>
          <w:sz w:val="18"/>
          <w:szCs w:val="18"/>
          <w:color w:val="auto"/>
        </w:rPr>
      </w:pPr>
    </w:p>
    <w:p>
      <w:pPr>
        <w:ind w:left="700" w:hanging="262"/>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Employment By A Successor Entity: </w:t>
      </w:r>
      <w:r>
        <w:rPr>
          <w:rFonts w:ascii="Arial" w:cs="Arial" w:eastAsia="Arial" w:hAnsi="Arial"/>
          <w:sz w:val="18"/>
          <w:szCs w:val="18"/>
          <w:color w:val="auto"/>
        </w:rPr>
        <w:t>Employee recognizes that the Company is actively seeking to capitalize on the work of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6" w:right="259" w:bottom="1440" w:gutter="0" w:footer="0" w:header="0"/>
        </w:sectPr>
      </w:pPr>
    </w:p>
    <w:bookmarkStart w:id="51" w:name="page52"/>
    <w:bookmarkEnd w:id="51"/>
    <w:p>
      <w:pPr>
        <w:ind w:right="160"/>
        <w:spacing w:after="0" w:line="257" w:lineRule="auto"/>
        <w:rPr>
          <w:sz w:val="20"/>
          <w:szCs w:val="20"/>
          <w:color w:val="auto"/>
        </w:rPr>
      </w:pPr>
      <w:r>
        <w:rPr>
          <w:rFonts w:ascii="Arial" w:cs="Arial" w:eastAsia="Arial" w:hAnsi="Arial"/>
          <w:sz w:val="18"/>
          <w:szCs w:val="18"/>
          <w:color w:val="auto"/>
        </w:rPr>
        <w:t>Oncology Research Group, through a potential development, sale, capitalization, partnership or other business venture. If Employee is terminated as a result of such transaction, the Company will provide salary continuation and medical benefits continuation for a period totaling twenty four (24) months from the initial date of this Agreement. If Employee obtains employment as a result of such transaction, the Company’s obligations hereunder shall cease, except that for the remaining portion of the Term, the Company shall pay to employee the difference between his current salary with the Company, and his guaranteed compensation with such successor employer.</w:t>
      </w:r>
    </w:p>
    <w:p>
      <w:pPr>
        <w:spacing w:after="0" w:line="76" w:lineRule="exact"/>
        <w:rPr>
          <w:sz w:val="20"/>
          <w:szCs w:val="20"/>
          <w:color w:val="auto"/>
        </w:rPr>
      </w:pPr>
    </w:p>
    <w:p>
      <w:pPr>
        <w:ind w:right="20" w:firstLine="458"/>
        <w:spacing w:after="0" w:line="266"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Stock Options and Restricted Stock Units: </w:t>
      </w:r>
      <w:r>
        <w:rPr>
          <w:rFonts w:ascii="Arial" w:cs="Arial" w:eastAsia="Arial" w:hAnsi="Arial"/>
          <w:sz w:val="18"/>
          <w:szCs w:val="18"/>
          <w:color w:val="auto"/>
        </w:rPr>
        <w:t>Employee’s existing stock options and restricted stock units will continue to vest and will be governed</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terms of the MannKind Corporation 2004 Equity Incentive Plan. Employee shall be eligible to receive additional stock options or restricted stock units in the discretion of the Company.</w:t>
      </w:r>
    </w:p>
    <w:p>
      <w:pPr>
        <w:spacing w:after="0" w:line="68" w:lineRule="exact"/>
        <w:rPr>
          <w:rFonts w:ascii="Arial" w:cs="Arial" w:eastAsia="Arial" w:hAnsi="Arial"/>
          <w:sz w:val="18"/>
          <w:szCs w:val="18"/>
          <w:color w:val="auto"/>
        </w:rPr>
      </w:pPr>
    </w:p>
    <w:p>
      <w:pPr>
        <w:ind w:right="120" w:firstLine="458"/>
        <w:spacing w:after="0" w:line="282"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General Release: </w:t>
      </w:r>
      <w:r>
        <w:rPr>
          <w:rFonts w:ascii="Arial" w:cs="Arial" w:eastAsia="Arial" w:hAnsi="Arial"/>
          <w:sz w:val="18"/>
          <w:szCs w:val="18"/>
          <w:color w:val="auto"/>
        </w:rPr>
        <w:t>In connection with the consideration received pursuant to Employee’s execution of this Agreement, Employee agrees to execute</w:t>
      </w:r>
      <w:r>
        <w:rPr>
          <w:rFonts w:ascii="Arial" w:cs="Arial" w:eastAsia="Arial" w:hAnsi="Arial"/>
          <w:sz w:val="18"/>
          <w:szCs w:val="18"/>
          <w:b w:val="1"/>
          <w:bCs w:val="1"/>
          <w:color w:val="auto"/>
        </w:rPr>
        <w:t xml:space="preserve"> </w:t>
      </w:r>
      <w:r>
        <w:rPr>
          <w:rFonts w:ascii="Arial" w:cs="Arial" w:eastAsia="Arial" w:hAnsi="Arial"/>
          <w:sz w:val="18"/>
          <w:szCs w:val="18"/>
          <w:color w:val="auto"/>
        </w:rPr>
        <w:t>a General Release, attached hereto as Exhibit A.</w:t>
      </w:r>
    </w:p>
    <w:p>
      <w:pPr>
        <w:spacing w:after="0" w:line="53" w:lineRule="exact"/>
        <w:rPr>
          <w:rFonts w:ascii="Arial" w:cs="Arial" w:eastAsia="Arial" w:hAnsi="Arial"/>
          <w:sz w:val="18"/>
          <w:szCs w:val="18"/>
          <w:color w:val="auto"/>
        </w:rPr>
      </w:pPr>
    </w:p>
    <w:p>
      <w:pPr>
        <w:ind w:firstLine="458"/>
        <w:spacing w:after="0" w:line="282"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Other Agreements Intact: </w:t>
      </w:r>
      <w:r>
        <w:rPr>
          <w:rFonts w:ascii="Arial" w:cs="Arial" w:eastAsia="Arial" w:hAnsi="Arial"/>
          <w:sz w:val="18"/>
          <w:szCs w:val="18"/>
          <w:color w:val="auto"/>
        </w:rPr>
        <w:t>Employee’s Arbitration Agreement, and Confidentiality Agreement remain in full force and effect and are not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impacted by this Agreement.</w:t>
      </w:r>
    </w:p>
    <w:p>
      <w:pPr>
        <w:spacing w:after="0" w:line="53" w:lineRule="exact"/>
        <w:rPr>
          <w:rFonts w:ascii="Arial" w:cs="Arial" w:eastAsia="Arial" w:hAnsi="Arial"/>
          <w:sz w:val="18"/>
          <w:szCs w:val="18"/>
          <w:color w:val="auto"/>
        </w:rPr>
      </w:pPr>
    </w:p>
    <w:p>
      <w:pPr>
        <w:ind w:right="200" w:firstLine="458"/>
        <w:spacing w:after="0" w:line="282"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No Comment/Non-Disparagement: </w:t>
      </w:r>
      <w:r>
        <w:rPr>
          <w:rFonts w:ascii="Arial" w:cs="Arial" w:eastAsia="Arial" w:hAnsi="Arial"/>
          <w:sz w:val="18"/>
          <w:szCs w:val="18"/>
          <w:color w:val="auto"/>
        </w:rPr>
        <w:t>Employee acknowledges that the Company publicly announced Employee’s change in responsibilities on or</w:t>
      </w:r>
      <w:r>
        <w:rPr>
          <w:rFonts w:ascii="Arial" w:cs="Arial" w:eastAsia="Arial" w:hAnsi="Arial"/>
          <w:sz w:val="18"/>
          <w:szCs w:val="18"/>
          <w:b w:val="1"/>
          <w:bCs w:val="1"/>
          <w:color w:val="auto"/>
        </w:rPr>
        <w:t xml:space="preserve"> </w:t>
      </w:r>
      <w:r>
        <w:rPr>
          <w:rFonts w:ascii="Arial" w:cs="Arial" w:eastAsia="Arial" w:hAnsi="Arial"/>
          <w:sz w:val="18"/>
          <w:szCs w:val="18"/>
          <w:color w:val="auto"/>
        </w:rPr>
        <w:t>about May 9, 2011.</w:t>
      </w:r>
    </w:p>
    <w:p>
      <w:pPr>
        <w:spacing w:after="0" w:line="53" w:lineRule="exact"/>
        <w:rPr>
          <w:rFonts w:ascii="Arial" w:cs="Arial" w:eastAsia="Arial" w:hAnsi="Arial"/>
          <w:sz w:val="18"/>
          <w:szCs w:val="18"/>
          <w:color w:val="auto"/>
        </w:rPr>
      </w:pPr>
    </w:p>
    <w:p>
      <w:pPr>
        <w:ind w:left="720" w:hanging="262"/>
        <w:spacing w:after="0"/>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 xml:space="preserve">Withholding Taxes: </w:t>
      </w:r>
      <w:r>
        <w:rPr>
          <w:rFonts w:ascii="Arial" w:cs="Arial" w:eastAsia="Arial" w:hAnsi="Arial"/>
          <w:sz w:val="16"/>
          <w:szCs w:val="16"/>
          <w:color w:val="auto"/>
        </w:rPr>
        <w:t>Any payments provided for in this Agreement shall be paid net of any applicable withholding required under federal, state or</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local law.</w:t>
      </w:r>
    </w:p>
    <w:p>
      <w:pPr>
        <w:spacing w:after="0" w:line="98" w:lineRule="exact"/>
        <w:rPr>
          <w:rFonts w:ascii="Arial" w:cs="Arial" w:eastAsia="Arial" w:hAnsi="Arial"/>
          <w:sz w:val="16"/>
          <w:szCs w:val="16"/>
          <w:color w:val="auto"/>
        </w:rPr>
      </w:pPr>
    </w:p>
    <w:p>
      <w:pPr>
        <w:ind w:firstLine="458"/>
        <w:spacing w:after="0" w:line="258"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WARN Act: </w:t>
      </w:r>
      <w:r>
        <w:rPr>
          <w:rFonts w:ascii="Arial" w:cs="Arial" w:eastAsia="Arial" w:hAnsi="Arial"/>
          <w:sz w:val="18"/>
          <w:szCs w:val="18"/>
          <w:color w:val="auto"/>
        </w:rPr>
        <w:t>Notwithstanding the provisions of this Agreement, in the event Employee is entitled, by operation of any act or law, to benefits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Work Adjustment and Retraining Act of 1988 (known as the “WARN Act”) or any state law of similar nature to the WARN Act in connection with the termination of his employment in addition to those required to be paid to him under this Agreement, then to the extent permitted by applicable law governing severance payments or notice of termination of employment, the Company shall be entitled to offset against the amount payable hereunder the amounts of any such mandated payments.</w:t>
      </w:r>
    </w:p>
    <w:p>
      <w:pPr>
        <w:spacing w:after="0" w:line="75" w:lineRule="exact"/>
        <w:rPr>
          <w:rFonts w:ascii="Arial" w:cs="Arial" w:eastAsia="Arial" w:hAnsi="Arial"/>
          <w:sz w:val="18"/>
          <w:szCs w:val="18"/>
          <w:color w:val="auto"/>
        </w:rPr>
      </w:pPr>
    </w:p>
    <w:p>
      <w:pPr>
        <w:ind w:left="720" w:hanging="262"/>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Nondisclosure; Return Of Materials; Nonsolicitation:</w:t>
      </w:r>
    </w:p>
    <w:p>
      <w:pPr>
        <w:spacing w:after="0" w:line="121" w:lineRule="exact"/>
        <w:rPr>
          <w:rFonts w:ascii="Arial" w:cs="Arial" w:eastAsia="Arial" w:hAnsi="Arial"/>
          <w:sz w:val="18"/>
          <w:szCs w:val="18"/>
          <w:color w:val="auto"/>
        </w:rPr>
      </w:pPr>
    </w:p>
    <w:p>
      <w:pPr>
        <w:ind w:left="1360" w:right="880" w:hanging="326"/>
        <w:spacing w:after="0" w:line="277" w:lineRule="auto"/>
        <w:tabs>
          <w:tab w:leader="none" w:pos="1360"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Nondisclosure.</w:t>
      </w:r>
      <w:r>
        <w:rPr>
          <w:rFonts w:ascii="Arial" w:cs="Arial" w:eastAsia="Arial" w:hAnsi="Arial"/>
          <w:sz w:val="18"/>
          <w:szCs w:val="18"/>
          <w:color w:val="auto"/>
        </w:rPr>
        <w:t xml:space="preserve"> Except as required by his employment with the Company, the Employee will not, at any time during the term of employment with the Company, or at any time thereafter, directly,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2" w:name="page53"/>
    <w:bookmarkEnd w:id="52"/>
    <w:p>
      <w:pPr>
        <w:ind w:left="1360"/>
        <w:spacing w:after="0" w:line="257" w:lineRule="auto"/>
        <w:rPr>
          <w:sz w:val="20"/>
          <w:szCs w:val="20"/>
          <w:color w:val="auto"/>
        </w:rPr>
      </w:pPr>
      <w:r>
        <w:rPr>
          <w:rFonts w:ascii="Arial" w:cs="Arial" w:eastAsia="Arial" w:hAnsi="Arial"/>
          <w:sz w:val="18"/>
          <w:szCs w:val="18"/>
          <w:color w:val="auto"/>
        </w:rPr>
        <w:t>indirectly or otherwise, use, communicate, disclose, disseminate, lecture upon or publish articles relating to any confidential, proprietary or trade secret information of the Company or any third party provided to the Company in confidence, without the prior written consent of the Company. The Employee understands that the Company will be relying on this covenant in continuing the Employee’s employment, paying him compensation, granting him any promotions or raises, or entrusting him with any information that helps the Company compete with others.</w:t>
      </w:r>
    </w:p>
    <w:p>
      <w:pPr>
        <w:spacing w:after="0" w:line="94" w:lineRule="exact"/>
        <w:rPr>
          <w:sz w:val="20"/>
          <w:szCs w:val="20"/>
          <w:color w:val="auto"/>
        </w:rPr>
      </w:pPr>
    </w:p>
    <w:p>
      <w:pPr>
        <w:ind w:left="1360" w:right="20" w:hanging="326"/>
        <w:spacing w:after="0" w:line="257" w:lineRule="auto"/>
        <w:tabs>
          <w:tab w:leader="none" w:pos="1360"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Return of Materials.</w:t>
      </w:r>
      <w:r>
        <w:rPr>
          <w:rFonts w:ascii="Arial" w:cs="Arial" w:eastAsia="Arial" w:hAnsi="Arial"/>
          <w:sz w:val="18"/>
          <w:szCs w:val="18"/>
          <w:color w:val="auto"/>
        </w:rPr>
        <w:t xml:space="preserve"> All documents, records, notebooks, notes, memoranda, drawings, computer files or other documents, in any form or media (whether paper, electronic or otherwise), made, compiled or received by the Employee at any time while employed by the Company, or otherwise in his possession, including any and all copies thereof, shall be the property of the Company and shall be held by the Employee in trust and solely for the benefit of the Company, and shall be delivered to the Company by the Employee upon termination of employment or at any other time upon request by the Company.</w:t>
      </w:r>
    </w:p>
    <w:p>
      <w:pPr>
        <w:spacing w:after="0" w:line="93" w:lineRule="exact"/>
        <w:rPr>
          <w:rFonts w:ascii="Arial" w:cs="Arial" w:eastAsia="Arial" w:hAnsi="Arial"/>
          <w:sz w:val="18"/>
          <w:szCs w:val="18"/>
          <w:color w:val="auto"/>
        </w:rPr>
      </w:pPr>
    </w:p>
    <w:p>
      <w:pPr>
        <w:ind w:left="1360" w:right="340" w:hanging="326"/>
        <w:spacing w:after="0" w:line="259" w:lineRule="auto"/>
        <w:tabs>
          <w:tab w:leader="none" w:pos="1360"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 xml:space="preserve"> For a period of two (2) years from the Date of Termination, the Employee shall not, directly or indirectly, solicit any employees of the Company or its Affiliates to accept employment from any other person or entity. “Affiliate” is defined as any entity controlling, controlled by or under common control with the Company within the meaning of Rule 405 of the Securities and Exchange Commission under the Securities Act of 1933.</w:t>
      </w:r>
    </w:p>
    <w:p>
      <w:pPr>
        <w:spacing w:after="0" w:line="74" w:lineRule="exact"/>
        <w:rPr>
          <w:rFonts w:ascii="Arial" w:cs="Arial" w:eastAsia="Arial" w:hAnsi="Arial"/>
          <w:sz w:val="18"/>
          <w:szCs w:val="18"/>
          <w:color w:val="auto"/>
        </w:rPr>
      </w:pPr>
    </w:p>
    <w:p>
      <w:pPr>
        <w:ind w:left="720" w:hanging="262"/>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Deferred Compensation:</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Compensation and benefits payable under the Agreement, to the extent of payments made from the date of Employee’s termination through March 15th of the calendar year following such termination, are intended to constitute separate payments for purposes of Section 1.409A-2(b)(2) of the Treasury Regulations and thus payable pursuant to the “short-term deferral” rule set forth in Section 1.409A-1(b)(4) of the Treasury Regulations; to the extent such payments are made following said March 15th, they are intended to constitute separate payments for purposes of Section 1.409A-2(b)(2) of the Treasury Regulations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3" w:name="page54"/>
    <w:bookmarkEnd w:id="53"/>
    <w:p>
      <w:pPr>
        <w:ind w:right="80"/>
        <w:spacing w:after="0" w:line="257" w:lineRule="auto"/>
        <w:rPr>
          <w:sz w:val="20"/>
          <w:szCs w:val="20"/>
          <w:color w:val="auto"/>
        </w:rPr>
      </w:pPr>
      <w:r>
        <w:rPr>
          <w:rFonts w:ascii="Arial" w:cs="Arial" w:eastAsia="Arial" w:hAnsi="Arial"/>
          <w:sz w:val="18"/>
          <w:szCs w:val="18"/>
          <w:color w:val="auto"/>
        </w:rPr>
        <w:t>made upon an involuntary termination from service and payable pursuant to Section 1.409A-1(b)(9)(iii) of the Treasury Regulations, to the maximum extent permitted by said provision, with any excess amount being regarded as subject to the distribution requirements of Section 409A(a)(2)(A) of the Internal Revenue Code of 1986, as amended (the “Code”), including, without limitation, the requirement of Section 409A(a)(2)(B)(i) of the Code that payment to Employee be delayed until 6 months after separation from service if Employee is a “specified employee” within the meaning of the aforesaid section of the Code at the time of such separation from service.</w:t>
      </w:r>
    </w:p>
    <w:p>
      <w:pPr>
        <w:spacing w:after="0" w:line="76" w:lineRule="exact"/>
        <w:rPr>
          <w:sz w:val="20"/>
          <w:szCs w:val="20"/>
          <w:color w:val="auto"/>
        </w:rPr>
      </w:pPr>
    </w:p>
    <w:p>
      <w:pPr>
        <w:ind w:left="720" w:hanging="262"/>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Form Of Notice:</w:t>
      </w:r>
    </w:p>
    <w:p>
      <w:pPr>
        <w:spacing w:after="0" w:line="12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Every notice required by the terms of this Agreement shall be given in writing by serving the same upon the party to whom it was addressed personally or by registered or certified mail, return receipt requested, at the address set forth below or at such other address as may hereafter be designated by notice given in compliance with the terms hereof:</w:t>
      </w:r>
    </w:p>
    <w:p>
      <w:pPr>
        <w:sectPr>
          <w:pgSz w:w="11900" w:h="16838" w:orient="portrait"/>
          <w:cols w:equalWidth="0" w:num="1">
            <w:col w:w="11360"/>
          </w:cols>
          <w:pgMar w:left="240" w:top="936" w:right="29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If to the Employee: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Address on file with Human Resources</w:t>
      </w:r>
    </w:p>
    <w:p>
      <w:pPr>
        <w:spacing w:after="0" w:line="200" w:lineRule="exact"/>
        <w:rPr>
          <w:sz w:val="20"/>
          <w:szCs w:val="20"/>
          <w:color w:val="auto"/>
        </w:rPr>
      </w:pPr>
    </w:p>
    <w:p>
      <w:pPr>
        <w:sectPr>
          <w:pgSz w:w="11900" w:h="16838" w:orient="portrait"/>
          <w:cols w:equalWidth="0" w:num="2">
            <w:col w:w="2720" w:space="720"/>
            <w:col w:w="7920"/>
          </w:cols>
          <w:pgMar w:left="240" w:top="936" w:right="29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MannKind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President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28903 North Avenue Paine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Valencia, CA 91355</w:t>
      </w:r>
    </w:p>
    <w:p>
      <w:pPr>
        <w:spacing w:after="0" w:line="103" w:lineRule="exact"/>
        <w:rPr>
          <w:sz w:val="20"/>
          <w:szCs w:val="20"/>
          <w:color w:val="auto"/>
        </w:rPr>
      </w:pPr>
    </w:p>
    <w:p>
      <w:pPr>
        <w:sectPr>
          <w:pgSz w:w="11900" w:h="16838" w:orient="portrait"/>
          <w:cols w:equalWidth="0" w:num="2">
            <w:col w:w="2720" w:space="720"/>
            <w:col w:w="7920"/>
          </w:cols>
          <w:pgMar w:left="240" w:top="936" w:right="29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or such other address as shall be provided in accordance with the terms hereof. If notice is mailed, such notice shall be effective upon mailing. Notices sent in any other manner specified above shall be effective upon receipt.</w:t>
      </w:r>
    </w:p>
    <w:p>
      <w:pPr>
        <w:spacing w:after="0" w:line="58" w:lineRule="exact"/>
        <w:rPr>
          <w:sz w:val="20"/>
          <w:szCs w:val="20"/>
          <w:color w:val="auto"/>
        </w:rPr>
      </w:pPr>
    </w:p>
    <w:p>
      <w:pPr>
        <w:ind w:left="720" w:hanging="262"/>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Assignment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is personal to the Employee and shall not be assignable by the Employee.</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shall assign to and require any successor (whether by purchase of assets, merger or consolidation) to all or substantially all the business and/or assets of the Company to assume expressly and agree to perform this Agreement in the same manner and to the same extent that the Company would be required to perform it if no such succession had taken place. As used in this Agreement, the “Company” shall mean MannKind Corporation and any affiliated company or successor to its business and/or assets as aforesaid that assumes and agrees to perform this Agreement by contract, operation of law or otherwise; and as long as such successor assumes and agrees to perform this Agreement, the termination of the Employee’s employment by one such entity and the immediate hiring and continuation of the Employee’s employment by the succeeding entity shall not be deemed to constitute a termination or trigger any obligation under this Agreement. All the terms and provisions of this Agreement</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7"/>
          <w:szCs w:val="17"/>
          <w:color w:val="auto"/>
        </w:rPr>
        <w:t>shall be binding upon and inure to the benefit of and be enforceable by the parties hereto and their respective successors and permitted assigns.</w:t>
      </w:r>
    </w:p>
    <w:p>
      <w:pPr>
        <w:spacing w:after="0" w:line="125" w:lineRule="exact"/>
        <w:rPr>
          <w:sz w:val="20"/>
          <w:szCs w:val="20"/>
          <w:color w:val="auto"/>
        </w:rPr>
      </w:pPr>
    </w:p>
    <w:p>
      <w:pPr>
        <w:ind w:left="720" w:hanging="262"/>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Waivers: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 delay or failure by any party hereto in exercising, protecting or enforcing any of its rights, titles, interests or remedies hereunder, and no course of dealing or performance with respect thereto, shall constitute a waiver thereof. The express waiver by a party hereto of any right, title, interest or remedy in a particular instance or circumstance shall not constitute a waiver thereof in any other instance or circumstance. All rights and remedies shall be cumulative and not exclusive of any other rights or remedies.</w:t>
      </w:r>
    </w:p>
    <w:p>
      <w:pPr>
        <w:spacing w:after="0" w:line="75" w:lineRule="exact"/>
        <w:rPr>
          <w:sz w:val="20"/>
          <w:szCs w:val="20"/>
          <w:color w:val="auto"/>
        </w:rPr>
      </w:pPr>
    </w:p>
    <w:p>
      <w:pPr>
        <w:ind w:left="720" w:hanging="262"/>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Amendments In Writing:</w:t>
      </w:r>
    </w:p>
    <w:p>
      <w:pPr>
        <w:spacing w:after="0" w:line="12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No amendment, modification, waiver, termination or discharge of any provision of this Agreement, or consent to any departure therefrom by either party hereto, shall in any event be effective unless the same shall be in writing, specifically identifying this Agreement and the provision intended to be amended, modified, waived, terminated or discharged and signed by the President or Chief Executive Officer of the Company and the Employee, and each such amendment, modification, waiver, termination or discharge shall be effective only in the specific instance and for the specific purpose for which given. No provision of this Agreement shall be varied, contradicted or explained by any oral agreement, course of dealing or performance or any other matter not set forth in an agreement in writing and signed by the Company and the Employee.</w:t>
      </w:r>
    </w:p>
    <w:p>
      <w:pPr>
        <w:spacing w:after="0" w:line="66" w:lineRule="exact"/>
        <w:rPr>
          <w:sz w:val="20"/>
          <w:szCs w:val="20"/>
          <w:color w:val="auto"/>
        </w:rPr>
      </w:pPr>
    </w:p>
    <w:p>
      <w:pPr>
        <w:ind w:left="720" w:hanging="262"/>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Applicable Law:</w:t>
      </w:r>
    </w:p>
    <w:p>
      <w:pPr>
        <w:spacing w:after="0" w:line="12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This Agreement shall in all respects, including all matters of construction, validity and performance, be governed by, and construed and enforced in accordance with, the laws of the State of California without regard to any rules governing conflicts of laws.</w:t>
      </w:r>
    </w:p>
    <w:p>
      <w:pPr>
        <w:spacing w:after="0" w:line="58" w:lineRule="exact"/>
        <w:rPr>
          <w:sz w:val="20"/>
          <w:szCs w:val="20"/>
          <w:color w:val="auto"/>
        </w:rPr>
      </w:pPr>
    </w:p>
    <w:p>
      <w:pPr>
        <w:ind w:left="720" w:hanging="262"/>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Arbitration:</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Except in connection with interim enforcement of Paragraph 21 hereof, for which interim equitable remedies may be sought in a court of law, to ensure the timely and economical resolution of disputes that arise in connection with this Agreement, the Employee and the Company agree that any and all disputes, claims and causes of action arising from or relating to the enforcement, breach, performance or interpretation of this Agreement (collectively, “Claims”) shall be resolved to the fullest extent permitted by law by final and binding arbitration. The arbitration proceeding shall be conducted in accordance with the applicable employment rules of JAMS, The Resolution Experts (“JAMS”), then in effect, and conducted by one (1) arbitrator either mutually agreed upon or selected in accordance with the applicable JAMS rules. The arbitration shall be conducted in Los Angeles County, California, under the jurisdiction of the Los Angeles office of JAMS. All Claims, pleadings, discovery materials, evidence, proceedings,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5" w:name="page56"/>
    <w:bookmarkEnd w:id="55"/>
    <w:p>
      <w:pPr>
        <w:spacing w:after="0" w:line="255" w:lineRule="auto"/>
        <w:rPr>
          <w:sz w:val="20"/>
          <w:szCs w:val="20"/>
          <w:color w:val="auto"/>
        </w:rPr>
      </w:pPr>
      <w:r>
        <w:rPr>
          <w:rFonts w:ascii="Arial" w:cs="Arial" w:eastAsia="Arial" w:hAnsi="Arial"/>
          <w:sz w:val="18"/>
          <w:szCs w:val="18"/>
          <w:color w:val="auto"/>
        </w:rPr>
        <w:t>rulings, awards and other matters regarding the arbitration shall be kept confidential by the parties to the extent permitted by law. Prior to filing any Claims with JAMS, and not later than the date(s) such Claims may be asserted under applicable statutes of limitations, the claimant shall give notice to the other party of the facts and circumstances of such Claims in sufficient detail to apprise the other party of the substance and basis of the Claims, and meet and confer in good faith with the other party to resolve the Claims for a period not to exceed thirty (30) days from the notice date, unless a shorter or longer period is agreed in writing between the parties. By agreeing to this arbitration procedure, both the Employee and the Company waive their rights to resolve any Claims through a trial by jury or judge or administrative proceeding.</w:t>
      </w:r>
    </w:p>
    <w:p>
      <w:pPr>
        <w:spacing w:after="0" w:line="8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arbitrator shall: (a) have the authority to compel adequate discovery for the resolution of the Claims and to award such relief as would otherwise be permitted by law; (b) have the authority to interpret and apply the provisions of this Agreement; and (c) issue a written arbitration decision, to include the arbitrator’s essential findings and conclusions and a statement of the award. The arbitrator shall be authorized to award any or all remedies that the Employee or the Company would be entitled to seek in a court of law. The arbitrator shall have no authority to add to, subtract from or otherwise modify the terms of this Agreement.</w:t>
      </w:r>
    </w:p>
    <w:p>
      <w:pPr>
        <w:spacing w:after="0" w:line="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arbitrator’s decision shall be final and binding, and each party agrees to be bound by the arbitrator’s award, subject only to an appeal therefrom in accordance with the laws of the State of California. Either party may obtain judgment upon the arbitrator’s award in the Superior Court of Los Angeles County, California. Nothing in this Agreement is intended to prevent either the Employee or the Company from obtaining temporary or preliminary injunctive relief in court to prevent irreparable harm pending the conclusion of any such arbitration.</w:t>
      </w:r>
    </w:p>
    <w:p>
      <w:pPr>
        <w:spacing w:after="0" w:line="7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shall pay all arbitration fees in excess of the amount of court fees that the Employee would be required to pay if the Claims were filed and adjudicated in a court of law.</w:t>
      </w:r>
    </w:p>
    <w:p>
      <w:pPr>
        <w:spacing w:after="0" w:line="58" w:lineRule="exact"/>
        <w:rPr>
          <w:sz w:val="20"/>
          <w:szCs w:val="20"/>
          <w:color w:val="auto"/>
        </w:rPr>
      </w:pPr>
    </w:p>
    <w:p>
      <w:pPr>
        <w:ind w:left="720" w:hanging="262"/>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Severability:</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If any provision of this Agreement other than the attached Release Agreement shall be held invalid, illegal or unenforceable in any jurisdiction, for any reason, including, without limitation, the duration of such provision, its geographical scope or the extent of the activities prohibited or required by it, then, to the full extent permitted by law: (a) all other provisions hereof shall remain in full force and effect in such jurisdiction and shall be liberally construed in order to carry out the intent of the parties hereto as nearly as may be possible, (b) such invalidity, illegality or unenforceability shall not affect the validity, legality or enforceability of any other provision hereof, and (c) any court or arbitrator having jurisdiction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thereover shall have the power to reform such provision to the extent necessary for such provision to be enforceable under applicable law.</w:t>
      </w:r>
    </w:p>
    <w:p>
      <w:pPr>
        <w:spacing w:after="0" w:line="113" w:lineRule="exact"/>
        <w:rPr>
          <w:sz w:val="20"/>
          <w:szCs w:val="20"/>
          <w:color w:val="auto"/>
        </w:rPr>
      </w:pPr>
    </w:p>
    <w:p>
      <w:pPr>
        <w:ind w:left="720" w:hanging="262"/>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Entire Agreement:</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Except as set forth in the attached Release Agreement, which is a condition hereof, this Agreement constitutes the entire agreement between the Company and the Employee with respect to the subject matter hereof, and all prior or contemporaneous oral or written communications, understandings, or agreements between the Company and the Employee with respect to such subject matter are hereby superseded and nullified in their entireties, except that any and all agreements relating to proprietary information and inventions between the Employee and the Company shall continue in full force and effect.</w:t>
      </w:r>
    </w:p>
    <w:p>
      <w:pPr>
        <w:spacing w:after="0" w:line="42" w:lineRule="exact"/>
        <w:rPr>
          <w:sz w:val="20"/>
          <w:szCs w:val="20"/>
          <w:color w:val="auto"/>
        </w:rPr>
      </w:pPr>
    </w:p>
    <w:p>
      <w:pPr>
        <w:ind w:left="720" w:hanging="262"/>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Counterparts: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Agreement may be executed in counterparts, and transmitted by facsimile or electronic mail, each of which counterpart shall be deemed an original, but all of which together shall constitute one and the same instrument.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and entered into this Agreement on June 27, 2011.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Arial" w:cs="Arial" w:eastAsia="Arial" w:hAnsi="Arial"/>
                <w:sz w:val="18"/>
                <w:szCs w:val="18"/>
                <w:b w:val="1"/>
                <w:bCs w:val="1"/>
                <w:color w:val="auto"/>
              </w:rPr>
              <w:t>MANNKIND CORPORATION</w:t>
            </w:r>
          </w:p>
        </w:tc>
        <w:tc>
          <w:tcPr>
            <w:tcW w:w="56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EMPLOYEE</w:t>
            </w:r>
          </w:p>
        </w:tc>
      </w:tr>
      <w:tr>
        <w:trPr>
          <w:trHeight w:val="432"/>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Hakan Edstrom</w:t>
            </w:r>
          </w:p>
        </w:tc>
        <w:tc>
          <w:tcPr>
            <w:tcW w:w="560" w:type="dxa"/>
            <w:vAlign w:val="bottom"/>
          </w:tcPr>
          <w:p>
            <w:pPr>
              <w:spacing w:after="0"/>
              <w:rPr>
                <w:sz w:val="24"/>
                <w:szCs w:val="24"/>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Richardson</w:t>
            </w:r>
          </w:p>
        </w:tc>
      </w:tr>
      <w:tr>
        <w:trPr>
          <w:trHeight w:val="209"/>
        </w:trPr>
        <w:tc>
          <w:tcPr>
            <w:tcW w:w="3440" w:type="dxa"/>
            <w:vAlign w:val="bottom"/>
          </w:tcPr>
          <w:p>
            <w:pPr>
              <w:spacing w:after="0"/>
              <w:rPr>
                <w:sz w:val="20"/>
                <w:szCs w:val="20"/>
                <w:color w:val="auto"/>
              </w:rPr>
            </w:pPr>
            <w:r>
              <w:rPr>
                <w:rFonts w:ascii="Arial" w:cs="Arial" w:eastAsia="Arial" w:hAnsi="Arial"/>
                <w:sz w:val="18"/>
                <w:szCs w:val="18"/>
                <w:color w:val="auto"/>
              </w:rPr>
              <w:t>Name: Hakan Edstrom</w:t>
            </w:r>
          </w:p>
        </w:tc>
        <w:tc>
          <w:tcPr>
            <w:tcW w:w="56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Peter Richardson</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Title: President and COO</w:t>
            </w:r>
          </w:p>
        </w:tc>
        <w:tc>
          <w:tcPr>
            <w:tcW w:w="560" w:type="dxa"/>
            <w:vAlign w:val="bottom"/>
          </w:tcPr>
          <w:p>
            <w:pPr>
              <w:spacing w:after="0"/>
              <w:rPr>
                <w:sz w:val="20"/>
                <w:szCs w:val="20"/>
                <w:color w:val="auto"/>
              </w:rPr>
            </w:pPr>
          </w:p>
        </w:tc>
        <w:tc>
          <w:tcPr>
            <w:tcW w:w="7420" w:type="dxa"/>
            <w:vAlign w:val="bottom"/>
          </w:tcPr>
          <w:p>
            <w:pPr>
              <w:spacing w:after="0"/>
              <w:rPr>
                <w:sz w:val="20"/>
                <w:szCs w:val="20"/>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7" w:name="page58"/>
    <w:bookmarkEnd w:id="57"/>
    <w:p>
      <w:pPr>
        <w:jc w:val="center"/>
        <w:ind w:right="340"/>
        <w:spacing w:after="0"/>
        <w:rPr>
          <w:sz w:val="20"/>
          <w:szCs w:val="20"/>
          <w:color w:val="auto"/>
        </w:rPr>
      </w:pPr>
      <w:r>
        <w:rPr>
          <w:rFonts w:ascii="Arial" w:cs="Arial" w:eastAsia="Arial" w:hAnsi="Arial"/>
          <w:sz w:val="18"/>
          <w:szCs w:val="18"/>
          <w:b w:val="1"/>
          <w:bCs w:val="1"/>
          <w:color w:val="auto"/>
        </w:rPr>
        <w:t>Exhibit A</w:t>
      </w:r>
    </w:p>
    <w:p>
      <w:pPr>
        <w:spacing w:after="0" w:line="117"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GENERAL RELEASE Part I</w:t>
      </w:r>
    </w:p>
    <w:p>
      <w:pPr>
        <w:spacing w:after="0" w:line="121" w:lineRule="exact"/>
        <w:rPr>
          <w:sz w:val="20"/>
          <w:szCs w:val="20"/>
          <w:color w:val="auto"/>
        </w:rPr>
      </w:pPr>
    </w:p>
    <w:p>
      <w:pPr>
        <w:ind w:left="320" w:hanging="314"/>
        <w:spacing w:after="0" w:line="255" w:lineRule="auto"/>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consideration of the compensation and benefits the Company will provide to Employee as provided in the Employee Agreement between the Employee and the Company dated June __, 2011 (the “Agreement”), Employee does forever release and discharge the Company and all its parent, subsidiary and affiliated entities and all their past, present and future directors, officers, agents, employees, and representatives, successors and assigns from all claims, causes of action, damages, liabilities, and demands of whatever kind and character up to the date he signs below (“Disputes”), including, but not limited to, arising out of or in any way related to any of the circumstances of Employee’s employment or termination of employment with the Company.</w:t>
      </w:r>
    </w:p>
    <w:p>
      <w:pPr>
        <w:spacing w:after="0" w:line="98" w:lineRule="exact"/>
        <w:rPr>
          <w:rFonts w:ascii="Arial" w:cs="Arial" w:eastAsia="Arial" w:hAnsi="Arial"/>
          <w:sz w:val="18"/>
          <w:szCs w:val="18"/>
          <w:color w:val="auto"/>
        </w:rPr>
      </w:pPr>
    </w:p>
    <w:p>
      <w:pPr>
        <w:ind w:left="320" w:right="60" w:hanging="314"/>
        <w:spacing w:after="0" w:line="270" w:lineRule="auto"/>
        <w:tabs>
          <w:tab w:leader="none" w:pos="3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This general release includes, but is not limited to: (a) all claims arising out of or in any way related to Employee’s employment with the Company or the termination of that employment; (b) all claims related to Employee’s compensation or benefits, including salary, bonuses, commissions, vacation pay, expense reimbursements, severance pay, fringe benefits, stock, stock options, or any other equity interests in the Company; (c) all claims for breach of contract, wrongful termination, and breach of the implied covenant of good faith and fair dealing; (d) all tort claims, including claims for fraud, defamation, emotional distress, and discharge in violation of public policy; and (e) all federal, state, and local statutory claims, including claims for discrimination, harassment, retaliation, attorneys’ fees, or other claims arising under the federal Civil Rights Act of 1964 (as amended), the federal Americans with Disabilities Act of 1990 (as amended), the federal Age Discrimination in Employment Act (as amended) (the “ADEA”), the California Labor Code, and the California Fair Employment and Housing Act (as amended). Employee represents that he has no lawsuits, claims or actions pending in his name, or on behalf of any other person or entity, against the Company or any other person or entity subject to the release granted in this paragraph.</w:t>
      </w:r>
    </w:p>
    <w:p>
      <w:pPr>
        <w:spacing w:after="0" w:line="83"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8"/>
          <w:szCs w:val="18"/>
          <w:color w:val="auto"/>
        </w:rPr>
        <w:t>The parties intend that the Disputes released herein be construed as broadly as possible.</w:t>
      </w:r>
    </w:p>
    <w:p>
      <w:pPr>
        <w:spacing w:after="0" w:line="130" w:lineRule="exact"/>
        <w:rPr>
          <w:rFonts w:ascii="Arial" w:cs="Arial" w:eastAsia="Arial" w:hAnsi="Arial"/>
          <w:sz w:val="17"/>
          <w:szCs w:val="17"/>
          <w:color w:val="auto"/>
        </w:rPr>
      </w:pPr>
    </w:p>
    <w:p>
      <w:pPr>
        <w:ind w:left="320" w:hanging="314"/>
        <w:spacing w:after="0" w:line="312" w:lineRule="auto"/>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This Release extends to all disputes by Employee against the Company whether known or unknown, suspected or unsuspected, past or present, and whether or not they arise out of or are attributable to the circumstances of Employee’s employment or termination of employment with the Company. Specifically, Employee hereby expressly waives any and all rights under Section 1542 of the California Civil Code, which reads in full as follows:</w:t>
      </w:r>
    </w:p>
    <w:p>
      <w:pPr>
        <w:spacing w:after="0" w:line="35" w:lineRule="exact"/>
        <w:rPr>
          <w:sz w:val="20"/>
          <w:szCs w:val="20"/>
          <w:color w:val="auto"/>
        </w:rPr>
      </w:pPr>
    </w:p>
    <w:p>
      <w:pPr>
        <w:jc w:val="both"/>
        <w:ind w:left="660" w:right="20"/>
        <w:spacing w:after="0" w:line="266" w:lineRule="auto"/>
        <w:rPr>
          <w:sz w:val="20"/>
          <w:szCs w:val="20"/>
          <w:color w:val="auto"/>
        </w:rPr>
      </w:pPr>
      <w:r>
        <w:rPr>
          <w:rFonts w:ascii="Arial" w:cs="Arial" w:eastAsia="Arial" w:hAnsi="Arial"/>
          <w:sz w:val="18"/>
          <w:szCs w:val="18"/>
          <w:b w:val="1"/>
          <w:bCs w:val="1"/>
          <w:color w:val="auto"/>
        </w:rPr>
        <w:t>Section 1542. General Release. 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53"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959" w:right="239" w:bottom="1440" w:gutter="0" w:footer="0" w:header="0"/>
        </w:sectPr>
      </w:pPr>
    </w:p>
    <w:bookmarkStart w:id="58" w:name="page59"/>
    <w:bookmarkEnd w:id="58"/>
    <w:p>
      <w:pPr>
        <w:ind w:left="340" w:hanging="334"/>
        <w:spacing w:after="0" w:line="264"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Employee further understands and agrees that neither the payment nor the execution of this Release, or any part of it, shall constitute or be construed as an admission of any alleged liability or wrongdoing whatsoever by the Company. The Company expressly denies it has committed any alleged liability or wrongdoing.</w:t>
      </w:r>
    </w:p>
    <w:p>
      <w:pPr>
        <w:spacing w:after="0" w:line="86" w:lineRule="exact"/>
        <w:rPr>
          <w:rFonts w:ascii="Arial" w:cs="Arial" w:eastAsia="Arial" w:hAnsi="Arial"/>
          <w:sz w:val="18"/>
          <w:szCs w:val="18"/>
          <w:color w:val="auto"/>
        </w:rPr>
      </w:pPr>
    </w:p>
    <w:p>
      <w:pPr>
        <w:ind w:left="340" w:hanging="334"/>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Employee agrees not to seek reemployment with the Company or any of its affiliates, successors or assigns following the Term.</w:t>
      </w:r>
    </w:p>
    <w:p>
      <w:pPr>
        <w:spacing w:after="0" w:line="130" w:lineRule="exact"/>
        <w:rPr>
          <w:rFonts w:ascii="Arial" w:cs="Arial" w:eastAsia="Arial" w:hAnsi="Arial"/>
          <w:sz w:val="18"/>
          <w:szCs w:val="18"/>
          <w:color w:val="auto"/>
        </w:rPr>
      </w:pPr>
    </w:p>
    <w:p>
      <w:pPr>
        <w:ind w:left="340" w:right="80" w:hanging="334"/>
        <w:spacing w:after="0" w:line="342"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This Release shall be governed by the substantive law of the State of California. In the event of any dispute concerning the interpretation, breach or enforcement of this Release, such dispute(s) shall be resolved pursuant to the Arbitration provisions of Paragraph 27 of the Agreement.</w:t>
      </w:r>
    </w:p>
    <w:p>
      <w:pPr>
        <w:spacing w:after="0" w:line="29" w:lineRule="exact"/>
        <w:rPr>
          <w:rFonts w:ascii="Arial" w:cs="Arial" w:eastAsia="Arial" w:hAnsi="Arial"/>
          <w:sz w:val="16"/>
          <w:szCs w:val="16"/>
          <w:color w:val="auto"/>
        </w:rPr>
      </w:pPr>
    </w:p>
    <w:p>
      <w:pPr>
        <w:ind w:left="340" w:right="100" w:hanging="334"/>
        <w:spacing w:after="0" w:line="264"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any provision of this Release is determined to be invalid or unenforceable, all of the other provisions shall remain valid and enforceable notwithstanding, unless the provision found to be unenforceable is of such material effect that this Release cannot be performed in accordance with the intent of the parties in the absence thereof.</w:t>
      </w:r>
    </w:p>
    <w:p>
      <w:pPr>
        <w:spacing w:after="0" w:line="86" w:lineRule="exact"/>
        <w:rPr>
          <w:rFonts w:ascii="Arial" w:cs="Arial" w:eastAsia="Arial" w:hAnsi="Arial"/>
          <w:sz w:val="18"/>
          <w:szCs w:val="18"/>
          <w:color w:val="auto"/>
        </w:rPr>
      </w:pPr>
    </w:p>
    <w:p>
      <w:pPr>
        <w:ind w:left="340" w:right="20" w:hanging="334"/>
        <w:spacing w:after="0" w:line="276" w:lineRule="auto"/>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No promise or agreement other than that expressed herein has been made. This Agreement constitutes a single integrated contract expressing the entire agreement of the parties hereto. There are no other agreements, written or oral, express or implied, between the parties concerning the subject matter hereof, except the provisions set forth in this Release. This Agreement supersedes all previous agreements and understandings regarding the subject matters hereof, whether written or oral, except as expressly provided herein. This Release can be amended, modified or terminated only by a writing executed by both Employee and the President of the Company.</w:t>
      </w:r>
    </w:p>
    <w:p>
      <w:pPr>
        <w:spacing w:after="0" w:line="77" w:lineRule="exact"/>
        <w:rPr>
          <w:rFonts w:ascii="Arial" w:cs="Arial" w:eastAsia="Arial" w:hAnsi="Arial"/>
          <w:sz w:val="17"/>
          <w:szCs w:val="17"/>
          <w:color w:val="auto"/>
        </w:rPr>
      </w:pPr>
    </w:p>
    <w:p>
      <w:pPr>
        <w:ind w:left="340" w:right="180" w:hanging="334"/>
        <w:spacing w:after="0" w:line="276" w:lineRule="auto"/>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compliance with the ADEA, Employee acknowledges that he has been given twenty-one (21) days to review this Release before signing it. Employee also understands his waiver and release do not apply to any rights or claims that arise after the date he signs this Release, that he may revoke this Release within seven (7) days after he signs it, and that it is not enforceable or effective until the seven (7) day revocation period has expired. Employee understands that the benefits to which he is receiving are in addition to benefits to which he is otherwise entitled. Additionally, Employee has been advised in this writing to consult with an attorney before executing this Release.</w:t>
      </w:r>
    </w:p>
    <w:p>
      <w:pPr>
        <w:spacing w:after="0" w:line="77" w:lineRule="exact"/>
        <w:rPr>
          <w:rFonts w:ascii="Arial" w:cs="Arial" w:eastAsia="Arial" w:hAnsi="Arial"/>
          <w:sz w:val="17"/>
          <w:szCs w:val="17"/>
          <w:color w:val="auto"/>
        </w:rPr>
      </w:pPr>
    </w:p>
    <w:p>
      <w:pPr>
        <w:ind w:left="340" w:right="20" w:hanging="334"/>
        <w:spacing w:after="0" w:line="259"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EMPLOYEE STATES THAT HE IS IN GOOD HEALTH AND FULLY COMPETENT TO MANAGE HIS BUSINESS AFFAIRS, THAT HE HAS CAREFULLY READ THIS GENERAL RELEASE AND SETTLEMENT AGREEMENT, THAT HE FULLY UNDERSTANDS ITS FINAL AND BINDING EFFECT, THAT THE ONLY PROMISES MADE TO HIM TO SIGN THIS RELEASE ARE THOSE STATED AND CONTAINED IN THIS RELEASE,</w:t>
      </w:r>
    </w:p>
    <w:p>
      <w:pPr>
        <w:spacing w:after="0" w:line="160"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580" w:top="936" w:right="279" w:bottom="1440" w:gutter="0" w:footer="0" w:header="0"/>
        </w:sectPr>
      </w:pPr>
    </w:p>
    <w:bookmarkStart w:id="59" w:name="page60"/>
    <w:bookmarkEnd w:id="59"/>
    <w:p>
      <w:pPr>
        <w:ind w:left="660"/>
        <w:spacing w:after="0"/>
        <w:rPr>
          <w:sz w:val="20"/>
          <w:szCs w:val="20"/>
          <w:color w:val="auto"/>
        </w:rPr>
      </w:pPr>
      <w:r>
        <w:rPr>
          <w:rFonts w:ascii="Arial" w:cs="Arial" w:eastAsia="Arial" w:hAnsi="Arial"/>
          <w:sz w:val="18"/>
          <w:szCs w:val="18"/>
          <w:color w:val="auto"/>
        </w:rPr>
        <w:t>AND THAT HE IS SIGNING THIS AGREEMENT KNOWINGLY AND VOLUNTARILY.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this 27th day of June, 2011.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gridSpan w:val="3"/>
          </w:tcPr>
          <w:p>
            <w:pPr>
              <w:spacing w:after="0"/>
              <w:rPr>
                <w:sz w:val="20"/>
                <w:szCs w:val="20"/>
                <w:color w:val="auto"/>
              </w:rPr>
            </w:pPr>
            <w:r>
              <w:rPr>
                <w:rFonts w:ascii="Arial" w:cs="Arial" w:eastAsia="Arial" w:hAnsi="Arial"/>
                <w:sz w:val="18"/>
                <w:szCs w:val="18"/>
                <w:b w:val="1"/>
                <w:bCs w:val="1"/>
                <w:color w:val="auto"/>
              </w:rPr>
              <w:t>MANNKIND CORPORATION</w:t>
            </w:r>
          </w:p>
        </w:tc>
        <w:tc>
          <w:tcPr>
            <w:tcW w:w="4900" w:type="dxa"/>
            <w:vAlign w:val="bottom"/>
            <w:gridSpan w:val="2"/>
          </w:tcPr>
          <w:p>
            <w:pPr>
              <w:ind w:left="2240"/>
              <w:spacing w:after="0"/>
              <w:rPr>
                <w:sz w:val="20"/>
                <w:szCs w:val="20"/>
                <w:color w:val="auto"/>
              </w:rPr>
            </w:pPr>
            <w:r>
              <w:rPr>
                <w:rFonts w:ascii="Arial" w:cs="Arial" w:eastAsia="Arial" w:hAnsi="Arial"/>
                <w:sz w:val="18"/>
                <w:szCs w:val="18"/>
                <w:b w:val="1"/>
                <w:bCs w:val="1"/>
                <w:color w:val="auto"/>
              </w:rPr>
              <w:t>EMPLOYEE</w:t>
            </w:r>
          </w:p>
        </w:tc>
        <w:tc>
          <w:tcPr>
            <w:tcW w:w="2480" w:type="dxa"/>
            <w:vAlign w:val="bottom"/>
          </w:tcPr>
          <w:p>
            <w:pPr>
              <w:spacing w:after="0"/>
              <w:rPr>
                <w:sz w:val="20"/>
                <w:szCs w:val="20"/>
                <w:color w:val="auto"/>
              </w:rPr>
            </w:pPr>
          </w:p>
        </w:tc>
      </w:tr>
      <w:tr>
        <w:trPr>
          <w:trHeight w:val="432"/>
        </w:trPr>
        <w:tc>
          <w:tcPr>
            <w:tcW w:w="4040" w:type="dxa"/>
            <w:vAlign w:val="bottom"/>
            <w:gridSpan w:val="3"/>
          </w:tcPr>
          <w:p>
            <w:pPr>
              <w:spacing w:after="0"/>
              <w:rPr>
                <w:sz w:val="20"/>
                <w:szCs w:val="20"/>
                <w:color w:val="auto"/>
              </w:rPr>
            </w:pPr>
            <w:r>
              <w:rPr>
                <w:rFonts w:ascii="Arial" w:cs="Arial" w:eastAsia="Arial" w:hAnsi="Arial"/>
                <w:sz w:val="18"/>
                <w:szCs w:val="18"/>
                <w:color w:val="auto"/>
              </w:rPr>
              <w:t>By:</w:t>
            </w:r>
          </w:p>
        </w:tc>
        <w:tc>
          <w:tcPr>
            <w:tcW w:w="22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09"/>
        </w:trPr>
        <w:tc>
          <w:tcPr>
            <w:tcW w:w="380" w:type="dxa"/>
            <w:vAlign w:val="bottom"/>
          </w:tcPr>
          <w:p>
            <w:pPr>
              <w:spacing w:after="0"/>
              <w:rPr>
                <w:sz w:val="18"/>
                <w:szCs w:val="18"/>
                <w:color w:val="auto"/>
              </w:rPr>
            </w:pPr>
          </w:p>
        </w:tc>
        <w:tc>
          <w:tcPr>
            <w:tcW w:w="18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Name: Hakan Edstrom</w:t>
            </w:r>
          </w:p>
        </w:tc>
        <w:tc>
          <w:tcPr>
            <w:tcW w:w="18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Peter Richardson</w:t>
            </w:r>
          </w:p>
        </w:tc>
        <w:tc>
          <w:tcPr>
            <w:tcW w:w="2480" w:type="dxa"/>
            <w:vAlign w:val="bottom"/>
          </w:tcPr>
          <w:p>
            <w:pPr>
              <w:spacing w:after="0"/>
              <w:rPr>
                <w:sz w:val="18"/>
                <w:szCs w:val="18"/>
                <w:color w:val="auto"/>
              </w:rPr>
            </w:pPr>
          </w:p>
        </w:tc>
      </w:tr>
      <w:tr>
        <w:trPr>
          <w:trHeight w:val="230"/>
        </w:trPr>
        <w:tc>
          <w:tcPr>
            <w:tcW w:w="4040" w:type="dxa"/>
            <w:vAlign w:val="bottom"/>
            <w:gridSpan w:val="3"/>
          </w:tcPr>
          <w:p>
            <w:pPr>
              <w:ind w:left="380"/>
              <w:spacing w:after="0"/>
              <w:rPr>
                <w:sz w:val="20"/>
                <w:szCs w:val="20"/>
                <w:color w:val="auto"/>
              </w:rPr>
            </w:pPr>
            <w:r>
              <w:rPr>
                <w:rFonts w:ascii="Arial" w:cs="Arial" w:eastAsia="Arial" w:hAnsi="Arial"/>
                <w:sz w:val="18"/>
                <w:szCs w:val="18"/>
                <w:color w:val="auto"/>
              </w:rPr>
              <w:t>Title: President and COO</w:t>
            </w:r>
          </w:p>
        </w:tc>
        <w:tc>
          <w:tcPr>
            <w:tcW w:w="22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05"/>
        </w:trPr>
        <w:tc>
          <w:tcPr>
            <w:tcW w:w="3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40" w:type="dxa"/>
            <w:vAlign w:val="bottom"/>
          </w:tcPr>
          <w:p>
            <w:pPr>
              <w:jc w:val="right"/>
              <w:ind w:right="390"/>
              <w:spacing w:after="0"/>
              <w:rPr>
                <w:sz w:val="20"/>
                <w:szCs w:val="20"/>
                <w:color w:val="auto"/>
              </w:rPr>
            </w:pPr>
            <w:r>
              <w:rPr>
                <w:rFonts w:ascii="Arial" w:cs="Arial" w:eastAsia="Arial" w:hAnsi="Arial"/>
                <w:sz w:val="18"/>
                <w:szCs w:val="18"/>
                <w:color w:val="auto"/>
              </w:rPr>
              <w:t>15</w:t>
            </w:r>
          </w:p>
        </w:tc>
        <w:tc>
          <w:tcPr>
            <w:tcW w:w="26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26"/>
        </w:trPr>
        <w:tc>
          <w:tcPr>
            <w:tcW w:w="38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2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0" w:name="page61"/>
    <w:bookmarkEnd w:id="60"/>
    <w:p>
      <w:pPr>
        <w:jc w:val="center"/>
        <w:ind w:right="340"/>
        <w:spacing w:after="0"/>
        <w:rPr>
          <w:sz w:val="20"/>
          <w:szCs w:val="20"/>
          <w:color w:val="auto"/>
        </w:rPr>
      </w:pPr>
      <w:r>
        <w:rPr>
          <w:rFonts w:ascii="Arial" w:cs="Arial" w:eastAsia="Arial" w:hAnsi="Arial"/>
          <w:sz w:val="18"/>
          <w:szCs w:val="18"/>
          <w:b w:val="1"/>
          <w:bCs w:val="1"/>
          <w:color w:val="auto"/>
        </w:rPr>
        <w:t>Exhibit B</w:t>
      </w:r>
    </w:p>
    <w:p>
      <w:pPr>
        <w:spacing w:after="0" w:line="117"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GENERAL RELEASE Part II</w:t>
      </w:r>
    </w:p>
    <w:p>
      <w:pPr>
        <w:spacing w:after="0" w:line="121" w:lineRule="exact"/>
        <w:rPr>
          <w:sz w:val="20"/>
          <w:szCs w:val="20"/>
          <w:color w:val="auto"/>
        </w:rPr>
      </w:pPr>
    </w:p>
    <w:p>
      <w:pPr>
        <w:ind w:left="320" w:hanging="314"/>
        <w:spacing w:after="0" w:line="255" w:lineRule="auto"/>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consideration of the ongoing severance benefits the Company will provide to Employee as provided in the Employee Agreement between the Employee and the Company dated June __, 2011 (the “Agreement”), Employee does forever release and discharge the Company and all its parent, subsidiary and affiliated entities and all their past, present and future directors, officers, agents, employees, and representatives, successors and assigns from all claims, causes of action, damages, liabilities, and demands of whatever kind and character up to the date he signs below (“Disputes”), including, but not limited to, arising out of or in any way related to any of the circumstances of Employee’s employment or termination of employment with the Company.</w:t>
      </w:r>
    </w:p>
    <w:p>
      <w:pPr>
        <w:spacing w:after="0" w:line="98" w:lineRule="exact"/>
        <w:rPr>
          <w:rFonts w:ascii="Arial" w:cs="Arial" w:eastAsia="Arial" w:hAnsi="Arial"/>
          <w:sz w:val="18"/>
          <w:szCs w:val="18"/>
          <w:color w:val="auto"/>
        </w:rPr>
      </w:pPr>
    </w:p>
    <w:p>
      <w:pPr>
        <w:ind w:left="320" w:right="60" w:hanging="314"/>
        <w:spacing w:after="0" w:line="270" w:lineRule="auto"/>
        <w:tabs>
          <w:tab w:leader="none" w:pos="3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This general release includes, but is not limited to: (a) all claims arising out of or in any way related to Employee’s employment with the Company or the termination of that employment; (b) all claims related to Employee’s compensation or benefits, including salary, bonuses, commissions, vacation pay, expense reimbursements, severance pay, fringe benefits, stock, stock options, or any other equity interests in the Company; (c) all claims for breach of contract, wrongful termination, and breach of the implied covenant of good faith and fair dealing; (d) all tort claims, including claims for fraud, defamation, emotional distress, and discharge in violation of public policy; and (e) all federal, state, and local statutory claims, including claims for discrimination, harassment, retaliation, attorneys’ fees, or other claims arising under the federal Civil Rights Act of 1964 (as amended), the federal Americans with Disabilities Act of 1990 (as amended), the federal Age Discrimination in Employment Act (as amended) (the “ADEA”), the California Labor Code, and the California Fair Employment and Housing Act (as amended). Employee represents that he has no lawsuits, claims or actions pending in his name, or on behalf of any other person or entity, against the Company or any other person or entity subject to the release granted in this paragraph.</w:t>
      </w:r>
    </w:p>
    <w:p>
      <w:pPr>
        <w:spacing w:after="0" w:line="83"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8"/>
          <w:szCs w:val="18"/>
          <w:color w:val="auto"/>
        </w:rPr>
        <w:t>The parties intend that the Disputes released herein be construed as broadly as possible.</w:t>
      </w:r>
    </w:p>
    <w:p>
      <w:pPr>
        <w:spacing w:after="0" w:line="130" w:lineRule="exact"/>
        <w:rPr>
          <w:rFonts w:ascii="Arial" w:cs="Arial" w:eastAsia="Arial" w:hAnsi="Arial"/>
          <w:sz w:val="17"/>
          <w:szCs w:val="17"/>
          <w:color w:val="auto"/>
        </w:rPr>
      </w:pPr>
    </w:p>
    <w:p>
      <w:pPr>
        <w:ind w:left="320" w:hanging="314"/>
        <w:spacing w:after="0" w:line="312" w:lineRule="auto"/>
        <w:tabs>
          <w:tab w:leader="none" w:pos="3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This Release extends to all disputes by Employee against the Company whether known or unknown, suspected or unsuspected, past or present, and whether or not they arise out of or are attributable to the circumstances of Employee’s employment or termination of employment with the Company. Specifically, Employee hereby expressly waives any and all rights under Section 1542 of the California Civil Code, which reads in full as follows:</w:t>
      </w:r>
    </w:p>
    <w:p>
      <w:pPr>
        <w:spacing w:after="0" w:line="35" w:lineRule="exact"/>
        <w:rPr>
          <w:sz w:val="20"/>
          <w:szCs w:val="20"/>
          <w:color w:val="auto"/>
        </w:rPr>
      </w:pPr>
    </w:p>
    <w:p>
      <w:pPr>
        <w:jc w:val="both"/>
        <w:ind w:left="660" w:right="20"/>
        <w:spacing w:after="0" w:line="266" w:lineRule="auto"/>
        <w:rPr>
          <w:sz w:val="20"/>
          <w:szCs w:val="20"/>
          <w:color w:val="auto"/>
        </w:rPr>
      </w:pPr>
      <w:r>
        <w:rPr>
          <w:rFonts w:ascii="Arial" w:cs="Arial" w:eastAsia="Arial" w:hAnsi="Arial"/>
          <w:sz w:val="18"/>
          <w:szCs w:val="18"/>
          <w:b w:val="1"/>
          <w:bCs w:val="1"/>
          <w:color w:val="auto"/>
        </w:rPr>
        <w:t>Section 1542. General Release. 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53"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959" w:right="239" w:bottom="1440" w:gutter="0" w:footer="0" w:header="0"/>
        </w:sectPr>
      </w:pPr>
    </w:p>
    <w:bookmarkStart w:id="61" w:name="page62"/>
    <w:bookmarkEnd w:id="61"/>
    <w:p>
      <w:pPr>
        <w:ind w:left="337" w:right="60" w:hanging="337"/>
        <w:spacing w:after="0" w:line="264" w:lineRule="auto"/>
        <w:tabs>
          <w:tab w:leader="none" w:pos="337" w:val="left"/>
        </w:tabs>
        <w:numPr>
          <w:ilvl w:val="0"/>
          <w:numId w:val="42"/>
        </w:numPr>
        <w:rPr>
          <w:rFonts w:ascii="Arial" w:cs="Arial" w:eastAsia="Arial" w:hAnsi="Arial"/>
          <w:sz w:val="18"/>
          <w:szCs w:val="18"/>
          <w:color w:val="auto"/>
        </w:rPr>
      </w:pPr>
      <w:r>
        <w:rPr>
          <w:rFonts w:ascii="Arial" w:cs="Arial" w:eastAsia="Arial" w:hAnsi="Arial"/>
          <w:sz w:val="18"/>
          <w:szCs w:val="18"/>
          <w:color w:val="auto"/>
        </w:rPr>
        <w:t>Employee further understands and agrees that neither the payment nor the execution of this Release, or any part of it, shall constitute or be construed as an admission of any alleged liability or wrongdoing whatsoever by the Company. The Company expressly denies it has committed any alleged liability or wrongdoing.</w:t>
      </w:r>
    </w:p>
    <w:p>
      <w:pPr>
        <w:spacing w:after="0" w:line="86" w:lineRule="exact"/>
        <w:rPr>
          <w:rFonts w:ascii="Arial" w:cs="Arial" w:eastAsia="Arial" w:hAnsi="Arial"/>
          <w:sz w:val="18"/>
          <w:szCs w:val="18"/>
          <w:color w:val="auto"/>
        </w:rPr>
      </w:pPr>
    </w:p>
    <w:p>
      <w:pPr>
        <w:ind w:left="337" w:hanging="337"/>
        <w:spacing w:after="0"/>
        <w:tabs>
          <w:tab w:leader="none" w:pos="337" w:val="left"/>
        </w:tabs>
        <w:numPr>
          <w:ilvl w:val="0"/>
          <w:numId w:val="42"/>
        </w:numPr>
        <w:rPr>
          <w:rFonts w:ascii="Arial" w:cs="Arial" w:eastAsia="Arial" w:hAnsi="Arial"/>
          <w:sz w:val="18"/>
          <w:szCs w:val="18"/>
          <w:color w:val="auto"/>
        </w:rPr>
      </w:pPr>
      <w:r>
        <w:rPr>
          <w:rFonts w:ascii="Arial" w:cs="Arial" w:eastAsia="Arial" w:hAnsi="Arial"/>
          <w:sz w:val="18"/>
          <w:szCs w:val="18"/>
          <w:color w:val="auto"/>
        </w:rPr>
        <w:t>Employee agrees not to seek reemployment with the Company or any of its affiliates, successors or assigns following the Term.</w:t>
      </w:r>
    </w:p>
    <w:p>
      <w:pPr>
        <w:spacing w:after="0" w:line="130" w:lineRule="exact"/>
        <w:rPr>
          <w:rFonts w:ascii="Arial" w:cs="Arial" w:eastAsia="Arial" w:hAnsi="Arial"/>
          <w:sz w:val="18"/>
          <w:szCs w:val="18"/>
          <w:color w:val="auto"/>
        </w:rPr>
      </w:pPr>
    </w:p>
    <w:p>
      <w:pPr>
        <w:ind w:left="337" w:right="500" w:hanging="337"/>
        <w:spacing w:after="0" w:line="342" w:lineRule="auto"/>
        <w:tabs>
          <w:tab w:leader="none" w:pos="337"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This Release shall be governed by the substantive law of the State of California. In the event of any dispute concerning the interpretation, breach or enforcement of this Release, such dispute(s) shall be resolved pursuant to the provisions of Paragraph 27 of the Agreement.</w:t>
      </w:r>
    </w:p>
    <w:p>
      <w:pPr>
        <w:spacing w:after="0" w:line="29" w:lineRule="exact"/>
        <w:rPr>
          <w:rFonts w:ascii="Arial" w:cs="Arial" w:eastAsia="Arial" w:hAnsi="Arial"/>
          <w:sz w:val="16"/>
          <w:szCs w:val="16"/>
          <w:color w:val="auto"/>
        </w:rPr>
      </w:pPr>
    </w:p>
    <w:p>
      <w:pPr>
        <w:ind w:left="337" w:right="160" w:hanging="337"/>
        <w:spacing w:after="0" w:line="264" w:lineRule="auto"/>
        <w:tabs>
          <w:tab w:leader="none" w:pos="337"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any provision of this Release is determined to be invalid or unenforceable, all of the other provisions shall remain valid and enforceable notwithstanding, unless the provision found to be unenforceable is of such material effect that this Release cannot be performed in accordance with the intent of the parties in the absence thereof.</w:t>
      </w:r>
    </w:p>
    <w:p>
      <w:pPr>
        <w:spacing w:after="0" w:line="86" w:lineRule="exact"/>
        <w:rPr>
          <w:rFonts w:ascii="Arial" w:cs="Arial" w:eastAsia="Arial" w:hAnsi="Arial"/>
          <w:sz w:val="18"/>
          <w:szCs w:val="18"/>
          <w:color w:val="auto"/>
        </w:rPr>
      </w:pPr>
    </w:p>
    <w:p>
      <w:pPr>
        <w:ind w:left="337" w:right="40" w:hanging="337"/>
        <w:spacing w:after="0" w:line="276" w:lineRule="auto"/>
        <w:tabs>
          <w:tab w:leader="none" w:pos="337" w:val="left"/>
        </w:tabs>
        <w:numPr>
          <w:ilvl w:val="0"/>
          <w:numId w:val="42"/>
        </w:numPr>
        <w:rPr>
          <w:rFonts w:ascii="Arial" w:cs="Arial" w:eastAsia="Arial" w:hAnsi="Arial"/>
          <w:sz w:val="17"/>
          <w:szCs w:val="17"/>
          <w:color w:val="auto"/>
        </w:rPr>
      </w:pPr>
      <w:r>
        <w:rPr>
          <w:rFonts w:ascii="Arial" w:cs="Arial" w:eastAsia="Arial" w:hAnsi="Arial"/>
          <w:sz w:val="17"/>
          <w:szCs w:val="17"/>
          <w:color w:val="auto"/>
        </w:rPr>
        <w:t>No promise or agreement other than that expressed herein has been made. This Agreement constitutes a single integrated contract expressing the entire agreement of the parties hereto. There are no other agreements, written or oral, express or implied, between the parties concerning the subject matter hereof, except the provisions set forth in this Release. This Agreement supersedes all previous agreements and understandings regarding the subject matters hereof, whether written or oral, except as expressly provided herein. This Release can be amended, modified or terminated only by a writing executed by both Employee and the President of the Company.</w:t>
      </w:r>
    </w:p>
    <w:p>
      <w:pPr>
        <w:spacing w:after="0" w:line="77" w:lineRule="exact"/>
        <w:rPr>
          <w:rFonts w:ascii="Arial" w:cs="Arial" w:eastAsia="Arial" w:hAnsi="Arial"/>
          <w:sz w:val="17"/>
          <w:szCs w:val="17"/>
          <w:color w:val="auto"/>
        </w:rPr>
      </w:pPr>
    </w:p>
    <w:p>
      <w:pPr>
        <w:ind w:left="337" w:right="20" w:hanging="337"/>
        <w:spacing w:after="0" w:line="276" w:lineRule="auto"/>
        <w:tabs>
          <w:tab w:leader="none" w:pos="337"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 compliance with the ADEA, Employee acknowledges that he has been given twenty-one (21) days to review this Release before signing it. Employee also understands his waiver and release do not apply to any rights or claims that arise after the date he signs this Release, that he may revoke this Release within seven (7) days after he signs it, and that it is not enforceable or effective until the seven (7) day revocation period has expired. Employee understands that the benefits to which he is receiving are in addition to benefits to which he is otherwise entitled. Additionally, Employee has been advised in this writing to consult with an attorney before executing this Release.</w:t>
      </w:r>
    </w:p>
    <w:p>
      <w:pPr>
        <w:spacing w:after="0" w:line="77" w:lineRule="exact"/>
        <w:rPr>
          <w:rFonts w:ascii="Arial" w:cs="Arial" w:eastAsia="Arial" w:hAnsi="Arial"/>
          <w:sz w:val="17"/>
          <w:szCs w:val="17"/>
          <w:color w:val="auto"/>
        </w:rPr>
      </w:pPr>
    </w:p>
    <w:p>
      <w:pPr>
        <w:ind w:left="337" w:hanging="337"/>
        <w:spacing w:after="0" w:line="259" w:lineRule="auto"/>
        <w:tabs>
          <w:tab w:leader="none" w:pos="33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EMPLOYEE STATES THAT HE IS IN GOOD HEALTH AND FULLY COMPETENT TO MANAGE HIS BUSINESS AFFAIRS, THAT HE HAS CAREFULLY READ THIS GENERAL RELEASE AND SETTLEMENT AGREEMENT, THAT HE FULLY UNDERSTANDS ITS FINAL AND BINDING EFFECT, THAT THE ONLY PROMISES MADE TO HIM TO SIGN THIS RELEASE ARE THOSE STATED AND CONTAINED IN THIS RELEASE,</w:t>
      </w:r>
    </w:p>
    <w:p>
      <w:pPr>
        <w:spacing w:after="0" w:line="160"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37"/>
          </w:cols>
          <w:pgMar w:left="923" w:top="936" w:right="239" w:bottom="1440" w:gutter="0" w:footer="0" w:header="0"/>
        </w:sectPr>
      </w:pPr>
    </w:p>
    <w:bookmarkStart w:id="62" w:name="page63"/>
    <w:bookmarkEnd w:id="62"/>
    <w:p>
      <w:pPr>
        <w:ind w:left="1000"/>
        <w:spacing w:after="0"/>
        <w:rPr>
          <w:sz w:val="20"/>
          <w:szCs w:val="20"/>
          <w:color w:val="auto"/>
        </w:rPr>
      </w:pPr>
      <w:r>
        <w:rPr>
          <w:rFonts w:ascii="Arial" w:cs="Arial" w:eastAsia="Arial" w:hAnsi="Arial"/>
          <w:sz w:val="18"/>
          <w:szCs w:val="18"/>
          <w:color w:val="auto"/>
        </w:rPr>
        <w:t>AND THAT HE IS SIGNING THIS AGREEMENT KNOWINGLY AND VOLUNTARILY.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this _______ day of __________, _______:</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gridSpan w:val="3"/>
          </w:tcPr>
          <w:p>
            <w:pPr>
              <w:spacing w:after="0"/>
              <w:rPr>
                <w:sz w:val="20"/>
                <w:szCs w:val="20"/>
                <w:color w:val="auto"/>
              </w:rPr>
            </w:pPr>
            <w:r>
              <w:rPr>
                <w:rFonts w:ascii="Arial" w:cs="Arial" w:eastAsia="Arial" w:hAnsi="Arial"/>
                <w:sz w:val="18"/>
                <w:szCs w:val="18"/>
                <w:b w:val="1"/>
                <w:bCs w:val="1"/>
                <w:color w:val="auto"/>
              </w:rPr>
              <w:t>MANNKIND CORPORATION</w:t>
            </w:r>
          </w:p>
        </w:tc>
        <w:tc>
          <w:tcPr>
            <w:tcW w:w="11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EMPLOYEE</w:t>
            </w:r>
          </w:p>
        </w:tc>
        <w:tc>
          <w:tcPr>
            <w:tcW w:w="0" w:type="dxa"/>
            <w:vAlign w:val="bottom"/>
          </w:tcPr>
          <w:p>
            <w:pPr>
              <w:spacing w:after="0"/>
              <w:rPr>
                <w:sz w:val="1"/>
                <w:szCs w:val="1"/>
                <w:color w:val="auto"/>
              </w:rPr>
            </w:pPr>
          </w:p>
        </w:tc>
      </w:tr>
      <w:tr>
        <w:trPr>
          <w:trHeight w:val="452"/>
        </w:trPr>
        <w:tc>
          <w:tcPr>
            <w:tcW w:w="3620" w:type="dxa"/>
            <w:vAlign w:val="bottom"/>
            <w:gridSpan w:val="3"/>
          </w:tcPr>
          <w:p>
            <w:pPr>
              <w:spacing w:after="0"/>
              <w:rPr>
                <w:sz w:val="20"/>
                <w:szCs w:val="20"/>
                <w:color w:val="auto"/>
              </w:rPr>
            </w:pPr>
            <w:r>
              <w:rPr>
                <w:rFonts w:ascii="Arial" w:cs="Arial" w:eastAsia="Arial" w:hAnsi="Arial"/>
                <w:sz w:val="18"/>
                <w:szCs w:val="18"/>
                <w:color w:val="auto"/>
              </w:rPr>
              <w:t>By:</w:t>
            </w:r>
          </w:p>
        </w:tc>
        <w:tc>
          <w:tcPr>
            <w:tcW w:w="11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3340" w:type="dxa"/>
            <w:vAlign w:val="bottom"/>
            <w:tcBorders>
              <w:top w:val="single" w:sz="8" w:color="auto"/>
            </w:tcBorders>
            <w:gridSpan w:val="2"/>
          </w:tcPr>
          <w:p>
            <w:pPr>
              <w:spacing w:after="0" w:line="189" w:lineRule="exact"/>
              <w:rPr>
                <w:sz w:val="20"/>
                <w:szCs w:val="20"/>
                <w:color w:val="auto"/>
              </w:rPr>
            </w:pPr>
            <w:r>
              <w:rPr>
                <w:rFonts w:ascii="Arial" w:cs="Arial" w:eastAsia="Arial" w:hAnsi="Arial"/>
                <w:sz w:val="18"/>
                <w:szCs w:val="18"/>
                <w:color w:val="auto"/>
              </w:rPr>
              <w:t>Name:</w:t>
            </w:r>
          </w:p>
        </w:tc>
        <w:tc>
          <w:tcPr>
            <w:tcW w:w="1120" w:type="dxa"/>
            <w:vAlign w:val="bottom"/>
          </w:tcPr>
          <w:p>
            <w:pPr>
              <w:spacing w:after="0"/>
              <w:rPr>
                <w:sz w:val="16"/>
                <w:szCs w:val="16"/>
                <w:color w:val="auto"/>
              </w:rPr>
            </w:pPr>
          </w:p>
        </w:tc>
        <w:tc>
          <w:tcPr>
            <w:tcW w:w="38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Peter Richardson</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2860" w:type="dxa"/>
            <w:vAlign w:val="bottom"/>
            <w:tcBorders>
              <w:top w:val="single" w:sz="8" w:color="auto"/>
              <w:bottom w:val="single" w:sz="8" w:color="auto"/>
            </w:tcBorders>
          </w:tcPr>
          <w:p>
            <w:pPr>
              <w:spacing w:after="0"/>
              <w:rPr>
                <w:sz w:val="18"/>
                <w:szCs w:val="18"/>
                <w:color w:val="auto"/>
              </w:rPr>
            </w:pPr>
          </w:p>
        </w:tc>
        <w:tc>
          <w:tcPr>
            <w:tcW w:w="5000" w:type="dxa"/>
            <w:vAlign w:val="bottom"/>
            <w:gridSpan w:val="2"/>
            <w:vMerge w:val="restart"/>
          </w:tcPr>
          <w:p>
            <w:pPr>
              <w:jc w:val="right"/>
              <w:ind w:right="27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601"/>
        </w:trPr>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0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935" w:right="1440" w:bottom="1440" w:gutter="0" w:footer="0" w:header="0"/>
        </w:sectPr>
      </w:pPr>
    </w:p>
    <w:bookmarkStart w:id="63" w:name="page64"/>
    <w:bookmarkEnd w:id="63"/>
    <w:p>
      <w:pPr>
        <w:ind w:left="10480"/>
        <w:spacing w:after="0"/>
        <w:rPr>
          <w:sz w:val="20"/>
          <w:szCs w:val="20"/>
          <w:color w:val="auto"/>
        </w:rPr>
      </w:pPr>
      <w:r>
        <w:rPr>
          <w:rFonts w:ascii="Arial" w:cs="Arial" w:eastAsia="Arial" w:hAnsi="Arial"/>
          <w:sz w:val="16"/>
          <w:szCs w:val="16"/>
          <w:b w:val="1"/>
          <w:bCs w:val="1"/>
          <w:color w:val="auto"/>
        </w:rPr>
        <w:t>Exhibit 10.3</w:t>
      </w:r>
    </w:p>
    <w:p>
      <w:pPr>
        <w:spacing w:after="0" w:line="248" w:lineRule="exact"/>
        <w:rPr>
          <w:sz w:val="20"/>
          <w:szCs w:val="20"/>
          <w:color w:val="auto"/>
        </w:rPr>
      </w:pPr>
    </w:p>
    <w:p>
      <w:pPr>
        <w:ind w:left="4860"/>
        <w:spacing w:after="0"/>
        <w:rPr>
          <w:sz w:val="20"/>
          <w:szCs w:val="20"/>
          <w:color w:val="auto"/>
        </w:rPr>
      </w:pPr>
      <w:r>
        <w:rPr>
          <w:rFonts w:ascii="Arial" w:cs="Arial" w:eastAsia="Arial" w:hAnsi="Arial"/>
          <w:sz w:val="16"/>
          <w:szCs w:val="16"/>
          <w:b w:val="1"/>
          <w:bCs w:val="1"/>
          <w:color w:val="auto"/>
        </w:rPr>
        <w:t>***Text Omitted and Filed Separately with the Securities and Exchange Commission.</w:t>
      </w:r>
    </w:p>
    <w:p>
      <w:pPr>
        <w:spacing w:after="0" w:line="50" w:lineRule="exact"/>
        <w:rPr>
          <w:sz w:val="20"/>
          <w:szCs w:val="20"/>
          <w:color w:val="auto"/>
        </w:rPr>
      </w:pPr>
    </w:p>
    <w:p>
      <w:pPr>
        <w:ind w:left="4660"/>
        <w:spacing w:after="0"/>
        <w:rPr>
          <w:sz w:val="20"/>
          <w:szCs w:val="20"/>
          <w:color w:val="auto"/>
        </w:rPr>
      </w:pPr>
      <w:r>
        <w:rPr>
          <w:rFonts w:ascii="Arial" w:cs="Arial" w:eastAsia="Arial" w:hAnsi="Arial"/>
          <w:sz w:val="16"/>
          <w:szCs w:val="16"/>
          <w:b w:val="1"/>
          <w:bCs w:val="1"/>
          <w:color w:val="auto"/>
        </w:rPr>
        <w:t>Confidential Treatment Requested Under 17 C.F.R. Sections 200.80(b)(4) and 240.24b-2.</w:t>
      </w:r>
    </w:p>
    <w:p>
      <w:pPr>
        <w:spacing w:after="0" w:line="234" w:lineRule="exact"/>
        <w:rPr>
          <w:sz w:val="20"/>
          <w:szCs w:val="20"/>
          <w:color w:val="auto"/>
        </w:rPr>
      </w:pPr>
    </w:p>
    <w:tbl>
      <w:tblPr>
        <w:tblLayout w:type="fixed"/>
        <w:tblInd w:w="6680" w:type="dxa"/>
        <w:tblCellMar>
          <w:top w:w="0" w:type="dxa"/>
          <w:left w:w="0" w:type="dxa"/>
          <w:bottom w:w="0" w:type="dxa"/>
          <w:right w:w="0" w:type="dxa"/>
        </w:tblCellMar>
      </w:tblPr>
      <w:tr>
        <w:trPr>
          <w:trHeight w:val="216"/>
        </w:trPr>
        <w:tc>
          <w:tcPr>
            <w:tcW w:w="4240" w:type="dxa"/>
            <w:vAlign w:val="bottom"/>
          </w:tcPr>
          <w:p>
            <w:pPr>
              <w:jc w:val="right"/>
              <w:ind w:right="30"/>
              <w:spacing w:after="0"/>
              <w:rPr>
                <w:sz w:val="20"/>
                <w:szCs w:val="20"/>
                <w:color w:val="auto"/>
              </w:rPr>
            </w:pPr>
            <w:r>
              <w:rPr>
                <w:rFonts w:ascii="Arial" w:cs="Arial" w:eastAsia="Arial" w:hAnsi="Arial"/>
                <w:sz w:val="18"/>
                <w:szCs w:val="18"/>
                <w:color w:val="auto"/>
                <w:w w:val="92"/>
              </w:rPr>
              <w:t>28903 North Avenue Paine, Valencia, California  91355</w:t>
            </w:r>
          </w:p>
        </w:tc>
        <w:tc>
          <w:tcPr>
            <w:tcW w:w="500" w:type="dxa"/>
            <w:vAlign w:val="bottom"/>
          </w:tcPr>
          <w:p>
            <w:pPr>
              <w:ind w:left="140"/>
              <w:spacing w:after="0"/>
              <w:rPr>
                <w:sz w:val="20"/>
                <w:szCs w:val="20"/>
                <w:color w:val="auto"/>
              </w:rPr>
            </w:pPr>
            <w:r>
              <w:rPr>
                <w:rFonts w:ascii="Arial" w:cs="Arial" w:eastAsia="Arial" w:hAnsi="Arial"/>
                <w:sz w:val="18"/>
                <w:szCs w:val="18"/>
                <w:color w:val="auto"/>
                <w:w w:val="91"/>
              </w:rPr>
              <w:t>USA</w:t>
            </w:r>
          </w:p>
        </w:tc>
      </w:tr>
      <w:tr>
        <w:trPr>
          <w:trHeight w:val="216"/>
        </w:trPr>
        <w:tc>
          <w:tcPr>
            <w:tcW w:w="4240" w:type="dxa"/>
            <w:vAlign w:val="bottom"/>
          </w:tcPr>
          <w:p>
            <w:pPr>
              <w:jc w:val="right"/>
              <w:ind w:right="30"/>
              <w:spacing w:after="0"/>
              <w:rPr>
                <w:sz w:val="20"/>
                <w:szCs w:val="20"/>
                <w:color w:val="auto"/>
              </w:rPr>
            </w:pPr>
            <w:r>
              <w:rPr>
                <w:rFonts w:ascii="Arial" w:cs="Arial" w:eastAsia="Arial" w:hAnsi="Arial"/>
                <w:sz w:val="18"/>
                <w:szCs w:val="18"/>
                <w:color w:val="auto"/>
                <w:w w:val="93"/>
              </w:rPr>
              <w:t>61 South Paramus Road, Paramus, New Jersey 07652</w:t>
            </w:r>
          </w:p>
        </w:tc>
        <w:tc>
          <w:tcPr>
            <w:tcW w:w="500" w:type="dxa"/>
            <w:vAlign w:val="bottom"/>
          </w:tcPr>
          <w:p>
            <w:pPr>
              <w:ind w:left="140"/>
              <w:spacing w:after="0"/>
              <w:rPr>
                <w:sz w:val="20"/>
                <w:szCs w:val="20"/>
                <w:color w:val="auto"/>
              </w:rPr>
            </w:pPr>
            <w:r>
              <w:rPr>
                <w:rFonts w:ascii="Arial" w:cs="Arial" w:eastAsia="Arial" w:hAnsi="Arial"/>
                <w:sz w:val="18"/>
                <w:szCs w:val="18"/>
                <w:color w:val="auto"/>
                <w:w w:val="91"/>
              </w:rPr>
              <w:t>USA</w:t>
            </w:r>
          </w:p>
        </w:tc>
      </w:tr>
      <w:tr>
        <w:trPr>
          <w:trHeight w:val="230"/>
        </w:trPr>
        <w:tc>
          <w:tcPr>
            <w:tcW w:w="4240" w:type="dxa"/>
            <w:vAlign w:val="bottom"/>
          </w:tcPr>
          <w:p>
            <w:pPr>
              <w:jc w:val="right"/>
              <w:ind w:right="30"/>
              <w:spacing w:after="0"/>
              <w:rPr>
                <w:sz w:val="20"/>
                <w:szCs w:val="20"/>
                <w:color w:val="auto"/>
              </w:rPr>
            </w:pPr>
            <w:r>
              <w:rPr>
                <w:rFonts w:ascii="Arial" w:cs="Arial" w:eastAsia="Arial" w:hAnsi="Arial"/>
                <w:sz w:val="18"/>
                <w:szCs w:val="18"/>
                <w:color w:val="auto"/>
              </w:rPr>
              <w:t>One Casper Street, Danbury, Connecticut 06810</w:t>
            </w:r>
          </w:p>
        </w:tc>
        <w:tc>
          <w:tcPr>
            <w:tcW w:w="500" w:type="dxa"/>
            <w:vAlign w:val="bottom"/>
          </w:tcPr>
          <w:p>
            <w:pPr>
              <w:ind w:left="140"/>
              <w:spacing w:after="0"/>
              <w:rPr>
                <w:sz w:val="20"/>
                <w:szCs w:val="20"/>
                <w:color w:val="auto"/>
              </w:rPr>
            </w:pPr>
            <w:r>
              <w:rPr>
                <w:rFonts w:ascii="Arial" w:cs="Arial" w:eastAsia="Arial" w:hAnsi="Arial"/>
                <w:sz w:val="18"/>
                <w:szCs w:val="18"/>
                <w:color w:val="auto"/>
                <w:w w:val="91"/>
              </w:rPr>
              <w:t>USA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1775460" cy="5829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75460" cy="58293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u w:val="single" w:color="auto"/>
          <w:color w:val="auto"/>
        </w:rPr>
        <w:t>www.mannkindcorp.com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N.V. Organon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Kloosterstraat 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5349 AB 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Supply Agreement (the “Supply Agreement”) made as of the 7</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of November 2007, between MannKind Corporation, a Delaware corporation (“MannKind”), with its principal office and place of business at 28903 North Avenue Paine, Valencia, CA 91355, U.S.A., and N.V. Organon, a Dutch company (“Organon”) with its principal office and place of business at Kloosterstraat 6, 5349 AB OSS, The Netherlands (each of MannKind and Organon, a “Party” and together, the “Parties”).</w:t>
      </w:r>
    </w:p>
    <w:p>
      <w:pPr>
        <w:spacing w:after="0" w:line="72"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A dispute has arisen between the Parties relating to the Supply Agreement (the “</w:t>
      </w:r>
      <w:r>
        <w:rPr>
          <w:rFonts w:ascii="Arial" w:cs="Arial" w:eastAsia="Arial" w:hAnsi="Arial"/>
          <w:sz w:val="18"/>
          <w:szCs w:val="18"/>
          <w:b w:val="1"/>
          <w:bCs w:val="1"/>
          <w:color w:val="auto"/>
        </w:rPr>
        <w:t>Dispute</w:t>
      </w:r>
      <w:r>
        <w:rPr>
          <w:rFonts w:ascii="Arial" w:cs="Arial" w:eastAsia="Arial" w:hAnsi="Arial"/>
          <w:sz w:val="18"/>
          <w:szCs w:val="18"/>
          <w:color w:val="auto"/>
        </w:rPr>
        <w:t>”). The Parties have settled their differences and have agreed terms for the full and final settlement of the Dispute. They wish to record those terms of settlement (including the termination of the Supply Agreement), on a binding basis, in this letter agreement (“Letter Agreement”).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GREED TERMS</w:t>
      </w:r>
    </w:p>
    <w:p>
      <w:pPr>
        <w:spacing w:after="0" w:line="117"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3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Capitalised terms used but not defined in this Letter Agreement shall have the meaning given to them in the Supply Agreement.</w:t>
      </w:r>
    </w:p>
    <w:p>
      <w:pPr>
        <w:spacing w:after="0" w:line="126" w:lineRule="exact"/>
        <w:rPr>
          <w:rFonts w:ascii="Arial" w:cs="Arial" w:eastAsia="Arial" w:hAnsi="Arial"/>
          <w:sz w:val="18"/>
          <w:szCs w:val="18"/>
          <w:b w:val="1"/>
          <w:bCs w:val="1"/>
          <w:color w:val="auto"/>
        </w:rPr>
      </w:pPr>
    </w:p>
    <w:p>
      <w:pPr>
        <w:ind w:left="340" w:hanging="332"/>
        <w:spacing w:after="0"/>
        <w:tabs>
          <w:tab w:leader="none" w:pos="3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this Letter Agreement</w:t>
      </w:r>
    </w:p>
    <w:p>
      <w:pPr>
        <w:spacing w:after="0" w:line="13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Parties hereby agree that this Letter Agreement shall immediately be fully and effectively binding on them.</w:t>
      </w:r>
    </w:p>
    <w:p>
      <w:pPr>
        <w:spacing w:after="0" w:line="126" w:lineRule="exact"/>
        <w:rPr>
          <w:rFonts w:ascii="Arial" w:cs="Arial" w:eastAsia="Arial" w:hAnsi="Arial"/>
          <w:sz w:val="18"/>
          <w:szCs w:val="18"/>
          <w:b w:val="1"/>
          <w:bCs w:val="1"/>
          <w:color w:val="auto"/>
        </w:rPr>
      </w:pPr>
    </w:p>
    <w:p>
      <w:pPr>
        <w:ind w:left="340" w:hanging="332"/>
        <w:spacing w:after="0"/>
        <w:tabs>
          <w:tab w:leader="none" w:pos="3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Payment, Delivery and Acceptance</w:t>
      </w:r>
    </w:p>
    <w:p>
      <w:pPr>
        <w:spacing w:after="0" w:line="135" w:lineRule="exact"/>
        <w:rPr>
          <w:sz w:val="20"/>
          <w:szCs w:val="20"/>
          <w:color w:val="auto"/>
        </w:rPr>
      </w:pPr>
    </w:p>
    <w:p>
      <w:pPr>
        <w:ind w:left="340" w:right="100" w:hanging="337"/>
        <w:spacing w:after="0" w:line="342" w:lineRule="auto"/>
        <w:rPr>
          <w:sz w:val="20"/>
          <w:szCs w:val="20"/>
          <w:color w:val="auto"/>
        </w:rPr>
      </w:pPr>
      <w:r>
        <w:rPr>
          <w:rFonts w:ascii="Arial" w:cs="Arial" w:eastAsia="Arial" w:hAnsi="Arial"/>
          <w:sz w:val="16"/>
          <w:szCs w:val="16"/>
          <w:color w:val="auto"/>
        </w:rPr>
        <w:t>3.1 The Supply Agreement is terminated. Notwithstanding such termination, the provisions of the Supply Agreement explicitly referred to herein, as well as all provisions designated to survive termination pursuant to Section 11.5 of the Supply Agreement, shall survive this termination and remain in effect.</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3.2 MannKind shall pay to Organon the total sum of US$16 million, divided into two installments payable by way of bank transfer as follows:</w:t>
      </w:r>
    </w:p>
    <w:p>
      <w:pPr>
        <w:spacing w:after="0" w:line="131" w:lineRule="exact"/>
        <w:rPr>
          <w:sz w:val="20"/>
          <w:szCs w:val="20"/>
          <w:color w:val="auto"/>
        </w:rPr>
      </w:pPr>
    </w:p>
    <w:p>
      <w:pPr>
        <w:ind w:left="600" w:hanging="254"/>
        <w:spacing w:after="0"/>
        <w:tabs>
          <w:tab w:leader="none" w:pos="6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amount of US$8 million to be paid within two days of MannKind’s receipt of the First Shipment (as defined in Section 3.3(a) below); And</w:t>
      </w:r>
    </w:p>
    <w:p>
      <w:pPr>
        <w:spacing w:after="0" w:line="142" w:lineRule="exact"/>
        <w:rPr>
          <w:rFonts w:ascii="Arial" w:cs="Arial" w:eastAsia="Arial" w:hAnsi="Arial"/>
          <w:sz w:val="17"/>
          <w:szCs w:val="17"/>
          <w:color w:val="auto"/>
        </w:rPr>
      </w:pPr>
    </w:p>
    <w:p>
      <w:pPr>
        <w:ind w:left="600" w:hanging="254"/>
        <w:spacing w:after="0"/>
        <w:tabs>
          <w:tab w:leader="none" w:pos="6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amount of US$8 million to be paid within two days of MannKind’s receipt of the Second Shipment (as defined in Section 3.3(b)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405765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4" w:name="page65"/>
    <w:bookmarkEnd w:id="64"/>
    <w:p>
      <w:pPr>
        <w:ind w:left="340" w:right="80" w:hanging="337"/>
        <w:spacing w:after="0" w:line="277" w:lineRule="auto"/>
        <w:rPr>
          <w:sz w:val="20"/>
          <w:szCs w:val="20"/>
          <w:color w:val="auto"/>
        </w:rPr>
      </w:pPr>
      <w:r>
        <w:rPr>
          <w:rFonts w:ascii="Arial" w:cs="Arial" w:eastAsia="Arial" w:hAnsi="Arial"/>
          <w:sz w:val="18"/>
          <w:szCs w:val="18"/>
          <w:color w:val="auto"/>
        </w:rPr>
        <w:t>3.3 Organon shall manufacture and supply to MannKind’s Danbury, Connecticut facility a total of [...***...] of Product manufactured in accordance with the shelf life requirements of the Supply Agreement and divided into two shipments deliverable as follows:</w:t>
      </w:r>
    </w:p>
    <w:p>
      <w:pPr>
        <w:spacing w:after="0" w:line="76" w:lineRule="exact"/>
        <w:rPr>
          <w:sz w:val="20"/>
          <w:szCs w:val="20"/>
          <w:color w:val="auto"/>
        </w:rPr>
      </w:pPr>
    </w:p>
    <w:p>
      <w:pPr>
        <w:ind w:left="340" w:right="300" w:firstLine="6"/>
        <w:spacing w:after="0" w:line="277" w:lineRule="auto"/>
        <w:tabs>
          <w:tab w:leader="none" w:pos="58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shipment of approximately [...***...] of Product to arrive at MannKind’s Danbury, Connecticut Facility on 28 June 2011 (the “First Shipment”); and</w:t>
      </w:r>
    </w:p>
    <w:p>
      <w:pPr>
        <w:spacing w:after="0" w:line="75" w:lineRule="exact"/>
        <w:rPr>
          <w:rFonts w:ascii="Arial" w:cs="Arial" w:eastAsia="Arial" w:hAnsi="Arial"/>
          <w:sz w:val="18"/>
          <w:szCs w:val="18"/>
          <w:color w:val="auto"/>
        </w:rPr>
      </w:pPr>
    </w:p>
    <w:p>
      <w:pPr>
        <w:ind w:left="340" w:firstLine="6"/>
        <w:spacing w:after="0" w:line="270" w:lineRule="auto"/>
        <w:tabs>
          <w:tab w:leader="none" w:pos="595"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shipment of the balance of the total of [...***...] of Product to be shipped from Organon’s facility in France as soon as practicable following Organon’s receipt of the payment from MannKind pursuant to Section 3.2(a) above (the “Second Shipment”). Organon shall deliver the Second Shipment to MannKind’s Danbury, Connecticut facility as soon as practicable following such Second Shipment’s having received all regulatory, customs, or FDA clearances required for shipment into and within the United States, provided, however, that Organon shall provide MannKind reasonable notice in advance of the planned delivery date and provided further that such delivery date shall be extended as necessary to ensure that delivery does not occur on any statutory holiday, a weekend, a Monday or a Friday. To facilitate Organon’s delivery obligations under this Section 3.3(b), MannKind hereby agrees to provide Organon with a Letter of Intended Use in the form attached hereto as Schedule A and revised by MannKind as may be necessary in order to meet government/regulatory requirements. For the avoidance of doubt, it shall be MannKind’s obligation to provide a Letter of Intended Use that satisfies all government/regulatory requirements.</w:t>
      </w:r>
    </w:p>
    <w:p>
      <w:pPr>
        <w:spacing w:after="0" w:line="87" w:lineRule="exact"/>
        <w:rPr>
          <w:sz w:val="20"/>
          <w:szCs w:val="20"/>
          <w:color w:val="auto"/>
        </w:rPr>
      </w:pPr>
    </w:p>
    <w:p>
      <w:pPr>
        <w:ind w:left="340" w:right="340" w:hanging="337"/>
        <w:spacing w:after="0" w:line="277" w:lineRule="auto"/>
        <w:rPr>
          <w:sz w:val="20"/>
          <w:szCs w:val="20"/>
          <w:color w:val="auto"/>
        </w:rPr>
      </w:pPr>
      <w:r>
        <w:rPr>
          <w:rFonts w:ascii="Arial" w:cs="Arial" w:eastAsia="Arial" w:hAnsi="Arial"/>
          <w:sz w:val="18"/>
          <w:szCs w:val="18"/>
          <w:color w:val="auto"/>
        </w:rPr>
        <w:t>3.4 Organon shall bear the risk of loss for the Product until delivery to such designated facility at which time title to the Product and the risk of loss shall pass to MannKind.</w:t>
      </w:r>
    </w:p>
    <w:p>
      <w:pPr>
        <w:spacing w:after="0" w:line="76" w:lineRule="exact"/>
        <w:rPr>
          <w:sz w:val="20"/>
          <w:szCs w:val="20"/>
          <w:color w:val="auto"/>
        </w:rPr>
      </w:pPr>
    </w:p>
    <w:p>
      <w:pPr>
        <w:ind w:left="340" w:right="260" w:hanging="337"/>
        <w:spacing w:after="0" w:line="277" w:lineRule="auto"/>
        <w:rPr>
          <w:sz w:val="20"/>
          <w:szCs w:val="20"/>
          <w:color w:val="auto"/>
        </w:rPr>
      </w:pPr>
      <w:r>
        <w:rPr>
          <w:rFonts w:ascii="Arial" w:cs="Arial" w:eastAsia="Arial" w:hAnsi="Arial"/>
          <w:sz w:val="18"/>
          <w:szCs w:val="18"/>
          <w:color w:val="auto"/>
        </w:rPr>
        <w:t>3.5 Each shipment of the Product shall be accompanied by accurate and complete documents including, but not limited to, relevant certificates of analysis and certificates of compliance.</w:t>
      </w:r>
    </w:p>
    <w:p>
      <w:pPr>
        <w:spacing w:after="0" w:line="76" w:lineRule="exact"/>
        <w:rPr>
          <w:sz w:val="20"/>
          <w:szCs w:val="20"/>
          <w:color w:val="auto"/>
        </w:rPr>
      </w:pPr>
    </w:p>
    <w:p>
      <w:pPr>
        <w:ind w:left="340" w:right="40" w:hanging="337"/>
        <w:spacing w:after="0" w:line="277" w:lineRule="auto"/>
        <w:rPr>
          <w:sz w:val="20"/>
          <w:szCs w:val="20"/>
          <w:color w:val="auto"/>
        </w:rPr>
      </w:pPr>
      <w:r>
        <w:rPr>
          <w:rFonts w:ascii="Arial" w:cs="Arial" w:eastAsia="Arial" w:hAnsi="Arial"/>
          <w:sz w:val="18"/>
          <w:szCs w:val="18"/>
          <w:color w:val="auto"/>
        </w:rPr>
        <w:t>3.6 The provisions of clause 6.4 (“Inspection, Acceptance and Rejection”) and clause 6.5 (“Expert”) of the Supply Agreement shall apply to each delivery of Product under this Letter Agreement.</w:t>
      </w:r>
    </w:p>
    <w:p>
      <w:pPr>
        <w:spacing w:after="0" w:line="76" w:lineRule="exact"/>
        <w:rPr>
          <w:sz w:val="20"/>
          <w:szCs w:val="20"/>
          <w:color w:val="auto"/>
        </w:rPr>
      </w:pPr>
    </w:p>
    <w:p>
      <w:pPr>
        <w:ind w:left="340" w:right="220" w:hanging="337"/>
        <w:spacing w:after="0" w:line="264" w:lineRule="auto"/>
        <w:rPr>
          <w:sz w:val="20"/>
          <w:szCs w:val="20"/>
          <w:color w:val="auto"/>
        </w:rPr>
      </w:pPr>
      <w:r>
        <w:rPr>
          <w:rFonts w:ascii="Arial" w:cs="Arial" w:eastAsia="Arial" w:hAnsi="Arial"/>
          <w:sz w:val="18"/>
          <w:szCs w:val="18"/>
          <w:color w:val="auto"/>
        </w:rPr>
        <w:t>3.7 Product supplied by Organon hereunder shall conform to the Specification set forth in Exhibit A to the Supply Agreement and the warranty set forth in clause 3.8 of this Letter Agreement. Organon shall perform quality control testing and quality oversight on the Product to be delivered to MannKind hereunder.</w:t>
      </w:r>
    </w:p>
    <w:p>
      <w:pPr>
        <w:spacing w:after="0" w:line="87" w:lineRule="exact"/>
        <w:rPr>
          <w:sz w:val="20"/>
          <w:szCs w:val="20"/>
          <w:color w:val="auto"/>
        </w:rPr>
      </w:pPr>
    </w:p>
    <w:p>
      <w:pPr>
        <w:ind w:left="340" w:right="40" w:hanging="337"/>
        <w:spacing w:after="0" w:line="273" w:lineRule="auto"/>
        <w:rPr>
          <w:sz w:val="20"/>
          <w:szCs w:val="20"/>
          <w:color w:val="auto"/>
        </w:rPr>
      </w:pPr>
      <w:r>
        <w:rPr>
          <w:rFonts w:ascii="Arial" w:cs="Arial" w:eastAsia="Arial" w:hAnsi="Arial"/>
          <w:sz w:val="17"/>
          <w:szCs w:val="17"/>
          <w:color w:val="auto"/>
        </w:rPr>
        <w:t>3.8 Organon represents and expressly warrants that the Product provided under this Letter Agreement shall conform to the Specifications, including the Quality/Technical Agreement, shall be in compliance with all applicable laws and regulations, and free from defect, claim, encumbrance or lien. If and to the extent the corresponding event is not governed by clause 3.6 of this Letter Agreement, upon any breach of the warranty Organon shall at Organon’s sole expense promptly (and in no event longer than ninety (90) calendar days) correct, at no cost to MannKind, and at MannKind’s request, any such breach by replacement of the Product that did not conform to such warranty and shall provide technical assistance to MannKind to address the Product non-conformity issues. Any replacement shall be considered a new Product for purposes of this clause 3.8.</w:t>
      </w:r>
    </w:p>
    <w:p>
      <w:pPr>
        <w:spacing w:after="0" w:line="84" w:lineRule="exact"/>
        <w:rPr>
          <w:sz w:val="20"/>
          <w:szCs w:val="20"/>
          <w:color w:val="auto"/>
        </w:rPr>
      </w:pPr>
    </w:p>
    <w:p>
      <w:pPr>
        <w:jc w:val="both"/>
        <w:ind w:left="340" w:right="100"/>
        <w:spacing w:after="0" w:line="286" w:lineRule="auto"/>
        <w:rPr>
          <w:sz w:val="20"/>
          <w:szCs w:val="20"/>
          <w:color w:val="auto"/>
        </w:rPr>
      </w:pPr>
      <w:r>
        <w:rPr>
          <w:rFonts w:ascii="Arial" w:cs="Arial" w:eastAsia="Arial" w:hAnsi="Arial"/>
          <w:sz w:val="17"/>
          <w:szCs w:val="17"/>
          <w:color w:val="auto"/>
        </w:rPr>
        <w:t>Organon represents and warrants that it has and shall at all times throughout the term of this Agreement have, whether by right, title, interest, including by license or otherwise, the Intellectual Property Rights that are required to use, manufacture, market, offer to sell, sell, import and export the Product in accordance with the terms of this Letter Agreement and that this Letter Agreement shall not infringe third party rights.</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5" w:name="page66"/>
    <w:bookmarkEnd w:id="65"/>
    <w:p>
      <w:pPr>
        <w:ind w:left="340" w:right="640"/>
        <w:spacing w:after="0" w:line="277" w:lineRule="auto"/>
        <w:rPr>
          <w:sz w:val="20"/>
          <w:szCs w:val="20"/>
          <w:color w:val="auto"/>
        </w:rPr>
      </w:pPr>
      <w:r>
        <w:rPr>
          <w:rFonts w:ascii="Arial" w:cs="Arial" w:eastAsia="Arial" w:hAnsi="Arial"/>
          <w:sz w:val="18"/>
          <w:szCs w:val="18"/>
          <w:color w:val="auto"/>
        </w:rPr>
        <w:t>EXCEPT AS EXPRESSLY PROVIDED HEREIN, ORGANON MAKES NO OTHER WARRANTIES, EXPRESS OR IMPLIED, AS TO THE QUALITY OR FITNESS FOR PURPOSE OF THE PRODUCT SUPPLIED TO MANNKIND.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3.9 MannKind shall only use the Product for End Product in the Territory.</w:t>
      </w:r>
    </w:p>
    <w:p>
      <w:pPr>
        <w:spacing w:after="0" w:line="127"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Release</w:t>
      </w:r>
    </w:p>
    <w:p>
      <w:pPr>
        <w:spacing w:after="0" w:line="134" w:lineRule="exact"/>
        <w:rPr>
          <w:rFonts w:ascii="Arial" w:cs="Arial" w:eastAsia="Arial" w:hAnsi="Arial"/>
          <w:sz w:val="18"/>
          <w:szCs w:val="18"/>
          <w:b w:val="1"/>
          <w:bCs w:val="1"/>
          <w:color w:val="auto"/>
        </w:rPr>
      </w:pPr>
    </w:p>
    <w:p>
      <w:pPr>
        <w:ind w:left="340" w:right="1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This Letter Agreement is in full and final settlement of, and each party hereby releases and forever discharges, all and/or any actions, claims, rights, demands and set-offs, whether in this jurisdiction or any other, whether or not presently known to the parties or to the law, and whether in law or equity, that it, its parent, subsidiaries, assigns, transferees, representatives, principals, agents, officers and directors or any of them ever had, may have or hereafter can, shall or may have against the other party or any other of its parent, subsidiaries, assigns, transferees, representatives, principals, agents, officers or directors arising out of or connected with:</w:t>
      </w:r>
    </w:p>
    <w:p>
      <w:pPr>
        <w:spacing w:after="0" w:line="93" w:lineRule="exact"/>
        <w:rPr>
          <w:rFonts w:ascii="Arial" w:cs="Arial" w:eastAsia="Arial" w:hAnsi="Arial"/>
          <w:sz w:val="18"/>
          <w:szCs w:val="18"/>
          <w:b w:val="1"/>
          <w:bCs w:val="1"/>
          <w:color w:val="auto"/>
        </w:rPr>
      </w:pPr>
    </w:p>
    <w:p>
      <w:pPr>
        <w:ind w:left="600" w:hanging="254"/>
        <w:spacing w:after="0"/>
        <w:tabs>
          <w:tab w:leader="none" w:pos="6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Dispute;</w:t>
      </w:r>
    </w:p>
    <w:p>
      <w:pPr>
        <w:spacing w:after="0" w:line="130" w:lineRule="exact"/>
        <w:rPr>
          <w:rFonts w:ascii="Arial" w:cs="Arial" w:eastAsia="Arial" w:hAnsi="Arial"/>
          <w:sz w:val="18"/>
          <w:szCs w:val="18"/>
          <w:color w:val="auto"/>
        </w:rPr>
      </w:pPr>
    </w:p>
    <w:p>
      <w:pPr>
        <w:ind w:left="600" w:hanging="254"/>
        <w:spacing w:after="0"/>
        <w:tabs>
          <w:tab w:leader="none" w:pos="6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underlying facts relating to the Dispute;</w:t>
      </w:r>
    </w:p>
    <w:p>
      <w:pPr>
        <w:spacing w:after="0" w:line="130" w:lineRule="exact"/>
        <w:rPr>
          <w:rFonts w:ascii="Arial" w:cs="Arial" w:eastAsia="Arial" w:hAnsi="Arial"/>
          <w:sz w:val="18"/>
          <w:szCs w:val="18"/>
          <w:color w:val="auto"/>
        </w:rPr>
      </w:pPr>
    </w:p>
    <w:p>
      <w:pPr>
        <w:ind w:left="340" w:right="160" w:firstLine="6"/>
        <w:spacing w:after="0" w:line="277" w:lineRule="auto"/>
        <w:tabs>
          <w:tab w:leader="none" w:pos="585"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agreement between or act by the parties, their parents, subsidiaries, assigns, transferees, representatives, principals, agents, officers or directors, or any of them; and</w:t>
      </w:r>
    </w:p>
    <w:p>
      <w:pPr>
        <w:spacing w:after="0" w:line="75" w:lineRule="exact"/>
        <w:rPr>
          <w:rFonts w:ascii="Arial" w:cs="Arial" w:eastAsia="Arial" w:hAnsi="Arial"/>
          <w:sz w:val="18"/>
          <w:szCs w:val="18"/>
          <w:color w:val="auto"/>
        </w:rPr>
      </w:pPr>
    </w:p>
    <w:p>
      <w:pPr>
        <w:ind w:left="600" w:hanging="254"/>
        <w:spacing w:after="0"/>
        <w:tabs>
          <w:tab w:leader="none" w:pos="6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other matter arising out of or connected with the relationship between the parties (including the Supply Agreement).</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(Collectively the “</w:t>
      </w:r>
      <w:r>
        <w:rPr>
          <w:rFonts w:ascii="Arial" w:cs="Arial" w:eastAsia="Arial" w:hAnsi="Arial"/>
          <w:sz w:val="18"/>
          <w:szCs w:val="18"/>
          <w:b w:val="1"/>
          <w:bCs w:val="1"/>
          <w:color w:val="auto"/>
        </w:rPr>
        <w:t>Released Claims”</w:t>
      </w:r>
      <w:r>
        <w:rPr>
          <w:rFonts w:ascii="Arial" w:cs="Arial" w:eastAsia="Arial" w:hAnsi="Arial"/>
          <w:sz w:val="18"/>
          <w:szCs w:val="18"/>
          <w:color w:val="auto"/>
        </w:rPr>
        <w:t>).</w:t>
      </w:r>
    </w:p>
    <w:p>
      <w:pPr>
        <w:spacing w:after="0" w:line="131"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Agreement Not to Sue</w:t>
      </w:r>
    </w:p>
    <w:p>
      <w:pPr>
        <w:spacing w:after="0" w:line="134" w:lineRule="exact"/>
        <w:rPr>
          <w:rFonts w:ascii="Arial" w:cs="Arial" w:eastAsia="Arial" w:hAnsi="Arial"/>
          <w:sz w:val="18"/>
          <w:szCs w:val="18"/>
          <w:b w:val="1"/>
          <w:bCs w:val="1"/>
          <w:color w:val="auto"/>
        </w:rPr>
      </w:pPr>
    </w:p>
    <w:p>
      <w:pPr>
        <w:ind w:left="340" w:right="1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Except as necessary to enforce its rights under this Letter Agreement, each Party agrees, on behalf of itself and on behalf of its parent, subsidiaries, assigns, transferees, representatives, principals, agents, officers or directors, not to sue, commence, voluntarily aid in any way, prosecute or cause to be commenced or prosecuted against the other party or its parent, subsidiaries, assigns, transferees, representatives, principals, agents, officers or directors, any action, suit or other proceeding concerning the Released Claims, in this jurisdiction or any other.</w:t>
      </w:r>
    </w:p>
    <w:p>
      <w:pPr>
        <w:spacing w:after="0" w:line="72" w:lineRule="exact"/>
        <w:rPr>
          <w:rFonts w:ascii="Arial" w:cs="Arial" w:eastAsia="Arial" w:hAnsi="Arial"/>
          <w:sz w:val="18"/>
          <w:szCs w:val="18"/>
          <w:b w:val="1"/>
          <w:bCs w:val="1"/>
          <w:color w:val="auto"/>
        </w:rPr>
      </w:pPr>
    </w:p>
    <w:p>
      <w:pPr>
        <w:ind w:left="340" w:hanging="332"/>
        <w:spacing w:after="0"/>
        <w:tabs>
          <w:tab w:leader="none" w:pos="3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Costs</w:t>
      </w:r>
    </w:p>
    <w:p>
      <w:pPr>
        <w:spacing w:after="0" w:line="13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Parties shall each bear their own costs (including but not limited to legal costs) in relation to the Dispute and this Letter Agreement.</w:t>
      </w:r>
    </w:p>
    <w:p>
      <w:pPr>
        <w:spacing w:after="0" w:line="126" w:lineRule="exact"/>
        <w:rPr>
          <w:rFonts w:ascii="Arial" w:cs="Arial" w:eastAsia="Arial" w:hAnsi="Arial"/>
          <w:sz w:val="18"/>
          <w:szCs w:val="18"/>
          <w:b w:val="1"/>
          <w:bCs w:val="1"/>
          <w:color w:val="auto"/>
        </w:rPr>
      </w:pPr>
    </w:p>
    <w:p>
      <w:pPr>
        <w:ind w:left="340" w:hanging="332"/>
        <w:spacing w:after="0"/>
        <w:tabs>
          <w:tab w:leader="none" w:pos="3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 and Authority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7.1 Each Party warrants and represents that it has not sold, transferred, assigned or otherwise disposed of its interest in the Released Claims.</w:t>
      </w:r>
    </w:p>
    <w:p>
      <w:pPr>
        <w:spacing w:after="0" w:line="131" w:lineRule="exact"/>
        <w:rPr>
          <w:sz w:val="20"/>
          <w:szCs w:val="20"/>
          <w:color w:val="auto"/>
        </w:rPr>
      </w:pPr>
    </w:p>
    <w:p>
      <w:pPr>
        <w:ind w:left="340" w:right="300" w:hanging="337"/>
        <w:spacing w:after="0" w:line="277" w:lineRule="auto"/>
        <w:rPr>
          <w:sz w:val="20"/>
          <w:szCs w:val="20"/>
          <w:color w:val="auto"/>
        </w:rPr>
      </w:pPr>
      <w:r>
        <w:rPr>
          <w:rFonts w:ascii="Arial" w:cs="Arial" w:eastAsia="Arial" w:hAnsi="Arial"/>
          <w:sz w:val="18"/>
          <w:szCs w:val="18"/>
          <w:color w:val="auto"/>
        </w:rPr>
        <w:t>7.2 Each Party warrants and represents to the other with respect to itself that it has the full right, power and authority to execute, deliver and perform this Letter Agreement.</w:t>
      </w:r>
    </w:p>
    <w:p>
      <w:pPr>
        <w:spacing w:after="0" w:line="72"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Indemnities</w:t>
      </w:r>
    </w:p>
    <w:p>
      <w:pPr>
        <w:spacing w:after="0" w:line="134" w:lineRule="exact"/>
        <w:rPr>
          <w:rFonts w:ascii="Arial" w:cs="Arial" w:eastAsia="Arial" w:hAnsi="Arial"/>
          <w:sz w:val="18"/>
          <w:szCs w:val="18"/>
          <w:b w:val="1"/>
          <w:bCs w:val="1"/>
          <w:color w:val="auto"/>
        </w:rPr>
      </w:pPr>
    </w:p>
    <w:p>
      <w:pPr>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Each Party hereby indemnifies, and shall keep indemnified, the other party against all costs and damages (including the entire legal expenses of the parties) incurred in all future actions, claims and proceedings in respect of any of the Released Claims which they may bring against the other party or its parent, subsidiaries, assigns, transferees, representatives, principals, agents, officers or directors.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44" w:right="279" w:bottom="1440" w:gutter="0" w:footer="0" w:header="0"/>
        </w:sectPr>
      </w:pPr>
    </w:p>
    <w:bookmarkStart w:id="66" w:name="page67"/>
    <w:bookmarkEnd w:id="66"/>
    <w:p>
      <w:pPr>
        <w:ind w:left="332" w:hanging="332"/>
        <w:spacing w:after="0"/>
        <w:tabs>
          <w:tab w:leader="none" w:pos="332"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No Admission</w:t>
      </w:r>
    </w:p>
    <w:p>
      <w:pPr>
        <w:spacing w:after="0" w:line="134" w:lineRule="exact"/>
        <w:rPr>
          <w:rFonts w:ascii="Arial" w:cs="Arial" w:eastAsia="Arial" w:hAnsi="Arial"/>
          <w:sz w:val="18"/>
          <w:szCs w:val="18"/>
          <w:b w:val="1"/>
          <w:bCs w:val="1"/>
          <w:color w:val="auto"/>
        </w:rPr>
      </w:pPr>
    </w:p>
    <w:p>
      <w:pPr>
        <w:ind w:left="332"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This Letter Agreement is entered into in connection with the compromise of disputed matters and in the light of other considerations. It is not, and shall not be represented or construed as, an admission of liability or wrongdoing on the part of either Party to this Letter Agreement or any other person or entity.</w:t>
      </w:r>
    </w:p>
    <w:p>
      <w:pPr>
        <w:spacing w:after="0" w:line="82" w:lineRule="exact"/>
        <w:rPr>
          <w:rFonts w:ascii="Arial" w:cs="Arial" w:eastAsia="Arial" w:hAnsi="Arial"/>
          <w:sz w:val="18"/>
          <w:szCs w:val="18"/>
          <w:b w:val="1"/>
          <w:bCs w:val="1"/>
          <w:color w:val="auto"/>
        </w:rPr>
      </w:pPr>
    </w:p>
    <w:p>
      <w:pPr>
        <w:ind w:left="332" w:hanging="332"/>
        <w:spacing w:after="0"/>
        <w:tabs>
          <w:tab w:leader="none" w:pos="332"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134" w:lineRule="exact"/>
        <w:rPr>
          <w:rFonts w:ascii="Arial" w:cs="Arial" w:eastAsia="Arial" w:hAnsi="Arial"/>
          <w:sz w:val="18"/>
          <w:szCs w:val="18"/>
          <w:b w:val="1"/>
          <w:bCs w:val="1"/>
          <w:color w:val="auto"/>
        </w:rPr>
      </w:pPr>
    </w:p>
    <w:p>
      <w:pPr>
        <w:ind w:left="33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If any provision of this Letter Agreement is found to be void or unenforceable, that provision shall be deemed to be deleted from this Letter Agreement and the remaining provisions of this Letter Agreement shall continue in full force and effect and the Parties shall use their respective reasonable endeavours to procure that any such provision is replaced by a provision which is valid and enforceable, and which gives effect to the spirit and intent of this Letter Agreement.</w:t>
      </w:r>
    </w:p>
    <w:p>
      <w:pPr>
        <w:spacing w:after="0" w:line="88" w:lineRule="exact"/>
        <w:rPr>
          <w:rFonts w:ascii="Arial" w:cs="Arial" w:eastAsia="Arial" w:hAnsi="Arial"/>
          <w:sz w:val="18"/>
          <w:szCs w:val="18"/>
          <w:b w:val="1"/>
          <w:bCs w:val="1"/>
          <w:color w:val="auto"/>
        </w:rPr>
      </w:pPr>
    </w:p>
    <w:p>
      <w:pPr>
        <w:ind w:left="332" w:hanging="332"/>
        <w:spacing w:after="0"/>
        <w:tabs>
          <w:tab w:leader="none" w:pos="332"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134" w:lineRule="exact"/>
        <w:rPr>
          <w:rFonts w:ascii="Arial" w:cs="Arial" w:eastAsia="Arial" w:hAnsi="Arial"/>
          <w:sz w:val="18"/>
          <w:szCs w:val="18"/>
          <w:b w:val="1"/>
          <w:bCs w:val="1"/>
          <w:color w:val="auto"/>
        </w:rPr>
      </w:pPr>
    </w:p>
    <w:p>
      <w:pPr>
        <w:ind w:left="332" w:right="8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This Letter Agreement, together with the provision of the Supply Agreement and Quality Agreement referenced herein, constitutes the entire understanding and agreement between the Parties in relation to the subject matter of this Letter Agreement.</w:t>
      </w:r>
    </w:p>
    <w:p>
      <w:pPr>
        <w:spacing w:after="0" w:line="51" w:lineRule="exact"/>
        <w:rPr>
          <w:rFonts w:ascii="Arial" w:cs="Arial" w:eastAsia="Arial" w:hAnsi="Arial"/>
          <w:sz w:val="18"/>
          <w:szCs w:val="18"/>
          <w:b w:val="1"/>
          <w:bCs w:val="1"/>
          <w:color w:val="auto"/>
        </w:rPr>
      </w:pPr>
    </w:p>
    <w:p>
      <w:pPr>
        <w:ind w:left="332"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Each Party acknowledges that it has not entered into this Letter Agreement in reliance wholly or partly on any representation or warranty made by or on behalf of the other party (whether orally or in writing) other than as expressly set out in this Letter Agreement.</w:t>
      </w:r>
    </w:p>
    <w:p>
      <w:pPr>
        <w:spacing w:after="0" w:line="71" w:lineRule="exact"/>
        <w:rPr>
          <w:rFonts w:ascii="Arial" w:cs="Arial" w:eastAsia="Arial" w:hAnsi="Arial"/>
          <w:sz w:val="18"/>
          <w:szCs w:val="18"/>
          <w:b w:val="1"/>
          <w:bCs w:val="1"/>
          <w:color w:val="auto"/>
        </w:rPr>
      </w:pPr>
    </w:p>
    <w:p>
      <w:pPr>
        <w:ind w:left="332" w:hanging="332"/>
        <w:spacing w:after="0"/>
        <w:tabs>
          <w:tab w:leader="none" w:pos="332"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34" w:lineRule="exact"/>
        <w:rPr>
          <w:rFonts w:ascii="Arial" w:cs="Arial" w:eastAsia="Arial" w:hAnsi="Arial"/>
          <w:sz w:val="18"/>
          <w:szCs w:val="18"/>
          <w:b w:val="1"/>
          <w:bCs w:val="1"/>
          <w:color w:val="auto"/>
        </w:rPr>
      </w:pPr>
    </w:p>
    <w:p>
      <w:pPr>
        <w:ind w:left="332"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terms of this Letter Agreement, and the substance of all negotiations in connection with it, are confidential to the Parties and their advisers, who shall not disclose them to, or otherwise communicate them to, any third party other than:</w:t>
      </w:r>
    </w:p>
    <w:p>
      <w:pPr>
        <w:spacing w:after="0" w:line="75" w:lineRule="exact"/>
        <w:rPr>
          <w:rFonts w:ascii="Arial" w:cs="Arial" w:eastAsia="Arial" w:hAnsi="Arial"/>
          <w:sz w:val="18"/>
          <w:szCs w:val="18"/>
          <w:b w:val="1"/>
          <w:bCs w:val="1"/>
          <w:color w:val="auto"/>
        </w:rPr>
      </w:pPr>
    </w:p>
    <w:p>
      <w:pPr>
        <w:ind w:left="592" w:hanging="254"/>
        <w:spacing w:after="0"/>
        <w:tabs>
          <w:tab w:leader="none" w:pos="592" w:val="left"/>
        </w:tabs>
        <w:numPr>
          <w:ilvl w:val="1"/>
          <w:numId w:val="49"/>
        </w:numPr>
        <w:rPr>
          <w:rFonts w:ascii="Arial" w:cs="Arial" w:eastAsia="Arial" w:hAnsi="Arial"/>
          <w:sz w:val="18"/>
          <w:szCs w:val="18"/>
          <w:color w:val="auto"/>
        </w:rPr>
      </w:pPr>
      <w:r>
        <w:rPr>
          <w:rFonts w:ascii="Arial" w:cs="Arial" w:eastAsia="Arial" w:hAnsi="Arial"/>
          <w:sz w:val="18"/>
          <w:szCs w:val="18"/>
          <w:color w:val="auto"/>
        </w:rPr>
        <w:t>to the Parties’ respective auditors, insurers and lawyers on terms which preserve confidentiality;</w:t>
      </w:r>
    </w:p>
    <w:p>
      <w:pPr>
        <w:spacing w:after="0" w:line="130" w:lineRule="exact"/>
        <w:rPr>
          <w:rFonts w:ascii="Arial" w:cs="Arial" w:eastAsia="Arial" w:hAnsi="Arial"/>
          <w:sz w:val="18"/>
          <w:szCs w:val="18"/>
          <w:color w:val="auto"/>
        </w:rPr>
      </w:pPr>
    </w:p>
    <w:p>
      <w:pPr>
        <w:ind w:left="332" w:right="60" w:firstLine="6"/>
        <w:spacing w:after="0" w:line="277" w:lineRule="auto"/>
        <w:tabs>
          <w:tab w:leader="none" w:pos="587" w:val="left"/>
        </w:tabs>
        <w:numPr>
          <w:ilvl w:val="1"/>
          <w:numId w:val="49"/>
        </w:numPr>
        <w:rPr>
          <w:rFonts w:ascii="Arial" w:cs="Arial" w:eastAsia="Arial" w:hAnsi="Arial"/>
          <w:sz w:val="18"/>
          <w:szCs w:val="18"/>
          <w:color w:val="auto"/>
        </w:rPr>
      </w:pPr>
      <w:r>
        <w:rPr>
          <w:rFonts w:ascii="Arial" w:cs="Arial" w:eastAsia="Arial" w:hAnsi="Arial"/>
          <w:sz w:val="18"/>
          <w:szCs w:val="18"/>
          <w:color w:val="auto"/>
        </w:rPr>
        <w:t>pursuant to an order of a court of competent jurisdiction or pursuant to any proper order or demand made by any competent authority or body where they are under a legal or regulatory obligation to make such a disclosure; and</w:t>
      </w:r>
    </w:p>
    <w:p>
      <w:pPr>
        <w:spacing w:after="0" w:line="75" w:lineRule="exact"/>
        <w:rPr>
          <w:rFonts w:ascii="Arial" w:cs="Arial" w:eastAsia="Arial" w:hAnsi="Arial"/>
          <w:sz w:val="18"/>
          <w:szCs w:val="18"/>
          <w:color w:val="auto"/>
        </w:rPr>
      </w:pPr>
    </w:p>
    <w:p>
      <w:pPr>
        <w:ind w:left="592" w:hanging="254"/>
        <w:spacing w:after="0"/>
        <w:tabs>
          <w:tab w:leader="none" w:pos="592" w:val="left"/>
        </w:tabs>
        <w:numPr>
          <w:ilvl w:val="1"/>
          <w:numId w:val="49"/>
        </w:numPr>
        <w:rPr>
          <w:rFonts w:ascii="Arial" w:cs="Arial" w:eastAsia="Arial" w:hAnsi="Arial"/>
          <w:sz w:val="18"/>
          <w:szCs w:val="18"/>
          <w:color w:val="auto"/>
        </w:rPr>
      </w:pPr>
      <w:r>
        <w:rPr>
          <w:rFonts w:ascii="Arial" w:cs="Arial" w:eastAsia="Arial" w:hAnsi="Arial"/>
          <w:sz w:val="18"/>
          <w:szCs w:val="18"/>
          <w:color w:val="auto"/>
        </w:rPr>
        <w:t>as far as necessary to implement and enforce any of the terms of this Letter Agreement.</w:t>
      </w:r>
    </w:p>
    <w:p>
      <w:pPr>
        <w:spacing w:after="0" w:line="131" w:lineRule="exact"/>
        <w:rPr>
          <w:sz w:val="20"/>
          <w:szCs w:val="20"/>
          <w:color w:val="auto"/>
        </w:rPr>
      </w:pPr>
    </w:p>
    <w:p>
      <w:pPr>
        <w:ind w:left="332"/>
        <w:spacing w:after="0"/>
        <w:rPr>
          <w:sz w:val="20"/>
          <w:szCs w:val="20"/>
          <w:color w:val="auto"/>
        </w:rPr>
      </w:pPr>
      <w:r>
        <w:rPr>
          <w:rFonts w:ascii="Arial" w:cs="Arial" w:eastAsia="Arial" w:hAnsi="Arial"/>
          <w:sz w:val="18"/>
          <w:szCs w:val="18"/>
          <w:color w:val="auto"/>
        </w:rPr>
        <w:t>The Parties are entitled to confirm the fact of, but not the terms of, settlement of the Dispute.</w:t>
      </w:r>
    </w:p>
    <w:p>
      <w:pPr>
        <w:spacing w:after="0" w:line="127" w:lineRule="exact"/>
        <w:rPr>
          <w:sz w:val="20"/>
          <w:szCs w:val="20"/>
          <w:color w:val="auto"/>
        </w:rPr>
      </w:pPr>
    </w:p>
    <w:p>
      <w:pPr>
        <w:ind w:left="332" w:hanging="332"/>
        <w:spacing w:after="0"/>
        <w:tabs>
          <w:tab w:leader="none" w:pos="332"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Dispute Resolution</w:t>
      </w:r>
    </w:p>
    <w:p>
      <w:pPr>
        <w:spacing w:after="0" w:line="134"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13.1 This Letter Agreement shall be governed by, and construed in accordance with English law.</w:t>
      </w:r>
    </w:p>
    <w:p>
      <w:pPr>
        <w:spacing w:after="0" w:line="130" w:lineRule="exact"/>
        <w:rPr>
          <w:rFonts w:ascii="Arial" w:cs="Arial" w:eastAsia="Arial" w:hAnsi="Arial"/>
          <w:sz w:val="18"/>
          <w:szCs w:val="18"/>
          <w:b w:val="1"/>
          <w:bCs w:val="1"/>
          <w:color w:val="auto"/>
        </w:rPr>
      </w:pPr>
    </w:p>
    <w:p>
      <w:pPr>
        <w:ind w:left="332" w:right="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13.2 Any controversy or claim arising out of or relating to this Letter Agreement, or the breach thereof, shall be settled by arbitration by a sole arbitrator administered by the American Arbitration Association under its Commercial Arbitration Rules, and judgment on the award rendered by the arbitrator may be entered in any court having jurisdiction thereof. Such arbitration shall be conducted in the English language in New York City.</w:t>
      </w:r>
    </w:p>
    <w:p>
      <w:pPr>
        <w:spacing w:after="0" w:line="48" w:lineRule="exact"/>
        <w:rPr>
          <w:rFonts w:ascii="Arial" w:cs="Arial" w:eastAsia="Arial" w:hAnsi="Arial"/>
          <w:sz w:val="18"/>
          <w:szCs w:val="18"/>
          <w:b w:val="1"/>
          <w:bCs w:val="1"/>
          <w:color w:val="auto"/>
        </w:rPr>
      </w:pPr>
    </w:p>
    <w:p>
      <w:pPr>
        <w:ind w:left="332" w:hanging="332"/>
        <w:spacing w:after="0"/>
        <w:tabs>
          <w:tab w:leader="none" w:pos="332"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Contracts (Rights of Third Parties) Act 1999</w:t>
      </w:r>
    </w:p>
    <w:p>
      <w:pPr>
        <w:spacing w:after="0" w:line="134" w:lineRule="exact"/>
        <w:rPr>
          <w:rFonts w:ascii="Arial" w:cs="Arial" w:eastAsia="Arial" w:hAnsi="Arial"/>
          <w:sz w:val="18"/>
          <w:szCs w:val="18"/>
          <w:b w:val="1"/>
          <w:bCs w:val="1"/>
          <w:color w:val="auto"/>
        </w:rPr>
      </w:pPr>
    </w:p>
    <w:p>
      <w:pPr>
        <w:ind w:left="332"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 other person who is not a party to this Letter Agreement shall have any rights, whether under the Contract (Rights of Third Parties) Act 1999 or otherwise, to enforce any terms of this Letter Agreement.</w:t>
      </w:r>
    </w:p>
    <w:p>
      <w:pPr>
        <w:spacing w:after="0" w:line="143"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1040" w:right="319" w:bottom="1440" w:gutter="0" w:footer="0" w:header="0"/>
        </w:sectPr>
      </w:pPr>
    </w:p>
    <w:bookmarkStart w:id="67" w:name="page68"/>
    <w:bookmarkEnd w:id="67"/>
    <w:p>
      <w:pPr>
        <w:ind w:left="340" w:hanging="332"/>
        <w:spacing w:after="0"/>
        <w:tabs>
          <w:tab w:leader="none" w:pos="3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Co-operation</w:t>
      </w:r>
    </w:p>
    <w:p>
      <w:pPr>
        <w:spacing w:after="0" w:line="134" w:lineRule="exact"/>
        <w:rPr>
          <w:rFonts w:ascii="Arial" w:cs="Arial" w:eastAsia="Arial" w:hAnsi="Arial"/>
          <w:sz w:val="18"/>
          <w:szCs w:val="18"/>
          <w:b w:val="1"/>
          <w:bCs w:val="1"/>
          <w:color w:val="auto"/>
        </w:rPr>
      </w:pPr>
    </w:p>
    <w:p>
      <w:pPr>
        <w:ind w:left="3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Parties shall deliver or cause to be delivered such instruments and other documents at such times and places as are reasonably necessary or desirable, and shall take any other action reasonably requested by the other Party for the purpose of putting this Letter Agreement into effect, including MannKind’s provision of appropriate purchase orders and a Letter of Intended Use in the form attached hereto as Schedule A, revised by MannKind as may be necessary to allow the Product to receive customs/FDA or other regulatory clearance. The parties shall fully cooperate with each other to provide feedback, comments, questions or other communications, if any, received from any governmental agency or authority with respect to any documents or requirements necessary for importation of the Product into the United States and shipment within the United States.</w:t>
      </w:r>
    </w:p>
    <w:p>
      <w:pPr>
        <w:spacing w:after="0" w:line="79" w:lineRule="exact"/>
        <w:rPr>
          <w:rFonts w:ascii="Arial" w:cs="Arial" w:eastAsia="Arial" w:hAnsi="Arial"/>
          <w:sz w:val="18"/>
          <w:szCs w:val="18"/>
          <w:b w:val="1"/>
          <w:bCs w:val="1"/>
          <w:color w:val="auto"/>
        </w:rPr>
      </w:pPr>
    </w:p>
    <w:p>
      <w:pPr>
        <w:ind w:left="340" w:hanging="332"/>
        <w:spacing w:after="0"/>
        <w:tabs>
          <w:tab w:leader="none" w:pos="3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134" w:lineRule="exact"/>
        <w:rPr>
          <w:rFonts w:ascii="Arial" w:cs="Arial" w:eastAsia="Arial" w:hAnsi="Arial"/>
          <w:sz w:val="18"/>
          <w:szCs w:val="18"/>
          <w:b w:val="1"/>
          <w:bCs w:val="1"/>
          <w:color w:val="auto"/>
        </w:rPr>
      </w:pPr>
    </w:p>
    <w:p>
      <w:pPr>
        <w:ind w:left="34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Letter Agreement may be signed in any number of counterparts, each of which, when executed and delivered, shall be an original and all of which together evidence the same Letter Agreement.</w:t>
      </w:r>
    </w:p>
    <w:p>
      <w:pPr>
        <w:spacing w:after="0" w:line="71" w:lineRule="exact"/>
        <w:rPr>
          <w:rFonts w:ascii="Arial" w:cs="Arial" w:eastAsia="Arial" w:hAnsi="Arial"/>
          <w:sz w:val="18"/>
          <w:szCs w:val="18"/>
          <w:b w:val="1"/>
          <w:bCs w:val="1"/>
          <w:color w:val="auto"/>
        </w:rPr>
      </w:pPr>
    </w:p>
    <w:p>
      <w:pPr>
        <w:ind w:left="340" w:hanging="332"/>
        <w:spacing w:after="0"/>
        <w:tabs>
          <w:tab w:leader="none" w:pos="3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Variation</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variation of this Letter Agreement shall be in writing and signed by or on behalf of each party.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this day caused this Letter Agreement to be executed by their duly authorized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N.V. Organon</w:t>
            </w:r>
          </w:p>
        </w:tc>
        <w:tc>
          <w:tcPr>
            <w:tcW w:w="6280" w:type="dxa"/>
            <w:vAlign w:val="bottom"/>
            <w:gridSpan w:val="2"/>
          </w:tcPr>
          <w:p>
            <w:pPr>
              <w:ind w:left="1140"/>
              <w:spacing w:after="0"/>
              <w:rPr>
                <w:sz w:val="20"/>
                <w:szCs w:val="20"/>
                <w:color w:val="auto"/>
              </w:rPr>
            </w:pPr>
            <w:r>
              <w:rPr>
                <w:rFonts w:ascii="Arial" w:cs="Arial" w:eastAsia="Arial" w:hAnsi="Arial"/>
                <w:sz w:val="18"/>
                <w:szCs w:val="18"/>
                <w:b w:val="1"/>
                <w:bCs w:val="1"/>
                <w:color w:val="auto"/>
              </w:rPr>
              <w:t>MannKind Corporation</w:t>
            </w:r>
          </w:p>
        </w:tc>
      </w:tr>
      <w:tr>
        <w:trPr>
          <w:trHeight w:val="432"/>
        </w:trPr>
        <w:tc>
          <w:tcPr>
            <w:tcW w:w="5140" w:type="dxa"/>
            <w:vAlign w:val="bottom"/>
            <w:gridSpan w:val="2"/>
          </w:tcPr>
          <w:p>
            <w:pPr>
              <w:spacing w:after="0"/>
              <w:rPr>
                <w:sz w:val="20"/>
                <w:szCs w:val="20"/>
                <w:color w:val="auto"/>
              </w:rPr>
            </w:pPr>
            <w:r>
              <w:rPr>
                <w:rFonts w:ascii="Arial" w:cs="Arial" w:eastAsia="Arial" w:hAnsi="Arial"/>
                <w:sz w:val="18"/>
                <w:szCs w:val="18"/>
                <w:color w:val="auto"/>
              </w:rPr>
              <w:t>By: /s/ Dr. Ir. Jan Smook</w:t>
            </w:r>
          </w:p>
        </w:tc>
        <w:tc>
          <w:tcPr>
            <w:tcW w:w="6280" w:type="dxa"/>
            <w:vAlign w:val="bottom"/>
            <w:gridSpan w:val="2"/>
          </w:tcPr>
          <w:p>
            <w:pPr>
              <w:ind w:left="1140"/>
              <w:spacing w:after="0"/>
              <w:rPr>
                <w:sz w:val="20"/>
                <w:szCs w:val="20"/>
                <w:color w:val="auto"/>
              </w:rPr>
            </w:pPr>
            <w:r>
              <w:rPr>
                <w:rFonts w:ascii="Arial" w:cs="Arial" w:eastAsia="Arial" w:hAnsi="Arial"/>
                <w:sz w:val="18"/>
                <w:szCs w:val="18"/>
                <w:color w:val="auto"/>
              </w:rPr>
              <w:t>By:  /s/ Hakan Edstrom</w:t>
            </w:r>
          </w:p>
        </w:tc>
      </w:tr>
      <w:tr>
        <w:trPr>
          <w:trHeight w:val="209"/>
        </w:trPr>
        <w:tc>
          <w:tcPr>
            <w:tcW w:w="380" w:type="dxa"/>
            <w:vAlign w:val="bottom"/>
          </w:tcPr>
          <w:p>
            <w:pPr>
              <w:spacing w:after="0"/>
              <w:rPr>
                <w:sz w:val="18"/>
                <w:szCs w:val="18"/>
                <w:color w:val="auto"/>
              </w:rPr>
            </w:pPr>
          </w:p>
        </w:tc>
        <w:tc>
          <w:tcPr>
            <w:tcW w:w="4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Dr. Ir. Jan Smook</w:t>
            </w:r>
          </w:p>
        </w:tc>
        <w:tc>
          <w:tcPr>
            <w:tcW w:w="1520" w:type="dxa"/>
            <w:vAlign w:val="bottom"/>
          </w:tcPr>
          <w:p>
            <w:pPr>
              <w:spacing w:after="0"/>
              <w:rPr>
                <w:sz w:val="18"/>
                <w:szCs w:val="18"/>
                <w:color w:val="auto"/>
              </w:rPr>
            </w:pPr>
          </w:p>
        </w:tc>
        <w:tc>
          <w:tcPr>
            <w:tcW w:w="4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Hakan Edstrom</w:t>
            </w:r>
          </w:p>
        </w:tc>
      </w:tr>
      <w:tr>
        <w:trPr>
          <w:trHeight w:val="216"/>
        </w:trPr>
        <w:tc>
          <w:tcPr>
            <w:tcW w:w="3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Title: Vice President Manufacturing</w:t>
            </w:r>
          </w:p>
        </w:tc>
        <w:tc>
          <w:tcPr>
            <w:tcW w:w="6280" w:type="dxa"/>
            <w:vAlign w:val="bottom"/>
            <w:gridSpan w:val="2"/>
          </w:tcPr>
          <w:p>
            <w:pPr>
              <w:ind w:left="1520"/>
              <w:spacing w:after="0"/>
              <w:rPr>
                <w:sz w:val="20"/>
                <w:szCs w:val="20"/>
                <w:color w:val="auto"/>
              </w:rPr>
            </w:pPr>
            <w:r>
              <w:rPr>
                <w:rFonts w:ascii="Arial" w:cs="Arial" w:eastAsia="Arial" w:hAnsi="Arial"/>
                <w:sz w:val="18"/>
                <w:szCs w:val="18"/>
                <w:color w:val="auto"/>
              </w:rPr>
              <w:t>Title: President &amp; COO</w:t>
            </w:r>
          </w:p>
        </w:tc>
      </w:tr>
      <w:tr>
        <w:trPr>
          <w:trHeight w:val="230"/>
        </w:trPr>
        <w:tc>
          <w:tcPr>
            <w:tcW w:w="38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Date: 24 June 2011</w:t>
            </w:r>
          </w:p>
        </w:tc>
        <w:tc>
          <w:tcPr>
            <w:tcW w:w="6280" w:type="dxa"/>
            <w:vAlign w:val="bottom"/>
            <w:gridSpan w:val="2"/>
          </w:tcPr>
          <w:p>
            <w:pPr>
              <w:ind w:left="1520"/>
              <w:spacing w:after="0"/>
              <w:rPr>
                <w:sz w:val="20"/>
                <w:szCs w:val="20"/>
                <w:color w:val="auto"/>
              </w:rPr>
            </w:pPr>
            <w:r>
              <w:rPr>
                <w:rFonts w:ascii="Arial" w:cs="Arial" w:eastAsia="Arial" w:hAnsi="Arial"/>
                <w:sz w:val="18"/>
                <w:szCs w:val="18"/>
                <w:color w:val="auto"/>
              </w:rPr>
              <w:t>Date: 6/23/2011</w:t>
            </w:r>
          </w:p>
        </w:tc>
      </w:tr>
      <w:tr>
        <w:trPr>
          <w:trHeight w:val="432"/>
        </w:trPr>
        <w:tc>
          <w:tcPr>
            <w:tcW w:w="5140" w:type="dxa"/>
            <w:vAlign w:val="bottom"/>
            <w:gridSpan w:val="2"/>
          </w:tcPr>
          <w:p>
            <w:pPr>
              <w:spacing w:after="0"/>
              <w:rPr>
                <w:sz w:val="20"/>
                <w:szCs w:val="20"/>
                <w:color w:val="auto"/>
              </w:rPr>
            </w:pPr>
            <w:r>
              <w:rPr>
                <w:rFonts w:ascii="Arial" w:cs="Arial" w:eastAsia="Arial" w:hAnsi="Arial"/>
                <w:sz w:val="18"/>
                <w:szCs w:val="18"/>
                <w:color w:val="auto"/>
              </w:rPr>
              <w:t>By: /s/ J.H.M. Pluymen</w:t>
            </w:r>
          </w:p>
        </w:tc>
        <w:tc>
          <w:tcPr>
            <w:tcW w:w="15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09"/>
        </w:trPr>
        <w:tc>
          <w:tcPr>
            <w:tcW w:w="380" w:type="dxa"/>
            <w:vAlign w:val="bottom"/>
          </w:tcPr>
          <w:p>
            <w:pPr>
              <w:spacing w:after="0"/>
              <w:rPr>
                <w:sz w:val="18"/>
                <w:szCs w:val="18"/>
                <w:color w:val="auto"/>
              </w:rPr>
            </w:pPr>
          </w:p>
        </w:tc>
        <w:tc>
          <w:tcPr>
            <w:tcW w:w="4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J.H.M. Pluymen</w:t>
            </w:r>
          </w:p>
        </w:tc>
        <w:tc>
          <w:tcPr>
            <w:tcW w:w="1520" w:type="dxa"/>
            <w:vAlign w:val="bottom"/>
          </w:tcPr>
          <w:p>
            <w:pPr>
              <w:spacing w:after="0"/>
              <w:rPr>
                <w:sz w:val="18"/>
                <w:szCs w:val="18"/>
                <w:color w:val="auto"/>
              </w:rPr>
            </w:pPr>
          </w:p>
        </w:tc>
        <w:tc>
          <w:tcPr>
            <w:tcW w:w="47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Title: Chairman of the Board</w:t>
            </w:r>
          </w:p>
        </w:tc>
        <w:tc>
          <w:tcPr>
            <w:tcW w:w="1520" w:type="dxa"/>
            <w:vAlign w:val="bottom"/>
          </w:tcPr>
          <w:p>
            <w:pPr>
              <w:spacing w:after="0"/>
              <w:rPr>
                <w:sz w:val="18"/>
                <w:szCs w:val="18"/>
                <w:color w:val="auto"/>
              </w:rPr>
            </w:pPr>
          </w:p>
        </w:tc>
        <w:tc>
          <w:tcPr>
            <w:tcW w:w="4760" w:type="dxa"/>
            <w:vAlign w:val="bottom"/>
          </w:tcPr>
          <w:p>
            <w:pPr>
              <w:spacing w:after="0"/>
              <w:rPr>
                <w:sz w:val="18"/>
                <w:szCs w:val="18"/>
                <w:color w:val="auto"/>
              </w:rPr>
            </w:pPr>
          </w:p>
        </w:tc>
      </w:tr>
      <w:tr>
        <w:trPr>
          <w:trHeight w:val="230"/>
        </w:trPr>
        <w:tc>
          <w:tcPr>
            <w:tcW w:w="38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Date: 24 June 2011</w:t>
            </w:r>
          </w:p>
        </w:tc>
        <w:tc>
          <w:tcPr>
            <w:tcW w:w="1520" w:type="dxa"/>
            <w:vAlign w:val="bottom"/>
          </w:tcPr>
          <w:p>
            <w:pPr>
              <w:spacing w:after="0"/>
              <w:rPr>
                <w:sz w:val="20"/>
                <w:szCs w:val="20"/>
                <w:color w:val="auto"/>
              </w:rPr>
            </w:pPr>
          </w:p>
        </w:tc>
        <w:tc>
          <w:tcPr>
            <w:tcW w:w="4760" w:type="dxa"/>
            <w:vAlign w:val="bottom"/>
          </w:tcPr>
          <w:p>
            <w:pPr>
              <w:spacing w:after="0"/>
              <w:rPr>
                <w:sz w:val="20"/>
                <w:szCs w:val="20"/>
                <w:color w:val="auto"/>
              </w:rPr>
            </w:pPr>
          </w:p>
        </w:tc>
      </w:tr>
      <w:tr>
        <w:trPr>
          <w:trHeight w:val="405"/>
        </w:trPr>
        <w:tc>
          <w:tcPr>
            <w:tcW w:w="3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520" w:type="dxa"/>
            <w:vAlign w:val="bottom"/>
          </w:tcPr>
          <w:p>
            <w:pPr>
              <w:ind w:left="520"/>
              <w:spacing w:after="0"/>
              <w:rPr>
                <w:sz w:val="20"/>
                <w:szCs w:val="20"/>
                <w:color w:val="auto"/>
              </w:rPr>
            </w:pPr>
            <w:r>
              <w:rPr>
                <w:rFonts w:ascii="Arial" w:cs="Arial" w:eastAsia="Arial" w:hAnsi="Arial"/>
                <w:sz w:val="18"/>
                <w:szCs w:val="18"/>
                <w:color w:val="auto"/>
              </w:rPr>
              <w:t>5</w:t>
            </w:r>
          </w:p>
        </w:tc>
        <w:tc>
          <w:tcPr>
            <w:tcW w:w="4760" w:type="dxa"/>
            <w:vAlign w:val="bottom"/>
          </w:tcPr>
          <w:p>
            <w:pPr>
              <w:spacing w:after="0"/>
              <w:rPr>
                <w:sz w:val="24"/>
                <w:szCs w:val="24"/>
                <w:color w:val="auto"/>
              </w:rPr>
            </w:pPr>
          </w:p>
        </w:tc>
      </w:tr>
    </w:tbl>
    <w:p>
      <w:pPr>
        <w:sectPr>
          <w:pgSz w:w="11900" w:h="16838" w:orient="portrait"/>
          <w:cols w:equalWidth="0" w:num="1">
            <w:col w:w="11420"/>
          </w:cols>
          <w:pgMar w:left="240" w:top="1040"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CERTIFICATION OF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Alfred E. Mann, certify that:</w:t>
      </w:r>
    </w:p>
    <w:p>
      <w:pPr>
        <w:spacing w:after="0" w:line="117" w:lineRule="exact"/>
        <w:rPr>
          <w:sz w:val="20"/>
          <w:szCs w:val="20"/>
          <w:color w:val="auto"/>
        </w:rPr>
      </w:pPr>
    </w:p>
    <w:p>
      <w:pPr>
        <w:ind w:left="180" w:hanging="172"/>
        <w:spacing w:after="0"/>
        <w:tabs>
          <w:tab w:leader="none" w:pos="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2011 of MannKind Corporation;</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40" w:firstLine="221"/>
        <w:spacing w:after="0" w:line="264" w:lineRule="auto"/>
        <w:tabs>
          <w:tab w:leader="none" w:pos="71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60" w:firstLine="221"/>
        <w:spacing w:after="0" w:line="264" w:lineRule="auto"/>
        <w:tabs>
          <w:tab w:leader="none" w:pos="7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20" w:firstLine="221"/>
        <w:spacing w:after="0" w:line="277" w:lineRule="auto"/>
        <w:tabs>
          <w:tab w:leader="none" w:pos="710"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60" w:firstLine="221"/>
        <w:spacing w:after="0" w:line="264" w:lineRule="auto"/>
        <w:tabs>
          <w:tab w:leader="none" w:pos="7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0" w:firstLine="221"/>
        <w:spacing w:after="0" w:line="277" w:lineRule="auto"/>
        <w:tabs>
          <w:tab w:leader="none" w:pos="71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60" w:firstLine="221"/>
        <w:spacing w:after="0" w:line="277" w:lineRule="auto"/>
        <w:tabs>
          <w:tab w:leader="none" w:pos="7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August 4, 2011</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Alfred E. Mann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Alfred E. Mann</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CERTIFICATION OF CHIEF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Matthew J. Pfeffer, certify that:</w:t>
      </w:r>
    </w:p>
    <w:p>
      <w:pPr>
        <w:spacing w:after="0" w:line="117" w:lineRule="exact"/>
        <w:rPr>
          <w:sz w:val="20"/>
          <w:szCs w:val="20"/>
          <w:color w:val="auto"/>
        </w:rPr>
      </w:pPr>
    </w:p>
    <w:p>
      <w:pPr>
        <w:ind w:left="180" w:hanging="172"/>
        <w:spacing w:after="0"/>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2011 of MannKind Corporation;</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40" w:firstLine="221"/>
        <w:spacing w:after="0" w:line="264" w:lineRule="auto"/>
        <w:tabs>
          <w:tab w:leader="none" w:pos="71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60" w:firstLine="221"/>
        <w:spacing w:after="0" w:line="264" w:lineRule="auto"/>
        <w:tabs>
          <w:tab w:leader="none" w:pos="7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20" w:firstLine="221"/>
        <w:spacing w:after="0" w:line="277" w:lineRule="auto"/>
        <w:tabs>
          <w:tab w:leader="none" w:pos="71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60" w:firstLine="221"/>
        <w:spacing w:after="0" w:line="264" w:lineRule="auto"/>
        <w:tabs>
          <w:tab w:leader="none" w:pos="7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0" w:firstLine="221"/>
        <w:spacing w:after="0" w:line="277" w:lineRule="auto"/>
        <w:tabs>
          <w:tab w:leader="none" w:pos="71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60" w:firstLine="221"/>
        <w:spacing w:after="0" w:line="277" w:lineRule="auto"/>
        <w:tabs>
          <w:tab w:leader="none" w:pos="7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August 4, 2011</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J. Pfeffer</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Matthew J. Pfeffer</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557"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color w:val="auto"/>
        </w:rPr>
        <w:t>EXHIBIT 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CHAPTER 63 OF TITLE 18 OF THE UNITED STATES CODE (18 U.S.C. § 1350)</w:t>
      </w:r>
    </w:p>
    <w:p>
      <w:pPr>
        <w:spacing w:after="0" w:line="10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connection with the filing of the quarterly report of MannKind Corporation (the “Company”) on Form 10-Q for the quarterly period ended June 30, 2011, as filed with the Securities and Exchange Commission on or about the date hereof to which this certification is attached as Exhibit 32 (the “Report”) and pursuant to the requirement set forth in Rule 13a-14(b) of the Securities Exchange Act of 1934, as amended (the “Exchange Act”), and Section 1350 of Chapter 63 of Title 18 of the United States Code (18 U.S.C. §1350), Alfred E. Mann, Chief Executive Officer of the Company, and Matthew J. Pfeffer, Chief Financial Officer of the Company, each hereby certifies that to the best of his knowledge:</w:t>
      </w:r>
    </w:p>
    <w:p>
      <w:pPr>
        <w:spacing w:after="0" w:line="64" w:lineRule="exact"/>
        <w:rPr>
          <w:sz w:val="20"/>
          <w:szCs w:val="20"/>
          <w:color w:val="auto"/>
        </w:rPr>
      </w:pPr>
    </w:p>
    <w:p>
      <w:pPr>
        <w:ind w:left="400" w:hanging="167"/>
        <w:spacing w:after="0"/>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17" w:lineRule="exact"/>
        <w:rPr>
          <w:rFonts w:ascii="Arial" w:cs="Arial" w:eastAsia="Arial" w:hAnsi="Arial"/>
          <w:sz w:val="18"/>
          <w:szCs w:val="18"/>
          <w:color w:val="auto"/>
        </w:rPr>
      </w:pPr>
    </w:p>
    <w:p>
      <w:pPr>
        <w:ind w:right="560" w:firstLine="233"/>
        <w:spacing w:after="0" w:line="375" w:lineRule="auto"/>
        <w:tabs>
          <w:tab w:leader="none" w:pos="40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4, 2011</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In witness whereof, the undersigned have set their hands hereto as of the 4</w:t>
      </w:r>
      <w:r>
        <w:rPr>
          <w:rFonts w:ascii="Arial" w:cs="Arial" w:eastAsia="Arial" w:hAnsi="Arial"/>
          <w:sz w:val="15"/>
          <w:szCs w:val="15"/>
          <w:color w:val="auto"/>
        </w:rPr>
        <w:t>th</w:t>
      </w:r>
      <w:r>
        <w:rPr>
          <w:rFonts w:ascii="Arial" w:cs="Arial" w:eastAsia="Arial" w:hAnsi="Arial"/>
          <w:sz w:val="18"/>
          <w:szCs w:val="18"/>
          <w:color w:val="auto"/>
        </w:rPr>
        <w:t xml:space="preserve"> day of August, 2011.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/s/ Alfred E. Mann</w:t>
            </w:r>
          </w:p>
        </w:tc>
        <w:tc>
          <w:tcPr>
            <w:tcW w:w="4620" w:type="dxa"/>
            <w:vAlign w:val="bottom"/>
            <w:gridSpan w:val="2"/>
          </w:tcPr>
          <w:p>
            <w:pPr>
              <w:ind w:left="360"/>
              <w:spacing w:after="0"/>
              <w:rPr>
                <w:sz w:val="20"/>
                <w:szCs w:val="20"/>
                <w:color w:val="auto"/>
              </w:rPr>
            </w:pPr>
            <w:r>
              <w:rPr>
                <w:rFonts w:ascii="Arial" w:cs="Arial" w:eastAsia="Arial" w:hAnsi="Arial"/>
                <w:sz w:val="18"/>
                <w:szCs w:val="18"/>
                <w:color w:val="auto"/>
              </w:rPr>
              <w:t>/s/ Matthew J. Pfeffer</w:t>
            </w:r>
          </w:p>
        </w:tc>
      </w:tr>
      <w:tr>
        <w:trPr>
          <w:trHeight w:val="209"/>
        </w:trPr>
        <w:tc>
          <w:tcPr>
            <w:tcW w:w="4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Alfred E. Mann</w:t>
            </w:r>
          </w:p>
        </w:tc>
        <w:tc>
          <w:tcPr>
            <w:tcW w:w="360" w:type="dxa"/>
            <w:vAlign w:val="bottom"/>
          </w:tcPr>
          <w:p>
            <w:pPr>
              <w:spacing w:after="0"/>
              <w:rPr>
                <w:sz w:val="18"/>
                <w:szCs w:val="18"/>
                <w:color w:val="auto"/>
              </w:rPr>
            </w:pPr>
          </w:p>
        </w:tc>
        <w:tc>
          <w:tcPr>
            <w:tcW w:w="4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Matthew J. Pfeffer</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620" w:type="dxa"/>
            <w:vAlign w:val="bottom"/>
            <w:gridSpan w:val="2"/>
          </w:tcPr>
          <w:p>
            <w:pPr>
              <w:ind w:left="360"/>
              <w:spacing w:after="0"/>
              <w:rPr>
                <w:sz w:val="20"/>
                <w:szCs w:val="20"/>
                <w:color w:val="auto"/>
              </w:rPr>
            </w:pPr>
            <w:r>
              <w:rPr>
                <w:rFonts w:ascii="Arial" w:cs="Arial" w:eastAsia="Arial" w:hAnsi="Arial"/>
                <w:sz w:val="18"/>
                <w:szCs w:val="18"/>
                <w:color w:val="auto"/>
              </w:rPr>
              <w:t>Chief Financial Officer</w:t>
            </w:r>
          </w:p>
        </w:tc>
      </w:tr>
    </w:tbl>
    <w:p>
      <w:pPr>
        <w:spacing w:after="0" w:line="94"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o"/>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1"/>
      <w:numFmt w:val="decimal"/>
      <w:start w:val="32"/>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1)"/>
      <w:numFmt w:val="decimal"/>
      <w:start w:val="1"/>
    </w:lvl>
  </w:abstractNum>
  <w:abstractNum w:abstractNumId="13">
    <w:nsid w:val="614FD4A1"/>
    <w:multiLevelType w:val="hybridMultilevel"/>
    <w:lvl w:ilvl="0">
      <w:lvlJc w:val="left"/>
      <w:lvlText w:val="(%1)"/>
      <w:numFmt w:val="decimal"/>
      <w:start w:val="6"/>
    </w:lvl>
  </w:abstractNum>
  <w:abstractNum w:abstractNumId="14">
    <w:nsid w:val="419AC241"/>
    <w:multiLevelType w:val="hybridMultilevel"/>
    <w:lvl w:ilvl="0">
      <w:lvlJc w:val="left"/>
      <w:lvlText w:val="%1."/>
      <w:numFmt w:val="decimal"/>
      <w:start w:val="1"/>
    </w:lvl>
    <w:lvl w:ilvl="1">
      <w:lvlJc w:val="left"/>
      <w:lvlText w:val="%2."/>
      <w:numFmt w:val="lowerLetter"/>
      <w:start w:val="1"/>
    </w:lvl>
  </w:abstractNum>
  <w:abstractNum w:abstractNumId="15">
    <w:nsid w:val="5577F8E1"/>
    <w:multiLevelType w:val="hybridMultilevel"/>
    <w:lvl w:ilvl="0">
      <w:lvlJc w:val="left"/>
      <w:lvlText w:val="%1."/>
      <w:numFmt w:val="decimal"/>
      <w:start w:val="3"/>
    </w:lvl>
  </w:abstractNum>
  <w:abstractNum w:abstractNumId="16">
    <w:nsid w:val="440BADFC"/>
    <w:multiLevelType w:val="hybridMultilevel"/>
    <w:lvl w:ilvl="0">
      <w:lvlJc w:val="left"/>
      <w:lvlText w:val="%1."/>
      <w:numFmt w:val="lowerLetter"/>
      <w:start w:val="1"/>
    </w:lvl>
  </w:abstractNum>
  <w:abstractNum w:abstractNumId="17">
    <w:nsid w:val="507236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lowerLetter"/>
      <w:start w:val="1"/>
    </w:lvl>
  </w:abstractNum>
  <w:abstractNum w:abstractNumId="18">
    <w:nsid w:val="3804823E"/>
    <w:multiLevelType w:val="hybridMultilevel"/>
    <w:lvl w:ilvl="0">
      <w:lvlJc w:val="left"/>
      <w:lvlText w:val="%1."/>
      <w:numFmt w:val="lowerLetter"/>
      <w:start w:val="2"/>
    </w:lvl>
    <w:lvl w:ilvl="1">
      <w:lvlJc w:val="left"/>
      <w:lvlText w:val="(%2)"/>
      <w:numFmt w:val="decimal"/>
      <w:start w:val="24"/>
    </w:lvl>
    <w:lvl w:ilvl="2">
      <w:lvlJc w:val="left"/>
      <w:lvlText w:val="(%3)"/>
      <w:numFmt w:val="lowerRoman"/>
      <w:start w:val="1"/>
    </w:lvl>
    <w:lvl w:ilvl="3">
      <w:lvlJc w:val="left"/>
      <w:lvlText w:val="%4"/>
      <w:numFmt w:val="lowerLetter"/>
      <w:start w:val="1"/>
    </w:lvl>
  </w:abstractNum>
  <w:abstractNum w:abstractNumId="19">
    <w:nsid w:val="77465F0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0">
    <w:nsid w:val="7724C67E"/>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1">
    <w:nsid w:val="5C482A97"/>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2">
    <w:nsid w:val="2463B9EA"/>
    <w:multiLevelType w:val="hybridMultilevel"/>
    <w:lvl w:ilvl="0">
      <w:lvlJc w:val="left"/>
      <w:lvlText w:val="%1."/>
      <w:numFmt w:val="decimal"/>
      <w:start w:val="8"/>
    </w:lvl>
  </w:abstractNum>
  <w:abstractNum w:abstractNumId="23">
    <w:nsid w:val="5E884ADC"/>
    <w:multiLevelType w:val="hybridMultilevel"/>
    <w:lvl w:ilvl="0">
      <w:lvlJc w:val="left"/>
      <w:lvlText w:val="%1."/>
      <w:numFmt w:val="lowerLetter"/>
      <w:start w:val="1"/>
    </w:lvl>
  </w:abstractNum>
  <w:abstractNum w:abstractNumId="24">
    <w:nsid w:val="51EAD36B"/>
    <w:multiLevelType w:val="hybridMultilevel"/>
    <w:lvl w:ilvl="0">
      <w:lvlJc w:val="left"/>
      <w:lvlText w:val="%1"/>
      <w:numFmt w:val="decimal"/>
      <w:start w:val="1"/>
    </w:lvl>
    <w:lvl w:ilvl="1">
      <w:lvlJc w:val="left"/>
      <w:lvlText w:val="%2."/>
      <w:numFmt w:val="lowerLetter"/>
      <w:start w:val="4"/>
    </w:lvl>
  </w:abstractNum>
  <w:abstractNum w:abstractNumId="25">
    <w:nsid w:val="2D517796"/>
    <w:multiLevelType w:val="hybridMultilevel"/>
    <w:lvl w:ilvl="0">
      <w:lvlJc w:val="left"/>
      <w:lvlText w:val="%1."/>
      <w:numFmt w:val="decimal"/>
      <w:start w:val="12"/>
    </w:lvl>
    <w:lvl w:ilvl="1">
      <w:lvlJc w:val="left"/>
      <w:lvlText w:val="%2"/>
      <w:numFmt w:val="lowerLetter"/>
      <w:start w:val="1"/>
    </w:lvl>
  </w:abstractNum>
  <w:abstractNum w:abstractNumId="26">
    <w:nsid w:val="580BD78F"/>
    <w:multiLevelType w:val="hybridMultilevel"/>
    <w:lvl w:ilvl="0">
      <w:lvlJc w:val="left"/>
      <w:lvlText w:val="%1."/>
      <w:numFmt w:val="decimal"/>
      <w:start w:val="15"/>
    </w:lvl>
    <w:lvl w:ilvl="1">
      <w:lvlJc w:val="left"/>
      <w:lvlText w:val="%2."/>
      <w:numFmt w:val="lowerLetter"/>
      <w:start w:val="1"/>
    </w:lvl>
  </w:abstractNum>
  <w:abstractNum w:abstractNumId="27">
    <w:nsid w:val="153EA438"/>
    <w:multiLevelType w:val="hybridMultilevel"/>
    <w:lvl w:ilvl="0">
      <w:lvlJc w:val="left"/>
      <w:lvlText w:val="%1"/>
      <w:numFmt w:val="decimal"/>
      <w:start w:val="1"/>
    </w:lvl>
    <w:lvl w:ilvl="1">
      <w:lvlJc w:val="left"/>
      <w:lvlText w:val="%2."/>
      <w:numFmt w:val="lowerLetter"/>
      <w:start w:val="2"/>
    </w:lvl>
  </w:abstractNum>
  <w:abstractNum w:abstractNumId="28">
    <w:nsid w:val="3855585C"/>
    <w:multiLevelType w:val="hybridMultilevel"/>
    <w:lvl w:ilvl="0">
      <w:lvlJc w:val="left"/>
      <w:lvlText w:val="%1."/>
      <w:numFmt w:val="decimal"/>
      <w:start w:val="22"/>
    </w:lvl>
    <w:lvl w:ilvl="1">
      <w:lvlJc w:val="left"/>
      <w:lvlText w:val="%2"/>
      <w:numFmt w:val="lowerLetter"/>
      <w:start w:val="1"/>
    </w:lvl>
  </w:abstractNum>
  <w:abstractNum w:abstractNumId="29">
    <w:nsid w:val="70A64E2A"/>
    <w:multiLevelType w:val="hybridMultilevel"/>
    <w:lvl w:ilvl="0">
      <w:lvlJc w:val="left"/>
      <w:lvlText w:val="%1."/>
      <w:numFmt w:val="decimal"/>
      <w:start w:val="23"/>
    </w:lvl>
  </w:abstractNum>
  <w:abstractNum w:abstractNumId="30">
    <w:nsid w:val="6A2342EC"/>
    <w:multiLevelType w:val="hybridMultilevel"/>
    <w:lvl w:ilvl="0">
      <w:lvlJc w:val="left"/>
      <w:lvlText w:val="%1."/>
      <w:numFmt w:val="decimal"/>
      <w:start w:val="24"/>
    </w:lvl>
  </w:abstractNum>
  <w:abstractNum w:abstractNumId="31">
    <w:nsid w:val="2A487CB0"/>
    <w:multiLevelType w:val="hybridMultilevel"/>
    <w:lvl w:ilvl="0">
      <w:lvlJc w:val="left"/>
      <w:lvlText w:val="%1."/>
      <w:numFmt w:val="decimal"/>
      <w:start w:val="25"/>
    </w:lvl>
  </w:abstractNum>
  <w:abstractNum w:abstractNumId="32">
    <w:nsid w:val="1D4ED43B"/>
    <w:multiLevelType w:val="hybridMultilevel"/>
    <w:lvl w:ilvl="0">
      <w:lvlJc w:val="left"/>
      <w:lvlText w:val="%1."/>
      <w:numFmt w:val="decimal"/>
      <w:start w:val="26"/>
    </w:lvl>
  </w:abstractNum>
  <w:abstractNum w:abstractNumId="33">
    <w:nsid w:val="725A06FB"/>
    <w:multiLevelType w:val="hybridMultilevel"/>
    <w:lvl w:ilvl="0">
      <w:lvlJc w:val="left"/>
      <w:lvlText w:val="%1."/>
      <w:numFmt w:val="decimal"/>
      <w:start w:val="27"/>
    </w:lvl>
  </w:abstractNum>
  <w:abstractNum w:abstractNumId="34">
    <w:nsid w:val="2CD89A32"/>
    <w:multiLevelType w:val="hybridMultilevel"/>
    <w:lvl w:ilvl="0">
      <w:lvlJc w:val="left"/>
      <w:lvlText w:val="%1."/>
      <w:numFmt w:val="decimal"/>
      <w:start w:val="28"/>
    </w:lvl>
  </w:abstractNum>
  <w:abstractNum w:abstractNumId="35">
    <w:nsid w:val="57E4CCAF"/>
    <w:multiLevelType w:val="hybridMultilevel"/>
    <w:lvl w:ilvl="0">
      <w:lvlJc w:val="left"/>
      <w:lvlText w:val="%1."/>
      <w:numFmt w:val="decimal"/>
      <w:start w:val="29"/>
    </w:lvl>
  </w:abstractNum>
  <w:abstractNum w:abstractNumId="36">
    <w:nsid w:val="7A6D8D3C"/>
    <w:multiLevelType w:val="hybridMultilevel"/>
    <w:lvl w:ilvl="0">
      <w:lvlJc w:val="left"/>
      <w:lvlText w:val="%1."/>
      <w:numFmt w:val="decimal"/>
      <w:start w:val="30"/>
    </w:lvl>
  </w:abstractNum>
  <w:abstractNum w:abstractNumId="37">
    <w:nsid w:val="4B588F54"/>
    <w:multiLevelType w:val="hybridMultilevel"/>
    <w:lvl w:ilvl="0">
      <w:lvlJc w:val="left"/>
      <w:lvlText w:val="%1."/>
      <w:numFmt w:val="decimal"/>
      <w:start w:val="31"/>
    </w:lvl>
  </w:abstractNum>
  <w:abstractNum w:abstractNumId="38">
    <w:nsid w:val="542289EC"/>
    <w:multiLevelType w:val="hybridMultilevel"/>
    <w:lvl w:ilvl="0">
      <w:lvlJc w:val="left"/>
      <w:lvlText w:val="%1."/>
      <w:numFmt w:val="decimal"/>
      <w:start w:val="1"/>
    </w:lvl>
  </w:abstractNum>
  <w:abstractNum w:abstractNumId="39">
    <w:nsid w:val="6DE91B18"/>
    <w:multiLevelType w:val="hybridMultilevel"/>
    <w:lvl w:ilvl="0">
      <w:lvlJc w:val="left"/>
      <w:lvlText w:val="%1."/>
      <w:numFmt w:val="decimal"/>
      <w:start w:val="4"/>
    </w:lvl>
  </w:abstractNum>
  <w:abstractNum w:abstractNumId="40">
    <w:nsid w:val="38437FDB"/>
    <w:multiLevelType w:val="hybridMultilevel"/>
    <w:lvl w:ilvl="0">
      <w:lvlJc w:val="left"/>
      <w:lvlText w:val="%1."/>
      <w:numFmt w:val="decimal"/>
      <w:start w:val="1"/>
    </w:lvl>
  </w:abstractNum>
  <w:abstractNum w:abstractNumId="41">
    <w:nsid w:val="7644A45C"/>
    <w:multiLevelType w:val="hybridMultilevel"/>
    <w:lvl w:ilvl="0">
      <w:lvlJc w:val="left"/>
      <w:lvlText w:val="%1."/>
      <w:numFmt w:val="decimal"/>
      <w:start w:val="4"/>
    </w:lvl>
  </w:abstractNum>
  <w:abstractNum w:abstractNumId="42">
    <w:nsid w:val="32FFF902"/>
    <w:multiLevelType w:val="hybridMultilevel"/>
    <w:lvl w:ilvl="0">
      <w:lvlJc w:val="left"/>
      <w:lvlText w:val="%1."/>
      <w:numFmt w:val="decimal"/>
      <w:start w:val="1"/>
    </w:lvl>
  </w:abstractNum>
  <w:abstractNum w:abstractNumId="43">
    <w:nsid w:val="684A481A"/>
    <w:multiLevelType w:val="hybridMultilevel"/>
    <w:lvl w:ilvl="0">
      <w:lvlJc w:val="left"/>
      <w:lvlText w:val="(%1)"/>
      <w:numFmt w:val="lowerLetter"/>
      <w:start w:val="1"/>
    </w:lvl>
  </w:abstractNum>
  <w:abstractNum w:abstractNumId="44">
    <w:nsid w:val="579478FE"/>
    <w:multiLevelType w:val="hybridMultilevel"/>
    <w:lvl w:ilvl="0">
      <w:lvlJc w:val="left"/>
      <w:lvlText w:val="(%1)"/>
      <w:numFmt w:val="lowerLetter"/>
      <w:start w:val="1"/>
    </w:lvl>
  </w:abstractNum>
  <w:abstractNum w:abstractNumId="45">
    <w:nsid w:val="749ABB43"/>
    <w:multiLevelType w:val="hybridMultilevel"/>
    <w:lvl w:ilvl="0">
      <w:lvlJc w:val="left"/>
      <w:lvlText w:val="%1."/>
      <w:numFmt w:val="decimal"/>
      <w:start w:val="4"/>
    </w:lvl>
    <w:lvl w:ilvl="1">
      <w:lvlJc w:val="left"/>
      <w:lvlText w:val="(%2)"/>
      <w:numFmt w:val="lowerLetter"/>
      <w:start w:val="1"/>
    </w:lvl>
  </w:abstractNum>
  <w:abstractNum w:abstractNumId="46">
    <w:nsid w:val="3DC240FB"/>
    <w:multiLevelType w:val="hybridMultilevel"/>
    <w:lvl w:ilvl="0">
      <w:lvlJc w:val="left"/>
      <w:lvlText w:val="%1."/>
      <w:numFmt w:val="decimal"/>
      <w:start w:val="5"/>
    </w:lvl>
  </w:abstractNum>
  <w:abstractNum w:abstractNumId="47">
    <w:nsid w:val="1BA026FA"/>
    <w:multiLevelType w:val="hybridMultilevel"/>
    <w:lvl w:ilvl="0">
      <w:lvlJc w:val="left"/>
      <w:lvlText w:val="%1."/>
      <w:numFmt w:val="decimal"/>
      <w:start w:val="8"/>
    </w:lvl>
  </w:abstractNum>
  <w:abstractNum w:abstractNumId="48">
    <w:nsid w:val="79A1DEAA"/>
    <w:multiLevelType w:val="hybridMultilevel"/>
    <w:lvl w:ilvl="0">
      <w:lvlJc w:val="left"/>
      <w:lvlText w:val="%1."/>
      <w:numFmt w:val="decimal"/>
      <w:start w:val="9"/>
    </w:lvl>
    <w:lvl w:ilvl="1">
      <w:lvlJc w:val="left"/>
      <w:lvlText w:val="(%2)"/>
      <w:numFmt w:val="lowerLetter"/>
      <w:start w:val="1"/>
    </w:lvl>
  </w:abstractNum>
  <w:abstractNum w:abstractNumId="49">
    <w:nsid w:val="75C6C33A"/>
    <w:multiLevelType w:val="hybridMultilevel"/>
    <w:lvl w:ilvl="0">
      <w:lvlJc w:val="left"/>
      <w:lvlText w:val="%1."/>
      <w:numFmt w:val="decimal"/>
      <w:start w:val="13"/>
    </w:lvl>
  </w:abstractNum>
  <w:abstractNum w:abstractNumId="50">
    <w:nsid w:val="12E685FB"/>
    <w:multiLevelType w:val="hybridMultilevel"/>
    <w:lvl w:ilvl="0">
      <w:lvlJc w:val="left"/>
      <w:lvlText w:val="%1."/>
      <w:numFmt w:val="decimal"/>
      <w:start w:val="15"/>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2019-12-10T11:54:56Z</dcterms:created>
  <dcterms:modified xsi:type="dcterms:W3CDTF">2019-12-10T11:54:56Z</dcterms:modified>
</cp:coreProperties>
</file>