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-151130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520" w:hanging="512"/>
        <w:spacing w:after="0" w:line="23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520"/>
        <w:spacing w:after="0" w:line="235" w:lineRule="auto"/>
        <w:rPr>
          <w:sz w:val="20"/>
          <w:szCs w:val="20"/>
          <w:color w:val="auto"/>
        </w:rPr>
      </w:pPr>
      <w:r>
        <w:rPr>
          <w:rFonts w:ascii="Arial" w:cs="Arial" w:eastAsia="Arial" w:hAnsi="Arial"/>
          <w:sz w:val="22"/>
          <w:szCs w:val="22"/>
          <w:b w:val="1"/>
          <w:bCs w:val="1"/>
          <w:color w:val="auto"/>
        </w:rPr>
        <w:t>1934</w:t>
      </w:r>
    </w:p>
    <w:tbl>
      <w:tblPr>
        <w:tblLayout w:type="fixed"/>
        <w:tblInd w:w="3660" w:type="dxa"/>
        <w:tblCellMar>
          <w:top w:w="0" w:type="dxa"/>
          <w:left w:w="0" w:type="dxa"/>
          <w:bottom w:w="0" w:type="dxa"/>
          <w:right w:w="0" w:type="dxa"/>
        </w:tblCellMar>
      </w:tblPr>
      <w:tr>
        <w:trPr>
          <w:trHeight w:val="174"/>
        </w:trPr>
        <w:tc>
          <w:tcPr>
            <w:tcW w:w="2380" w:type="dxa"/>
            <w:vAlign w:val="bottom"/>
          </w:tcPr>
          <w:p>
            <w:pPr>
              <w:spacing w:after="0" w:line="175" w:lineRule="exact"/>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5"/>
                <w:szCs w:val="15"/>
                <w:color w:val="auto"/>
              </w:rPr>
            </w:pPr>
          </w:p>
        </w:tc>
        <w:tc>
          <w:tcPr>
            <w:tcW w:w="240" w:type="dxa"/>
            <w:vAlign w:val="bottom"/>
          </w:tcPr>
          <w:p>
            <w:pPr>
              <w:ind w:left="40"/>
              <w:spacing w:after="0" w:line="175" w:lineRule="exact"/>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37"/>
        </w:trPr>
        <w:tc>
          <w:tcPr>
            <w:tcW w:w="4060" w:type="dxa"/>
            <w:vAlign w:val="bottom"/>
            <w:gridSpan w:val="4"/>
          </w:tcPr>
          <w:p>
            <w:pPr>
              <w:ind w:left="66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0"/>
                <w:szCs w:val="20"/>
                <w:color w:val="auto"/>
              </w:rPr>
            </w:pPr>
          </w:p>
        </w:tc>
      </w:tr>
    </w:tbl>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240" w:type="dxa"/>
            <w:vAlign w:val="bottom"/>
          </w:tcPr>
          <w:p>
            <w:pPr>
              <w:jc w:val="center"/>
              <w:ind w:right="33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31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574"/>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89"/>
              </w:rPr>
              <w:t>30930 Russell Ranch Road, Suite 301</w:t>
            </w:r>
          </w:p>
        </w:tc>
        <w:tc>
          <w:tcPr>
            <w:tcW w:w="1460" w:type="dxa"/>
            <w:vAlign w:val="bottom"/>
          </w:tcPr>
          <w:p>
            <w:pPr>
              <w:spacing w:after="0"/>
              <w:rPr>
                <w:sz w:val="24"/>
                <w:szCs w:val="24"/>
                <w:color w:val="auto"/>
              </w:rPr>
            </w:pPr>
          </w:p>
        </w:tc>
      </w:tr>
      <w:tr>
        <w:trPr>
          <w:trHeight w:val="225"/>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2"/>
              </w:rPr>
              <w:t>Westlake Village, California</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91362</w:t>
            </w:r>
          </w:p>
        </w:tc>
      </w:tr>
      <w:tr>
        <w:trPr>
          <w:trHeight w:val="153"/>
        </w:trPr>
        <w:tc>
          <w:tcPr>
            <w:tcW w:w="6240" w:type="dxa"/>
            <w:vAlign w:val="bottom"/>
          </w:tcPr>
          <w:p>
            <w:pPr>
              <w:jc w:val="center"/>
              <w:ind w:right="3299"/>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95"/>
              </w:rPr>
              <w:t>(Zip Code)</w:t>
            </w:r>
          </w:p>
        </w:tc>
      </w:tr>
      <w:tr>
        <w:trPr>
          <w:trHeight w:val="212"/>
        </w:trPr>
        <w:tc>
          <w:tcPr>
            <w:tcW w:w="6240" w:type="dxa"/>
            <w:vAlign w:val="bottom"/>
          </w:tcPr>
          <w:p>
            <w:pPr>
              <w:jc w:val="right"/>
              <w:ind w:right="1319"/>
              <w:spacing w:after="0"/>
              <w:rPr>
                <w:sz w:val="20"/>
                <w:szCs w:val="20"/>
                <w:color w:val="auto"/>
              </w:rPr>
            </w:pPr>
            <w:r>
              <w:rPr>
                <w:rFonts w:ascii="Arial" w:cs="Arial" w:eastAsia="Arial" w:hAnsi="Arial"/>
                <w:sz w:val="18"/>
                <w:szCs w:val="18"/>
                <w:b w:val="1"/>
                <w:bCs w:val="1"/>
                <w:color w:val="auto"/>
              </w:rPr>
              <w:t>(818) 661-5000</w:t>
            </w:r>
          </w:p>
        </w:tc>
        <w:tc>
          <w:tcPr>
            <w:tcW w:w="1460" w:type="dxa"/>
            <w:vAlign w:val="bottom"/>
          </w:tcPr>
          <w:p>
            <w:pPr>
              <w:spacing w:after="0"/>
              <w:rPr>
                <w:sz w:val="18"/>
                <w:szCs w:val="18"/>
                <w:color w:val="auto"/>
              </w:rPr>
            </w:pPr>
          </w:p>
        </w:tc>
      </w:tr>
      <w:tr>
        <w:trPr>
          <w:trHeight w:val="186"/>
        </w:trPr>
        <w:tc>
          <w:tcPr>
            <w:tcW w:w="6240" w:type="dxa"/>
            <w:vAlign w:val="bottom"/>
          </w:tcPr>
          <w:p>
            <w:pPr>
              <w:jc w:val="center"/>
              <w:ind w:left="22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5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52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4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8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4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3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24, 2018, there were 140,025,397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433705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64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40" w:type="dxa"/>
            <w:vAlign w:val="bottom"/>
            <w:gridSpan w:val="20"/>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March 31, 2018 and December 31, 2017</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Three months ended March 31, 2018 and 2017</w:t>
              </w:r>
            </w:hyperlink>
          </w:p>
        </w:tc>
        <w:tc>
          <w:tcPr>
            <w:tcW w:w="3500" w:type="dxa"/>
            <w:vAlign w:val="bottom"/>
            <w:gridSpan w:val="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8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Three months ended March 31, 2018 and 2017</w:t>
              </w:r>
            </w:hyperlink>
          </w:p>
        </w:tc>
        <w:tc>
          <w:tcPr>
            <w:tcW w:w="278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Three months ended March 31, 2018 and 2017</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460" w:type="dxa"/>
            <w:vAlign w:val="bottom"/>
            <w:gridSpan w:val="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20" w:type="dxa"/>
            <w:vAlign w:val="bottom"/>
            <w:gridSpan w:val="4"/>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4. Controls and Procedures</w:t>
              </w:r>
            </w:hyperlink>
          </w:p>
        </w:tc>
        <w:tc>
          <w:tcPr>
            <w:tcW w:w="8280" w:type="dxa"/>
            <w:vAlign w:val="bottom"/>
            <w:gridSpan w:val="1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1"/>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9040" w:type="dxa"/>
            <w:vAlign w:val="bottom"/>
            <w:gridSpan w:val="16"/>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Item 2. Unregistered Sales of Equity Securities and Use of Proceeds</w:t>
              </w:r>
            </w:hyperlink>
          </w:p>
        </w:tc>
        <w:tc>
          <w:tcPr>
            <w:tcW w:w="5720" w:type="dxa"/>
            <w:vAlign w:val="bottom"/>
            <w:gridSpan w:val="7"/>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3. Defaults Upon Senior Securities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Item 4. Mine Safety Disclosures</w:t>
              </w:r>
            </w:hyperlink>
          </w:p>
        </w:tc>
        <w:tc>
          <w:tcPr>
            <w:tcW w:w="560" w:type="dxa"/>
            <w:vAlign w:val="bottom"/>
            <w:tcBorders>
              <w:top w:val="single" w:sz="8" w:color="0000EE"/>
            </w:tcBorders>
            <w:gridSpan w:val="3"/>
          </w:tcPr>
          <w:p>
            <w:pPr>
              <w:spacing w:after="0"/>
              <w:rPr>
                <w:sz w:val="17"/>
                <w:szCs w:val="17"/>
                <w:color w:val="auto"/>
              </w:rPr>
            </w:pPr>
          </w:p>
        </w:tc>
        <w:tc>
          <w:tcPr>
            <w:tcW w:w="7740" w:type="dxa"/>
            <w:vAlign w:val="bottom"/>
            <w:gridSpan w:val="10"/>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Item 5. Other Information</w:t>
              </w:r>
            </w:hyperlink>
          </w:p>
        </w:tc>
        <w:tc>
          <w:tcPr>
            <w:tcW w:w="8760" w:type="dxa"/>
            <w:vAlign w:val="bottom"/>
            <w:gridSpan w:val="15"/>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6. Exhibits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SIGNATURES</w:t>
              </w:r>
            </w:hyperlink>
          </w:p>
        </w:tc>
        <w:tc>
          <w:tcPr>
            <w:tcW w:w="9480" w:type="dxa"/>
            <w:vAlign w:val="bottom"/>
            <w:gridSpan w:val="17"/>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669"/>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840" w:type="dxa"/>
            <w:vAlign w:val="bottom"/>
            <w:gridSpan w:val="13"/>
          </w:tcPr>
          <w:p>
            <w:pPr>
              <w:jc w:val="right"/>
              <w:ind w:right="26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14"/>
                <w:szCs w:val="1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6400" w:type="dxa"/>
            <w:vAlign w:val="bottom"/>
            <w:tcBorders>
              <w:top w:val="single" w:sz="8" w:color="CFF0FC"/>
            </w:tcBorders>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from commercial product sales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26,922</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r>
      <w:tr>
        <w:trPr>
          <w:trHeight w:val="26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61,877</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Borders>
              <w:bottom w:val="single" w:sz="8" w:color="CFF0FC"/>
            </w:tcBorders>
          </w:tcPr>
          <w:p>
            <w:pPr>
              <w:spacing w:after="0"/>
              <w:rPr>
                <w:sz w:val="22"/>
                <w:szCs w:val="22"/>
                <w:color w:val="auto"/>
              </w:rPr>
            </w:pPr>
          </w:p>
        </w:tc>
      </w:tr>
      <w:tr>
        <w:trPr>
          <w:trHeight w:val="210"/>
        </w:trPr>
        <w:tc>
          <w:tcPr>
            <w:tcW w:w="6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00" w:type="dxa"/>
            <w:vAlign w:val="bottom"/>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4,976</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6,984</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43,654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52,745</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Deferred payments from collaboration - current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20" w:type="dxa"/>
            <w:vAlign w:val="bottom"/>
            <w:shd w:val="clear" w:color="auto" w:fill="CFF0FC"/>
          </w:tcPr>
          <w:p>
            <w:pPr>
              <w:spacing w:after="0"/>
              <w:rPr>
                <w:sz w:val="19"/>
                <w:szCs w:val="19"/>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80,669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87,597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related party</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Accrued interest - note payable to related party</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96,694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97,585</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payments from collaboration - long term</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285,085</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299,307</w:t>
            </w:r>
          </w:p>
        </w:tc>
        <w:tc>
          <w:tcPr>
            <w:tcW w:w="120" w:type="dxa"/>
            <w:vAlign w:val="bottom"/>
            <w:shd w:val="clear" w:color="auto" w:fill="CFF0FC"/>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no shares issued or outstanding at March 31, 2018 and December 31, 2017</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- 280,000,000 shares authorized,</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126,013,051 and 119,053,414 shares issued and outstanding at</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2018 and December 31, 2017, respectively</w:t>
            </w: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FF0FC"/>
          </w:tcPr>
          <w:p>
            <w:pPr>
              <w:spacing w:after="0"/>
              <w:rPr>
                <w:sz w:val="20"/>
                <w:szCs w:val="20"/>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2,658,957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2,638,992</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(2,883,410)</w:t>
            </w: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(2,854,898)</w:t>
            </w:r>
          </w:p>
        </w:tc>
      </w:tr>
      <w:tr>
        <w:trPr>
          <w:trHeight w:val="223"/>
        </w:trPr>
        <w:tc>
          <w:tcPr>
            <w:tcW w:w="6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7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(223,208)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7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61,877</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3,402</w:t>
            </w:r>
          </w:p>
        </w:tc>
        <w:tc>
          <w:tcPr>
            <w:tcW w:w="280" w:type="dxa"/>
            <w:vAlign w:val="bottom"/>
          </w:tcPr>
          <w:p>
            <w:pPr>
              <w:spacing w:after="0"/>
              <w:rPr>
                <w:sz w:val="19"/>
                <w:szCs w:val="19"/>
                <w:color w:val="auto"/>
              </w:rPr>
            </w:pP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 collaboration</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Revenue - other</w:t>
            </w:r>
          </w:p>
        </w:tc>
        <w:tc>
          <w:tcPr>
            <w:tcW w:w="1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Expenses: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2,644</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20,618</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 on foreign currency translation</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30,254</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(26,789)</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(19,602)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1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(1,794)</w:t>
            </w:r>
          </w:p>
        </w:tc>
        <w:tc>
          <w:tcPr>
            <w:tcW w:w="1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 payable to related party</w:t>
            </w:r>
          </w:p>
        </w:tc>
        <w:tc>
          <w:tcPr>
            <w:tcW w:w="1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(1,114)</w:t>
            </w:r>
          </w:p>
        </w:tc>
        <w:tc>
          <w:tcPr>
            <w:tcW w:w="1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1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income</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(30,385)</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bottom w:val="single" w:sz="8" w:color="auto"/>
            </w:tcBorders>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(30,385)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(16,324)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vMerge w:val="continue"/>
          </w:tcPr>
          <w:p>
            <w:pPr>
              <w:spacing w:after="0"/>
              <w:rPr>
                <w:sz w:val="21"/>
                <w:szCs w:val="21"/>
                <w:color w:val="auto"/>
              </w:rPr>
            </w:pPr>
          </w:p>
        </w:tc>
        <w:tc>
          <w:tcPr>
            <w:tcW w:w="112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120,911</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4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(30,385)</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(16,324)</w:t>
            </w:r>
          </w:p>
        </w:tc>
        <w:tc>
          <w:tcPr>
            <w:tcW w:w="10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gain</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Borders>
              <w:top w:val="single" w:sz="8" w:color="auto"/>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(30,382)</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(16,324)</w:t>
            </w:r>
          </w:p>
        </w:tc>
        <w:tc>
          <w:tcPr>
            <w:tcW w:w="10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1000" w:type="dxa"/>
            <w:vAlign w:val="bottom"/>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(30,385)</w:t>
            </w:r>
          </w:p>
        </w:tc>
        <w:tc>
          <w:tcPr>
            <w:tcW w:w="114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(16,324)</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Depreciation, amortization and accretion</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706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Loss on extinguishment of debt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foreign currency translation</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Interest on note payable to related party</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warrant liability</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(6,629)</w:t>
            </w: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Write-off of inventory</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 net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receivable, net</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Receivable from Sanofi</w:t>
            </w:r>
          </w:p>
        </w:tc>
        <w:tc>
          <w:tcPr>
            <w:tcW w:w="10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Inventory</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(1,836)</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(1,367)</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Deferred costs from commercial product sales</w:t>
            </w:r>
          </w:p>
        </w:tc>
        <w:tc>
          <w:tcPr>
            <w:tcW w:w="10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Other assets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payable</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(2,008)</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(1,665)</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Accrued expenses and other current liabilities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2,675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revenue</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176"/>
        </w:trPr>
        <w:tc>
          <w:tcPr>
            <w:tcW w:w="7860" w:type="dxa"/>
            <w:vAlign w:val="bottom"/>
          </w:tcPr>
          <w:p>
            <w:pPr>
              <w:ind w:left="740"/>
              <w:spacing w:after="0"/>
              <w:rPr>
                <w:sz w:val="20"/>
                <w:szCs w:val="20"/>
                <w:color w:val="auto"/>
              </w:rPr>
            </w:pPr>
            <w:r>
              <w:rPr>
                <w:rFonts w:ascii="Arial" w:cs="Arial" w:eastAsia="Arial" w:hAnsi="Arial"/>
                <w:sz w:val="15"/>
                <w:szCs w:val="15"/>
                <w:color w:val="auto"/>
              </w:rPr>
              <w:t>Deferred payments from collaboration</w:t>
            </w:r>
          </w:p>
        </w:tc>
        <w:tc>
          <w:tcPr>
            <w:tcW w:w="10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(63)</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Recognized loss on purchase commitments</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(147)</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1000"/>
              <w:spacing w:after="0"/>
              <w:rPr>
                <w:sz w:val="20"/>
                <w:szCs w:val="20"/>
                <w:color w:val="auto"/>
              </w:rPr>
            </w:pPr>
            <w:r>
              <w:rPr>
                <w:rFonts w:ascii="Arial" w:cs="Arial" w:eastAsia="Arial" w:hAnsi="Arial"/>
                <w:sz w:val="15"/>
                <w:szCs w:val="15"/>
                <w:color w:val="auto"/>
              </w:rPr>
              <w:t>Net cash (used in) provided by operating activities</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(21,650)</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8,507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Net proceeds from sale of asset held for sale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16,651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FF0FC"/>
          </w:tcPr>
          <w:p>
            <w:pPr>
              <w:ind w:left="1000"/>
              <w:spacing w:after="0" w:line="169" w:lineRule="exact"/>
              <w:rPr>
                <w:sz w:val="20"/>
                <w:szCs w:val="20"/>
                <w:color w:val="auto"/>
              </w:rPr>
            </w:pPr>
            <w:r>
              <w:rPr>
                <w:rFonts w:ascii="Arial" w:cs="Arial" w:eastAsia="Arial" w:hAnsi="Arial"/>
                <w:sz w:val="15"/>
                <w:szCs w:val="15"/>
                <w:color w:val="auto"/>
              </w:rPr>
              <w:t>Net cash provided by investing activities</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16,651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employment taxes related to vested restricted stock units</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(81)</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76"/>
        </w:trPr>
        <w:tc>
          <w:tcPr>
            <w:tcW w:w="786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pursuant to at-the-market issuance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634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cost of at-the-market transactions</w:t>
            </w:r>
          </w:p>
        </w:tc>
        <w:tc>
          <w:tcPr>
            <w:tcW w:w="10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(25)</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1000"/>
              <w:spacing w:after="0"/>
              <w:rPr>
                <w:sz w:val="20"/>
                <w:szCs w:val="20"/>
                <w:color w:val="auto"/>
              </w:rPr>
            </w:pPr>
            <w:r>
              <w:rPr>
                <w:rFonts w:ascii="Arial" w:cs="Arial" w:eastAsia="Arial" w:hAnsi="Arial"/>
                <w:sz w:val="15"/>
                <w:szCs w:val="15"/>
                <w:color w:val="auto"/>
              </w:rPr>
              <w:t>Net cash provided by (used in) financing activities</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528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(DECREASE) INCREASE IN CASH AND CASH EQUIVALENTS AND RESTRICTED CASH</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(21,122)</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25,083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b w:val="1"/>
                <w:bCs w:val="1"/>
                <w:color w:val="auto"/>
              </w:rPr>
              <w:t>CASH AND CASH EQUIVALENTS AND RESTRICTED CASH, BEGINNING OF PERIOD</w:t>
            </w: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48,355</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22,895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AND CASH EQUIVALENTS AND RESTRICTED CASH, END OF PERIOD</w:t>
            </w:r>
          </w:p>
        </w:tc>
        <w:tc>
          <w:tcPr>
            <w:tcW w:w="1000" w:type="dxa"/>
            <w:vAlign w:val="bottom"/>
            <w:shd w:val="clear" w:color="auto" w:fill="CFF0FC"/>
          </w:tcPr>
          <w:p>
            <w:pPr>
              <w:jc w:val="right"/>
              <w:ind w:right="845"/>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27,233</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47,978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CASH FLOWS DISCLOSURES: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paid in cash, net of amounts capitalized</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1,860</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note obligations through common stock issuance</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9,407</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Payment of note payable to related party through common stock issuance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1000" w:type="dxa"/>
            <w:vAlign w:val="bottom"/>
          </w:tcPr>
          <w:p>
            <w:pPr>
              <w:jc w:val="right"/>
              <w:ind w:right="845"/>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8,160</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Accrued but unpaid debt issuance costs related to note payable to related party</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jc w:val="right"/>
              <w:ind w:right="845"/>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75</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2017 filed with the SEC on February 27, 2018 (the “Annual Report”).</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2018 may not be indicative of the results that may be expected for the full year.</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and gross-to-net adjustments, assessing long-lived assets for impairment, clinical trial expenses, inventory costing and recoverability, recognized loss on purchase commitments, milestone rights liability, stock-based compensation and the determination of the provision for income taxes and corresponding deferred tax assets and liabilities and the valuation allowance recorded against net deferred tax assets.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development and commercialization of inhaled therapeutic products for diseases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diabetes and pulmonary arterial hypertension. The Company’s only approved product, Afrezza (insulin human) Inhalation Powder, is a rapid-acting inhaled insulin that was approved by the U.S. Food and Drug Administration (the “FDA”) in June of 2014 to improve glycemic control in adults with diabetes.</w:t>
      </w:r>
    </w:p>
    <w:p>
      <w:pPr>
        <w:ind w:right="40"/>
        <w:spacing w:after="0" w:line="270" w:lineRule="auto"/>
        <w:rPr>
          <w:sz w:val="20"/>
          <w:szCs w:val="20"/>
          <w:color w:val="auto"/>
        </w:rPr>
      </w:pPr>
      <w:r>
        <w:rPr>
          <w:rFonts w:ascii="Arial" w:cs="Arial" w:eastAsia="Arial" w:hAnsi="Arial"/>
          <w:sz w:val="17"/>
          <w:szCs w:val="17"/>
          <w:color w:val="auto"/>
        </w:rPr>
        <w:t>Afrezza became available by prescription in U.S. retail pharmacies in February 2015. Pursuant to a license and collaboration agreement (the “Sanofi License Agreement”) between the Company and Sanofi-Aventis U.S. LLC (“Sanofi”), Sanofi was responsible for global commercial, regulatory and development activities associated with Afrezza from August 2014 to April 2016, after which these responsibilities transitioned back the Company. Currently, the Company promotes Afrezza to endocrinologists and certain high-prescribing primary care physicians in the United States through its own specialty sales force. Outside of the United States, subject to receipt of the necessary foreign regulatory approvals, the Company is seeking to establish regional partnerships for the commercialization of Afrezza in foreign jurisdictions where there are commercial opportunities.</w:t>
      </w:r>
    </w:p>
    <w:p>
      <w:pPr>
        <w:spacing w:after="0" w:line="17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accompanying condensed consolidated financial statements have been prepared assuming that the Company will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which contemplates the realization of assets and satisfaction of liabilities in the normal course of business. The Company is not currently profitable and has rarely generated positive net cash flow from operations. As of March 31, 2018, the Company had an accumulated deficit of $2.9 billion.</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March 31, 2018, the Company’s capital resources consisted of cash and cash equivalents of $26.7 million. The Company expects to continue to incur significant expenditures to support commercial manufacturing, sales and marketing of Afrezza and the development of product candidates in the Company’s pipeline. The facility agreement (the “Facility Agreement”) with Deerfield Private Design Fund II, L.P. (“Deerfield Private Design Fund”) and Deerfield Private Design International II, L.P. (collectively, “Deerfield”) that resulted in the issuance of 9.75% Senior Convertible Notes due 2019 (“2019 notes”) and the First Amendment to Facility Agreement and Registration Rights Agreement (the “First Amendment”) that resulted in the issuance of an additional tranche of 8.75% Senior Convertible Notes due 2019 (“Tranche B notes”) (see Note 7 — Borrowings) requires the Company to maintain at least $25.0 million in cash and cash equivalents or certain available borrowings (which are no longer available) as of the last day of each fiscal quarter.</w:t>
      </w:r>
    </w:p>
    <w:p>
      <w:pPr>
        <w:spacing w:after="0" w:line="17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of March 31, 2018, the Company has $140.2 million principal amount of outstanding borrowings. The Company has entered into certain transactions related to these borrowings during 2017 and 2018 that are more fully described in Note 6 — Related-Party Arrangements, and Note 7 – Borrowings.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60"/>
        <w:spacing w:after="0" w:line="271" w:lineRule="auto"/>
        <w:rPr>
          <w:sz w:val="20"/>
          <w:szCs w:val="20"/>
          <w:color w:val="auto"/>
        </w:rPr>
      </w:pPr>
      <w:r>
        <w:rPr>
          <w:rFonts w:ascii="Arial" w:cs="Arial" w:eastAsia="Arial" w:hAnsi="Arial"/>
          <w:sz w:val="17"/>
          <w:szCs w:val="17"/>
          <w:color w:val="auto"/>
        </w:rPr>
        <w:t>The Company’s current available cash and financing sources will not be sufficient to meet its current and anticipated cash requirements. The Company plans to raise additional capital, whether through a sale of equity or debt securities, a strategic business collaboration with another company,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Reverse Stock-Split </w:t>
      </w:r>
      <w:r>
        <w:rPr>
          <w:rFonts w:ascii="Arial" w:cs="Arial" w:eastAsia="Arial" w:hAnsi="Arial"/>
          <w:sz w:val="18"/>
          <w:szCs w:val="18"/>
          <w:color w:val="auto"/>
        </w:rPr>
        <w:t>- On March 1, 2017, following stockholder approval, the Company’s board of directors approved a 1-for-5 reverse stock split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On March 1, 2017, the Company filed with the Secretary of State of the State of Delaware a Certificate of Amendment of the Company’s Amended and Restated Certificate of Incorporation (the “Charter Amendment”) to effect the 1-for-5 reverse stock split of the Company’s outstanding common stock (the “Reverse Stock Split”) and to reduce the authorized number of shares of the Company’s common stock from 700,000,000 to 140,000,000 shares. The Company’s common stock began trading on the NASDAQ Global Market on a split-adjusted basis when the market opened on March 3, 2017.</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prior to March 3, 2017, all common stock share amounts included in these condensed consolidated financial statements have been retroactively reduced by a factor of five, and all common stock per share amounts have been increased by a factor of five, with the exception of the Company’s common stock par value.</w:t>
      </w:r>
    </w:p>
    <w:p>
      <w:pPr>
        <w:spacing w:after="0" w:line="18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the Company and its wholly-owned subsidiaries.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adopted Accounting Standards Codification (“ASC”) Topic 606 -</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(“the new</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guidance”), on January 1, 2018. Under Topic 606, the Company recognizes revenue when its customers obtain control of promised goods or services, in an amount that reflects the consideration which the Company expects to be entitled in exchange for those goods or services. See below for more information about the impact of adoption of the new revenue guidance.</w:t>
      </w:r>
    </w:p>
    <w:p>
      <w:pPr>
        <w:spacing w:after="0" w:line="21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three types of contracts with customers: contracts with wholesale distributors and specialty pharmacies for commercial product sales, collaboration arrangements, and arrangements with parties to whom it has sold intellectual property.</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These Customers subsequently resell the Company’s products to retail pharmacies and certain medical centers or hospitals.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a point in time (based on the terms of the relevant contracts which are at delivery for wholesale distributors and at shipment for specialty pharmacies). Product revenues are recorded net of applicable reserves for variable consideration, including discounts and allowances.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 w:name="page9"/>
    <w:bookmarkEnd w:id="8"/>
    <w:p>
      <w:pPr>
        <w:ind w:right="40"/>
        <w:spacing w:after="0" w:line="297" w:lineRule="auto"/>
        <w:rPr>
          <w:sz w:val="20"/>
          <w:szCs w:val="20"/>
          <w:color w:val="auto"/>
        </w:rPr>
      </w:pPr>
      <w:r>
        <w:rPr>
          <w:rFonts w:ascii="Arial" w:cs="Arial" w:eastAsia="Arial" w:hAnsi="Arial"/>
          <w:sz w:val="16"/>
          <w:szCs w:val="16"/>
          <w:i w:val="1"/>
          <w:iCs w:val="1"/>
          <w:color w:val="auto"/>
        </w:rPr>
        <w:t xml:space="preserve">Voucher Program – </w:t>
      </w:r>
      <w:r>
        <w:rPr>
          <w:rFonts w:ascii="Arial" w:cs="Arial" w:eastAsia="Arial" w:hAnsi="Arial"/>
          <w:sz w:val="16"/>
          <w:szCs w:val="16"/>
          <w:color w:val="auto"/>
        </w:rPr>
        <w:t>Under the voucher program, potential new patients are given vouchers which they can provide to retailers for a free product. The retailers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the product to the patient for free and pay the wholesaler for the product, who pays the Company. The retailers submit the vouchers to a program administrator which pays the retailer for the product. The administrator then invoices the Company for the amount of vouchers paid plus a fee. Accordingly, on a net basis, it is not probable that the Company will receive the consideration to which it is entitled for these products. Therefore, the Company excludes such amounts from both gross and net revenue. The cost of product associated with the voucher program is included in cost of goods sold.</w:t>
      </w:r>
    </w:p>
    <w:p>
      <w:pPr>
        <w:spacing w:after="0" w:line="1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Revenues from product sales are recorded at the net sales price (transaction price), which includes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analyses also contemplates application of the constraint in accordance with the guidance, under which it determined a material reversal of revenue would not occur in a future period for the estimates detailed below as of March 31, 2018 and, therefore, the transaction price was not reduced further during the three months ended March 31, 2018.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8" w:lineRule="exact"/>
        <w:rPr>
          <w:sz w:val="20"/>
          <w:szCs w:val="20"/>
          <w:color w:val="auto"/>
        </w:rPr>
      </w:pPr>
    </w:p>
    <w:p>
      <w:pPr>
        <w:ind w:left="760" w:right="60"/>
        <w:spacing w:after="0" w:line="29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 fees, such as prompt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 reduction to accounts receivable, net.</w:t>
      </w:r>
    </w:p>
    <w:p>
      <w:pPr>
        <w:spacing w:after="0" w:line="158" w:lineRule="exact"/>
        <w:rPr>
          <w:sz w:val="20"/>
          <w:szCs w:val="20"/>
          <w:color w:val="auto"/>
        </w:rPr>
      </w:pPr>
    </w:p>
    <w:p>
      <w:pPr>
        <w:ind w:left="760"/>
        <w:spacing w:after="0" w:line="273"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twelve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 currently estimates that 2.46% of products will be returned.</w:t>
      </w:r>
    </w:p>
    <w:p>
      <w:pPr>
        <w:spacing w:after="0" w:line="178" w:lineRule="exact"/>
        <w:rPr>
          <w:sz w:val="20"/>
          <w:szCs w:val="20"/>
          <w:color w:val="auto"/>
        </w:rPr>
      </w:pPr>
    </w:p>
    <w:p>
      <w:pPr>
        <w:ind w:left="760" w:right="20"/>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 Chargebacks for fees and discounts to providers represent the estimated obligations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 w:name="page10"/>
    <w:bookmarkEnd w:id="9"/>
    <w:p>
      <w:pPr>
        <w:ind w:left="760"/>
        <w:spacing w:after="0" w:line="272"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state Medicaid programs and Medicare. These reserves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78" w:lineRule="exact"/>
        <w:rPr>
          <w:sz w:val="20"/>
          <w:szCs w:val="20"/>
          <w:color w:val="auto"/>
        </w:rPr>
      </w:pPr>
    </w:p>
    <w:p>
      <w:pPr>
        <w:ind w:left="760"/>
        <w:spacing w:after="0" w:line="259" w:lineRule="auto"/>
        <w:rPr>
          <w:sz w:val="20"/>
          <w:szCs w:val="20"/>
          <w:color w:val="auto"/>
        </w:rPr>
      </w:pPr>
      <w:r>
        <w:rPr>
          <w:rFonts w:ascii="Arial" w:cs="Arial" w:eastAsia="Arial" w:hAnsi="Arial"/>
          <w:sz w:val="18"/>
          <w:szCs w:val="18"/>
          <w:i w:val="1"/>
          <w:iCs w:val="1"/>
          <w:color w:val="auto"/>
        </w:rPr>
        <w:t xml:space="preserve">Payor Rebates </w:t>
      </w:r>
      <w:r>
        <w:rPr>
          <w:rFonts w:ascii="Arial" w:cs="Arial" w:eastAsia="Arial" w:hAnsi="Arial"/>
          <w:sz w:val="18"/>
          <w:szCs w:val="18"/>
          <w:color w:val="auto"/>
        </w:rPr>
        <w:t>— The Company contracts with certain private payor organizations, primarily insurance companies and pharmacy benefit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187" w:lineRule="exact"/>
        <w:rPr>
          <w:sz w:val="20"/>
          <w:szCs w:val="20"/>
          <w:color w:val="auto"/>
        </w:rPr>
      </w:pPr>
    </w:p>
    <w:p>
      <w:pPr>
        <w:ind w:left="760" w:right="60"/>
        <w:spacing w:after="0" w:line="293"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 Other incentives which the Company offers include voluntary patient support programs, such as the Company's co-pay</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2017, prior to the adoption of Topic 606, the ending balance for net deferred revenue, was $3.0 million, on the Company’s condensed consolidated balance sheets which is presented net of $1.5 million in gross-to-net revenue adjustments. On January 1, 2018, deferred revenue was adjusted to zero as a result of the adoption of Topic 606 as disclosed below. For the three months ended March 31, 2018 and 2017, shipments to three wholesale distributors represented 87% and 93% of total shipments, respectively.</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Revenue Recognition – Net Revenue – Collaborations </w:t>
      </w:r>
      <w:r>
        <w:rPr>
          <w:rFonts w:ascii="Arial" w:cs="Arial" w:eastAsia="Arial" w:hAnsi="Arial"/>
          <w:sz w:val="17"/>
          <w:szCs w:val="17"/>
          <w:color w:val="auto"/>
        </w:rPr>
        <w:t>— The Company enters into out-licensing agreements under which the Company licenses certain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to its product candidates to third parties. The terms of these arrangements may include payment to the Company of one or more of the following: non-refundable, up-front license fees; development, regulatory, and commercial milestone payments; payments for manufacturing supply services the Company provides; and royalties on net sales of licensed products and sublicenses of the rights. Each of these payments may result in license, collaboration, or other revenue, except revenue from royalties on net sales of licensed products, which would be classified as royalty revenue.</w:t>
      </w:r>
    </w:p>
    <w:p>
      <w:pPr>
        <w:spacing w:after="0" w:line="21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 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will evaluate the measure of progress each reporting period and, if necessary, adjust the measure of performance and related revenue recognition. Revenue from licenses of intellectual property is included in Net revenue - Collaboration in the condensed consolidated statement of operations.</w:t>
      </w:r>
    </w:p>
    <w:p>
      <w:pPr>
        <w:spacing w:after="0" w:line="1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 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generally considered as options. The Company assesses if these options provide a material right to the licensee and, if so, they are accounted for as separate performance obligations. If the Company is entitled to additional payments when the licensee exercises these options, any additional payments are recorded in license, collaboration, or other revenue when the customer obtains control of the goods, which is upon delivery.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licensing arrangements that include sales-based royalties, including milestone payments based on the level of sales, and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the Company recognizes revenue at the later of (i) when the related sales occur, or (ii) when the performance obligation to which some or all the royalty has been allocated has been satisfied (or partially satisfied). For sales of intellectual property that include sales-based royalties, the Company estimates the amount of variable consideration that it will receive from the sales-based royalty. The Company has not recognized any royalty revenue resulting from the sale of its intellectual property in 2017 which is more fully described in Note 9, Sale of Intellectual Property.</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Revenue Recognition — Revenue — Other </w:t>
      </w:r>
      <w:r>
        <w:rPr>
          <w:rFonts w:ascii="Arial" w:cs="Arial" w:eastAsia="Arial" w:hAnsi="Arial"/>
          <w:sz w:val="18"/>
          <w:szCs w:val="18"/>
          <w:color w:val="auto"/>
        </w:rPr>
        <w:t>— For the three months ended March 31, 2017, revenue-other consists of $1.7 million of revenue from bulk</w:t>
      </w:r>
      <w:r>
        <w:rPr>
          <w:rFonts w:ascii="Arial" w:cs="Arial" w:eastAsia="Arial" w:hAnsi="Arial"/>
          <w:sz w:val="18"/>
          <w:szCs w:val="18"/>
          <w:i w:val="1"/>
          <w:iCs w:val="1"/>
          <w:color w:val="auto"/>
        </w:rPr>
        <w:t xml:space="preserve"> </w:t>
      </w:r>
      <w:r>
        <w:rPr>
          <w:rFonts w:ascii="Arial" w:cs="Arial" w:eastAsia="Arial" w:hAnsi="Arial"/>
          <w:sz w:val="18"/>
          <w:szCs w:val="18"/>
          <w:color w:val="auto"/>
        </w:rPr>
        <w:t>insulin sales.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A significant component of cost of goods sold is current period manufacturing costs in excess of costs capitalized into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(excess capacity costs). These costs, in addition to the impact of the annual revaluation of inventory to standard costs (and the annual revaluation of deferred costs of commercial sales to standard costs in 2017), and write-offs of inventory (and write-offs of deferred costs of commercial sales in 2017) are recorded as expenses in the period in which they are incurred, rather than as a portion of inventory costs. Cost of goods sold also includes the standard cost related to Afrezza sold during the period and related variances.</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 The Company records restricted cash when cash and cash equivalents are restricted as to withdrawal or usage. The Company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restricted cash that will be available for use within twelve months of the reporting date as restricted cash in current assets. Restricted cash amounts that will not be available for use in the Company’s operations within twelve months of the reporting date are presented as restricted cash in long term assets.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w:t>
      </w:r>
      <w:r>
        <w:rPr>
          <w:rFonts w:ascii="Arial" w:cs="Arial" w:eastAsia="Arial" w:hAnsi="Arial"/>
          <w:sz w:val="16"/>
          <w:szCs w:val="16"/>
          <w:i w:val="1"/>
          <w:iCs w:val="1"/>
          <w:color w:val="auto"/>
        </w:rPr>
        <w:t xml:space="preserve"> </w:t>
      </w:r>
      <w:r>
        <w:rPr>
          <w:rFonts w:ascii="Arial" w:cs="Arial" w:eastAsia="Arial" w:hAnsi="Arial"/>
          <w:sz w:val="16"/>
          <w:szCs w:val="16"/>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records rent expense for leases that contain scheduled rent increases on a straight-line basis over the lease term which begins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 at which the Company obtains control and possession of the leased property.</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 term purchase commitments should be accrued. Losses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is $112.3 million as of March 31, 2018. No new contracts were identified in 2018 or 2017 that required a new loss on purchase commitment accrual.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ind w:right="1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3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 loss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primarily reflected in research and development expenses in the accompanying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statements 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condensed consolidated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The computation of basic and diluted net loss per share for the three months ended March 31, 2018 and 2017 excludes the common stock equivalents of the following potentially dilutive securities because their inclusion would be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50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62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1,073,036</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709,004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Conversion of convertible notes into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14,154,500</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814,561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related party notes into common</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18,743,500</w:t>
            </w:r>
          </w:p>
        </w:tc>
        <w:tc>
          <w:tcPr>
            <w:tcW w:w="2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31,856</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9,740,597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111,020</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Exercise of common stock options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7,212,239</w:t>
            </w:r>
          </w:p>
        </w:tc>
        <w:tc>
          <w:tcPr>
            <w:tcW w:w="26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5,941,408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41,326,151</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17,237,029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Impact of Adoption of the New Revenue Guidance </w:t>
      </w:r>
      <w:r>
        <w:rPr>
          <w:rFonts w:ascii="Arial" w:cs="Arial" w:eastAsia="Arial" w:hAnsi="Arial"/>
          <w:sz w:val="18"/>
          <w:szCs w:val="18"/>
          <w:color w:val="auto"/>
        </w:rPr>
        <w:t>– The Company applied the new revenue guidance using the modified retrospective approach to all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cumulative effect of initial application recognized as of January 1, 2018. The comparative information has not been restated and continues to be accounted for under the previous accounting guidance.</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previous accounting guidance required the Company to reliably estimate returns in order to recognize revenue upon shipment. While the Company could estimate returns within a range, it was not sufficiently precise to meet those requirements. Accordingly, under the previous guidance, the Company deferred recognition of revenue on Afrezza product deliveries to wholesalers until the right of return no longer existed, which occurred at the earlier of the time Afrezza was dispensed from pharmacies to patients or expiration of the right of return. Therefore, for deliveries to wholesalers, the Company recognized revenue based on estimated Afrezza patient prescriptions dispensed, a sell-through model.</w:t>
      </w:r>
    </w:p>
    <w:p>
      <w:pPr>
        <w:spacing w:after="0" w:line="1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Upon adoption of the new revenue guidance, the Company moved from the sell-through model to a sell-to model for revenue related to commercial sales of Afrezza to wholesalers and now records revenue when its customers take control of the product along with an estimate of potential returns as variable consideration. For sales of Afrezza to specialty pharmacies, the Company previously recognized revenue at the time of shipment because specialty pharmacies generally purchase on demand and estimated returns are minimal. Therefore, there was no impact upon adoption for sales to specialty pharmacies.</w:t>
      </w:r>
    </w:p>
    <w:p>
      <w:pPr>
        <w:spacing w:after="0" w:line="19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Additionally, the Company has historically entered into collaborative agreements and sales of intellectual property to third parties under which periodic payments have been received. In February 2017, the FASB issued ASU 2017-05 </w:t>
      </w:r>
      <w:r>
        <w:rPr>
          <w:rFonts w:ascii="Arial" w:cs="Arial" w:eastAsia="Arial" w:hAnsi="Arial"/>
          <w:sz w:val="17"/>
          <w:szCs w:val="17"/>
          <w:i w:val="1"/>
          <w:iCs w:val="1"/>
          <w:color w:val="auto"/>
        </w:rPr>
        <w:t>Clarifying the Scope of Asset Derecognition Guidance and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Partial Sales of Nonfinancial Assets to ASC Subtopic 610-20, Other Income-Gains and Losses from the Derecognition of Nonfinancial Assets </w:t>
      </w:r>
      <w:r>
        <w:rPr>
          <w:rFonts w:ascii="Arial" w:cs="Arial" w:eastAsia="Arial" w:hAnsi="Arial"/>
          <w:sz w:val="17"/>
          <w:szCs w:val="17"/>
          <w:color w:val="auto"/>
        </w:rPr>
        <w:t>which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clarified the new revenue recognition guidance under ASC Topic 606. The Company adopted the guidance on January 1, 2018 using the modified retrospective method. There was no impact upon adoption related to these arrangements. These transactions are more fully described in Note 8 - Collaborative Arrangements and Note 9 - Sale of Intellectual Property.</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effect of the changes made to the condensed consolidated January 1, 2018 balance sheet for the adoption of the new revenue guidance were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Adjustments due to</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4"/>
              </w:rPr>
              <w:t>Balance at January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w w:val="96"/>
              </w:rPr>
              <w:t>new revenue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guidance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1, 2018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8"/>
              <w:spacing w:after="0" w:line="230" w:lineRule="exact"/>
              <w:rPr>
                <w:sz w:val="20"/>
                <w:szCs w:val="20"/>
                <w:color w:val="auto"/>
              </w:rPr>
            </w:pPr>
            <w:r>
              <w:rPr>
                <w:rFonts w:ascii="Arial" w:cs="Arial" w:eastAsia="Arial" w:hAnsi="Arial"/>
                <w:sz w:val="17"/>
                <w:szCs w:val="17"/>
                <w:color w:val="auto"/>
              </w:rPr>
              <w:t xml:space="preserve">(111) </w:t>
            </w:r>
            <w:r>
              <w:rPr>
                <w:rFonts w:ascii="Arial" w:cs="Arial" w:eastAsia="Arial" w:hAnsi="Arial"/>
                <w:sz w:val="26"/>
                <w:szCs w:val="26"/>
                <w:color w:val="auto"/>
                <w:vertAlign w:val="superscript"/>
              </w:rPr>
              <w:t>(1)</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costs from commercial product sales</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8"/>
              <w:spacing w:after="0" w:line="230" w:lineRule="exact"/>
              <w:rPr>
                <w:sz w:val="20"/>
                <w:szCs w:val="20"/>
                <w:color w:val="auto"/>
              </w:rPr>
            </w:pPr>
            <w:r>
              <w:rPr>
                <w:rFonts w:ascii="Arial" w:cs="Arial" w:eastAsia="Arial" w:hAnsi="Arial"/>
                <w:sz w:val="17"/>
                <w:szCs w:val="17"/>
                <w:color w:val="auto"/>
              </w:rPr>
              <w:t xml:space="preserve">(405) </w:t>
            </w:r>
            <w:r>
              <w:rPr>
                <w:rFonts w:ascii="Arial" w:cs="Arial" w:eastAsia="Arial" w:hAnsi="Arial"/>
                <w:sz w:val="26"/>
                <w:szCs w:val="26"/>
                <w:color w:val="auto"/>
                <w:vertAlign w:val="superscript"/>
              </w:rPr>
              <w:t>(2)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3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12,449</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8"/>
              <w:spacing w:after="0" w:line="230" w:lineRule="exact"/>
              <w:rPr>
                <w:sz w:val="20"/>
                <w:szCs w:val="20"/>
                <w:color w:val="auto"/>
              </w:rPr>
            </w:pPr>
            <w:r>
              <w:rPr>
                <w:rFonts w:ascii="Arial" w:cs="Arial" w:eastAsia="Arial" w:hAnsi="Arial"/>
                <w:sz w:val="17"/>
                <w:szCs w:val="17"/>
                <w:color w:val="auto"/>
              </w:rPr>
              <w:t xml:space="preserve">(3,038) </w:t>
            </w:r>
            <w:r>
              <w:rPr>
                <w:rFonts w:ascii="Arial" w:cs="Arial" w:eastAsia="Arial" w:hAnsi="Arial"/>
                <w:sz w:val="26"/>
                <w:szCs w:val="26"/>
                <w:color w:val="auto"/>
                <w:vertAlign w:val="superscript"/>
              </w:rPr>
              <w:t>(4)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6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Equity</w:t>
            </w:r>
          </w:p>
        </w:tc>
        <w:tc>
          <w:tcPr>
            <w:tcW w:w="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(2,854,898)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1,873</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(2,853,025)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establish a reserve for product returns</w:t>
      </w:r>
    </w:p>
    <w:p>
      <w:pPr>
        <w:spacing w:after="0" w:line="23"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eliminate deferred costs from commercial product sales previously required by the sell-through method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left="900" w:hanging="514"/>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To record additional accrual for estimated voucher payments related to inventory remaining in the distribution channel at January 1, 2018</w:t>
      </w:r>
    </w:p>
    <w:p>
      <w:pPr>
        <w:spacing w:after="0" w:line="34" w:lineRule="exact"/>
        <w:rPr>
          <w:rFonts w:ascii="Arial" w:cs="Arial" w:eastAsia="Arial" w:hAnsi="Arial"/>
          <w:sz w:val="17"/>
          <w:szCs w:val="17"/>
          <w:i w:val="1"/>
          <w:iCs w:val="1"/>
          <w:color w:val="auto"/>
        </w:rPr>
      </w:pPr>
    </w:p>
    <w:p>
      <w:pPr>
        <w:ind w:left="900" w:hanging="514"/>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To eliminate deferred revenue previously required by the sell-through method</w:t>
      </w:r>
    </w:p>
    <w:p>
      <w:pPr>
        <w:spacing w:after="0" w:line="9" w:lineRule="exact"/>
        <w:rPr>
          <w:rFonts w:ascii="Arial" w:cs="Arial" w:eastAsia="Arial" w:hAnsi="Arial"/>
          <w:sz w:val="18"/>
          <w:szCs w:val="18"/>
          <w:i w:val="1"/>
          <w:iCs w:val="1"/>
          <w:color w:val="auto"/>
        </w:rPr>
      </w:pPr>
    </w:p>
    <w:p>
      <w:pPr>
        <w:ind w:left="900" w:hanging="514"/>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To record the net impact of (1)-(4) in opening accumulated deficit</w:t>
      </w:r>
    </w:p>
    <w:p>
      <w:pPr>
        <w:spacing w:after="0" w:line="2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accordance with the new revenue guidance, the disclosure of the impact of adoption on the condensed consolidated balance sheet and the condensed consolidated statement of operations and cash flows was as follows (in thousands):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Condensed Consolidated Balance Sheet</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6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For the three months ended March 31,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0"/>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top w:val="single" w:sz="8" w:color="CFF0FC"/>
            </w:tcBorders>
            <w:gridSpan w:val="7"/>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Accounts receivable, net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1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Deferred costs from commercial product sales</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3360" w:type="dxa"/>
            <w:vAlign w:val="bottom"/>
            <w:tcBorders>
              <w:bottom w:val="single" w:sz="8" w:color="CFF0FC"/>
            </w:tcBorders>
            <w:gridSpan w:val="2"/>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15,930</w:t>
            </w:r>
          </w:p>
        </w:tc>
        <w:tc>
          <w:tcPr>
            <w:tcW w:w="1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Equity</w:t>
            </w: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(2,883,410)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(2,884,738)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5"/>
              </w:rPr>
              <w:t>Condensed Consolidated Statement of Operations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6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For the three months ended March 31,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0"/>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top w:val="single" w:sz="8" w:color="CFF0FC"/>
            </w:tcBorders>
            <w:gridSpan w:val="7"/>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Net revenue - commercial product sales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b w:val="1"/>
                <w:bCs w:val="1"/>
                <w:color w:val="auto"/>
              </w:rPr>
              <w:t>Expenses</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Condensed Consolidated Statement of Cash</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7"/>
          </w:tcPr>
          <w:p>
            <w:pPr>
              <w:ind w:left="120"/>
              <w:spacing w:after="0"/>
              <w:rPr>
                <w:sz w:val="20"/>
                <w:szCs w:val="20"/>
                <w:color w:val="auto"/>
              </w:rPr>
            </w:pPr>
            <w:r>
              <w:rPr>
                <w:rFonts w:ascii="Arial" w:cs="Arial" w:eastAsia="Arial" w:hAnsi="Arial"/>
                <w:sz w:val="18"/>
                <w:szCs w:val="18"/>
                <w:b w:val="1"/>
                <w:bCs w:val="1"/>
                <w:i w:val="1"/>
                <w:iCs w:val="1"/>
                <w:color w:val="auto"/>
              </w:rPr>
              <w:t>Flows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6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For the three months ended March 31,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0"/>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900" w:type="dxa"/>
            <w:vAlign w:val="bottom"/>
            <w:tcBorders>
              <w:top w:val="single" w:sz="8" w:color="CFF0FC"/>
              <w:bottom w:val="single" w:sz="8" w:color="auto"/>
            </w:tcBorders>
            <w:gridSpan w:val="6"/>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Cash Flows from Operating Activities</w:t>
            </w:r>
          </w:p>
        </w:tc>
        <w:tc>
          <w:tcPr>
            <w:tcW w:w="1220" w:type="dxa"/>
            <w:vAlign w:val="bottom"/>
            <w:tcBorders>
              <w:top w:val="single" w:sz="8" w:color="CFF0FC"/>
              <w:bottom w:val="single" w:sz="8" w:color="CFF0FC"/>
            </w:tcBorders>
            <w:shd w:val="clear" w:color="auto" w:fill="CFF0FC"/>
          </w:tcPr>
          <w:p>
            <w:pPr>
              <w:spacing w:after="0"/>
              <w:rPr>
                <w:sz w:val="17"/>
                <w:szCs w:val="17"/>
                <w:color w:val="auto"/>
              </w:rPr>
            </w:pP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18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(30,385)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Change in:</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Deferred costs from commercial product sales</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Cash (used in) provided by operating activities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(21,650)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(21,648)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w:t>
      </w:r>
      <w:r>
        <w:rPr>
          <w:rFonts w:ascii="Arial" w:cs="Arial" w:eastAsia="Arial" w:hAnsi="Arial"/>
          <w:sz w:val="18"/>
          <w:szCs w:val="18"/>
          <w:color w:val="auto"/>
        </w:rPr>
        <w:t>2). The new standard requires that all lessees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4" w:name="page15"/>
    <w:bookmarkEnd w:id="14"/>
    <w:p>
      <w:pPr>
        <w:ind w:right="260"/>
        <w:spacing w:after="0" w:line="259" w:lineRule="auto"/>
        <w:rPr>
          <w:sz w:val="20"/>
          <w:szCs w:val="20"/>
          <w:color w:val="auto"/>
        </w:rPr>
      </w:pPr>
      <w:r>
        <w:rPr>
          <w:rFonts w:ascii="Arial" w:cs="Arial" w:eastAsia="Arial" w:hAnsi="Arial"/>
          <w:sz w:val="18"/>
          <w:szCs w:val="18"/>
          <w:color w:val="auto"/>
        </w:rPr>
        <w:t>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Wholesaler distribution fees and prompt pay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discounts</w:t>
            </w:r>
          </w:p>
        </w:tc>
        <w:tc>
          <w:tcPr>
            <w:tcW w:w="18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2017 the Company did not have a return reserve as the Company was on the sell-through method (as described in Note 1 – Description of Business and Significant Accounting Policies).</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 xml:space="preserve">As of March 31, 2018 and December 31, 2017, the allowance for doubtful accounts was </w:t>
      </w:r>
      <w:r>
        <w:rPr>
          <w:rFonts w:ascii="Arial" w:cs="Arial" w:eastAsia="Arial" w:hAnsi="Arial"/>
          <w:sz w:val="17"/>
          <w:szCs w:val="17"/>
          <w:i w:val="1"/>
          <w:iCs w:val="1"/>
          <w:color w:val="auto"/>
        </w:rPr>
        <w:t>de minimis</w:t>
      </w:r>
      <w:r>
        <w:rPr>
          <w:rFonts w:ascii="Arial" w:cs="Arial" w:eastAsia="Arial" w:hAnsi="Arial"/>
          <w:sz w:val="17"/>
          <w:szCs w:val="17"/>
          <w:color w:val="auto"/>
        </w:rPr>
        <w:t>. As of March 31, 2018 and December 31, 2017, the Company had three wholesale distributors representing approximately 90% and 93% of gross accounts receivable,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Work-in-process and finished goods as of March 31, 2018 and December 31, 2017 are substantially all conversion costs because the materials used in its production were previously written off.</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March 31, 2018. For the three months ended March 31, 2018 the Company recorded a $0.6 million charge to write-off inventory that may expire prior to sale which was recorded as cost of goods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rPr>
              <w:t>Estimated Useful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40" w:type="dxa"/>
            <w:vAlign w:val="bottom"/>
          </w:tcPr>
          <w:p>
            <w:pPr>
              <w:jc w:val="right"/>
              <w:ind w:right="294"/>
              <w:spacing w:after="0"/>
              <w:rPr>
                <w:sz w:val="20"/>
                <w:szCs w:val="20"/>
                <w:color w:val="auto"/>
              </w:rPr>
            </w:pPr>
            <w:r>
              <w:rPr>
                <w:rFonts w:ascii="Arial" w:cs="Arial" w:eastAsia="Arial" w:hAnsi="Arial"/>
                <w:sz w:val="14"/>
                <w:szCs w:val="14"/>
                <w:b w:val="1"/>
                <w:bCs w:val="1"/>
                <w:color w:val="auto"/>
              </w:rPr>
              <w:t>Life (Years)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w:t>
            </w:r>
          </w:p>
        </w:tc>
        <w:tc>
          <w:tcPr>
            <w:tcW w:w="1440" w:type="dxa"/>
            <w:vAlign w:val="bottom"/>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8,416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127,874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1140"/>
              <w:spacing w:after="0"/>
              <w:rPr>
                <w:sz w:val="20"/>
                <w:szCs w:val="20"/>
                <w:color w:val="auto"/>
              </w:rPr>
            </w:pPr>
            <w:r>
              <w:rPr>
                <w:rFonts w:ascii="Arial" w:cs="Arial" w:eastAsia="Arial" w:hAnsi="Arial"/>
                <w:sz w:val="18"/>
                <w:szCs w:val="18"/>
                <w:color w:val="auto"/>
              </w:rPr>
              <w:t>Less accumulated depreciation</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(100,943)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(100,952)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40" w:type="dxa"/>
            <w:vAlign w:val="bottom"/>
            <w:vMerge w:val="restart"/>
          </w:tcPr>
          <w:p>
            <w:pPr>
              <w:jc w:val="right"/>
              <w:ind w:right="974"/>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Depreciation expense related to property and equipment for the three months ended March 31, 2018 and 2017 was as follows (in thousands):</w:t>
      </w:r>
    </w:p>
    <w:p>
      <w:pPr>
        <w:spacing w:after="0" w:line="298"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6350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2" w:lineRule="exact"/>
        <w:rPr>
          <w:sz w:val="20"/>
          <w:szCs w:val="20"/>
          <w:color w:val="auto"/>
        </w:rPr>
      </w:pPr>
    </w:p>
    <w:p>
      <w:pPr>
        <w:ind w:left="7200"/>
        <w:spacing w:after="0"/>
        <w:tabs>
          <w:tab w:leader="none" w:pos="8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6350</wp:posOffset>
            </wp:positionV>
            <wp:extent cx="50685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5" w:lineRule="exact"/>
        <w:rPr>
          <w:sz w:val="20"/>
          <w:szCs w:val="20"/>
          <w:color w:val="auto"/>
        </w:rPr>
      </w:pPr>
    </w:p>
    <w:p>
      <w:pPr>
        <w:ind w:left="1720"/>
        <w:spacing w:after="0"/>
        <w:tabs>
          <w:tab w:leader="none" w:pos="6640" w:val="left"/>
          <w:tab w:leader="none" w:pos="7740" w:val="left"/>
          <w:tab w:leader="none" w:pos="8220" w:val="left"/>
          <w:tab w:leader="none" w:pos="932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441</w:t>
        <w:tab/>
        <w:t>$</w:t>
      </w:r>
      <w:r>
        <w:rPr>
          <w:sz w:val="20"/>
          <w:szCs w:val="20"/>
          <w:color w:val="auto"/>
        </w:rPr>
        <w:tab/>
      </w:r>
      <w:r>
        <w:rPr>
          <w:rFonts w:ascii="Arial" w:cs="Arial" w:eastAsia="Arial" w:hAnsi="Arial"/>
          <w:sz w:val="16"/>
          <w:szCs w:val="16"/>
          <w:color w:val="auto"/>
        </w:rPr>
        <w:t>446</w:t>
      </w:r>
    </w:p>
    <w:p>
      <w:pPr>
        <w:spacing w:after="0" w:line="22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three months ended March 31, 2018, the Company disposed of $0.4 million of certain furniture, fixtures and office equipment which ceased being used. The items disposed were fully depreciated. Therefore, the cost and associated accumulated depreciation for these items was removed from the balance sheet.</w:t>
      </w:r>
    </w:p>
    <w:p>
      <w:pPr>
        <w:spacing w:after="0" w:line="2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January 6, 2017, the Company and Rexford Industrial Realty, L.P. (“Rexford”) entered into an Agreement of Purchase and 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The sale and purchase of the Property for $17.3 million pursuant to the terms of the Purchase Agreement, as amended, was completed on February 17, 2017. Net proceeds were $16.7 million after deducting broker’s commission and other fees of approximately $0.6 million paid by the Company. Net proceeds received approximated the carrying value of the asset held for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FF0FC"/>
          </w:tcPr>
          <w:p>
            <w:pPr>
              <w:spacing w:after="0"/>
              <w:rPr>
                <w:sz w:val="19"/>
                <w:szCs w:val="19"/>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Discounts and allowances for commercial product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FF0FC"/>
            </w:tcBorders>
          </w:tcPr>
          <w:p>
            <w:pPr>
              <w:spacing w:after="0"/>
              <w:rPr>
                <w:sz w:val="19"/>
                <w:szCs w:val="19"/>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Accrued salary and related expenses includes $0.8 million in selling, general and administrative costs related to transitioning certain corporate support functions from Connecticut to the corporate headquarters in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Related party debt consist of the following (in thousands):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Unamortized premium</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Unaccreted debt issuance costs</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October 2007, the Company entered into a loan arrangement (the “Mann Group Loan Arrangement”) with The Mann Group LLC (the “The Mann Group”), which has been amended from time to time. At that time, Alfred Mann, the Company’s then Chairman and Chief Executive Officer, was the managing member of The Mann Group LLC. On October 31, 2013, the promissory note underlying the Mann Group Loan Arrangement, described in the Company’s condensed consolidated balance sheets as Note Payable to Related Party,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100"/>
        <w:spacing w:after="0" w:line="293" w:lineRule="auto"/>
        <w:rPr>
          <w:sz w:val="20"/>
          <w:szCs w:val="20"/>
          <w:color w:val="auto"/>
        </w:rPr>
      </w:pPr>
      <w:r>
        <w:rPr>
          <w:rFonts w:ascii="Arial" w:cs="Arial" w:eastAsia="Arial" w:hAnsi="Arial"/>
          <w:sz w:val="16"/>
          <w:szCs w:val="16"/>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March 11, 2018, the Company amended and restated the Mann Group Loan Arrangement with The Mann Group to, among other things, (i) reflect the current outstanding principal balance of the existing loan of $71.5 million, after giving effect to the partial cancelation of principal in exchange for shares of the Company’s common stock described below; (ii) extend the maturity date of the loan to July 1, 2021; (iii) for periods beginning after April 1, 2018 require interest to compound quarterly; and (iv) permit the principal and any accrued and unpaid interest under the Mann Group Loan Arrangement to be converted, at the option of The Mann Group, at any time on or prior to close of business on the business day immediately preceding the stated maturity date, into shares of the Company’s common stock. The conversion rate of 250 shares per $1,000 principal amount of the Note, which is equal to $4.00 per share subject to adjustment under certain circumstances as described in the Mann Group Loan Arrangement.</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analyzed this amendment and concluded that the transaction represented an extinguishment of the related party note and recorded a $0.8 million loss on extinguishment of debt. As a result of the extinguishment the Company recorded a debt premium of $0.8 million and debt issuance costs of $0.1 million for the three months ended March 31, 2018.</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11, 2018, the Company and The Mann Group entered into a common stock purchase agreement pursuant to which the Company agreed to issue to The Mann Group and The Mann Group agreed to purchase 3,000,000 shares of the Company’s common stock at a price per share of $2.72 which represented the closing price of the Company’s common stock on March 9, 2018. As payment for the purchase price for the shares, The Mann Group agreed to cancel $8.2 million in principal amount under the Mann Group Loan Arrangement, with the principal payment to be reflected in the amended and restated Mann Group Loan Arrangement. The purchased shares were issued in a private placement.</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Interest, at a fixed rate of 5.84%, is due and payable quarterly in arrears on the first day of each calendar quarter for the preceding quarter, or at such other time as the Company and The Mann Group mutually agree. Under the agreement, accrued and unpaid interest may be paid-in-kind. The Mann Group can require the Company to prepay up to $200.0 million in advances that have been outstanding for at least 12 months, less approximately $113.2 million aggregate principal amount that has been cancelled in connection with three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March 31, 2018 and December 31, 2017, the Company had accrued unpaid interest related to the above note of $3.5 million and $2.3 million, respectively. As of March 31, 2018 and December 31, 2017 there were no additional amounts available for future borrowings. Interest expense (excluding the amortization of debt premium and debt issuance costs) for the three months ended March 31, 2018 and 2017 was as follows (in thousands):</w:t>
      </w:r>
    </w:p>
    <w:p>
      <w:pPr>
        <w:spacing w:after="0" w:line="219"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6350</wp:posOffset>
            </wp:positionV>
            <wp:extent cx="2444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62" w:lineRule="exact"/>
        <w:rPr>
          <w:sz w:val="20"/>
          <w:szCs w:val="20"/>
          <w:color w:val="auto"/>
        </w:rPr>
      </w:pPr>
    </w:p>
    <w:p>
      <w:pPr>
        <w:ind w:left="7620"/>
        <w:spacing w:after="0"/>
        <w:tabs>
          <w:tab w:leader="none" w:pos="9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651764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5" w:lineRule="exact"/>
        <w:rPr>
          <w:sz w:val="20"/>
          <w:szCs w:val="20"/>
          <w:color w:val="auto"/>
        </w:rPr>
      </w:pPr>
    </w:p>
    <w:p>
      <w:pPr>
        <w:ind w:left="580"/>
        <w:spacing w:after="0"/>
        <w:tabs>
          <w:tab w:leader="none" w:pos="6860" w:val="left"/>
          <w:tab w:leader="none" w:pos="8240" w:val="left"/>
          <w:tab w:leader="none" w:pos="8920" w:val="left"/>
          <w:tab w:leader="none" w:pos="10440" w:val="left"/>
        </w:tabs>
        <w:rPr>
          <w:sz w:val="20"/>
          <w:szCs w:val="20"/>
          <w:color w:val="auto"/>
        </w:rPr>
      </w:pPr>
      <w:r>
        <w:rPr>
          <w:rFonts w:ascii="Arial" w:cs="Arial" w:eastAsia="Arial" w:hAnsi="Arial"/>
          <w:sz w:val="18"/>
          <w:szCs w:val="18"/>
          <w:color w:val="auto"/>
        </w:rPr>
        <w:t>Interest expense on note payable to related party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1,122</w:t>
        <w:tab/>
        <w:t>$</w:t>
      </w:r>
      <w:r>
        <w:rPr>
          <w:sz w:val="20"/>
          <w:szCs w:val="20"/>
          <w:color w:val="auto"/>
        </w:rPr>
        <w:tab/>
      </w:r>
      <w:r>
        <w:rPr>
          <w:rFonts w:ascii="Arial" w:cs="Arial" w:eastAsia="Arial" w:hAnsi="Arial"/>
          <w:sz w:val="15"/>
          <w:szCs w:val="15"/>
          <w:color w:val="auto"/>
        </w:rPr>
        <w:t>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30480</wp:posOffset>
            </wp:positionV>
            <wp:extent cx="2444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7" w:name="page18"/>
    <w:bookmarkEnd w:id="17"/>
    <w:p>
      <w:pPr>
        <w:ind w:right="16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related party notes for the three months ended March 31, 2018 and 2017 are as follows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38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308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5"/>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11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11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3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2015, the Company entered into a sublease agreement with the Alfred Mann Foundation for Scientific Research (the “Mann Foundation”), a California not-for-profit corporation. The lease was for approximately 12,500 square feet of office space in Valencia, California, which expired in April 2017 and was renewed on a month-to-month basis at a rate of $20,000 per month until August 31, 2017 at which time the Company moved into its new corporate headquarters in Westlake Village, California (see Note 12 — Commitments and Contingencies). Lease payments to the Mann Foundation for the three months ended March 31, 2017 were $62,000.</w:t>
      </w:r>
    </w:p>
    <w:p>
      <w:pPr>
        <w:spacing w:after="0" w:line="21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12 —Commitments and Contingencies).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October 10, 2017, the Company entered into securities purchase agreements (the “Purchase Agreements”) with certain institutional investors and a charitable foundation (collectively, the “Purchasers”). Included in this offering were 166,600 shares at a purchase price of $6.00 per share issued to the Kresa Family Foundation, of which Kent Kresa, the Company’s Chairman of the Board, is the President.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2017</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Facility Financing Obligation (2019 Notes and Tranche B Notes)</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Principal amount</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54,407</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debt issuance costs and debt discount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(1,662)</w:t>
            </w:r>
          </w:p>
        </w:tc>
      </w:tr>
      <w:tr>
        <w:trPr>
          <w:trHeight w:val="223"/>
        </w:trPr>
        <w:tc>
          <w:tcPr>
            <w:tcW w:w="5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carrying amount</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52,745</w:t>
            </w:r>
          </w:p>
        </w:tc>
        <w:tc>
          <w:tcPr>
            <w:tcW w:w="12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Senior Convertible Notes (2021 Notes)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Pr>
          <w:p>
            <w:pPr>
              <w:ind w:left="240"/>
              <w:spacing w:after="0"/>
              <w:rPr>
                <w:sz w:val="20"/>
                <w:szCs w:val="20"/>
                <w:color w:val="auto"/>
              </w:rPr>
            </w:pPr>
            <w:r>
              <w:rPr>
                <w:rFonts w:ascii="Arial" w:cs="Arial" w:eastAsia="Arial" w:hAnsi="Arial"/>
                <w:sz w:val="18"/>
                <w:szCs w:val="18"/>
                <w:color w:val="auto"/>
              </w:rPr>
              <w:t>Principal amount</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23,690</w:t>
            </w:r>
          </w:p>
        </w:tc>
        <w:tc>
          <w:tcPr>
            <w:tcW w:w="26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23,690</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premium</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carrying amount</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Note payable to related party - net carrying amount</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120" w:type="dxa"/>
            <w:vAlign w:val="bottom"/>
            <w:shd w:val="clear" w:color="auto" w:fill="CFF0FC"/>
          </w:tcPr>
          <w:p>
            <w:pPr>
              <w:spacing w:after="0"/>
              <w:rPr>
                <w:sz w:val="19"/>
                <w:szCs w:val="19"/>
                <w:color w:val="auto"/>
              </w:rPr>
            </w:pPr>
          </w:p>
        </w:tc>
      </w:tr>
      <w:tr>
        <w:trPr>
          <w:trHeight w:val="45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debt - net carrying amount</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140,269</w:t>
            </w:r>
          </w:p>
        </w:tc>
        <w:tc>
          <w:tcPr>
            <w:tcW w:w="260" w:type="dxa"/>
            <w:vAlign w:val="bottom"/>
          </w:tcPr>
          <w:p>
            <w:pPr>
              <w:spacing w:after="0"/>
              <w:rPr>
                <w:sz w:val="24"/>
                <w:szCs w:val="24"/>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156,822</w:t>
            </w:r>
          </w:p>
        </w:tc>
        <w:tc>
          <w:tcPr>
            <w:tcW w:w="12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to the Mann Group Loan Arrangement described in Note 6, the Company has $23.7 million principal amount of 2021 notes bearing interest at 5.75% per annum and maturing on October 23, 2021, which are convertible and a convertible facility financing agreement which includes:</w:t>
      </w:r>
    </w:p>
    <w:p>
      <w:pPr>
        <w:spacing w:after="0" w:line="16" w:lineRule="exact"/>
        <w:rPr>
          <w:sz w:val="20"/>
          <w:szCs w:val="20"/>
          <w:color w:val="auto"/>
        </w:rPr>
      </w:pPr>
    </w:p>
    <w:p>
      <w:pPr>
        <w:ind w:left="1040" w:right="2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$35.0 million principal amount of 2019 notes bearing interest at 9.75% per annum. Interest is payable in cash quarterly in arrears in the last business day of March, June, September and December of each year. $15.0 million will become due and payable on each of July 2018 and July 2019, and $5.0 million will become due and payable in December 2019; and</w:t>
      </w:r>
    </w:p>
    <w:p>
      <w:pPr>
        <w:spacing w:after="0" w:line="73" w:lineRule="exact"/>
        <w:rPr>
          <w:rFonts w:ascii="Arial" w:cs="Arial" w:eastAsia="Arial" w:hAnsi="Arial"/>
          <w:sz w:val="18"/>
          <w:szCs w:val="18"/>
          <w:color w:val="auto"/>
        </w:rPr>
      </w:pPr>
    </w:p>
    <w:p>
      <w:pPr>
        <w:jc w:val="both"/>
        <w:ind w:left="1040" w:right="20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million principal amount of Tranche B notes bearing interest at 8.75% per annum. Interest is payable in cash quarterly in arrears on the last business day of March, June, September and December of each year. The principal amount is due and payable as follows: $5.0 million in May and December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borrowings are further described below:</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Facility Financing Obligation (2019 Notes and Tranche B Notes) </w:t>
      </w:r>
      <w:r>
        <w:rPr>
          <w:rFonts w:ascii="Arial" w:cs="Arial" w:eastAsia="Arial" w:hAnsi="Arial"/>
          <w:sz w:val="18"/>
          <w:szCs w:val="18"/>
          <w:color w:val="auto"/>
        </w:rPr>
        <w:t>– The Facility Financing Obligation was initially entered into in 2013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Deerfield Private Design Fund II, L.P. and Deerfield Private Design International II, L.P.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t>(collectively, “Deerfield”) through the issuance of multiple tranches of notes. As of December 31, 2017, there were $39.4 million principal amount of 2019 notes and $15.0 million principal amount of Tranche B notes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April 18, 2017, the Company entered into an Exchange Agreement with Deerfield pursuant to which the Company agreed to, among other things,</w:t>
      </w:r>
    </w:p>
    <w:p>
      <w:pPr>
        <w:spacing w:after="0" w:line="35" w:lineRule="exact"/>
        <w:rPr>
          <w:sz w:val="20"/>
          <w:szCs w:val="20"/>
          <w:color w:val="auto"/>
        </w:rPr>
      </w:pPr>
    </w:p>
    <w:p>
      <w:pPr>
        <w:ind w:right="120" w:firstLine="8"/>
        <w:spacing w:after="0" w:line="254"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repay $4.0 million principal amount under the Tranche B notes; (ii) exchange $1.0 million principal amount under the Tranche B notes for 869,565 shares of the Company’s common stock (the “Tranche B Exchange Shares”); and (iii) exchange $5.0 million principal amount under the 2019 notes for 4,347,826 shares of the Company’s common stock (together with the “Tranche B Exchange Shares,” the “April Exchange Shares”). The exchange price for the Exchange Shares was at a discount of $1.15 per share.</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determined that, since the principal amount repaid and exchanged under the Tranche B notes and the principal amount exchanged under the 2019 notes represented the principal amount that would have otherwise become due and payable in May and July of 2017 under the Tranche B notes and 2019 notes, respectively, the extinguishment of the May and July 2017 payments was not considered to be a troubled debt restructuring. Accordingly, the Company accounted for the transaction by recording a loss on extinguishment of debt of $0.3 million at April 18, 2017 which was calculated as the difference between the reacquisition price and the net carrying value of the related debt. The reacquisition price was calculated using the $4.0 million cash repayment and the fair value of the April Exchange Shares on April 18, 2017. The fair value of the April Exchange Shares was determined to be $1.22 per share, which represents the closing price of the Company’s common stock on April 18, 2017.</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29, 2017, the Company entered into the Third Amendment with Deerfield, pursuant to which the Company agreed to, among other things, (i) exchange $5.0 million principal amount under the Company’s 2019 notes for 3,584,230 shares of the Company’s common stock (the “June Exchange Shares”) at an exchange price of $1.395 per share and (ii) amend the Facility Agreement with Deerfield, to (A) defer the payment of $10.0 million in principal amount of the 2019 notes from the original July 18, 2017 due date to August 31, 2017, which was further deferred to October 31, 2017 upon the Company’s delivery on August 31, 2017 and October 30, 2017 of a written certification to Deerfield that certain conditions had been met, including that no event of default under the Facility Agreement had occurred, Michael E. Castagna remains the Company’s Chief Executive Officer, the Company received the advance from The Mann Group (see Note 6 — Related-Party Arrangements), the Company had at least $10.0 million in cash and cash equivalents on hand, no material adverse effect on the Company had occurred, the engagement letter between the Company and Greenhill &amp; Co., Inc. (“Greenhill”) remained in full force and effect and Greenhill had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$25.0 million in cash and cash equivalents as of the end of each quarter was reduced to $10.0 million as of August 31, 2017, September 30, 2017, October 31, 2017 and December 31, 2017 if certain conditions were met. We met the conditions at each of these month-ends.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determined that the principal amount repaid and exchanged under the 2019 notes represented the principal amount that would have otherwise become due and payable under the 2019 notes. As a result, the $5.0 million prepayment was not considered to be a troubled debt restructuring. Accordingly, the Company accounted for the transaction by recording a loss on extinguishment of debt of $0.5 million on June 29,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Exchange Shares was determined to be $1.45 per share which represented the closing price of the Company’s common stock on June 29, 2017.</w:t>
      </w:r>
    </w:p>
    <w:p>
      <w:pPr>
        <w:spacing w:after="0" w:line="17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October 23, 2017, the Company entered into a Fourth Amendment to the Facility Agreement, pursuant to which the parties (i) deferred the payment of $10.0 million in principal amount (the “October Payment”) of the Facility Financing Obligation from October 31, 2017 to January 15, 2018, with the Company depositing an amount of cash equal to the October Payment into an escrow account until the October Payment has been satisfied in full (subject to early release to the extent that portions of the October Payment are satisfied through the exchange of principal for shares of the Company’s common stock), and (ii) amended and restated the Facility Financing Obligation and the Tranche B notes to provide that Deerfield may convert the principal amount under such notes from time to time into an aggregate of up to 4,000,000 shares of the Company’s common stock after the effective date of the Fourth Amendment. The conversion price will be the greater of (i) the average of the volume weighted average price per share of the Company’s common stock for the three trading day period immediately preceding the date of any election by Deerfield to convert principal amounts of such notes and (ii) $3.25 per share, subject to adjustment under certain circumstances. Any conversions of principal by Deerfield under such notes will be applied first to reduce the October Payment, and after the October Payment has been satisfied, to reduce other principal payments due.</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determined that the Fourth Amendment did not include any concessions and that the addition of the conversion option was not substantive and therefore it was not considered to be a troubled debt restructuring. Accordingly, the Company accounted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the transaction as a modification. On November 6, 2017 Deerfield converted 1,720,846 shares under the conversion feature at a price of $3.25 per share, redeeming $5.6 million of principal amount.</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15, 2018, the Company entered into a Fifth Amendment (the “Fifth Deerfield Amendment”) with Deerfield to the Facility Agreement, pursuant to which the parties deferred the payment date for the $4.4 million remaining October 2017 Tranche 4 Principal Payment from January 15, 2018 to January 19, 2018. Concurrent with this amendment the Company entered into a First Amendment to Escrow Agreement to extend the escrow period to January 19, 2018 to align with the amended payment date under the Fifth Deerfield Amendment.</w:t>
      </w:r>
    </w:p>
    <w:p>
      <w:pPr>
        <w:spacing w:after="0" w:line="21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January 18, 2018, the Company entered into an Exchange and Sixth Amendment to Facility Agreement (the “Sixth Deerfield Amendment”) with Deerfield, pursuant to which, among other things, the Company agreed to issue to Deerfield an aggregate of 1,267,972 shares of its common stock, par value $0.01 per share (the “Exchange Shares”), in exchange for $3.2 million of the 2019 Notes, an exchange rate of $2.49 per share. In addition, the parties deferred the payment date for the $1.3 million remaining principal amount of the 2019 Notes (the “Remaining Payment”) from January 19, 2018 to May 6, 2018.</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and Deerfield also amended the outstanding 2019 Notes and Tranche B notes to provide that Deerfield may, subject to the terms of the Sixth Deerfield Amendment, convert principal amounts of the 2019 notes and Tranche B notes from time to time into an aggregate of up to 10,000,000 shares of the Company’s common stock (excluding the Exchange Shares). The conversion price will be the greater of (i) the average of the volume weighted average price per share of the Company’s common stock for the three trading day period immediately preceding the date of any election by Deerfield to convert principal amounts and (ii) $2.75 per share, subject to adjustment under certain circumstances described in the 2019 notes and Tranche B notes. Any conversions of principal will be applied first to reduce the Remaining Payment, and thereafter to reduce other principal payments.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Sixth Deerfield Amendment, the Company also entered into a Second Amendment to Escrow Agreement, dated January 18, 2018, with Deerfield and US Bank, pursuant to which the parties extended the period of the escrow established thereunder to May 6, 2018, corresponding to the extended payment date.</w:t>
      </w:r>
    </w:p>
    <w:p>
      <w:pPr>
        <w:spacing w:after="0" w:line="22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determined that the Fifth and Sixth Amendments did not include any concessions and that the change of the conversion option was not substantive and therefore it was not considered to be a troubled debt restructuring. Accordingly, the Company accounted for the transaction as a modification.</w:t>
      </w:r>
    </w:p>
    <w:p>
      <w:pPr>
        <w:spacing w:after="0" w:line="1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March 6, 2018 Deerfield converted the remaining $1.3 million of principal amount due under the 2019 Notes for 441,618 shares of the Company’s common stock (the “January Exchange Shares”). The fair value of the January Exchange Shares was determined to be $2.83 per share representing the average of the volume weighted average price per share of the Company’s common stock for the three trading day period immediately preceding the date of the election by Deerfield to convert per the NASDAQ Global Market. The Escrow Agreement with Deerfield and US Bank, was terminated as the required payment was satisfied in full as of March 12, 2018.</w:t>
      </w:r>
    </w:p>
    <w:p>
      <w:pPr>
        <w:spacing w:after="0" w:line="2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March 12, 2018 the Company entered into an Exchange Agreement with Deerfield pursuant to which the Company agreed to, among other things, exchange $5.0 million of principal amount under the 8.75% Tranche B Notes for 1,838,236 shares of the Company’s common stock (the “March Exchange Shares”). The fair value of the March Exchange Shares was determined to be $2.72 per share representing the closing price of the Company’s common stock on March 9, 2018 per the NASDAQ Global Market. The principal amount being exchanged under the Tranche B Notes represents the principal amount that would have otherwise become due and payable in May 2018.</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connection with the Facility Agreement, on July 1, 2013, the Company entered into a Milestone Rights Purchase Agreement (the “Milestone Agreement”) with Deerfield and Horizon Santé FLML SÁRL (collectively, the “Milestone Purchasers”), which requires the Company to make contingent payments to the Milestone Purchasers, totaling up to $90.0 million, upon the Company achieving specified commercialization milestones (the “Milestone Rights”). During the first quarter of 2015, a milestone triggering event was achieved due to the launch of Afrezza. This resulted in a $5.8 million incremental charge to interest expense due to an increase in the carrying value of the liability to account for the $10.0 million milestone payment made in February 2015.</w:t>
      </w:r>
    </w:p>
    <w:p>
      <w:pPr>
        <w:spacing w:after="0" w:line="1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March 31, 2018 and December 31, 2017, the remaining milestone rights liability balance was $8.9 million. The Company currently estimates that it will reach the next milestone in the first quarter of 2019. Accordingly, $1.6 million in value related to the next milestone payment was recorded in accrued expenses and other current liabilities as of March 31, 2018 and December 31, 2017, resulting in $7.2 million being recorded in milestone rights liability, which is non-current, in the accompanying condensed consolidated balance sheets as of March 31, 2018 and December 31, 2017,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Accretion of debt issuance cost and debt discount during the three months ended March 31, 2018 and 2017,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312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Accretion expense - debt discount</w:t>
            </w:r>
          </w:p>
        </w:tc>
        <w:tc>
          <w:tcPr>
            <w:tcW w:w="3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Facility Agreement includes customary representations, warranties and covenants, including a restriction on the incurrence of additional indebtedness. As discussed in Note 1 – Description of Business and Summary of Significant Accounting Policies, the Company will need to raise additional capital to support its current operating plans. Due to the uncertainties related to maintaining sufficient resources to comply with the aforementioned covenant, the Facility Financing Obligation has been classified as a current liability in the accompanying condensed consolidated balance sheets as of March 31, 2018 and December 31, 2017. In the event of non-compliance, Deerfield may declare all or any portion of the Facility Financing Obligation to be immediately due and payable.</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Milestone Rights </w:t>
      </w:r>
      <w:r>
        <w:rPr>
          <w:rFonts w:ascii="Arial" w:cs="Arial" w:eastAsia="Arial" w:hAnsi="Arial"/>
          <w:sz w:val="18"/>
          <w:szCs w:val="18"/>
          <w:color w:val="auto"/>
        </w:rPr>
        <w:t>— The Milestone Agreement includes customary representations and warranties and covenants by the Company, including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Security Agreement </w:t>
      </w:r>
      <w:r>
        <w:rPr>
          <w:rFonts w:ascii="Arial" w:cs="Arial" w:eastAsia="Arial" w:hAnsi="Arial"/>
          <w:sz w:val="18"/>
          <w:szCs w:val="18"/>
          <w:color w:val="auto"/>
        </w:rPr>
        <w:t>— In connection with the Facility Agreement and Milestone Agreement, the Company and its subsidiary, MannKind LLC,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if applicable, in full.</w:t>
      </w:r>
    </w:p>
    <w:p>
      <w:pPr>
        <w:spacing w:after="0" w:line="18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as of March 31, 2018 and December 31, 2017.</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Senior Convertible Notes Due 2021 </w:t>
      </w:r>
      <w:r>
        <w:rPr>
          <w:rFonts w:ascii="Arial" w:cs="Arial" w:eastAsia="Arial" w:hAnsi="Arial"/>
          <w:sz w:val="16"/>
          <w:szCs w:val="16"/>
          <w:color w:val="auto"/>
        </w:rPr>
        <w:t>— On October 23, 2017, the Company entered into exchange agreements with the holders of the Company’s 5.75%</w:t>
      </w:r>
      <w:r>
        <w:rPr>
          <w:rFonts w:ascii="Arial" w:cs="Arial" w:eastAsia="Arial" w:hAnsi="Arial"/>
          <w:sz w:val="16"/>
          <w:szCs w:val="16"/>
          <w:i w:val="1"/>
          <w:iCs w:val="1"/>
          <w:color w:val="auto"/>
        </w:rPr>
        <w:t xml:space="preserve"> </w:t>
      </w:r>
      <w:r>
        <w:rPr>
          <w:rFonts w:ascii="Arial" w:cs="Arial" w:eastAsia="Arial" w:hAnsi="Arial"/>
          <w:sz w:val="16"/>
          <w:szCs w:val="16"/>
          <w:color w:val="auto"/>
        </w:rPr>
        <w:t>Senior Convertible Notes due 2018 (the “2018 notes”), pursuant to which the Company agreed to exchange all of the outstanding 2018 notes in the aggregate principal amount of $27.7 million for (i) new 5.75% $23.7 million aggregate principal amount of Senior Convertible notes due 2021 (the “2021” notes) and</w:t>
      </w:r>
    </w:p>
    <w:p>
      <w:pPr>
        <w:ind w:right="160" w:firstLine="8"/>
        <w:spacing w:after="0" w:line="253"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aggregate of 973,236 shares of its common stock. In addition, the conversion rate was adjusted from $34 per share to $5.15 per share. The 2021 notes were issued at the closing of the exchange on October 23, 2017. The Company analyzed this exchange and concluded that the exchange represents an extinguishment of the 2018 notes and recorded a $0.8 million loss on extinguishment of debt during the last quarter of fiscal year 2017. In addition, unamortized debt issuance costs of $0.3 million and unamortized debt premium of $0.2 million were also written-off during the last quarter of fiscal year 2017.</w:t>
      </w:r>
    </w:p>
    <w:p>
      <w:pPr>
        <w:spacing w:after="0" w:line="191"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2021 notes are the Company’s general, unsecured, senior obligations, except that they are subordinated in right of payment to the Facility Financing Obligation. The 2021 notes rank equally in right of payment with the Company’s other unsecured senior debt. The 2021 notes bear interest at the rate of</w:t>
      </w:r>
    </w:p>
    <w:p>
      <w:pPr>
        <w:spacing w:after="0" w:line="270" w:lineRule="auto"/>
        <w:rPr>
          <w:sz w:val="20"/>
          <w:szCs w:val="20"/>
          <w:color w:val="auto"/>
        </w:rPr>
      </w:pPr>
      <w:r>
        <w:rPr>
          <w:rFonts w:ascii="Arial" w:cs="Arial" w:eastAsia="Arial" w:hAnsi="Arial"/>
          <w:sz w:val="17"/>
          <w:szCs w:val="17"/>
          <w:color w:val="auto"/>
        </w:rPr>
        <w:t>5.75% per year on the principal amount, payable semiannually in arrears in cash or, at the option of the Company if certain conditions are met, in shares of the Company’s common stock (the “Interest Shares”), on February 15 and August 15 of each year, beginning February 15, 2018, with interest accruing from August 15, 2017. To date, the interest on the Company’s 2021 notes have been paid in cash and not converted. The aggregate number of Interest Shares that the Company may issue may not exceed 13,648,300, unless the Company receives stockholder approval to issue Interest Shares in excess of such a number in accordance with the listing standards of the NASDAQ Global Market. Accrued interest related to these notes is recorded in accrued expenses and other current liabilities on the accompanying condensed consolidated balance sheets.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2021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2021 notes, which is equal to the initial conversion price of approximately $5.15 per share. The conversion rate is subject to adjustment under certain circumstances described in an indenture governing the 2021 notes.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120"/>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2021 notes will have the option to require the Company to repurchase all or any portion of that holder’s 2021 notes. The fundamental change repurchase price will be 100% of the principal amount of the 2021 notes to be repurchased plus accrued and unpaid interest, if any.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may elect at its option to cause all or any portion of the 2021 notes to be mandatorily converted in whole or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2021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2021 notes under existing commitments. Applying the Company’s sequencing policy, the Company performed an analysis at the time of the offering of the 2021 notes and each reporting date since and has concluded that the number of available authorized shares at the time of the offering and each reporting date since was sufficient to deliver the number of shares that could be required to be delivered during the term of the 2021 notes under existing commitments.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2021 notes provide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a result of the exchange of the 2021 notes during the last quarter of 2017, the Company recorded approximately $0.8 million in debt premium, which is recorded with the 2021 notes, in the accompanying condensed consolidated balance sheets. The premium is being accreted to interest expense using the effective interest method over the term of the 2021 notes.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2021 and 2018 notes for the three months ended March 31, 2018 and 2017 are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7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3160" w:type="dxa"/>
            <w:vAlign w:val="bottom"/>
            <w:gridSpan w:val="2"/>
          </w:tcPr>
          <w:p>
            <w:pPr>
              <w:ind w:left="268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6 – Related Party Arrangements for information regarding the Note payable to related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Arrangements</w:t>
      </w:r>
    </w:p>
    <w:p>
      <w:pPr>
        <w:spacing w:after="0" w:line="13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Life Sciences, Inc. (“Receptor”) pursuant to which Receptor obtained the option to acquire an exclusive license to develop, manufacture and commercialize certain products that use the Company’s technology to deliver the compounds via oral inhalation.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On December 30, 2016 Receptor exercised its option and paid the Company a $1.0 million nonrefundable option exercise and license fee. Under the CLA,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receive the following additional payments:</w:t>
      </w:r>
    </w:p>
    <w:p>
      <w:pPr>
        <w:spacing w:after="0" w:line="116"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Royalties upon Receptor’s and its sublicensees’ sale of the product;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Milestones upon total worldwide sales reaching certain agreed upon levels.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$1.0 million license fee received in 2016 was recorded in deferred revenue from collaboration as of December 31, 2016 and is being recognized in net revenue — collaboration over four years, the estimated period over which the Company was required to satisfy the remaining performance obligations. The remaining performance obligations are to provide certain technology transfer activities and to maintain certain patents. Deferred payments from collaboration related to this contract was $0.7 million at March 31, 2018 of which $0.3 million was recorded in current liabilities.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will provide certain raw materials to Receptor and agreed to provide certain additional research and formulation consulting services to Receptor. For the three months ended March 31, 2018 and 2017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249"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i w:val="1"/>
          <w:iCs w:val="1"/>
          <w:color w:val="auto"/>
        </w:rPr>
        <w:t xml:space="preserve">Sanofi License Agreement and Sanofi Supply Agreement </w:t>
      </w:r>
      <w:r>
        <w:rPr>
          <w:rFonts w:ascii="Arial" w:cs="Arial" w:eastAsia="Arial" w:hAnsi="Arial"/>
          <w:sz w:val="17"/>
          <w:szCs w:val="17"/>
          <w:color w:val="auto"/>
        </w:rPr>
        <w:t>— In 2014 the Company entered into a license and collaboration and supply agreement with Sanofi,</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Sanofi was responsible for global commercial, regulatory and development activities for Afrezza. In 2016, the agreements were terminated and the Company assumed responsibility for the worldwide development and commercialization of Afrezza from Sanofi.</w:t>
      </w:r>
    </w:p>
    <w:p>
      <w:pPr>
        <w:spacing w:after="0" w:line="17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Also in 2016, the Company entered into a settlement agreement with Sanofi. The settlement was accounted for in 2016, except for a $30.6 million cash payment received under an insulin put option agreement which reduced the receivable from Sanofi in the first quarter of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Sale of Intellectual Property</w:t>
      </w:r>
    </w:p>
    <w:p>
      <w:pPr>
        <w:spacing w:after="0" w:line="13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April 12, 2017 the Company entered into an agreement to sell certain oncology assets and patents to Fosun. Fosun paid the Company a one-time nonrefundable payment of $0.6 million net of taxes in June 2017 and is required to pay royalties on net sales of products by Fosun and its affiliates and other consideration based on revenues from any licensees. The Company accounted for the transaction as a sale of assets. The Company recorded the $0.6 million in payments received in revenue – other during the second quarter of 2017 as the Company had performed substantially all of its obligations as of June 30, 2017. The royalties and other consideration referred to above represent variable consideration for which the Company has not recognized any revenue because it is uncertain whether and in what period Fosun will be able to sublicense this technology or have the ability to develop, manufacture or sell product utilizing this technology. Therefore receipt of such payments is highly susceptible to factors outside the Company’s influence, the uncertainty regarding the receipt of these payments is not expected to be resolved for years, and the Company has limited experience with similar contracts.</w:t>
      </w:r>
    </w:p>
    <w:p>
      <w:pPr>
        <w:spacing w:after="0" w:line="2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for additional information on the Company’s revenue recognition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Cash Equivalents and restricted cash</w:t>
      </w:r>
      <w:r>
        <w:rPr>
          <w:rFonts w:ascii="Arial" w:cs="Arial" w:eastAsia="Arial" w:hAnsi="Arial"/>
          <w:sz w:val="16"/>
          <w:szCs w:val="16"/>
          <w:color w:val="auto"/>
        </w:rPr>
        <w:t>— Cash equivalents consist of highly liquid investments with original or remaining maturities of 90 days or less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purchase that are readily convertible into cash. As of March 31, 2018 and December 31, 2017, the Company held $23.4 million and $41.0 million, respectively, of cash equivalents. Restricted cash is held in an escrow account as well as used to collateralize a letter of credit. The Company held $0.5 million and $4.4 million in restricted cash as of March 31, 2018 and December 31, 2017, respectively. Both are comprised of money market funds. The fair value of these money market funds was determined by using quoted prices for identical investments in an active market (Level 1 in the fair value hierarchy).</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Note Payable to Related Party — </w:t>
      </w:r>
      <w:r>
        <w:rPr>
          <w:rFonts w:ascii="Arial" w:cs="Arial" w:eastAsia="Arial" w:hAnsi="Arial"/>
          <w:sz w:val="18"/>
          <w:szCs w:val="18"/>
          <w:color w:val="auto"/>
        </w:rPr>
        <w:t>As of December 31, 2017, prior to the adoption of ASC 2016-01, the fair value of the note payable to related party could</w:t>
      </w:r>
      <w:r>
        <w:rPr>
          <w:rFonts w:ascii="Arial" w:cs="Arial" w:eastAsia="Arial" w:hAnsi="Arial"/>
          <w:sz w:val="18"/>
          <w:szCs w:val="18"/>
          <w:i w:val="1"/>
          <w:iCs w:val="1"/>
          <w:color w:val="auto"/>
        </w:rPr>
        <w:t xml:space="preserve"> </w:t>
      </w:r>
      <w:r>
        <w:rPr>
          <w:rFonts w:ascii="Arial" w:cs="Arial" w:eastAsia="Arial" w:hAnsi="Arial"/>
          <w:sz w:val="18"/>
          <w:szCs w:val="18"/>
          <w:color w:val="auto"/>
        </w:rPr>
        <w:t>not be reasonably estimated as the Company was not able to obtain a similar credit arrangement in the current economic environment. Therefore the fair value is based upon carrying value as of December 31, 2017. The fair value measurement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the note payable is sensitive to the change in interest rate. If the interest rate changes by approximately 1%, the fair value of the note payable would change by $1 million or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w w:val="93"/>
              </w:rPr>
              <w:t>As of March 31, 2018</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Significant Unobservable</w:t>
            </w:r>
          </w:p>
        </w:tc>
        <w:tc>
          <w:tcPr>
            <w:tcW w:w="20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82"/>
              <w:spacing w:after="0"/>
              <w:rPr>
                <w:sz w:val="20"/>
                <w:szCs w:val="20"/>
                <w:color w:val="auto"/>
              </w:rPr>
            </w:pPr>
            <w:r>
              <w:rPr>
                <w:rFonts w:ascii="Arial" w:cs="Arial" w:eastAsia="Arial" w:hAnsi="Arial"/>
                <w:sz w:val="14"/>
                <w:szCs w:val="14"/>
                <w:b w:val="1"/>
                <w:bCs w:val="1"/>
                <w:color w:val="auto"/>
              </w:rPr>
              <w:t>Inputs</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4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3000" w:type="dxa"/>
            <w:vAlign w:val="bottom"/>
            <w:gridSpan w:val="2"/>
          </w:tcPr>
          <w:p>
            <w:pPr>
              <w:jc w:val="right"/>
              <w:ind w:right="135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24.4</w:t>
            </w:r>
          </w:p>
        </w:tc>
        <w:tc>
          <w:tcPr>
            <w:tcW w:w="106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1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Note payable to related party</w:t>
            </w:r>
          </w:p>
        </w:tc>
        <w:tc>
          <w:tcPr>
            <w:tcW w:w="1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4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460" w:type="dxa"/>
            <w:vAlign w:val="bottom"/>
          </w:tcPr>
          <w:p>
            <w:pPr>
              <w:spacing w:after="0"/>
              <w:rPr>
                <w:sz w:val="19"/>
                <w:szCs w:val="19"/>
                <w:color w:val="auto"/>
              </w:rPr>
            </w:pPr>
          </w:p>
        </w:tc>
        <w:tc>
          <w:tcPr>
            <w:tcW w:w="1540" w:type="dxa"/>
            <w:vAlign w:val="bottom"/>
            <w:tcBorders>
              <w:bottom w:val="single" w:sz="8" w:color="auto"/>
            </w:tcBorders>
          </w:tcPr>
          <w:p>
            <w:pPr>
              <w:jc w:val="right"/>
              <w:ind w:right="13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149.2</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w w:val="90"/>
              </w:rPr>
              <w:t>As of December 31, 2017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Carrying Value</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Significant Unobservable</w:t>
            </w:r>
          </w:p>
        </w:tc>
        <w:tc>
          <w:tcPr>
            <w:tcW w:w="20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82"/>
              <w:spacing w:after="0"/>
              <w:rPr>
                <w:sz w:val="20"/>
                <w:szCs w:val="20"/>
                <w:color w:val="auto"/>
              </w:rPr>
            </w:pPr>
            <w:r>
              <w:rPr>
                <w:rFonts w:ascii="Arial" w:cs="Arial" w:eastAsia="Arial" w:hAnsi="Arial"/>
                <w:sz w:val="14"/>
                <w:szCs w:val="14"/>
                <w:b w:val="1"/>
                <w:bCs w:val="1"/>
                <w:color w:val="auto"/>
              </w:rPr>
              <w:t>Inputs</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4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3000" w:type="dxa"/>
            <w:vAlign w:val="bottom"/>
            <w:gridSpan w:val="2"/>
          </w:tcPr>
          <w:p>
            <w:pPr>
              <w:jc w:val="right"/>
              <w:ind w:right="135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24.4</w:t>
            </w:r>
          </w:p>
        </w:tc>
        <w:tc>
          <w:tcPr>
            <w:tcW w:w="106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1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Milestone rights</w:t>
            </w:r>
          </w:p>
        </w:tc>
        <w:tc>
          <w:tcPr>
            <w:tcW w:w="14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14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3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The fair value measurement of the milestone rights liability is sensitive to the discount rate and the timing and probability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making milestone payments. If the achievement of each of the milestones which require payments were to be six months later than in the current forecast, the fair value of the liability would decrease by 8%. If the probabilities of meeting the $50 to $200 million milestones were to decrease by 5% or 10%, the fair value of the liability would decrease by 13% and 25%,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21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March 31, 2018 and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Expense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months ended March 31, 2018 and 2017 was as follows (in thousands):</w:t>
      </w:r>
    </w:p>
    <w:p>
      <w:pPr>
        <w:spacing w:after="0" w:line="24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6350</wp:posOffset>
            </wp:positionV>
            <wp:extent cx="1981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62" w:lineRule="exact"/>
        <w:rPr>
          <w:sz w:val="20"/>
          <w:szCs w:val="20"/>
          <w:color w:val="auto"/>
        </w:rPr>
      </w:pPr>
    </w:p>
    <w:p>
      <w:pPr>
        <w:ind w:left="8200"/>
        <w:spacing w:after="0"/>
        <w:tabs>
          <w:tab w:leader="none" w:pos="98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651764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5" w:lineRule="exact"/>
        <w:rPr>
          <w:sz w:val="20"/>
          <w:szCs w:val="20"/>
          <w:color w:val="auto"/>
        </w:rPr>
      </w:pPr>
    </w:p>
    <w:p>
      <w:pPr>
        <w:ind w:left="580"/>
        <w:spacing w:after="0"/>
        <w:tabs>
          <w:tab w:leader="none" w:pos="7620" w:val="left"/>
          <w:tab w:leader="none" w:pos="8620" w:val="left"/>
          <w:tab w:leader="none" w:pos="9300" w:val="left"/>
          <w:tab w:leader="none" w:pos="10320" w:val="left"/>
        </w:tabs>
        <w:rPr>
          <w:sz w:val="20"/>
          <w:szCs w:val="20"/>
          <w:color w:val="auto"/>
        </w:rPr>
      </w:pPr>
      <w:r>
        <w:rPr>
          <w:rFonts w:ascii="Arial" w:cs="Arial" w:eastAsia="Arial" w:hAnsi="Arial"/>
          <w:sz w:val="18"/>
          <w:szCs w:val="18"/>
          <w:color w:val="auto"/>
        </w:rPr>
        <w:t>Stock-based compensation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1,943</w:t>
        <w:tab/>
        <w:t>$</w:t>
      </w:r>
      <w:r>
        <w:rPr>
          <w:sz w:val="20"/>
          <w:szCs w:val="20"/>
          <w:color w:val="auto"/>
        </w:rPr>
        <w:tab/>
      </w:r>
      <w:r>
        <w:rPr>
          <w:rFonts w:ascii="Arial" w:cs="Arial" w:eastAsia="Arial" w:hAnsi="Arial"/>
          <w:sz w:val="15"/>
          <w:szCs w:val="15"/>
          <w:color w:val="auto"/>
        </w:rPr>
        <w:t>1,267</w:t>
      </w:r>
    </w:p>
    <w:p>
      <w:pPr>
        <w:spacing w:after="0" w:line="22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During the three months ended March 31, 2018, the Company issued 57,400 restricted units to certain employees which vest over a four-year period. The grant date fair value of the restricted stock units was $158,424 with a weighted average grant date fair value per share of $2.76.</w:t>
      </w:r>
    </w:p>
    <w:p>
      <w:pPr>
        <w:spacing w:after="0" w:line="17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three months ended March 31, 2018, the Company granted certain employees stock options to purchase an aggregate of 456,720 shares of common stock at a weighted average exercise price of $2.76 per share. The options vest over a four year period. The grant date fair value of these awards is $1.0 million with a weighted average grant date fair value of $2.10 per share, as determined using a Black-Scholes option pricing model.</w:t>
      </w:r>
    </w:p>
    <w:p>
      <w:pPr>
        <w:spacing w:after="0" w:line="1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March 31, 2018, there were $2.8 million and $3.4 million of unrecognized compensation expense related to restricted stock units and options, respectively, that vest over the vesting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100"/>
        <w:spacing w:after="0" w:line="257" w:lineRule="auto"/>
        <w:rPr>
          <w:sz w:val="20"/>
          <w:szCs w:val="20"/>
          <w:color w:val="auto"/>
        </w:rPr>
      </w:pPr>
      <w:r>
        <w:rPr>
          <w:rFonts w:ascii="Arial" w:cs="Arial" w:eastAsia="Arial" w:hAnsi="Arial"/>
          <w:sz w:val="18"/>
          <w:szCs w:val="18"/>
          <w:color w:val="auto"/>
        </w:rPr>
        <w:t>During the three months ended March 31, 2018 and 2017, the Company recognized $1.0 million and $0.1 million of compensation costs related to the performance-based stock options, respectively. As of March 31, 2018, there was $2.4 million of unrecognized compensation costs related to stock options subject to performance conditions. The Company evaluates stock awards with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March 31,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alleged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recently ruled that U.S. law will apply to this case. The plaintiff has appealed this ruling. The Company will vigorously defend against the claims advanced.</w:t>
      </w:r>
    </w:p>
    <w:p>
      <w:pPr>
        <w:spacing w:after="0" w:line="18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a the Milestone Agreement with the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7 – Borrowings).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40"/>
        <w:spacing w:after="0" w:line="255" w:lineRule="auto"/>
        <w:rPr>
          <w:sz w:val="20"/>
          <w:szCs w:val="20"/>
          <w:color w:val="auto"/>
        </w:rPr>
      </w:pPr>
      <w:r>
        <w:rPr>
          <w:rFonts w:ascii="Arial" w:cs="Arial" w:eastAsia="Arial" w:hAnsi="Arial"/>
          <w:sz w:val="18"/>
          <w:szCs w:val="18"/>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2018 through 2023 total an aggregate purchase price of €90.3 million at March 31, 2018.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certain insulin quantities are not purchased were reduced from $5.3 million for the period October 1, 2016 through 2018 to $3.4 million over the same period. The annual purchase requirements under the contract are as follows:</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2018</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2019</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2020</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2021</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2022</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2023</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 million</w:t>
            </w:r>
          </w:p>
        </w:tc>
      </w:tr>
    </w:tbl>
    <w:p>
      <w:pPr>
        <w:spacing w:after="0" w:line="20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took delivery of the required amount of insulin under the contract in 2017 but was only obligated to pay for half prior to December 31, 2017. Accordingly, approximately $1.6 million was included in accounts payable at December 31, 2017 related to the 2017 purchase commitment, which was paid during the three months ended March 31, 2018.</w:t>
      </w:r>
    </w:p>
    <w:p>
      <w:pPr>
        <w:spacing w:after="0" w:line="2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terminated earlier,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On April 2, 2018, the Company entered into a foreign currency hedging transaction to mitigate its exposure to foreign currency exchange risks. The hedging transaction hedges against short-term currency fluctuations for the current year annual purchase requirement amount of €8.9 million and is renewable every 90 days.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 Company has other firm commitments with suppliers for an aggregate of $0.3 million.</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The Company entered into a lease agreement with Enterprise for the lease of approximately 100 vehicles. The lease will require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approximately $54,000 per month plus the cost of maintaining the vehicles. The leases will commence when the Company takes possession of the vehicles in May 2018. The leases expire 48 months after the delivery date.</w:t>
      </w:r>
    </w:p>
    <w:p>
      <w:pPr>
        <w:spacing w:after="0" w:line="22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8, 2018 the Company entered into a standby letter of credit for a total of $0.5 million in connection with the Company’s sales force vehicle lease program. The letter of credit is collateralized by a restricted cash account in the amount of $0.5 million. There were no amounts drawn down on this letter of credit as of March 31, 2018.</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On May 5,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lease requires monthly payments of $40,951, increased by 3% annually, plus the estimated cost of maintaining the property by the landlord with a five month concession from October 2017 through February 2018. The lease expires January 2023 and provides the Company with a five year renewal option.</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November 29, 2017, the Company executed an office lease with Russell Ranch Road II LLC to expand the office space for the Company’s corporate headquarters in Westlake Village, California. The office lease will commence in October 2018. The lease requires monthly payments of $35,969, increased by 3% annually, plus the estimated cost of maintaining the property by the landlord. In addition, the Company will be entitled to reimbursement from the landlord of up to $56,325 for tenant improvements. The lease expires January 2023 and provides the Company with a five year renewal option.</w:t>
      </w:r>
    </w:p>
    <w:p>
      <w:pPr>
        <w:spacing w:after="0" w:line="15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Rental expense under all operating leases including office space and equipment was approximately $0.1 million for the three months ended March 31, 2018.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Future minimum lease payments are as follows: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2012 remain subject to examination by the major tax jurisdictions in which the Company is subject to tax.</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of 1986, as amended. The adoption had no impact on its income tax expense upon adoption for the period in which the legislation was enacted. The provisional amount related to the remeasurement of certain deferred tax assets and liabilities is based on the rates at which they are expected to reverse in the future. The impact of this Act was a decrease of deferred tax assets of approximately $301 million, offset by a decrease in valuation allowance of $301 million, resulting in no additional income tax expense or benefit. No provisional amount was recorded related to the one-time transition tax on the mandatory deemed repatriation of foreign earnings.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Charges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2018 and December 31, 2017, the Company had a remaining restructuring liability of $0.4 million, respectively, which is recorded in accrued expenses and other current liabilities in the condensed consolidated balance sheets. The Company expects to substantially pay out the remainder of this obligation by end of second quarter of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liability balances for the restructuring charges is as follows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71"/>
        </w:trPr>
        <w:tc>
          <w:tcPr>
            <w:tcW w:w="5580" w:type="dxa"/>
            <w:vAlign w:val="bottom"/>
            <w:gridSpan w:val="2"/>
          </w:tcPr>
          <w:p>
            <w:pPr>
              <w:ind w:left="23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Restructuring</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Accrual - January 1, 2018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Costs paid or settled</w:t>
            </w: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Accrual - March 31, 2018</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April 5, 2018, the Company entered into securities purchase agreements (the “Purchase Agreements”) with certain institutional investors (the “Purchasers”). Pursuant to the terms of the Purchase Agreements, the Company sold to the Purchasers in a registered 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warrants will be exercisable at a price of $2.38 per share beginning six months following the date of issuance and will expire six months thereafter. The net proceeds to the Company from the offering were approximately $26.3 million. The offering closed on April 9, 2018.</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8, 2018, MannKind Corporation and Cipla Ltd. entered into an exclusive agreement for the marketing and distribution of Afrezza in India. Under the terms of the agreement, Cipla will be responsible for obtaining regulatory approvals to distribute Afrezza in India and for all marketing and sales activities of Afrezza in India. MannKind is responsible for supplying Afrezza to Cipla. MannKind will receive a $2.2 million upfront payment from Cipla upon entering the agreement, with the potential to receive certain additional regulatory milestone payments, minimum purchase commitment revenue and royalties on Afrezza sales in India once cumulative gross sales have reached a specified threshold.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2017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 biopharmaceutical company focused on the development and commercialization of inhaled therapeutic products for patients with diseases such as diabetes and pulmonary arterial hypertension. According to the Centers for Disease Control and Prevention, 30 million people in the United States had diabetes in 2015. Globally, the International Diabetes Federation has estimated that approximately 425 million people had diabetes in 2017 and approximately 629 million people will have diabetes by 2045. Our only approved product, Afrezza (insulin human) Inhalation Powder, is a rapid-acting inhaled insulin that was approved by the U.S. Food and Drug Administration (“FDA”) in June of 2014 to improve glycemic control in adult patients with diabetes. Afrezza became available by prescription in United States retail pharmacies in February 2015.</w:t>
      </w:r>
    </w:p>
    <w:p>
      <w:pPr>
        <w:spacing w:after="0" w:line="17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Afrezza is a rapid-acting inhaled insulin used to control high blood sugar in adults with type 1 and type 2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4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From August 2014 until April 2016 Sanofi-Aventis Deutschland GmbH (which subsequently assigned its rights and obligations under the agreement to Sanofi-Aventis U.S. LLC (“Sanofi”)), was responsible for commercial, regulatory and development activities associated with Afrezza pursuant to a license and collaboration agreement (the “Sanofi License Agreement”). After a transition period during which Sanofi continued to fulfill orders for Afrezza, we assumed responsibility for worldwide development and commercialization of Afrezza and we began distributing MannKind-branded Afrezza to wholesalers in July 2016. During the second half of 2016,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specialty sales force to promote Afrezza to endocrinologists and certain high-prescribing primary care physicians. In the future, we may seek to supplement our sales force through a co-promotion arrangement with a third party that has an underutilized primary care sales force, which can be used to promote Afrezza to greater number of primary care physicians.</w:t>
      </w:r>
    </w:p>
    <w:p>
      <w:pPr>
        <w:spacing w:after="0" w:line="16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current strategy for future commercialization of Afrezza outside of the United States, subject to receipt of the necessary foreign regulatory approvals, is to seek and establish regional partnerships in foreign jurisdictions where there are commercial opportunities. In May 2017, we entered into a supply and distribution agreement with Biomm S.A. to pursue regulatory approval and commercialization of Afrezza in Brazil. In May 2018, we entered into a similar agreement with Cipla Ltd. to pursue regulatory approval and commercialization of Afrezza in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approval of Afrezza, the FDA required us to conduct the following post-marketing studies:</w:t>
      </w:r>
    </w:p>
    <w:p>
      <w:pPr>
        <w:spacing w:after="0" w:line="117" w:lineRule="exact"/>
        <w:rPr>
          <w:sz w:val="20"/>
          <w:szCs w:val="20"/>
          <w:color w:val="auto"/>
        </w:rPr>
      </w:pPr>
    </w:p>
    <w:p>
      <w:pPr>
        <w:ind w:left="1040" w:right="12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open-label PK and multiple-dose safety and tolerability dose-titration trial of Afrezza in pediatric patients ages 4 to 17 years with type 1 diabetes, followed by a prospective, open-label, randomized, controlled trial comparing the efficacy and safety of prandial AFREZZA to prandial subcutaneous insulin as part used in combination with subcutaneous basal insulin in pediatric patients 4 to 17 years old with type 1 or type 2 diabetes; and</w:t>
      </w:r>
    </w:p>
    <w:p>
      <w:pPr>
        <w:spacing w:after="0" w:line="78"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five-year, randomized, controlled trial in 8,000-10,000 patients with type 2 diabetes to assess the potential serious risk of pulmonary malignancy with AFREZZA use.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right="380"/>
        <w:spacing w:after="0" w:line="277" w:lineRule="auto"/>
        <w:rPr>
          <w:sz w:val="20"/>
          <w:szCs w:val="20"/>
          <w:color w:val="auto"/>
        </w:rPr>
      </w:pPr>
      <w:r>
        <w:rPr>
          <w:rFonts w:ascii="Arial" w:cs="Arial" w:eastAsia="Arial" w:hAnsi="Arial"/>
          <w:sz w:val="18"/>
          <w:szCs w:val="18"/>
          <w:color w:val="auto"/>
        </w:rPr>
        <w:t>In addition, we plan to conduct other clinical studies of Afrezza, including dose optimization studies in type 1 and type 2 patients and a study of time that Afrezza patients remain within a desirable glycemic range as determined by continuous glucose monitoring.</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also believe our Technosphere formulations of active pharmaceutical ingredients have the potential to demonstrate clinical advantages over existing therapeutic options in a variety of therapeutic areas. In addition to our collaboration with Receptor Life Sciences, we are actively exploring other opportunities to out-license our proprietary Technosphere formulation and device technologies. We continue the development of certain products related to our Technosphere formulations and will continue to do so as permitted by our financial resources.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2018, we had an accumulated deficit of $2.9 billion and a stockholders’ deficit of $223.2 million. We had a net loss of $30.4 million for the three months ended March 31, 2018. We have funded our operations primarily through the sale of equity securities and convertible debt securities, borrowings under the Facility Agreement with Deerfield, borrowings under the Mann Group Loan Arrangement, receipt of upfront and milestone payments under the Sanofi License Agreement, and borrowings under senior secured promissory note and a guaranty and security agreement with an affiliate of Sanofi, which was terminated in 2016. As discussed below in “Liquidity and Capital Resources,” if we are unable to obtain additional funding, there is substantial doubt about our ability to continue as a going concern.</w:t>
      </w:r>
    </w:p>
    <w:p>
      <w:pPr>
        <w:spacing w:after="0" w:line="19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Our critical accounting policies can be found in Item 7. Management’s Discussion and Analysis of Financial Condition and Results of Operations in our Form 10-K for the year ended December 31, 2017. Material changes were made to the accounting policies for revenue recognition due to the adoption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 See Note 1 – Description of Business and Significant Accounting Policies in the condensed consolidated financial statements included in Part I – Financial Statements (Unaudited) for descriptions of the new accounting policies and impact of adoption.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revenue categories for the three months ended March 31, 2018 and 2017 (dollars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 pay</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discounts</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740"/>
              <w:spacing w:after="0"/>
              <w:rPr>
                <w:sz w:val="20"/>
                <w:szCs w:val="20"/>
                <w:color w:val="auto"/>
              </w:rPr>
            </w:pPr>
            <w:r>
              <w:rPr>
                <w:rFonts w:ascii="Arial" w:cs="Arial" w:eastAsia="Arial" w:hAnsi="Arial"/>
                <w:sz w:val="18"/>
                <w:szCs w:val="18"/>
                <w:color w:val="auto"/>
                <w:w w:val="98"/>
              </w:rPr>
              <w:t>Patient discount and co-pay assistance programs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740"/>
              <w:spacing w:after="0"/>
              <w:rPr>
                <w:sz w:val="20"/>
                <w:szCs w:val="20"/>
                <w:color w:val="auto"/>
              </w:rPr>
            </w:pPr>
            <w:r>
              <w:rPr>
                <w:rFonts w:ascii="Arial" w:cs="Arial" w:eastAsia="Arial" w:hAnsi="Arial"/>
                <w:sz w:val="18"/>
                <w:szCs w:val="18"/>
                <w:color w:val="auto"/>
              </w:rPr>
              <w:t>Product returns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6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Net revenue - collaboration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other</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(1,750)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vMerge w:val="restart"/>
          </w:tcPr>
          <w:p>
            <w:pPr>
              <w:ind w:left="500"/>
              <w:spacing w:after="0"/>
              <w:rPr>
                <w:sz w:val="20"/>
                <w:szCs w:val="20"/>
                <w:color w:val="auto"/>
              </w:rPr>
            </w:pPr>
            <w:r>
              <w:rPr>
                <w:rFonts w:ascii="Arial" w:cs="Arial" w:eastAsia="Arial" w:hAnsi="Arial"/>
                <w:sz w:val="18"/>
                <w:szCs w:val="18"/>
                <w:color w:val="auto"/>
              </w:rPr>
              <w:t>Total revenues</w:t>
            </w:r>
          </w:p>
        </w:tc>
        <w:tc>
          <w:tcPr>
            <w:tcW w:w="6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3,465</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9" w:name="page30"/>
    <w:bookmarkEnd w:id="29"/>
    <w:p>
      <w:pPr>
        <w:spacing w:after="0" w:line="289" w:lineRule="auto"/>
        <w:rPr>
          <w:sz w:val="20"/>
          <w:szCs w:val="20"/>
          <w:color w:val="auto"/>
        </w:rPr>
      </w:pPr>
      <w:r>
        <w:rPr>
          <w:rFonts w:ascii="Arial" w:cs="Arial" w:eastAsia="Arial" w:hAnsi="Arial"/>
          <w:sz w:val="16"/>
          <w:szCs w:val="16"/>
          <w:color w:val="auto"/>
        </w:rPr>
        <w:t>Gross revenue from product sales results from sales of Afrezza. The increase in gross revenue from product sales of $3.6 million for the three months ended March 31, 2018 compared to the same quarter of the prior year is primarily due to an increase in cartridges sold as well as a price increase. In addition, we adopted ASC 606, the new revenue standard, on January 1, 2018 under which we now recognize revenue on a sell-to model rather than a sell-through model. Accordingly, part of the increase is also related to revenue recognized upon sale to patients in 2017 while in 2018 we recognized revenue upon sales to wholesale distributors. Total estimated gross-to-net adjustments of $1.8 million were approximately 35% of gross revenue from product sales for the three months ended March 31, 2018, an increase of approximately 7% of gross revenue from the prior year. This increase is due primarily to rebates related to increases in the wholesaler acquisition cost of Afrezza, and estimated product returns. We were not required to reduce revenue in 2017 for product returns because at that time, we deferred recognition of revenue on Afrezza product delivered to wholesalers until the right of return no longer existed which occurred at the earlier of the time Afrezza was dispensed from pharmacies to patients or expiration of the right of return.</w:t>
      </w:r>
    </w:p>
    <w:p>
      <w:pPr>
        <w:spacing w:after="0" w:line="20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revenue from collaboration recognized in the three months ended March 31, 2018 relates to deferred revenue from Receptor, which is more fully described in Note 8 – Collaboration Arrangements of the Notes to the condensed consolidated financial statements included in Part I – Financial Statements (Unaudited).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Revenue – Other for the three months ended March 31, 2017 represents $1.7 million from sales of bulk insulin to a third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expenses are primarily comprised of costs of goods sold, research and development expenses, selling expenses, general and administrative expenses, and loss on foreign currency. Each is described in more detail below: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of Goods Sold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 significant component of our cost of goods sold is current period manufacturing costs in excess of costs capitalized into inventory (excess capacity</w:t>
      </w:r>
    </w:p>
    <w:p>
      <w:pPr>
        <w:spacing w:after="0" w:line="35"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costs). These costs, in addition to the impact of the annual revaluation of inventory to standard cost (and the annual revaluation of deferred costs to standard costs in 2017), and write-offs of inventory (and write-offs of deferred costs in 2017) are recorded as expenses in the period in which they are incurred, rather than as a portion of inventory cost. Costs of goods sold also includes the standard cost of Afrezza sold during the period and related variances.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research and development expenses include payroll, employee benefits, stock-based compensation expense, and other headcount-related expenses associated with research and development. Research and development expenses also include third-party clinical spending and clinical grants, manufacturing improvement and Technosphere development.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Expenses</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Selling expenses include payroll, employee benefits, stock-based compensation, and other headcount-related expenses associated with sales and marketing personnel, and the cost of advertising, promotions, trade shows, seminars and other programs.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general and administrative expenses include payroll, employee benefits and stock-based compensation expense, severance expense, and other headcount-related expenses associated with finance, legal, facilities, human resources and other administrative personnel, certain taxes, professional services, and legal and other administrative fees.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Foreign Currency</w:t>
      </w:r>
    </w:p>
    <w:p>
      <w:pPr>
        <w:spacing w:after="0" w:line="13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The following table provides a comparison of the expense categories for the three months ended March 31, 2018 and 2017 (dollars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5"/>
              </w:rPr>
              <w:t>Three Months Ended March 31,</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8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(485)</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Selling</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Loss on foreign currency translation</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1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30,254</w:t>
            </w:r>
          </w:p>
        </w:tc>
        <w:tc>
          <w:tcPr>
            <w:tcW w:w="2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22,611</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Cost of goods sold for the quarter ended March 31, 2018 increased $1.5 million or 57% compared to the same quarter in the prior year. The increase is primarily as a result of higher Afrezza sales in the quarter ended March 31, 2108 compared to the same period in the prior year. In addition, inventory write-offs were $0.6 million in the quarter ended March 31, 2018 compared to no inventory write-offs in the same period of the prior year. The standard cost of Afrezza sold during the period is substantially all conversion cost as we wrote off the cost of raw materials held in inventory at the end of 2015.</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for the quarter ended March 31, 2018 decreased $0.5 million or 16% compared to the same quarter in the prior year, primarily due to an approximately $1.1 million decrease in salary and salary-related expenses for personnel who were engaged in research and development activities in the first quarter of 2017 and have transitioned to Afrezza commercial support activities, such as pharmacovigilance to selling expenses in 2018. In addition, there was a $0.2 million decrease in research and development overhead due to increased manufacturing activity as a result of higher Afrezza sales in the quarter ended March 31, 2108 compared to the same quarter in the prior year. These decreases were off-set by increased outside contract research organization spending on clinical trials of $0.5 million.</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Selling expenses for the quarter ended March 31, 2018 increased $2.5 million or 29% compared to the same quarter in the prior year, primarily due to an increase of $1.8 million in headcount-related expenses associated with a greater number of sales personnel employed in the quarter ended March 31, 2018 over the number employed in the quarter ended March 31, 2017, as we transitioned our sales force in-house and expanded our sales force, and an increase of $1.2 million related to personnel providing increased Afrezza commercial support. These increases were offset by a $0.5 million decrease in spending on a contract sales organization that ceased to provide services during the first quarter of 2017. In order to conform to the 2018 presentation above, we reclassified approximately $0.8 million of personnel costs related to Afrezza commercial support activities from general and administrative expenses to selling expenses, resulting in a change in selling expenses from $7.7 million, as previously reported in our Form 10-Q filed on May 10, 2017, to $8.5 million.</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General and administrative expenses increased for the quarter ended March 31, 2018 by $2.8 million, or 40%, compared to the same quarter of the prior year, primarily due to an increase of $2.8 million in headcount-related expenses as a result of the addition of employees in our human resources, accounting, corporate communications, and office support departments. In addition, there were increases of $0.7 million in costs related to transitioning certain corporate support functions from Connecticut to our corporate headquarters in California and $0.1 million in additional computer equipment for the California location. These increases were offset by lower spending on consultants in accounting of $0.6 million due to the successful remediation of material weaknesses in 2017 and lower facility spending of $0.2 million due to the sale of our Valencia, California property in 2017. In order to conform to the 2018 presentation above, we reclassified approximately $0.8 million of personnel costs related to Afrezza commercial support activities from general and administrative expenses to selling expenses, resulting in a change in general and administrative expenses from $7.6 million, as previously reported in our Form 10-Q filed on May 10, 2017, to $6.8 million.</w:t>
      </w:r>
    </w:p>
    <w:p>
      <w:pPr>
        <w:spacing w:after="0" w:line="18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Loss on foreign currency translation increased by $1.4 million for the three months ended March 31, 2018 compared to the same quarter in the prior year due to the unfavorable U.S. dollar to Euro exchange rates associated with the recognized commitment to purchase insulin from Amphastar.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three months ended March 31, 2018 and 2017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(825)</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(6,874)</w:t>
            </w:r>
          </w:p>
        </w:tc>
        <w:tc>
          <w:tcPr>
            <w:tcW w:w="22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was no warrant liability for the three months ended March 31, 2018. During the three months ended March 31, 2017, we recorded a $6.6 million change in the fair value of the warrant liability. On September 29, 2017, we and the four holders of all outstanding A Warrants and B Warrants entered into separate, privately-negotiated exchange agreements, pursuant to which we agreed to issue to such holders an aggregate of 1,292,510 shares of our common stock in exchange for such warrants. The warrant liability associated with the exchanged warrants was adjusted to fair value and reclassified into equity as of September 29, 2017.</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decrease of $1.0 million in the interest expense on notes for the three months ended March 31, 2018 compared to the same quarter in the prior year was primarily related to the principal reduction of debt.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loss on extinguishment of debt of $0.8 million for the three months ended March 31, 2018 compared to the same quarter in the prior year was the result of the amendment and restatement of the Mann Group Loan Arrangement which was accounted for as an extinguishment.</w:t>
      </w:r>
    </w:p>
    <w:p>
      <w:pPr>
        <w:spacing w:after="0" w:line="170"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increase of $0.4 million in the interest expense on note payable to related party for the three months ended March 31, 2018 compared to the same quarter in the prior year was primarily due to increased principal resulting from additional borrowings and capitalization of interest since the second quarter of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under which we can no longer borrow as we have used all amounts available for borrowing, borrowings under the Facility Agreement with Deerfield, receipt of upfront and milestone payments under the Sanofi License Agreement, and borrowings under a senior secured promissory note and a guaranty and security agreement with an affiliate of Sanofi, which terminated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$140.2 million principal amount of outstanding debt, consisting of:</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$23.7 million principal amount of 2021 notes bearing interest at 5.75% per annum and maturing on October 23, 2021, which are convertible;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amounts under the Facility Financing Obligation with Deerfield:</w:t>
      </w:r>
    </w:p>
    <w:p>
      <w:pPr>
        <w:spacing w:after="0" w:line="117" w:lineRule="exact"/>
        <w:rPr>
          <w:rFonts w:ascii="Arial" w:cs="Arial" w:eastAsia="Arial" w:hAnsi="Arial"/>
          <w:sz w:val="18"/>
          <w:szCs w:val="18"/>
          <w:color w:val="auto"/>
        </w:rPr>
      </w:pPr>
    </w:p>
    <w:p>
      <w:pPr>
        <w:ind w:left="1540" w:right="10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$35.0 million principal amount of 2019 notes bearing interest at 9.75% per annum. Interest is payable in cash quarterly in arrears on the last business day of March, June, September and December of each year. $15.0 million will become due and payable on each of July 2018 and July 2019, and $5.0 million will become due and payable in December 2019;</w:t>
      </w:r>
    </w:p>
    <w:p>
      <w:pPr>
        <w:spacing w:after="0" w:line="86" w:lineRule="exact"/>
        <w:rPr>
          <w:rFonts w:ascii="Arial" w:cs="Arial" w:eastAsia="Arial" w:hAnsi="Arial"/>
          <w:sz w:val="18"/>
          <w:szCs w:val="18"/>
          <w:color w:val="auto"/>
        </w:rPr>
      </w:pPr>
    </w:p>
    <w:p>
      <w:pPr>
        <w:ind w:left="1540" w:right="20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$10.0 million principal amount of Tranche B notes bearing interest at 8.75% per annum. Interest is payable in cash quarterly in arrears on the last business day of March, June, September and December of each year. The principal amount is due and payable as follows: $5.0 million in May 2019 and December 2019;</w:t>
      </w:r>
    </w:p>
    <w:p>
      <w:pPr>
        <w:spacing w:after="0" w:line="208" w:lineRule="exact"/>
        <w:rPr>
          <w:rFonts w:ascii="Arial" w:cs="Arial" w:eastAsia="Arial" w:hAnsi="Arial"/>
          <w:sz w:val="18"/>
          <w:szCs w:val="18"/>
          <w:color w:val="auto"/>
        </w:rPr>
      </w:pPr>
    </w:p>
    <w:p>
      <w:pPr>
        <w:ind w:left="1540" w:hanging="506"/>
        <w:spacing w:after="0" w:line="25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March 31, 2018, Deerfield may, subject to the terms of the Sixth Deerfield Amendment, convert principal amounts of the 2019 notes and Tranche B notes from time to time into an aggregate of up to 9,558,382 shares of the Company’s common stock (excluding the Exchange Shares). The conversion price will be the greater of (i) the average of the volume weighted average price per share of the Company’s common stock for the three trading day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ind w:left="1540" w:right="380"/>
        <w:spacing w:after="0" w:line="277" w:lineRule="auto"/>
        <w:rPr>
          <w:sz w:val="20"/>
          <w:szCs w:val="20"/>
          <w:color w:val="auto"/>
        </w:rPr>
      </w:pPr>
      <w:r>
        <w:rPr>
          <w:rFonts w:ascii="Arial" w:cs="Arial" w:eastAsia="Arial" w:hAnsi="Arial"/>
          <w:sz w:val="18"/>
          <w:szCs w:val="18"/>
          <w:color w:val="auto"/>
        </w:rPr>
        <w:t>period immediately preceding the date of any election by Deerfield to convert principal amounts and (ii) $2.75 per share, subject to adjustment under certain circumstances described in the 2019 notes and Tranche B notes;</w:t>
      </w:r>
    </w:p>
    <w:p>
      <w:pPr>
        <w:spacing w:after="0" w:line="76" w:lineRule="exact"/>
        <w:rPr>
          <w:sz w:val="20"/>
          <w:szCs w:val="20"/>
          <w:color w:val="auto"/>
        </w:rPr>
      </w:pPr>
    </w:p>
    <w:p>
      <w:pPr>
        <w:ind w:left="1040" w:right="60" w:hanging="519"/>
        <w:spacing w:after="0" w:line="27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$71.5 million principal amount of indebtedness under the Mann Group Arrangement bearing interest at a fixed rate of 5.84% per annum compound quarterly beginning April 1, 2018 and maturing on July 1, 2021, all of which is convertible. Interest is due and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20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We have entered into certain transactions related to these borrowings during 2017 and 2018 that are more fully described in Note 6 – Related Party Arrangements, Note 7 – Borrowings, Note 10 – Fair Value of Financial Instruments, and Note 12 – Commitments and Contingencies.</w:t>
      </w:r>
    </w:p>
    <w:p>
      <w:pPr>
        <w:spacing w:after="0" w:line="16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October 10, 2017, we entered into securities purchase agreements (the “Purchase Agreements”) with certain institutional investors and a charitable foundation (collectively, the “Purchasers”). Pursuant to the terms of the Purchase Agreements, we sold to the Purchasers in a registered offering an aggregate of 10,166,600 shares of our common stock at a purchase price of $6.00 per share. Included in this offering was 166,600 shares issued to The Kresa Family Foundation, of which Kent Kresa, the Chairman of our board of directors, is the President. The net proceeds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us. The offering closed on October 13, 2017.</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November 2017, we sold an aggregate of 173,327 shares of our common stock for aggregate gross proceeds of approximately $0.6 million pursuant to our At Market Issuance Sales Agreement with B. Riley FBR, Inc. (f/k/a FBR Capital Markets &amp; Co.), dated as of April 26, 2016 (the “FBR Agreement”). On February 27, 2018, we terminated the FBR Agreement and no further sales will be made under such agreement.</w:t>
      </w:r>
    </w:p>
    <w:p>
      <w:pPr>
        <w:spacing w:after="0" w:line="22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February 27, 2018 we entered into a Controlled Equity Offering</w:t>
      </w:r>
      <w:r>
        <w:rPr>
          <w:rFonts w:ascii="Arial" w:cs="Arial" w:eastAsia="Arial" w:hAnsi="Arial"/>
          <w:sz w:val="13"/>
          <w:szCs w:val="13"/>
          <w:color w:val="auto"/>
        </w:rPr>
        <w:t>SM</w:t>
      </w:r>
      <w:r>
        <w:rPr>
          <w:rFonts w:ascii="Arial" w:cs="Arial" w:eastAsia="Arial" w:hAnsi="Arial"/>
          <w:sz w:val="16"/>
          <w:szCs w:val="16"/>
          <w:color w:val="auto"/>
        </w:rPr>
        <w:t xml:space="preserve"> Sales Agreement (the “Sales Agreement”) with Cantor Fitzgerald &amp; Co. (“Cantor Fitzgerald”), as sales agent, pursuant to which we may offer and sell, from time to time, through Cantor Fitzgerald, shares of our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w:t>
      </w:r>
    </w:p>
    <w:p>
      <w:pPr>
        <w:spacing w:after="0" w:line="1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quarter ended March 31, 2018, we sold an aggregate of 225,088 shares of our common stock for aggregate gross proceeds of approximately $0.6 million pursuant to our Sales Agreement with Cantor Fitzgerald.</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April 5, 2018, we entered into securities purchase agreements (the “Purchase Agreements”) with certain institutional investors (the “Purchasers”). Pursuant to the terms of the Purchase Agreements, we sold to the Purchasers in a registered offering an aggregate of 14,000,000 shares of our common stock and warrants to purchase up to an aggregate of 14,000,000 shares of our common stock at a combined purchase price of $2.00 per share and accompanying warrant. The warrants will be exercisable at a price of $2.38 per share beginning six months following the date of issuance and will expire six months thereafter. The net proceeds from the offering were approximately $26.3 million. The offering closed on April 9, 2018.</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2021 notes, Facility Financing Obligation, or the Mann Group Loan Arrangement when required. Further, if we undergo a fundamental change, as that term is defined in the indentures governing the terms of the 2021 notes, or certain Major Transactions as defined in the Facility Agreement with respect to the Facility Financing Obligation,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2021 note and Facility Financing Obligation are partially convertible and the Mann Group Loan Arrangement is fully convertible at any time prior to maturity as further disclosed in Note 6 – Related Party Arrangements and Note 7 – Borrowings.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we have been able to timely make our required interest payments to date, we cannot guarantee that we will be able to do so in the future. If we fail to pay interest on the 2021 notes and the Facility Financing Obligation or if we fail to repay or repurchase the 2021 notes, Facility Financing Obligation,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operations and financial condition, up to and including the note holders initiating bankruptcy proceedings or causing us to cease operations altogether.</w:t>
      </w:r>
    </w:p>
    <w:p>
      <w:pPr>
        <w:spacing w:after="0" w:line="23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on the last day of each fiscal quarter to not be less than $25.0 million, except for the months of August, September, October and December 2017. In these months the requirement was reduced to $10.0 million as of the last day of each month if certain conditions were met. We met the required conditions as of the last day of each of these periods. See Note 12 — Commitments and Contingencies and Note 7 — Borrowings for further information related to the Facility Agreement.</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31, 2014, we entered into the Insulin Supply Agreement, pursuant to which we agreed to purchase certain annual minimum quantities of insulin. See Note 12 — Commitments and Contingencies for further information related to the Insulin Supply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three months ended March 31, 2018, we used $21.7 million of cash for our operating activities as a result of our net loss of $30.4 million, offset by a net decrease in operating assets and liabilities of $0.4 million and non-cash charges of $8.3 million. The decrease in operating assets and liabilities was primarily as a result of decreases in accounts receivable of $1.1 million and prepaid expenses and other assets of $0.7 million and increases in accrued expenses and other current liabilities of $2.7 million offset by a $1.8 million increase in inventory and decreases in accounts payable of $2.0 million, deferred payments from collaboration of $0.1 million, and recognized loss on purchase commitments of $0.1 million. The non-cash charges included $3.0 million from losses on foreign currency exchange, $1.9 million of stock-based compensation, $1.1 million of interest accrued through notes payable to related party, $0.8 million from loss on extinguishment of the notes payable to related party, $0.6 million in write-off of inventory, and $0.7 million of depreciation, amortization and accretion.</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three months ended March 31, 2017, cash provided by operating activities was primarily as a result of $27.0 million in increases in operating assets and liabilities, offset by a $16.3 million net loss, adjusted further by non-cash charges of $2.2 million. The increase in operating assets and liabilities was primarily as a result of the receipt of $30.6 million from Sanofi pursuant to the insulin put option in January 2017 and increases in accrued expenses and other current liabilities of $1.1 million and decreases in prepaid expenses and other current assets of $0.9 million offset by decreases in accounts payable of $1.7 million, deferred revenue of $1.6 million, and recognized loss on purchase commitments of $0.5 million and increases in inventory of $1.4 million, deferred costs from commercial product sales of $0.2 million and accounts receivable of $0.1 million. The non-cash charges included $6.6 million from changes in the fair value of the warrant liability offset by a $1.5 million loss on foreign currency exchange, $1.3 million of stock-based compensation, $0.9 million of depreciation, amortization and accretion and $0.7 million interest accrued through notes payable to related party.</w:t>
      </w:r>
    </w:p>
    <w:p>
      <w:pPr>
        <w:spacing w:after="0" w:line="16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There was no cash provided from investing activities for the three months ended March 31, 2018 compared to cash provided by investing activities of $16.7 million for the three months ended March 31, 2017. The difference was primarily related to net proceeds of $16.7 million received during the three months ended March 31, 2017 for the sales of certain parcels of real estate owned by us in Valencia, California and certain related improvements, personal property, equipment, supplies and fixtures.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Cash provided from financing activities was $0.5 million for the three months ended March 31, 2018 compared to cash used in financing activities of $0.1 million for the three months ended March 31, 2017. The difference was related to $0.6 million of net proceeds from the sale of shares of our common stock pursuant to our Sales Agreement with Cantor Fitzgerald offset by $0.1 million for employment taxes related to vested restricted stock units. Cash used in financing activities of $0.1 million for the three months ended March 31, 2017 was primarily for employment taxes related to vested restricted stock units.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r>
        <w:rPr>
          <w:rFonts w:ascii="Arial" w:cs="Arial" w:eastAsia="Arial" w:hAnsi="Arial"/>
          <w:sz w:val="18"/>
          <w:szCs w:val="18"/>
          <w:color w:val="auto"/>
        </w:rPr>
        <w: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2018, we had $27.3 million in cash and cash equivalents and restricted cash. Our cash position, together with our short-term debt obligations and anticipated operating expenses, raises substantial doubt about our ability to continue as a going concern. We expect to expend our capital resources for the manufacturing, sales and marketing of Afrezza and to develop our product candidates. We also intend to use our capital resources for general corporate purposes. We will need to raise additional capital before we exhaust our current cash resources in order to continue to fund our research and development, support continued product growth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color w:val="auto"/>
        </w:rPr>
        <w:t>commercialization efforts, and to fund operations, generally. We will seek to raise additional funds through various potential sources, such as equity and debt financings, or through collaboration and licensing agreements.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plan to continue to fund our operating losses and capital funding needs through public or private equity or debt financings, strategic collaborations, licensing agreements or other arrangements.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March 31, 2018, there were no material changes outside of the ordinary course of business in our contractual obligations from those disclosed within “Management’s Discussion and Analysis of Financial Condition and Results of Operations,” as contained in the Annual Report, except for the following: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Financing Obligation</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15, 2018, we entered into a Fifth Amendment (the “Fifth Deerfield Amendment”) with Deerfield to the facility Agreement, pursuant to which the parties deferred the payment date for the $4.4 million remaining October 2017 Tranche 4 Principal Payment from January 15, 2018 to January 19, 2018. Concurrent with this amendment we entered into a First Amendment to Escrow Agreement to extend the escrow period to January 19, 2018 to align with the amended payment date under the Fifth Deerfield Amendment.</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January 18, 2018, we entered into an Exchange and Sixth Amendment to Facility Agreement (the “Sixth Deerfield Amendment”) with Deerfield, pursuant to which, among other things, we agreed to issue to Deerfield an aggregate of 1,267,972 shares of its common stock, par value $0.01 per share (the “Exchange Shares”), in exchange for $3,157,251 of the 2019 Notes, an exchange rate of $2.49 per share. In addition, the parties deferred the payment date for the $1.3 million remaining principal amount of the 2019 Notes (the “Remaining Payment”) from January 19, 2018 to May 6, 2018.</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also amended the outstanding 2019 Notes and Tranche B notes to provide that Deerfield may, subject to the terms of the Sixth Deerfield Amendment, convert principal amounts of the 2019 notes and Tranche B notes from time to time into an aggregate of up to 10,000,000 shares of our common stock (excluding the Exchange Shares). The conversion price will be the greater of (i) the average of the volume weighted average price per share of our common stock for the three trading day period immediately preceding the date of any election by Deerfield to convert principal amounts of the 2019 notes and Tranche B notes and (ii) $2.75 per share, subject to adjustment under certain circumstances described in the 2019 notes and Tranche B notes. Any conversions of principal by Deerfield under the 2019 notes and Tranche B notes will be applied first to reduce the Remaining Payment, and thereafter to reduce other principal payments due under the 2019 notes and Tranche B notes.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In connection with the Sixth Deerfield Amendment, we also entered into a Second Amendment to Escrow Agreement, dated January 18, 2018, with Deerfield and US Bank, pursuant to which the parties extended the period of the escrow established thereunder to May 6, 2018, corresponding to the extended payment date under the Facility Agreement.</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12, 2018 we entered into an Exchange Agreement with Deerfield Private Design Fund II, L.P. and Deerfield Private Design International II, L.P. pursuant to which we agreed to, among other things, exchange $5.0 million principal amount under the 8.75% Tranche B Notes for 1,838,236 shares of our common stock (the “March Exchange Shares”). The fair value of the March Exchange Shares was determined to be $2.72 per share representing the closing price of our common stock on March 9, 2018 per the NASDAQ Global Market. The principal amount being exchanged under the Tranche B Notes represents the principal amount that would have otherwise become due and payable in May 2018. The Escrow Agreement with Deerfield and US Bank, was terminated as the required payment was satisfied in full as of March 12, 2018.</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to Related Party</w:t>
      </w:r>
    </w:p>
    <w:p>
      <w:pPr>
        <w:spacing w:after="0" w:line="13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On March 11, 2018, we amended and restated the Mann Group Loan Arrangement with The Mann Group to, among other things, (i) reflect the current outstanding principal balance of the promissory note of $71.5 million, after giving effect to the partial cancelation of principal in exchange for shares of our common stock pursuant to a common stock purchase agreement dated March 11, 2018, (ii) extend the maturity date of the promissory note to July 1, 2021,</w:t>
      </w:r>
    </w:p>
    <w:p>
      <w:pPr>
        <w:ind w:right="40" w:firstLine="8"/>
        <w:spacing w:after="0" w:line="253"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permit accrued and unpaid interest to be paid-in-kind, and (iv) permit the principal and any accrued and unpaid interest under the Mann Group Loan Arrangement to be converted, at the option of The Mann Group, at any time on or prior to the close of business on the business day immediately preceding the stated maturity date, into shares of our common stock at a conversion rate of 250 shares per $1,000 of principal and/or accrued and unpaid interest, which is equal to a conversion price of $4.00 per share. The conversion rate will be subject to adjustment under certain circumstances described in the Mann Group Loan Arrangement.</w:t>
      </w:r>
    </w:p>
    <w:p>
      <w:pPr>
        <w:spacing w:after="0" w:line="1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contractual obligations are more fully described in Note 6 – Related Party Arrangements, Note 7 – Borrowings, Note 10 – Fair Value of Financial Instruments and Note 12 – Commitments and Contingencies.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 w:name="page37"/>
    <w:bookmarkEnd w:id="36"/>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100"/>
        <w:spacing w:after="0" w:line="264" w:lineRule="auto"/>
        <w:rPr>
          <w:sz w:val="20"/>
          <w:szCs w:val="20"/>
          <w:color w:val="auto"/>
        </w:rPr>
      </w:pPr>
      <w:r>
        <w:rPr>
          <w:rFonts w:ascii="Arial" w:cs="Arial" w:eastAsia="Arial" w:hAnsi="Arial"/>
          <w:sz w:val="18"/>
          <w:szCs w:val="18"/>
          <w:color w:val="auto"/>
        </w:rPr>
        <w:t>Due to the fixed interest rates of our debt, we currently do not have exposure to changes in our interest expense as a result of changes in interest rates. See Note 6 – Related Party Arrangements and Note 7 – Borrowings in the Notes to the condensed consolidated financial statements included in Part I – Financial Statements (Unaudited) for information about the principal amount of outstanding debt.</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interest rate on amounts borrowed under The Mann Group Loan Arrangement is fixed at 5.84%. As of March 31, 2018, we also have debt related to the 2021 notes at a fixed interest rate of 5.75%, debt related to the 2019 notes at a fixed interest rate of 9.75% and debt related to the Tranche B notes at a fixed interest rate of 8.75%.</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change in interest rates equal to 10% of the interest rates on March 31, 2018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supply agreement with Amphastar. Such obligations are denominated in Euros. At the end of each reporting period, the recognized loss on purchase commitment is converted to U.S. dollars at the then-applicable foreign exchange rate. As a result, our business is affected by fluctuations in exchange rates between the U.S. dollar and foreign currencies. On April 2, 2018 we entered into a foreign currency hedging transaction to mitigate our exposure to foreign currency exchange risks. Exchange rate fluctuations may adversely affect our expenses, results of operations, financial position and cash flows. If a change in the U.S. dollar to Euro exchange rate equal to 10% of the U.S. dollar to Euro exchange rate on March 31, 2018 were to occur, this change would have resulted in a foreign currency impact to our pre-tax income (losses) of approximately $11.1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March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2018,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We will vigorously defend against the claims advanced.</w:t>
      </w:r>
    </w:p>
    <w:p>
      <w:pPr>
        <w:spacing w:after="0" w:line="189"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our Facility Agreement with Deerfield, which requires us to maintain at least $25.0 million in cash and cash equivalents as of the last day of each fiscal quarter. It may be difficult for us to raise additional funds on favorable terms, or at all. As of March 31, 2018, we had cash and cash equivalents of $26.7 million and a stockholders’ deficit of $223.2 million. Our cash position, together with our short-term debt obligations and anticipated operating losses due to increased effort on commercialization and research and development projects raises substantial doubt about our ability to continue as a going concern. The extent of our additional funding requirements will depend on a number of factors, including:</w:t>
      </w:r>
    </w:p>
    <w:p>
      <w:pPr>
        <w:spacing w:after="0" w:line="7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1040" w:right="1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17" w:lineRule="exact"/>
        <w:rPr>
          <w:rFonts w:ascii="Arial" w:cs="Arial" w:eastAsia="Arial" w:hAnsi="Arial"/>
          <w:sz w:val="18"/>
          <w:szCs w:val="18"/>
          <w:color w:val="auto"/>
        </w:rPr>
      </w:pPr>
    </w:p>
    <w:p>
      <w:pPr>
        <w:ind w:left="1040" w:hanging="519"/>
        <w:spacing w:after="0" w:line="286"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obligation to make milestone payments pursuant to a Milestone Rights Purchase Agreement (the “Milestone Agreement) with Deerfield and Horizon Santé FLML SÁRL (collectively, the “Milestone Purchasers”), which requires us to make contingent payments to the Milestone Purchasers, totaling up to $90.0 million, upon us achieving specified commercialization milestones (the “Milestone Rights”);</w:t>
      </w:r>
    </w:p>
    <w:p>
      <w:pPr>
        <w:spacing w:after="0" w:line="57"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Deerfield could foreclose on substantially all of our assets.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specialty sales force, which included some of the sales representatives that previously were employed by the contract sales organization.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other than Brazil.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is not currently profitable and has rarely generated positive net cash flow from operations. As of March 31, 2018, we had an accumulated deficit of $2.9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the amended Insulin Supply Agreement with Amphastar, we agreed to purchase certain annual minimum quantities of insulin for calendar years 2018 through 2023 for an aggregate total remaining purchase price of €90.3 million at March 31, 2018. We may not have the necessary capital resources on hand in order to service this contractual commitment.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140"/>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$140.2 million principal amount of outstanding debt, consisting of:</w:t>
      </w:r>
    </w:p>
    <w:p>
      <w:pPr>
        <w:spacing w:after="0" w:line="117" w:lineRule="exact"/>
        <w:rPr>
          <w:sz w:val="20"/>
          <w:szCs w:val="20"/>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$23.7 million principal amount of senior convertible notes bearing interest at 5.75% per annum (the “2021 notes”), with interest payable in cash semiannually in arrears on February 15 and August 15 of each year, and maturing on October 23, 2021;</w:t>
      </w:r>
    </w:p>
    <w:p>
      <w:pPr>
        <w:spacing w:after="0" w:line="62"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$35.0 million principal amount of notes issued pursuant to the Facility Agreement, bearing interest at 9.75% per annum (the “2019 notes”), which is payable in cash quarterly in arrears on the last business day of March, June, September and December of each year, and of which total principal amount of $15.0 million will become due and payable in each of July 2018 and July 2019, and $5.0 million will become due and payable in December 2019;</w:t>
      </w:r>
    </w:p>
    <w:p>
      <w:pPr>
        <w:spacing w:after="0" w:line="78" w:lineRule="exact"/>
        <w:rPr>
          <w:rFonts w:ascii="Arial" w:cs="Arial" w:eastAsia="Arial" w:hAnsi="Arial"/>
          <w:sz w:val="18"/>
          <w:szCs w:val="18"/>
          <w:color w:val="auto"/>
        </w:rPr>
      </w:pPr>
    </w:p>
    <w:p>
      <w:pPr>
        <w:jc w:val="both"/>
        <w:ind w:left="1040" w:right="10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million principal amount of notes issued pursuant to the Facility Agreement bearing interest at 8.75% per annum (the “Tranche B notes” and together with the 2019 notes, the “Facility Financing Obligation”), which is payable in cash quarterly in arrears on the last business day of March, June, September and December of each year, and of which total principal amount of $5.0 million will become due and payable in May 2019 and December 2019; and</w:t>
      </w:r>
    </w:p>
    <w:p>
      <w:pPr>
        <w:spacing w:after="0" w:line="78" w:lineRule="exact"/>
        <w:rPr>
          <w:rFonts w:ascii="Arial" w:cs="Arial" w:eastAsia="Arial" w:hAnsi="Arial"/>
          <w:sz w:val="18"/>
          <w:szCs w:val="18"/>
          <w:color w:val="auto"/>
        </w:rPr>
      </w:pPr>
    </w:p>
    <w:p>
      <w:pPr>
        <w:ind w:left="1040" w:right="180" w:hanging="519"/>
        <w:spacing w:after="0" w:line="25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$71.5 million principal amount of indebtedness under The Mann Group Loan Arrangement maturing on January 5, 2020, bearing interest at a fixed rate of 5.84% per annum compound quarterly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2021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2021 notes, 2019 notes, or Tranche B notes, or if we fail to repay or repurchase the 2021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w:t>
      </w:r>
    </w:p>
    <w:p>
      <w:pPr>
        <w:spacing w:after="0" w:line="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include: our failure to timely make payments due under the Facility Financing Obligation;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$25.0 million as of the last day of any fiscal quarter. There have been no events of default under the Facility Financing Obligation. If we fail to timely pay accrued interest under The Mann Group Loan Arrangement when required, we will be in default under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160"/>
        <w:spacing w:after="0" w:line="257" w:lineRule="auto"/>
        <w:rPr>
          <w:sz w:val="20"/>
          <w:szCs w:val="20"/>
          <w:color w:val="auto"/>
        </w:rPr>
      </w:pPr>
      <w:r>
        <w:rPr>
          <w:rFonts w:ascii="Arial" w:cs="Arial" w:eastAsia="Arial" w:hAnsi="Arial"/>
          <w:sz w:val="18"/>
          <w:szCs w:val="18"/>
          <w:color w:val="auto"/>
        </w:rPr>
        <w:t>Mann Group Loan Arrangement. If one or more events of default under the Facility Agreement occurs and continues beyond any applicable cure period, the holders of the Facility Financing Obligation may declare all or any portion of the Facility Financing Obligation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Facility Financing Obligation would demand repayment of the outstanding balance of the Facility Financing Obligation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2021 notes. In the event of certain future defaults under the foregoing agreements for which we are not able to obtain waivers, the holders of the 2021 notes and Facility Financing Obligation may accelerate all of our repayment obligations, and, with respect to the Facility Financing Obligation,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September 2017, Novo Nordisk announced that Fiasp</w:t>
      </w:r>
      <w:r>
        <w:rPr>
          <w:rFonts w:ascii="Arial" w:cs="Arial" w:eastAsia="Arial" w:hAnsi="Arial"/>
          <w:sz w:val="15"/>
          <w:szCs w:val="15"/>
          <w:color w:val="auto"/>
        </w:rPr>
        <w:t>®</w:t>
      </w:r>
      <w:r>
        <w:rPr>
          <w:rFonts w:ascii="Arial" w:cs="Arial" w:eastAsia="Arial" w:hAnsi="Arial"/>
          <w:sz w:val="18"/>
          <w:szCs w:val="18"/>
          <w:color w:val="auto"/>
        </w:rPr>
        <w:t>, a faster formulation of insulin aspart, was approved by the FDA. Our future success will depend not only on our ability to develop our product candidates but to improve them and keep pace with emerging industry developments. We cannot assure you that we will be able to do so.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ind w:right="6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8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1040" w:right="6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other products that we may develop in the future depends on many factors, including the:</w:t>
      </w:r>
    </w:p>
    <w:p>
      <w:pPr>
        <w:spacing w:after="0" w:line="11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federal and proposed and enacted state legislation designed to, among other things, bring more transparency to product pricing, review the relationship between pricing and manufacturer patient programs, and reform government program reimbursement methodologies for products. At the federal level, the costs of prescription pharmaceuticals in the United States has also been the subject of considerable discussion, and members of Congress and the Trump administration have stated that they will address such costs through new legislative and administrative measures. At the state level, legislatures are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5" w:name="page46"/>
    <w:bookmarkEnd w:id="45"/>
    <w:p>
      <w:pPr>
        <w:ind w:right="20"/>
        <w:spacing w:after="0" w:line="270" w:lineRule="auto"/>
        <w:rPr>
          <w:sz w:val="20"/>
          <w:szCs w:val="20"/>
          <w:color w:val="auto"/>
        </w:rPr>
      </w:pPr>
      <w:r>
        <w:rPr>
          <w:rFonts w:ascii="Arial" w:cs="Arial" w:eastAsia="Arial" w:hAnsi="Arial"/>
          <w:sz w:val="17"/>
          <w:szCs w:val="17"/>
          <w:color w:val="auto"/>
        </w:rPr>
        <w:t>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79" w:lineRule="exact"/>
        <w:rPr>
          <w:sz w:val="20"/>
          <w:szCs w:val="20"/>
          <w:color w:val="auto"/>
        </w:rPr>
      </w:pPr>
    </w:p>
    <w:p>
      <w:pPr>
        <w:ind w:left="1040" w:right="3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6" w:name="page47"/>
    <w:bookmarkEnd w:id="46"/>
    <w:p>
      <w:pPr>
        <w:ind w:left="1040" w:right="3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jc w:val="both"/>
        <w:ind w:left="1040" w:right="30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commencing January 1, 2019)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40" w:right="60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right="40" w:hanging="519"/>
        <w:spacing w:after="0" w:line="30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46"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2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PPACA, effective January 1, 2019, to close the coverage gap in most Medicare drug plans, and also increases in 2019 the percentage that a drug manufacturer must discount the cost of prescription drugs from 50 percent under current law to 70 percent. We continue to evaluate the potential effect of the possible repeal and replacement of the PPACA may have on our business.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7" w:name="page48"/>
    <w:bookmarkEnd w:id="47"/>
    <w:p>
      <w:pPr>
        <w:ind w:right="20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 *</w:t>
      </w:r>
    </w:p>
    <w:p>
      <w:pPr>
        <w:spacing w:after="0" w:line="7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40" w:right="40" w:hanging="519"/>
        <w:spacing w:after="0" w:line="273"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0"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0"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3" w:lineRule="exact"/>
        <w:rPr>
          <w:rFonts w:ascii="Arial" w:cs="Arial" w:eastAsia="Arial" w:hAnsi="Arial"/>
          <w:sz w:val="18"/>
          <w:szCs w:val="18"/>
          <w:color w:val="auto"/>
        </w:rPr>
      </w:pPr>
    </w:p>
    <w:p>
      <w:pPr>
        <w:ind w:left="1040" w:hanging="519"/>
        <w:spacing w:after="0" w:line="288"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61" w:lineRule="exact"/>
        <w:rPr>
          <w:rFonts w:ascii="Arial" w:cs="Arial" w:eastAsia="Arial" w:hAnsi="Arial"/>
          <w:sz w:val="16"/>
          <w:szCs w:val="16"/>
          <w:color w:val="auto"/>
        </w:rPr>
      </w:pPr>
    </w:p>
    <w:p>
      <w:pPr>
        <w:ind w:left="1040" w:right="180" w:hanging="519"/>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8" w:lineRule="exact"/>
        <w:rPr>
          <w:rFonts w:ascii="Arial" w:cs="Arial" w:eastAsia="Arial" w:hAnsi="Arial"/>
          <w:sz w:val="18"/>
          <w:szCs w:val="18"/>
          <w:color w:val="auto"/>
        </w:rPr>
      </w:pPr>
    </w:p>
    <w:p>
      <w:pPr>
        <w:ind w:left="1040" w:right="20" w:hanging="519"/>
        <w:spacing w:after="0" w:line="291"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8" w:name="page49"/>
    <w:bookmarkEnd w:id="48"/>
    <w:p>
      <w:pPr>
        <w:ind w:right="40"/>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of $18,107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 *</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The standard requires a company to recognize revenue to depict the transfer of goods or services when transferred to customers in the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spacing w:after="0" w:line="289" w:lineRule="auto"/>
        <w:rPr>
          <w:sz w:val="20"/>
          <w:szCs w:val="20"/>
          <w:color w:val="auto"/>
        </w:rPr>
      </w:pPr>
      <w:r>
        <w:rPr>
          <w:rFonts w:ascii="Arial" w:cs="Arial" w:eastAsia="Arial" w:hAnsi="Arial"/>
          <w:sz w:val="16"/>
          <w:szCs w:val="16"/>
          <w:color w:val="auto"/>
        </w:rPr>
        <w:t>the standard as of the original effective date. In March 2016, the FASB issued additional ASUs which clarified certain aspects of the new guidance. We adopted the new standard for the year beginning January 1, 2018. We had the option to either apply the new standard retrospectively for all prior reporting periods presented (full retrospective) or retrospectively with the cumulative effect of initially applying the new standard recognized at the date of initial application (modified retrospective). We have elected to apply the new standard using the modified retrospective approach with the cumulative effect of initial application recognized as of January 1, 2018. Based on the impact of adopting the new standard, the cumulative effect adjustment was approximately a $1.9 million decrease to the opening balance of accumulated deficit.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 *</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2017, we had federal and state net operating loss carryforwards of $2.0 billion and $2.2 billion. The federal and state net operating loss carryforwards began to expire in the prior year.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our initial public offering in August 2004 are currently not subject to any such limitation as there have been no ownership changes since August 2004 within the meaning of Section 382 of the Code. We may however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ruled in October 2017 that U.S. law will apply to this case. The plaintiff has appealed this ruling.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w:t>
      </w:r>
    </w:p>
    <w:p>
      <w:pPr>
        <w:jc w:val="both"/>
        <w:ind w:right="380"/>
        <w:spacing w:after="0" w:line="302" w:lineRule="auto"/>
        <w:rPr>
          <w:sz w:val="20"/>
          <w:szCs w:val="20"/>
          <w:color w:val="auto"/>
        </w:rPr>
      </w:pPr>
      <w:r>
        <w:rPr>
          <w:rFonts w:ascii="Arial" w:cs="Arial" w:eastAsia="Arial" w:hAnsi="Arial"/>
          <w:sz w:val="16"/>
          <w:szCs w:val="16"/>
          <w:color w:val="auto"/>
        </w:rPr>
        <w:t>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700"/>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14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We do not believe that Afrezza infringes on any patents. However,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the purchase of shares of common stock under our employee stock purchase program; and the issuance of shares upon exchange or conversion of the 2021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Between January 1, 2014 and March 31, 2018, our closing stock price as reported on The NASDAQ Global Market has ranged from $0.71 to $54.80, adjusted for the reverse stock split that occurred during this period.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140"/>
        <w:spacing w:after="0" w:line="277" w:lineRule="auto"/>
        <w:rPr>
          <w:sz w:val="20"/>
          <w:szCs w:val="20"/>
          <w:color w:val="auto"/>
        </w:rPr>
      </w:pPr>
      <w:r>
        <w:rPr>
          <w:rFonts w:ascii="Arial" w:cs="Arial" w:eastAsia="Arial" w:hAnsi="Arial"/>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2" w:lineRule="exact"/>
        <w:rPr>
          <w:sz w:val="20"/>
          <w:szCs w:val="20"/>
          <w:color w:val="auto"/>
        </w:rPr>
      </w:pPr>
    </w:p>
    <w:p>
      <w:pPr>
        <w:ind w:left="1040" w:right="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17" w:lineRule="exact"/>
        <w:rPr>
          <w:rFonts w:ascii="Arial" w:cs="Arial" w:eastAsia="Arial" w:hAnsi="Arial"/>
          <w:sz w:val="18"/>
          <w:szCs w:val="18"/>
          <w:color w:val="auto"/>
        </w:rPr>
      </w:pPr>
    </w:p>
    <w:p>
      <w:pPr>
        <w:ind w:left="1040" w:right="180" w:hanging="519"/>
        <w:spacing w:after="0" w:line="25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April 24, 2018, we had 140,025,397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2021 notes, Facility Financing Obligation, or the Mann Group Loan Arrangement,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ind w:right="4340"/>
        <w:spacing w:after="0" w:line="470"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60" w:type="dxa"/>
            <w:vAlign w:val="bottom"/>
            <w:gridSpan w:val="19"/>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6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60" w:type="dxa"/>
            <w:vAlign w:val="bottom"/>
            <w:tcBorders>
              <w:top w:val="single" w:sz="8" w:color="auto"/>
              <w:bottom w:val="single" w:sz="8" w:color="0000EE"/>
            </w:tcBorders>
            <w:gridSpan w:val="24"/>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340" w:type="dxa"/>
            <w:vAlign w:val="bottom"/>
            <w:tcBorders>
              <w:top w:val="single" w:sz="8" w:color="auto"/>
            </w:tcBorders>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(File No. 000-50865), filed with the SEC on August 9,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500" w:type="dxa"/>
            <w:vAlign w:val="bottom"/>
            <w:gridSpan w:val="31"/>
          </w:tcPr>
          <w:p>
            <w:pPr>
              <w:spacing w:after="0"/>
              <w:rPr>
                <w:rFonts w:ascii="Arial" w:cs="Arial" w:eastAsia="Arial" w:hAnsi="Arial"/>
                <w:sz w:val="18"/>
                <w:szCs w:val="18"/>
                <w:color w:val="0000EE"/>
                <w:w w:val="97"/>
              </w:rPr>
            </w:pPr>
            <w:hyperlink r:id="rId88">
              <w:r>
                <w:rPr>
                  <w:rFonts w:ascii="Arial" w:cs="Arial" w:eastAsia="Arial" w:hAnsi="Arial"/>
                  <w:sz w:val="18"/>
                  <w:szCs w:val="18"/>
                  <w:color w:val="0000EE"/>
                  <w:w w:val="97"/>
                </w:rPr>
                <w:t>Certificate of Amendment of Amended and Restated Certificate of Incorporation of MannKind Corporation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Exhibit 3.1 to MannKind’s Current Report on Form 8-K (File No. 000-50865), filed with the SEC on March 2, 2017).</w:t>
              </w:r>
            </w:hyperlink>
          </w:p>
        </w:tc>
        <w:tc>
          <w:tcPr>
            <w:tcW w:w="6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500" w:type="dxa"/>
            <w:vAlign w:val="bottom"/>
            <w:tcBorders>
              <w:bottom w:val="single" w:sz="8" w:color="0000EE"/>
            </w:tcBorders>
            <w:gridSpan w:val="31"/>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3.</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MannKind’s Current Report on Form 8-K (File No. 000-50865), filed with the SEC on December 13, 2017).</w:t>
              </w:r>
            </w:hyperlink>
          </w:p>
        </w:tc>
        <w:tc>
          <w:tcPr>
            <w:tcW w:w="222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0480" w:type="dxa"/>
            <w:vAlign w:val="bottom"/>
            <w:tcBorders>
              <w:bottom w:val="single" w:sz="8" w:color="0000EE"/>
            </w:tcBorders>
            <w:gridSpan w:val="30"/>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Bylaws (incorporated by reference to MannKind’s Current Report on Form 8-K (File No. 000-50865), filed with the SEC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on November 19, 2007).</w:t>
              </w:r>
            </w:hyperlink>
          </w:p>
        </w:tc>
        <w:tc>
          <w:tcPr>
            <w:tcW w:w="872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500" w:type="dxa"/>
            <w:vAlign w:val="bottom"/>
            <w:gridSpan w:val="3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7">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8">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89">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90">
              <w:r>
                <w:rPr>
                  <w:rFonts w:ascii="Arial" w:cs="Arial" w:eastAsia="Arial" w:hAnsi="Arial"/>
                  <w:sz w:val="18"/>
                  <w:szCs w:val="18"/>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380" w:type="dxa"/>
            <w:vAlign w:val="bottom"/>
            <w:tcBorders>
              <w:bottom w:val="single" w:sz="8" w:color="0000EE"/>
            </w:tcBorders>
            <w:gridSpan w:val="27"/>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common stock certificate (incorporated by reference to Exhibit 4.2 to MannKind’s Annual Report on Form 10-K (File No. 000-50865),</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filed with the SEC on March 16,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500" w:type="dxa"/>
            <w:vAlign w:val="bottom"/>
            <w:tcBorders>
              <w:bottom w:val="single" w:sz="8" w:color="0000EE"/>
            </w:tcBorders>
            <w:gridSpan w:val="31"/>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9.75% Senior Secured Convertible Promissory Note due 2019 (incorporated by reference Exhibit 99.2 to MannKind’s Current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Form 8-K (File No. 000-50865), filed with the SEC on July 1,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500" w:type="dxa"/>
            <w:vAlign w:val="bottom"/>
            <w:gridSpan w:val="31"/>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Form of Amended and Restated 9.75% Senior Secured Convertible Promissory Note due 2019 (incorporated by reference to Exhibit 4.7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MannKind’s Annual Report on Form 10-K (File No. 000-50865), filed with the SEC on March 3, 2014).</w:t>
              </w:r>
            </w:hyperlink>
          </w:p>
        </w:tc>
        <w:tc>
          <w:tcPr>
            <w:tcW w:w="5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480" w:type="dxa"/>
            <w:vAlign w:val="bottom"/>
            <w:tcBorders>
              <w:bottom w:val="single" w:sz="8" w:color="0000EE"/>
            </w:tcBorders>
            <w:gridSpan w:val="30"/>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Tranche B Senior Secured Note due 2019 (incorporated by reference to Exhibit 4.8 to MannKind’s Quarterly Report on Form 10-Q (File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No. 000-50856), filed with the SEC on May 12,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500" w:type="dxa"/>
            <w:vAlign w:val="bottom"/>
            <w:gridSpan w:val="31"/>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Milestone Rights Purchase Agreement, dated as of July 1, 2013, by and among MannKind, Deerfield Private Design Fund II, L.P. and Horizon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100" w:type="dxa"/>
            <w:vAlign w:val="bottom"/>
            <w:gridSpan w:val="1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Santé FLML SÁRL (incorporated by reference to Exhibit 99.3 to MannKind’s Current Report on Form 8-K (File No. 000-50865),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SEC on July 1, 2013).</w:t>
              </w:r>
            </w:hyperlink>
          </w:p>
        </w:tc>
        <w:tc>
          <w:tcPr>
            <w:tcW w:w="8780" w:type="dxa"/>
            <w:vAlign w:val="bottom"/>
            <w:tcBorders>
              <w:top w:val="single" w:sz="8" w:color="0000EE"/>
            </w:tcBorders>
            <w:gridSpan w:val="26"/>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340" w:type="dxa"/>
            <w:vAlign w:val="bottom"/>
            <w:tcBorders>
              <w:bottom w:val="single" w:sz="8" w:color="0000EE"/>
            </w:tcBorders>
            <w:gridSpan w:val="26"/>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Guaranty and Security Agreement, dated as of July 1, 2013, by and among MannKind, MannKind LLC, Deerfield Private Design Fund II, L.P.,</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Deerfield Private Design International II, L.P. and Horizon Santé FLML SÁRL (incorporated by reference to Exhibit 99.4 to MannKind’s</w:t>
              </w:r>
            </w:hyperlink>
          </w:p>
        </w:tc>
        <w:tc>
          <w:tcPr>
            <w:tcW w:w="5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Current Report on Form 8-K (File No. 000-50865), filed with the SEC on July 1,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right w:val="single" w:sz="8" w:color="0000EE"/>
            </w:tcBorders>
            <w:gridSpan w:val="3"/>
            <w:shd w:val="clear" w:color="auto" w:fill="0000EE"/>
          </w:tcPr>
          <w:p>
            <w:pPr>
              <w:spacing w:after="0" w:line="20" w:lineRule="exact"/>
              <w:rPr>
                <w:sz w:val="1"/>
                <w:szCs w:val="1"/>
                <w:color w:val="auto"/>
              </w:rPr>
            </w:pPr>
          </w:p>
        </w:tc>
        <w:tc>
          <w:tcPr>
            <w:tcW w:w="4100" w:type="dxa"/>
            <w:vAlign w:val="bottom"/>
            <w:gridSpan w:val="11"/>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500" w:type="dxa"/>
            <w:vAlign w:val="bottom"/>
            <w:gridSpan w:val="31"/>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Facility Agreement, dated as of July 1, 2013, by and among MannKind Corporation, Deerfield Private Design Fund II, L.P. and Deerfield Private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top w:val="single" w:sz="8" w:color="0000EE"/>
            </w:tcBorders>
            <w:gridSpan w:val="29"/>
          </w:tcPr>
          <w:p>
            <w:pPr>
              <w:spacing w:after="0" w:line="196"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Design International II, L.P. (incorporated by reference to Exhibit 99.1 MannKind’s Current Report on Form 8-K (File No. 000-50865), filed</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with the SEC on July 1, 2013).</w:t>
              </w:r>
            </w:hyperlink>
          </w:p>
        </w:tc>
        <w:tc>
          <w:tcPr>
            <w:tcW w:w="7900" w:type="dxa"/>
            <w:vAlign w:val="bottom"/>
            <w:tcBorders>
              <w:top w:val="single" w:sz="8" w:color="0000EE"/>
            </w:tcBorders>
            <w:gridSpan w:val="20"/>
          </w:tcPr>
          <w:p>
            <w:pPr>
              <w:spacing w:after="0"/>
              <w:rPr>
                <w:sz w:val="17"/>
                <w:szCs w:val="17"/>
                <w:color w:val="auto"/>
              </w:rPr>
            </w:pPr>
          </w:p>
        </w:tc>
        <w:tc>
          <w:tcPr>
            <w:tcW w:w="3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500" w:type="dxa"/>
            <w:vAlign w:val="bottom"/>
            <w:gridSpan w:val="31"/>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First Amendment to Facility Agreement and Registration Rights Agreement, dated as of February 28, 2014, by and among MannKind, Deerfield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Private Design Fund II, L.P. and Deerfield Private Design International II, L.P. (incorporated by reference to Exhibit 10.39 to MannKind’s</w:t>
              </w:r>
            </w:hyperlink>
          </w:p>
        </w:tc>
        <w:tc>
          <w:tcPr>
            <w:tcW w:w="460" w:type="dxa"/>
            <w:vAlign w:val="bottom"/>
            <w:tcBorders>
              <w:top w:val="single" w:sz="8" w:color="0000EE"/>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Annual Report on Form 10-K (File No. 000-50865), filed with the SEC on March 3,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tcBorders>
              <w:top w:val="single" w:sz="8" w:color="0000EE"/>
            </w:tcBorders>
            <w:gridSpan w:val="13"/>
          </w:tcPr>
          <w:p>
            <w:pPr>
              <w:ind w:left="4700"/>
              <w:spacing w:after="0"/>
              <w:rPr>
                <w:sz w:val="20"/>
                <w:szCs w:val="20"/>
                <w:color w:val="auto"/>
              </w:rPr>
            </w:pPr>
            <w:r>
              <w:rPr>
                <w:rFonts w:ascii="Arial" w:cs="Arial" w:eastAsia="Arial" w:hAnsi="Arial"/>
                <w:sz w:val="18"/>
                <w:szCs w:val="18"/>
                <w:color w:val="auto"/>
              </w:rPr>
              <w:t>60</w:t>
            </w:r>
          </w:p>
        </w:tc>
        <w:tc>
          <w:tcPr>
            <w:tcW w:w="1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80" w:type="dxa"/>
            <w:vAlign w:val="bottom"/>
            <w:gridSpan w:val="28"/>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80" w:type="dxa"/>
            <w:vAlign w:val="bottom"/>
            <w:gridSpan w:val="2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4.10</w:t>
            </w:r>
          </w:p>
        </w:tc>
        <w:tc>
          <w:tcPr>
            <w:tcW w:w="140" w:type="dxa"/>
            <w:vAlign w:val="bottom"/>
          </w:tcPr>
          <w:p>
            <w:pPr>
              <w:spacing w:after="0"/>
              <w:rPr>
                <w:sz w:val="14"/>
                <w:szCs w:val="14"/>
                <w:color w:val="auto"/>
              </w:rPr>
            </w:pPr>
          </w:p>
        </w:tc>
        <w:tc>
          <w:tcPr>
            <w:tcW w:w="10480" w:type="dxa"/>
            <w:vAlign w:val="bottom"/>
            <w:tcBorders>
              <w:top w:val="single" w:sz="8" w:color="auto"/>
            </w:tcBorders>
            <w:gridSpan w:val="33"/>
          </w:tcPr>
          <w:p>
            <w:pPr>
              <w:spacing w:after="0" w:line="170" w:lineRule="exact"/>
              <w:rPr>
                <w:rFonts w:ascii="Arial" w:cs="Arial" w:eastAsia="Arial" w:hAnsi="Arial"/>
                <w:sz w:val="18"/>
                <w:szCs w:val="18"/>
                <w:color w:val="0000EE"/>
                <w:w w:val="97"/>
              </w:rPr>
            </w:pPr>
            <w:hyperlink r:id="rId101">
              <w:r>
                <w:rPr>
                  <w:rFonts w:ascii="Arial" w:cs="Arial" w:eastAsia="Arial" w:hAnsi="Arial"/>
                  <w:sz w:val="18"/>
                  <w:szCs w:val="18"/>
                  <w:color w:val="0000EE"/>
                  <w:w w:val="97"/>
                </w:rPr>
                <w:t>Second Amendment to Facility Agreement and Registration Rights Agreement, dated as of August 11, 2014, by and among MannKind,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120" w:type="dxa"/>
            <w:vAlign w:val="bottom"/>
            <w:tcBorders>
              <w:top w:val="single" w:sz="8" w:color="0000EE"/>
            </w:tcBorders>
          </w:tcPr>
          <w:p>
            <w:pPr>
              <w:spacing w:after="0"/>
              <w:rPr>
                <w:sz w:val="17"/>
                <w:szCs w:val="17"/>
                <w:color w:val="auto"/>
              </w:rPr>
            </w:pPr>
          </w:p>
        </w:tc>
        <w:tc>
          <w:tcPr>
            <w:tcW w:w="7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MannKind’s Quarterly Report on Form 10-Q (File No. 000-50865), filed with the SEC on November 10, 2014).</w:t>
              </w:r>
            </w:hyperlink>
          </w:p>
        </w:tc>
        <w:tc>
          <w:tcPr>
            <w:tcW w:w="242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10020" w:type="dxa"/>
            <w:vAlign w:val="bottom"/>
            <w:tcBorders>
              <w:bottom w:val="single" w:sz="8" w:color="0000EE"/>
            </w:tcBorders>
            <w:gridSpan w:val="19"/>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4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Design Fund II, L.P. and Deerfield Private Design International II, L.P. (incorporated by reference to Exhibit 99.2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on Form 8-K (File No. 000-50865), filed with the SEC on June 29,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3"/>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Fourth Amendment to Facility Agreement, dated October 23, 2017 by and among MannKind, MannKind LLC, Deerfield Private Design Fund II,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L.P. and Deerfield Private Design International II, L.P. (incorporated by reference to Exhibit 99.1 to MannKind’s Current Report on Form 8-K</w:t>
              </w:r>
            </w:hyperlink>
          </w:p>
        </w:tc>
        <w:tc>
          <w:tcPr>
            <w:tcW w:w="2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(File No. 000-50865), filed with the SEC on October 23,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10320" w:type="dxa"/>
            <w:vAlign w:val="bottom"/>
            <w:tcBorders>
              <w:bottom w:val="single" w:sz="8" w:color="0000EE"/>
            </w:tcBorders>
            <w:gridSpan w:val="26"/>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Fifth Amendment to Facility Agreement, dated January 15, 2018 by and among MannKind, MannKind LLC, Deerfield Private Design Fund II,</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 No. 000-50865), filed with the SEC on January 18, 2018.</w:t>
              </w:r>
            </w:hyperlink>
          </w:p>
        </w:tc>
        <w:tc>
          <w:tcPr>
            <w:tcW w:w="2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4"/>
                <w:szCs w:val="24"/>
                <w:color w:val="auto"/>
              </w:rPr>
            </w:pPr>
          </w:p>
        </w:tc>
        <w:tc>
          <w:tcPr>
            <w:tcW w:w="10360" w:type="dxa"/>
            <w:vAlign w:val="bottom"/>
            <w:tcBorders>
              <w:bottom w:val="single" w:sz="8" w:color="0000EE"/>
            </w:tcBorders>
            <w:gridSpan w:val="28"/>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Sixth Amendment to Facility Agreement, dated January 18, 2018 by and among MannKind, MannKind LLC, Deerfield Private Design Fund II,</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L.P., and Deerfield Private Design International II, L.P. (incorporated by reference to Exhibit 99.2 to MannKind’s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(File No. 000-50865), filed with the SEC on January 18, 2018.</w:t>
              </w:r>
            </w:hyperlink>
          </w:p>
        </w:tc>
        <w:tc>
          <w:tcPr>
            <w:tcW w:w="2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4"/>
                <w:szCs w:val="24"/>
                <w:color w:val="auto"/>
              </w:rPr>
            </w:pPr>
          </w:p>
        </w:tc>
        <w:tc>
          <w:tcPr>
            <w:tcW w:w="10340" w:type="dxa"/>
            <w:vAlign w:val="bottom"/>
            <w:tcBorders>
              <w:bottom w:val="single" w:sz="8" w:color="0000EE"/>
            </w:tcBorders>
            <w:gridSpan w:val="27"/>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Indenture, by and between MannKind and U.S. Bank (dated October 30, 2017 (incorporated by reference to Exhibit 4.1 to MannKind’s Current</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Report on Form 8-K (File No. 000-50865), filed with the SEC on October 30,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Form of 5.75% Convertible Senior Subordinated Exchange Note due 2021 (incorporated by reference to Exhibit A of Exhibit 4.1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Current Report on Form 8-K (File No. 000-50865), filed with the SEC on October 30, 2017).</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w w:val="95"/>
              </w:rPr>
            </w:pPr>
            <w:hyperlink r:id="rId107">
              <w:r>
                <w:rPr>
                  <w:rFonts w:ascii="Arial" w:cs="Arial" w:eastAsia="Arial" w:hAnsi="Arial"/>
                  <w:sz w:val="18"/>
                  <w:szCs w:val="18"/>
                  <w:color w:val="0000EE"/>
                  <w:w w:val="95"/>
                </w:rPr>
                <w:t>Form of Warrant to Purchase Common Stock issued November 16, 2015 (incorporated by reference to Exhibit 4.17 to MannKind’s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Report on Form 10-K (File No. 000-50865), filed with the SEC on March 15, 2016).</w:t>
              </w:r>
            </w:hyperlink>
          </w:p>
        </w:tc>
        <w:tc>
          <w:tcPr>
            <w:tcW w:w="48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w w:val="97"/>
              </w:rPr>
            </w:pPr>
            <w:hyperlink r:id="rId108">
              <w:r>
                <w:rPr>
                  <w:rFonts w:ascii="Arial" w:cs="Arial" w:eastAsia="Arial" w:hAnsi="Arial"/>
                  <w:sz w:val="18"/>
                  <w:szCs w:val="18"/>
                  <w:color w:val="0000EE"/>
                  <w:w w:val="97"/>
                </w:rPr>
                <w:t>Amended and Restated Promissory Note made by MannKind in favor of The Mann Group LLC, dated March 11, 2018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reference to Exhibit 99.1 to MannKind’s Current Report on Form 8-K (File No. 000-50865), filed with the SEC on March 12, 2018).</w:t>
              </w:r>
            </w:hyperlink>
          </w:p>
        </w:tc>
        <w:tc>
          <w:tcPr>
            <w:tcW w:w="240" w:type="dxa"/>
            <w:vAlign w:val="bottom"/>
            <w:tcBorders>
              <w:top w:val="single" w:sz="8" w:color="0000EE"/>
            </w:tcBorders>
            <w:gridSpan w:val="3"/>
          </w:tcPr>
          <w:p>
            <w:pPr>
              <w:spacing w:after="0"/>
              <w:rPr>
                <w:sz w:val="17"/>
                <w:szCs w:val="17"/>
                <w:color w:val="auto"/>
              </w:rPr>
            </w:pPr>
          </w:p>
        </w:tc>
        <w:tc>
          <w:tcPr>
            <w:tcW w:w="68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3"/>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Common Stock Purchase Warrant issued April 9, 2018 (incorporated by reference to Exhibit 4.1 to MannKind’s Current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8-K (File No. 000-50865), filed with the SEC on April 6,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80" w:type="dxa"/>
            <w:vAlign w:val="bottom"/>
            <w:tcBorders>
              <w:left w:val="single" w:sz="8" w:color="0000EE"/>
            </w:tcBorders>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20" w:type="dxa"/>
            <w:vAlign w:val="bottom"/>
            <w:tcBorders>
              <w:bottom w:val="single" w:sz="8" w:color="0000EE"/>
            </w:tcBorders>
            <w:gridSpan w:val="26"/>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Fifth Amendment to Facility Agreement, dated January 15, 2018 by and among MannKind, MannKind LLC, Deerfield Private Design Fund II,</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L.P. and Deerfield Private Design International II, L.P. (incorporated by reference to Exhibit 99.1 to MannKind’s Current Report on Form 8-K</w:t>
              </w:r>
            </w:hyperlink>
          </w:p>
        </w:tc>
        <w:tc>
          <w:tcPr>
            <w:tcW w:w="2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 No. 000-50865), filed with the SEC on January 18,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60" w:type="dxa"/>
            <w:vAlign w:val="bottom"/>
            <w:tcBorders>
              <w:bottom w:val="single" w:sz="8" w:color="0000EE"/>
            </w:tcBorders>
            <w:gridSpan w:val="28"/>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Sixth Amendment to Facility Agreement, dated January 18, 2018 by and among MannKind, MannKind LLC, Deerfield Private Design Fund II,</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L.P. and Deerfield Private Design International II, L.P. (incorporated by reference to Exhibit 99.2 to MannKind’s Current Report on Form 8-K</w:t>
              </w:r>
            </w:hyperlink>
          </w:p>
        </w:tc>
        <w:tc>
          <w:tcPr>
            <w:tcW w:w="2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(File No. 000-50865), filed with the SEC on January 18,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Exchange Agreement, dated March 12, 2018, by and among MannKind Corporation, MannKind LLC, Deerfield Private Design Fund II, L.P.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tcBorders>
              <w:top w:val="single" w:sz="8" w:color="0000EE"/>
            </w:tcBorders>
            <w:gridSpan w:val="32"/>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Deerfield Private Design International II, L.P. (incorporated by reference to Exhibit 99.2 to MannKind’s Current Report on Form 8-K (File No.</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000-50865), filed with the SEC on March 12, 2018).</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9"/>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Securities Purchase Agreement, dated April 5, 2018 (incorporated by reference to Exhibit 99.1 to MannKind’s Current Report on Form</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8-K (File No. 000-50865), filed with the SEC on April 6,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780" w:type="dxa"/>
            <w:vAlign w:val="bottom"/>
            <w:tcBorders>
              <w:left w:val="single" w:sz="8" w:color="0000EE"/>
            </w:tcBorders>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60" w:type="dxa"/>
            <w:vAlign w:val="bottom"/>
            <w:tcBorders>
              <w:bottom w:val="single" w:sz="8" w:color="0000EE"/>
            </w:tcBorders>
            <w:gridSpan w:val="28"/>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Engagement Letter, dated October 10, 2017, by and between MannKind and H.C. Wainwright &amp; Co. LLC (incorporated by reference to Exhibit</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99.</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MannKind’s Current Report on Form 8-K (File No. 000-50865), filed with the SEC on October 11,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Offer Letter dated February 2, 2018 by and between MannKind and David Kendall (incorporated by reference to Exhibit 10.6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Annual Report on 10-K (File No. 000-50865), field with the SEC on February 27, 2018.</w:t>
              </w:r>
            </w:hyperlink>
          </w:p>
        </w:tc>
        <w:tc>
          <w:tcPr>
            <w:tcW w:w="3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gridSpan w:val="2"/>
            <w:vMerge w:val="restart"/>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640" w:type="dxa"/>
            <w:vAlign w:val="bottom"/>
            <w:gridSpan w:val="2"/>
            <w:vMerge w:val="restart"/>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Controlled Equity Offering Offering</w:t>
              </w:r>
            </w:hyperlink>
          </w:p>
        </w:tc>
        <w:tc>
          <w:tcPr>
            <w:tcW w:w="160" w:type="dxa"/>
            <w:vAlign w:val="bottom"/>
            <w:tcBorders>
              <w:bottom w:val="single" w:sz="8" w:color="0000EE"/>
            </w:tcBorders>
          </w:tcPr>
          <w:p>
            <w:pPr>
              <w:spacing w:after="0"/>
              <w:rPr>
                <w:rFonts w:ascii="Arial" w:cs="Arial" w:eastAsia="Arial" w:hAnsi="Arial"/>
                <w:sz w:val="13"/>
                <w:szCs w:val="13"/>
                <w:color w:val="0000EE"/>
                <w:w w:val="71"/>
              </w:rPr>
            </w:pPr>
            <w:hyperlink r:id="rId114">
              <w:r>
                <w:rPr>
                  <w:rFonts w:ascii="Arial" w:cs="Arial" w:eastAsia="Arial" w:hAnsi="Arial"/>
                  <w:sz w:val="13"/>
                  <w:szCs w:val="13"/>
                  <w:color w:val="0000EE"/>
                  <w:w w:val="71"/>
                </w:rPr>
                <w:t>SM</w:t>
              </w:r>
            </w:hyperlink>
          </w:p>
        </w:tc>
        <w:tc>
          <w:tcPr>
            <w:tcW w:w="7680" w:type="dxa"/>
            <w:vAlign w:val="bottom"/>
            <w:gridSpan w:val="30"/>
            <w:vMerge w:val="restart"/>
          </w:tcPr>
          <w:p>
            <w:pPr>
              <w:ind w:left="60"/>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Sales Agreement, by and between MannKind and Cantor Fitzgerald &amp; Co., dated February 27,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80" w:type="dxa"/>
            <w:vAlign w:val="bottom"/>
            <w:gridSpan w:val="3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10"/>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3"/>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(incorporated by reference to Exhibit 10.47 to MannKind’s Annual Report on Form 10-K (File No. 000-50865), filed with the SEC on February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27, 2018).</w:t>
              </w:r>
            </w:hyperlink>
          </w:p>
        </w:tc>
        <w:tc>
          <w:tcPr>
            <w:tcW w:w="19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Third Amendment to Supply Agreement, dated April 11, 2018, by and between MannKind and Amphastar Pharmaceuticals,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60" w:type="dxa"/>
            <w:vAlign w:val="bottom"/>
            <w:gridSpan w:val="13"/>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480" w:type="dxa"/>
            <w:vAlign w:val="bottom"/>
            <w:gridSpan w:val="33"/>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Certification of the Chief Executive Officer pursuant to Rules 13a-14(a) and 15d-14(a) of the Securities Exchange Act of 1934,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tcBorders>
              <w:top w:val="single" w:sz="8" w:color="0000EE"/>
            </w:tcBorders>
            <w:gridSpan w:val="7"/>
          </w:tcPr>
          <w:p>
            <w:pPr>
              <w:ind w:left="4680"/>
              <w:spacing w:after="0"/>
              <w:rPr>
                <w:sz w:val="20"/>
                <w:szCs w:val="20"/>
                <w:color w:val="auto"/>
              </w:rPr>
            </w:pPr>
            <w:r>
              <w:rPr>
                <w:rFonts w:ascii="Arial" w:cs="Arial" w:eastAsia="Arial" w:hAnsi="Arial"/>
                <w:sz w:val="18"/>
                <w:szCs w:val="18"/>
                <w:color w:val="auto"/>
              </w:rPr>
              <w:t>61</w:t>
            </w: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80" w:type="dxa"/>
            <w:vAlign w:val="bottom"/>
            <w:gridSpan w:val="6"/>
            <w:vMerge w:val="restart"/>
          </w:tcPr>
          <w:p>
            <w:pPr>
              <w:ind w:left="45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4"/>
                <w:szCs w:val="14"/>
                <w:color w:val="auto"/>
              </w:rPr>
            </w:pPr>
          </w:p>
        </w:tc>
        <w:tc>
          <w:tcPr>
            <w:tcW w:w="1006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Certification of the Chief Financial Officer pursuant to Rules 13a-14(a) and 15d-14(a) of the Securities Exchange Act of 1934, as amended.</w:t>
              </w:r>
            </w:hyperlink>
          </w:p>
        </w:tc>
        <w:tc>
          <w:tcPr>
            <w:tcW w:w="420" w:type="dxa"/>
            <w:vAlign w:val="bottom"/>
            <w:tcBorders>
              <w:top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480" w:type="dxa"/>
            <w:vAlign w:val="bottom"/>
            <w:gridSpan w:val="6"/>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the Chief Executive Officer pursuant to Rules 13a-14(b) and 15d-14(b) of the Securities Exchange Act of 1934, as amended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Section 1350 of Chapter 63 of Title 18 of the United States Code (18 U.S.C. §1350).</w:t>
              </w:r>
            </w:hyperlink>
          </w:p>
        </w:tc>
        <w:tc>
          <w:tcPr>
            <w:tcW w:w="428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the Chief Financial Officer pursuant to Rules 13a-14(b) and 15d-14(b) of the Securities Exchange Act of 1934, as amended and</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Section 1350 of Chapter 63 of Title 18 of the United States Code (18 U.S.C. §1350).</w:t>
              </w:r>
            </w:hyperlink>
          </w:p>
        </w:tc>
        <w:tc>
          <w:tcPr>
            <w:tcW w:w="0" w:type="dxa"/>
            <w:vAlign w:val="bottom"/>
          </w:tcPr>
          <w:p>
            <w:pPr>
              <w:spacing w:after="0"/>
              <w:rPr>
                <w:sz w:val="1"/>
                <w:szCs w:val="1"/>
                <w:color w:val="auto"/>
              </w:rPr>
            </w:pPr>
          </w:p>
        </w:tc>
      </w:tr>
      <w:tr>
        <w:trPr>
          <w:trHeight w:val="358"/>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60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4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858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have been filed separately with the SEC.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May 9, 2018</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E. CASTAGNA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B. BINDER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337" w:right="279" w:bottom="1440" w:gutter="0" w:footer="0" w:header="0"/>
        </w:sectPr>
      </w:pPr>
    </w:p>
    <w:bookmarkStart w:id="64" w:name="page65"/>
    <w:bookmarkEnd w:id="64"/>
    <w:p>
      <w:pPr>
        <w:ind w:left="10420"/>
        <w:spacing w:after="0"/>
        <w:rPr>
          <w:sz w:val="20"/>
          <w:szCs w:val="20"/>
          <w:color w:val="auto"/>
        </w:rPr>
      </w:pPr>
      <w:r>
        <w:rPr>
          <w:rFonts w:ascii="Arial" w:cs="Arial" w:eastAsia="Arial" w:hAnsi="Arial"/>
          <w:sz w:val="17"/>
          <w:szCs w:val="17"/>
          <w:b w:val="1"/>
          <w:bCs w:val="1"/>
          <w:color w:val="auto"/>
        </w:rPr>
        <w:t>Exhibit 10.8</w:t>
      </w:r>
    </w:p>
    <w:p>
      <w:pPr>
        <w:spacing w:after="0" w:line="222"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auto"/>
        </w:rPr>
        <w:t>***Text Omitted and Filed Separately</w:t>
      </w:r>
    </w:p>
    <w:p>
      <w:pPr>
        <w:spacing w:after="0" w:line="29" w:lineRule="exact"/>
        <w:rPr>
          <w:sz w:val="20"/>
          <w:szCs w:val="20"/>
          <w:color w:val="auto"/>
        </w:rPr>
      </w:pPr>
    </w:p>
    <w:p>
      <w:pPr>
        <w:ind w:left="7380"/>
        <w:spacing w:after="0"/>
        <w:rPr>
          <w:sz w:val="20"/>
          <w:szCs w:val="20"/>
          <w:color w:val="auto"/>
        </w:rPr>
      </w:pPr>
      <w:r>
        <w:rPr>
          <w:rFonts w:ascii="Arial" w:cs="Arial" w:eastAsia="Arial" w:hAnsi="Arial"/>
          <w:sz w:val="17"/>
          <w:szCs w:val="17"/>
          <w:b w:val="1"/>
          <w:bCs w:val="1"/>
          <w:color w:val="auto"/>
        </w:rPr>
        <w:t>with the Securities and Exchange Commission.</w:t>
      </w:r>
    </w:p>
    <w:p>
      <w:pPr>
        <w:spacing w:after="0" w:line="7" w:lineRule="exact"/>
        <w:rPr>
          <w:sz w:val="20"/>
          <w:szCs w:val="20"/>
          <w:color w:val="auto"/>
        </w:rPr>
      </w:pPr>
    </w:p>
    <w:p>
      <w:pPr>
        <w:ind w:left="8500"/>
        <w:spacing w:after="0"/>
        <w:rPr>
          <w:sz w:val="20"/>
          <w:szCs w:val="20"/>
          <w:color w:val="auto"/>
        </w:rPr>
      </w:pPr>
      <w:r>
        <w:rPr>
          <w:rFonts w:ascii="Arial" w:cs="Arial" w:eastAsia="Arial" w:hAnsi="Arial"/>
          <w:sz w:val="17"/>
          <w:szCs w:val="17"/>
          <w:b w:val="1"/>
          <w:bCs w:val="1"/>
          <w:color w:val="auto"/>
        </w:rPr>
        <w:t>Confidential Treatment Requested</w:t>
      </w:r>
    </w:p>
    <w:p>
      <w:pPr>
        <w:spacing w:after="0" w:line="7"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Under 17 C.F.R. Sections 200.80(b)(4) and Rule 24b-2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SUPPLY AGREEMENT</w:t>
      </w:r>
    </w:p>
    <w:p>
      <w:pPr>
        <w:spacing w:after="0" w:line="34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This third amendment (“Third Amendment”) to the Supply Agreement by and between MannKind Corporation (“MannKind”) and Amphastar Pharmaceuticals, Inc. (“Amphastar”), originally dated July 31, 2014 and as previously amended on October 31, 2014 and November 9, 2016 (collectively, the “Agreement”), is hereby made as of the 11th day of April, 2018, by and between MannKind on the one hand, and on the other hand, Amphastar.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1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WHEREAS, MannKind and Amphastar entered into the Agreement pursuant to which Amphastar is to manufacture and supply the Product to MannKind, and MannKind is to purchase certain minimum quantities of the Product;</w:t>
      </w:r>
    </w:p>
    <w:p>
      <w:pPr>
        <w:spacing w:after="0" w:line="19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WHEREAS, any distribution or sales by MannKind of the Product or the MannKind Product made using the Product shall be limited to the Territory; and</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MannKind and Amphastar have determined it to be mutually beneficial to amend the Agreement as set forth herein.</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for good and valuable consideration, MannKind and Amphastar, hereby agree to amend the Agreement as</w:t>
      </w:r>
    </w:p>
    <w:p>
      <w:pPr>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p>
      <w:pPr>
        <w:ind w:firstLine="885"/>
        <w:spacing w:after="0" w:line="246" w:lineRule="auto"/>
        <w:tabs>
          <w:tab w:leader="none" w:pos="167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of the capitalized terms used in this Third Amendment shall have the definition and meaning ascribed to it in the Agreement.</w:t>
      </w:r>
    </w:p>
    <w:p>
      <w:pPr>
        <w:spacing w:after="0" w:line="196" w:lineRule="exact"/>
        <w:rPr>
          <w:rFonts w:ascii="Arial" w:cs="Arial" w:eastAsia="Arial" w:hAnsi="Arial"/>
          <w:sz w:val="18"/>
          <w:szCs w:val="18"/>
          <w:color w:val="auto"/>
        </w:rPr>
      </w:pPr>
    </w:p>
    <w:p>
      <w:pPr>
        <w:ind w:left="1680" w:hanging="795"/>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212"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Section 1.4 of the Agreement is amended and replaced in its entirety with the following:</w:t>
      </w:r>
    </w:p>
    <w:p>
      <w:pPr>
        <w:spacing w:after="0" w:line="19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Countries’</w:t>
      </w:r>
      <w:r>
        <w:rPr>
          <w:rFonts w:ascii="Arial" w:cs="Arial" w:eastAsia="Arial" w:hAnsi="Arial"/>
          <w:sz w:val="18"/>
          <w:szCs w:val="18"/>
          <w:color w:val="auto"/>
        </w:rPr>
        <w:t xml:space="preserve"> means […***…]”</w:t>
      </w:r>
    </w:p>
    <w:p>
      <w:pPr>
        <w:spacing w:after="0" w:line="234" w:lineRule="exact"/>
        <w:rPr>
          <w:sz w:val="20"/>
          <w:szCs w:val="20"/>
          <w:color w:val="auto"/>
        </w:rPr>
      </w:pPr>
    </w:p>
    <w:p>
      <w:pPr>
        <w:ind w:left="1680" w:hanging="795"/>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Final Agreement</w:t>
      </w:r>
      <w:r>
        <w:rPr>
          <w:rFonts w:ascii="Arial" w:cs="Arial" w:eastAsia="Arial" w:hAnsi="Arial"/>
          <w:sz w:val="18"/>
          <w:szCs w:val="18"/>
          <w:color w:val="auto"/>
        </w:rPr>
        <w:t>.</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From and after the execution of this Third Amendment, all references in the Agreement (or in the Third Amendment) to “this Agreement,” “hereof,” “herein,” “hereto,” and similar words or phrases shall mean and refer to the Agreement as amended by this Third Amendment. The Agreement as amended by this Third Amendment constitutes the entire agreement by and between the Parties as to the subject matter hereof. Except as expressly modified by this Third Amendment, all other terms and conditions of the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ind w:firstLine="877"/>
        <w:spacing w:after="0" w:line="246" w:lineRule="auto"/>
        <w:rPr>
          <w:sz w:val="20"/>
          <w:szCs w:val="20"/>
          <w:color w:val="auto"/>
        </w:rPr>
      </w:pPr>
      <w:r>
        <w:rPr>
          <w:rFonts w:ascii="Arial" w:cs="Arial" w:eastAsia="Arial" w:hAnsi="Arial"/>
          <w:sz w:val="18"/>
          <w:szCs w:val="18"/>
          <w:color w:val="auto"/>
        </w:rPr>
        <w:t>IN WITNESS WHEREOF, each of MannKind and Amphastar has caused this Third Amendment to be executed by their duly authorized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MannKind Corporation</w:t>
      </w:r>
    </w:p>
    <w:p>
      <w:pPr>
        <w:spacing w:after="0" w:line="203"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1740" w:type="dxa"/>
            <w:vAlign w:val="bottom"/>
          </w:tcPr>
          <w:p>
            <w:pPr>
              <w:ind w:left="540"/>
              <w:spacing w:after="0"/>
              <w:rPr>
                <w:sz w:val="20"/>
                <w:szCs w:val="20"/>
                <w:color w:val="auto"/>
              </w:rPr>
            </w:pPr>
            <w:r>
              <w:rPr>
                <w:rFonts w:ascii="Arial" w:cs="Arial" w:eastAsia="Arial" w:hAnsi="Arial"/>
                <w:sz w:val="18"/>
                <w:szCs w:val="18"/>
                <w:color w:val="auto"/>
              </w:rPr>
              <w:t>By:</w:t>
            </w:r>
          </w:p>
        </w:tc>
        <w:tc>
          <w:tcPr>
            <w:tcW w:w="3700" w:type="dxa"/>
            <w:vAlign w:val="bottom"/>
            <w:gridSpan w:val="4"/>
          </w:tcPr>
          <w:p>
            <w:pPr>
              <w:ind w:left="680"/>
              <w:spacing w:after="0"/>
              <w:rPr>
                <w:sz w:val="20"/>
                <w:szCs w:val="20"/>
                <w:color w:val="auto"/>
              </w:rPr>
            </w:pPr>
            <w:r>
              <w:rPr>
                <w:rFonts w:ascii="Arial" w:cs="Arial" w:eastAsia="Arial" w:hAnsi="Arial"/>
                <w:sz w:val="18"/>
                <w:szCs w:val="18"/>
                <w:color w:val="auto"/>
                <w:w w:val="98"/>
              </w:rPr>
              <w:t>/s/ Michael Castagna _____________</w:t>
            </w:r>
          </w:p>
        </w:tc>
      </w:tr>
      <w:tr>
        <w:trPr>
          <w:trHeight w:val="209"/>
        </w:trPr>
        <w:tc>
          <w:tcPr>
            <w:tcW w:w="1740" w:type="dxa"/>
            <w:vAlign w:val="bottom"/>
          </w:tcPr>
          <w:p>
            <w:pPr>
              <w:ind w:left="540"/>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17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w w:val="99"/>
              </w:rPr>
              <w:t>Michael Castagna</w:t>
            </w:r>
          </w:p>
        </w:tc>
        <w:tc>
          <w:tcPr>
            <w:tcW w:w="1300" w:type="dxa"/>
            <w:vAlign w:val="bottom"/>
          </w:tcPr>
          <w:p>
            <w:pPr>
              <w:spacing w:after="0"/>
              <w:rPr>
                <w:sz w:val="18"/>
                <w:szCs w:val="18"/>
                <w:color w:val="auto"/>
              </w:rPr>
            </w:pPr>
          </w:p>
        </w:tc>
      </w:tr>
      <w:tr>
        <w:trPr>
          <w:trHeight w:val="217"/>
        </w:trPr>
        <w:tc>
          <w:tcPr>
            <w:tcW w:w="1740" w:type="dxa"/>
            <w:vAlign w:val="bottom"/>
          </w:tcPr>
          <w:p>
            <w:pPr>
              <w:ind w:left="540"/>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18"/>
                <w:szCs w:val="18"/>
                <w:color w:val="auto"/>
              </w:rPr>
            </w:pPr>
          </w:p>
        </w:tc>
        <w:tc>
          <w:tcPr>
            <w:tcW w:w="302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w:t>
            </w:r>
          </w:p>
        </w:tc>
      </w:tr>
      <w:tr>
        <w:trPr>
          <w:trHeight w:val="851"/>
        </w:trPr>
        <w:tc>
          <w:tcPr>
            <w:tcW w:w="5440" w:type="dxa"/>
            <w:vAlign w:val="bottom"/>
            <w:gridSpan w:val="5"/>
          </w:tcPr>
          <w:p>
            <w:pPr>
              <w:spacing w:after="0"/>
              <w:rPr>
                <w:sz w:val="20"/>
                <w:szCs w:val="20"/>
                <w:color w:val="auto"/>
              </w:rPr>
            </w:pPr>
            <w:r>
              <w:rPr>
                <w:rFonts w:ascii="Arial" w:cs="Arial" w:eastAsia="Arial" w:hAnsi="Arial"/>
                <w:sz w:val="18"/>
                <w:szCs w:val="18"/>
                <w:b w:val="1"/>
                <w:bCs w:val="1"/>
                <w:color w:val="auto"/>
              </w:rPr>
              <w:t>Amphastar Pharmaceuticals, Inc.</w:t>
            </w:r>
          </w:p>
        </w:tc>
      </w:tr>
      <w:tr>
        <w:trPr>
          <w:trHeight w:val="378"/>
        </w:trPr>
        <w:tc>
          <w:tcPr>
            <w:tcW w:w="1740" w:type="dxa"/>
            <w:vAlign w:val="bottom"/>
          </w:tcPr>
          <w:p>
            <w:pPr>
              <w:ind w:left="540"/>
              <w:spacing w:after="0"/>
              <w:rPr>
                <w:sz w:val="20"/>
                <w:szCs w:val="20"/>
                <w:color w:val="auto"/>
              </w:rPr>
            </w:pPr>
            <w:r>
              <w:rPr>
                <w:rFonts w:ascii="Arial" w:cs="Arial" w:eastAsia="Arial" w:hAnsi="Arial"/>
                <w:sz w:val="18"/>
                <w:szCs w:val="18"/>
                <w:color w:val="auto"/>
              </w:rPr>
              <w:t>By:</w:t>
            </w:r>
          </w:p>
        </w:tc>
        <w:tc>
          <w:tcPr>
            <w:tcW w:w="3700" w:type="dxa"/>
            <w:vAlign w:val="bottom"/>
            <w:gridSpan w:val="4"/>
          </w:tcPr>
          <w:p>
            <w:pPr>
              <w:ind w:left="680"/>
              <w:spacing w:after="0"/>
              <w:rPr>
                <w:sz w:val="20"/>
                <w:szCs w:val="20"/>
                <w:color w:val="auto"/>
              </w:rPr>
            </w:pPr>
            <w:r>
              <w:rPr>
                <w:rFonts w:ascii="Arial" w:cs="Arial" w:eastAsia="Arial" w:hAnsi="Arial"/>
                <w:sz w:val="18"/>
                <w:szCs w:val="18"/>
                <w:color w:val="auto"/>
                <w:w w:val="99"/>
              </w:rPr>
              <w:t>/s/ Jason Shandell _______________</w:t>
            </w:r>
          </w:p>
        </w:tc>
      </w:tr>
      <w:tr>
        <w:trPr>
          <w:trHeight w:val="209"/>
        </w:trPr>
        <w:tc>
          <w:tcPr>
            <w:tcW w:w="1740" w:type="dxa"/>
            <w:vAlign w:val="bottom"/>
          </w:tcPr>
          <w:p>
            <w:pPr>
              <w:ind w:left="540"/>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1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Jason Shandell</w:t>
            </w:r>
          </w:p>
        </w:tc>
        <w:tc>
          <w:tcPr>
            <w:tcW w:w="1500" w:type="dxa"/>
            <w:vAlign w:val="bottom"/>
            <w:gridSpan w:val="2"/>
          </w:tcPr>
          <w:p>
            <w:pPr>
              <w:spacing w:after="0"/>
              <w:rPr>
                <w:sz w:val="18"/>
                <w:szCs w:val="18"/>
                <w:color w:val="auto"/>
              </w:rPr>
            </w:pPr>
          </w:p>
        </w:tc>
      </w:tr>
      <w:tr>
        <w:trPr>
          <w:trHeight w:val="217"/>
        </w:trPr>
        <w:tc>
          <w:tcPr>
            <w:tcW w:w="1740" w:type="dxa"/>
            <w:vAlign w:val="bottom"/>
          </w:tcPr>
          <w:p>
            <w:pPr>
              <w:ind w:left="540"/>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18"/>
                <w:szCs w:val="18"/>
                <w:color w:val="auto"/>
              </w:rPr>
            </w:pPr>
          </w:p>
        </w:tc>
        <w:tc>
          <w:tcPr>
            <w:tcW w:w="3020" w:type="dxa"/>
            <w:vAlign w:val="bottom"/>
            <w:gridSpan w:val="3"/>
          </w:tcPr>
          <w:p>
            <w:pPr>
              <w:ind w:left="120"/>
              <w:spacing w:after="0"/>
              <w:rPr>
                <w:sz w:val="20"/>
                <w:szCs w:val="20"/>
                <w:color w:val="auto"/>
              </w:rPr>
            </w:pPr>
            <w:r>
              <w:rPr>
                <w:rFonts w:ascii="Arial" w:cs="Arial" w:eastAsia="Arial" w:hAnsi="Arial"/>
                <w:sz w:val="18"/>
                <w:szCs w:val="18"/>
                <w:color w:val="auto"/>
              </w:rPr>
              <w:t>President</w:t>
            </w: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7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Castagna,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501"/>
        <w:spacing w:after="0" w:line="342" w:lineRule="auto"/>
        <w:tabs>
          <w:tab w:leader="none" w:pos="125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May 9, 2018</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CASTAGNA</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Michael Castagna</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Binder,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May 9, 2018</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Steven Binder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2018, as filed with the Securities and Exchange Commission on or about the date hereof to which this certification is attached as Exhibit 32.1 (the “Report”) and pursuant to the requirement set forth in Rule 13a-14(b) of the Securities Exchange Act of 1934, as amended (the “Exchange Act”), and Section 1350 of Chapter 63 of Title 18 of the United States Code (18 U.S.C. §1350), Michael Castagna, Chief Executive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9th day of May 2018.</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right="100" w:hanging="512"/>
        <w:spacing w:after="0" w:line="256" w:lineRule="auto"/>
        <w:tabs>
          <w:tab w:leader="none" w:pos="520" w:val="left"/>
        </w:tabs>
        <w:numPr>
          <w:ilvl w:val="0"/>
          <w:numId w:val="33"/>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2018, as filed with the Securities and Exchange Commission on or about the date hereof to which this certification is attached as Exhibit 32.2 (the “Report”) and pursuant to the requirement set forth in Rule 13a-14(b) of the Securities Exchange Act of 1934, as amended (the “Exchange Act”), and Section 1350 of Chapter 63 of Title 18 of the United States Code (18 U.S.C. §1350), Steven Binder, Chief Financial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9th day of May 2018.</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right="100" w:hanging="512"/>
        <w:spacing w:after="0" w:line="256" w:lineRule="auto"/>
        <w:tabs>
          <w:tab w:leader="none" w:pos="520" w:val="left"/>
        </w:tabs>
        <w:numPr>
          <w:ilvl w:val="0"/>
          <w:numId w:val="35"/>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lowerRoman"/>
      <w:start w:val="2"/>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lvl w:ilvl="1">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Roman"/>
      <w:start w:val="3"/>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emdash "/>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3"/>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87" Type="http://schemas.openxmlformats.org/officeDocument/2006/relationships/hyperlink" Target="http://www.sec.gov/Archives/edgar/data/899460/000119312516676980/d225552dex31.htm" TargetMode="External"/><Relationship Id="rId88" Type="http://schemas.openxmlformats.org/officeDocument/2006/relationships/hyperlink" Target="http://www.sec.gov/Archives/edgar/data/899460/000119312517066630/d313758dex31.htm" TargetMode="External"/><Relationship Id="rId89" Type="http://schemas.openxmlformats.org/officeDocument/2006/relationships/hyperlink" Target="http://www.sec.gov/Archives/edgar/data/899460/000119312517368329/d511527dex31.htm" TargetMode="External"/><Relationship Id="rId90" Type="http://schemas.openxmlformats.org/officeDocument/2006/relationships/hyperlink" Target="http://www.sec.gov/Archives/edgar/data/899460/000095012407005941/v35880exv3w1.htm" TargetMode="External"/><Relationship Id="rId91" Type="http://schemas.openxmlformats.org/officeDocument/2006/relationships/hyperlink" Target="http://www.sec.gov/Archives/edgar/data/899460/000119312517085519/d305327dex42.htm" TargetMode="External"/><Relationship Id="rId92" Type="http://schemas.openxmlformats.org/officeDocument/2006/relationships/hyperlink" Target="http://www.sec.gov/Archives/edgar/data/899460/000119312513279522/d562665dex992.htm" TargetMode="External"/><Relationship Id="rId93" Type="http://schemas.openxmlformats.org/officeDocument/2006/relationships/hyperlink" Target="http://www.sec.gov/Archives/edgar/data/899460/000119312514080324/d647959dex47.htm" TargetMode="External"/><Relationship Id="rId94" Type="http://schemas.openxmlformats.org/officeDocument/2006/relationships/hyperlink" Target="http://www.sec.gov/Archives/edgar/data/899460/000119312514195057/d697163dex48.htm" TargetMode="External"/><Relationship Id="rId95" Type="http://schemas.openxmlformats.org/officeDocument/2006/relationships/hyperlink" Target="http://www.sec.gov/Archives/edgar/data/899460/000119312513279522/d562665dex993.htm" TargetMode="External"/><Relationship Id="rId96" Type="http://schemas.openxmlformats.org/officeDocument/2006/relationships/hyperlink" Target="http://www.sec.gov/Archives/edgar/data/899460/000119312513279522/d562665dex994.htm" TargetMode="External"/><Relationship Id="rId97" Type="http://schemas.openxmlformats.org/officeDocument/2006/relationships/hyperlink" Target="http://www.sec.gov/Archives/edgar/data/899460/000119312513279522/d562665dex991.htm" TargetMode="External"/><Relationship Id="rId98" Type="http://schemas.openxmlformats.org/officeDocument/2006/relationships/hyperlink" Target="http://www.sec.gov/Archives/edgar/data/899460/000119312514080324/d647959dex1039.htm" TargetMode="External"/><Relationship Id="rId101" Type="http://schemas.openxmlformats.org/officeDocument/2006/relationships/hyperlink" Target="http://www.sec.gov/Archives/edgar/data/899460/000119312514406347/d783199dex414.htm" TargetMode="External"/><Relationship Id="rId102" Type="http://schemas.openxmlformats.org/officeDocument/2006/relationships/hyperlink" Target="http://www.sec.gov/Archives/edgar/data/899460/000119312517217588/d419252dex992.htm" TargetMode="External"/><Relationship Id="rId103" Type="http://schemas.openxmlformats.org/officeDocument/2006/relationships/hyperlink" Target="http://www.sec.gov/Archives/edgar/data/899460/000119312517316062/d422089dex991.htm" TargetMode="External"/><Relationship Id="rId104" Type="http://schemas.openxmlformats.org/officeDocument/2006/relationships/hyperlink" Target="http://www.sec.gov/Archives/edgar/data/899460/000119312518013980/d478599dex991.htm" TargetMode="External"/><Relationship Id="rId105" Type="http://schemas.openxmlformats.org/officeDocument/2006/relationships/hyperlink" Target="http://www.sec.gov/Archives/edgar/data/899460/000119312518013980/d478599dex992.htm" TargetMode="External"/><Relationship Id="rId106" Type="http://schemas.openxmlformats.org/officeDocument/2006/relationships/hyperlink" Target="http://www.sec.gov/Archives/edgar/data/899460/000119312517324984/d485532dex41.htm" TargetMode="External"/><Relationship Id="rId107" Type="http://schemas.openxmlformats.org/officeDocument/2006/relationships/hyperlink" Target="http://www.sec.gov/Archives/edgar/data/899460/000119312516505366/d107849dex417.htm" TargetMode="External"/><Relationship Id="rId108" Type="http://schemas.openxmlformats.org/officeDocument/2006/relationships/hyperlink" Target="http://www.sec.gov/Archives/edgar/data/899460/000119312518078324/d549308dex991.htm" TargetMode="External"/><Relationship Id="rId109" Type="http://schemas.openxmlformats.org/officeDocument/2006/relationships/hyperlink" Target="http://www.sec.gov/Archives/edgar/data/899460/000119312518109958/d562642dex41.htm" TargetMode="External"/><Relationship Id="rId110" Type="http://schemas.openxmlformats.org/officeDocument/2006/relationships/hyperlink" Target="http://www.sec.gov/Archives/edgar/data/899460/000119312518078324/d549308dex992.htm" TargetMode="External"/><Relationship Id="rId111" Type="http://schemas.openxmlformats.org/officeDocument/2006/relationships/hyperlink" Target="http://www.sec.gov/Archives/edgar/data/899460/000119312518109958/d562642dex991.htm" TargetMode="External"/><Relationship Id="rId112" Type="http://schemas.openxmlformats.org/officeDocument/2006/relationships/hyperlink" Target="http://www.sec.gov/Archives/edgar/data/899460/000119312517307989/d465696dex992.htm" TargetMode="External"/><Relationship Id="rId113" Type="http://schemas.openxmlformats.org/officeDocument/2006/relationships/hyperlink" Target="http://www.sec.gov/Archives/edgar/data/899460/000156459018003510/mnkd-ex106_444.htm" TargetMode="External"/><Relationship Id="rId114" Type="http://schemas.openxmlformats.org/officeDocument/2006/relationships/hyperlink" Target="http://www.sec.gov/Archives/edgar/data/899460/000156459018003510/mnkd-ex1047_8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2019-12-28T22:02:41Z</dcterms:created>
  <dcterms:modified xsi:type="dcterms:W3CDTF">2019-12-28T22:02:41Z</dcterms:modified>
</cp:coreProperties>
</file>