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1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99" w:lineRule="exact"/>
        <w:rPr>
          <w:sz w:val="20"/>
          <w:szCs w:val="20"/>
          <w:color w:val="auto"/>
        </w:rPr>
      </w:pPr>
    </w:p>
    <w:p>
      <w:pPr>
        <w:ind w:left="340" w:hanging="305"/>
        <w:spacing w:after="0"/>
        <w:tabs>
          <w:tab w:leader="none" w:pos="34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QUARTERLY REPORT PURSUANT TO SECTION 13 OR 15(d) OF THE SECURITIES EXCHANGE ACT OF 1934</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2004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299" w:lineRule="exact"/>
        <w:rPr>
          <w:sz w:val="20"/>
          <w:szCs w:val="20"/>
          <w:color w:val="auto"/>
        </w:rPr>
      </w:pPr>
    </w:p>
    <w:p>
      <w:pPr>
        <w:ind w:left="40"/>
        <w:spacing w:after="0"/>
        <w:rPr>
          <w:sz w:val="20"/>
          <w:szCs w:val="20"/>
          <w:color w:val="auto"/>
        </w:rPr>
      </w:pPr>
      <w:r>
        <w:rPr>
          <w:rFonts w:ascii="Arial" w:cs="Arial" w:eastAsia="Arial" w:hAnsi="Arial"/>
          <w:sz w:val="21"/>
          <w:szCs w:val="21"/>
          <w:color w:val="auto"/>
        </w:rPr>
        <w:t>o TRANSITION REPORT PURSUANT TO SECTION 13 OR 15(d) OF THE SECURITIES EXCHANGE ACT OF 1934</w:t>
      </w:r>
    </w:p>
    <w:p>
      <w:pPr>
        <w:spacing w:after="0" w:line="252" w:lineRule="exact"/>
        <w:rPr>
          <w:sz w:val="20"/>
          <w:szCs w:val="20"/>
          <w:color w:val="auto"/>
        </w:rPr>
      </w:pPr>
    </w:p>
    <w:p>
      <w:pPr>
        <w:ind w:left="3620"/>
        <w:spacing w:after="0"/>
        <w:tabs>
          <w:tab w:leader="none" w:pos="6700" w:val="left"/>
          <w:tab w:leader="none" w:pos="77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-10160</wp:posOffset>
            </wp:positionV>
            <wp:extent cx="12312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265"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000-50865</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MannKind Corporation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46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1"/>
              </w:rPr>
              <w:t>Delaware</w:t>
            </w:r>
          </w:p>
        </w:tc>
        <w:tc>
          <w:tcPr>
            <w:tcW w:w="4180" w:type="dxa"/>
            <w:vAlign w:val="bottom"/>
          </w:tcPr>
          <w:p>
            <w:pPr>
              <w:jc w:val="right"/>
              <w:ind w:right="79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4680" w:type="dxa"/>
            <w:vAlign w:val="bottom"/>
          </w:tcPr>
          <w:p>
            <w:pPr>
              <w:jc w:val="center"/>
              <w:ind w:right="1490"/>
              <w:spacing w:after="0"/>
              <w:rPr>
                <w:sz w:val="20"/>
                <w:szCs w:val="20"/>
                <w:color w:val="auto"/>
              </w:rPr>
            </w:pPr>
            <w:r>
              <w:rPr>
                <w:rFonts w:ascii="Arial" w:cs="Arial" w:eastAsia="Arial" w:hAnsi="Arial"/>
                <w:sz w:val="18"/>
                <w:szCs w:val="18"/>
                <w:color w:val="auto"/>
                <w:w w:val="92"/>
              </w:rPr>
              <w:t>(State or other jurisdiction of incorporation</w:t>
            </w:r>
          </w:p>
        </w:tc>
        <w:tc>
          <w:tcPr>
            <w:tcW w:w="4180" w:type="dxa"/>
            <w:vAlign w:val="bottom"/>
          </w:tcPr>
          <w:p>
            <w:pPr>
              <w:jc w:val="center"/>
              <w:ind w:left="14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80" w:type="dxa"/>
            <w:vAlign w:val="bottom"/>
          </w:tcPr>
          <w:p>
            <w:pPr>
              <w:jc w:val="center"/>
              <w:ind w:right="1470"/>
              <w:spacing w:after="0"/>
              <w:rPr>
                <w:sz w:val="20"/>
                <w:szCs w:val="20"/>
                <w:color w:val="auto"/>
              </w:rPr>
            </w:pPr>
            <w:r>
              <w:rPr>
                <w:rFonts w:ascii="Arial" w:cs="Arial" w:eastAsia="Arial" w:hAnsi="Arial"/>
                <w:sz w:val="18"/>
                <w:szCs w:val="18"/>
                <w:color w:val="auto"/>
                <w:w w:val="92"/>
              </w:rPr>
              <w:t>or organization)</w:t>
            </w:r>
          </w:p>
        </w:tc>
        <w:tc>
          <w:tcPr>
            <w:tcW w:w="4180" w:type="dxa"/>
            <w:vAlign w:val="bottom"/>
          </w:tcPr>
          <w:p>
            <w:pPr>
              <w:spacing w:after="0"/>
              <w:rPr>
                <w:sz w:val="20"/>
                <w:szCs w:val="20"/>
                <w:color w:val="auto"/>
              </w:rPr>
            </w:pPr>
          </w:p>
        </w:tc>
      </w:tr>
      <w:tr>
        <w:trPr>
          <w:trHeight w:val="414"/>
        </w:trPr>
        <w:tc>
          <w:tcPr>
            <w:tcW w:w="46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0"/>
              </w:rPr>
              <w:t>28903 North Avenue Paine</w:t>
            </w:r>
          </w:p>
        </w:tc>
        <w:tc>
          <w:tcPr>
            <w:tcW w:w="4180" w:type="dxa"/>
            <w:vAlign w:val="bottom"/>
          </w:tcPr>
          <w:p>
            <w:pPr>
              <w:spacing w:after="0"/>
              <w:rPr>
                <w:sz w:val="24"/>
                <w:szCs w:val="24"/>
                <w:color w:val="auto"/>
              </w:rPr>
            </w:pPr>
          </w:p>
        </w:tc>
      </w:tr>
      <w:tr>
        <w:trPr>
          <w:trHeight w:val="220"/>
        </w:trPr>
        <w:tc>
          <w:tcPr>
            <w:tcW w:w="46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2"/>
              </w:rPr>
              <w:t>Valencia, California</w:t>
            </w:r>
          </w:p>
        </w:tc>
        <w:tc>
          <w:tcPr>
            <w:tcW w:w="4180" w:type="dxa"/>
            <w:vAlign w:val="bottom"/>
          </w:tcPr>
          <w:p>
            <w:pPr>
              <w:jc w:val="right"/>
              <w:ind w:right="990"/>
              <w:spacing w:after="0"/>
              <w:rPr>
                <w:sz w:val="20"/>
                <w:szCs w:val="20"/>
                <w:color w:val="auto"/>
              </w:rPr>
            </w:pPr>
            <w:r>
              <w:rPr>
                <w:rFonts w:ascii="Arial" w:cs="Arial" w:eastAsia="Arial" w:hAnsi="Arial"/>
                <w:sz w:val="18"/>
                <w:szCs w:val="18"/>
                <w:b w:val="1"/>
                <w:bCs w:val="1"/>
                <w:color w:val="auto"/>
              </w:rPr>
              <w:t>91355</w:t>
            </w:r>
          </w:p>
        </w:tc>
      </w:tr>
      <w:tr>
        <w:trPr>
          <w:trHeight w:val="230"/>
        </w:trPr>
        <w:tc>
          <w:tcPr>
            <w:tcW w:w="468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418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(661) 775-5300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84"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1"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o No </w:t>
      </w:r>
      <w:r>
        <w:rPr>
          <w:rFonts w:ascii="MS PGothic" w:cs="MS PGothic" w:eastAsia="MS PGothic" w:hAnsi="MS PGothic"/>
          <w:sz w:val="18"/>
          <w:szCs w:val="18"/>
          <w:color w:val="auto"/>
        </w:rPr>
        <w:t>☒</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November 10, 2004, there were 32,805,809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2004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520" w:type="dxa"/>
            <w:vAlign w:val="bottom"/>
          </w:tcPr>
          <w:p>
            <w:pPr>
              <w:jc w:val="right"/>
              <w:ind w:right="1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66"/>
        </w:trPr>
        <w:tc>
          <w:tcPr>
            <w:tcW w:w="2900" w:type="dxa"/>
            <w:vAlign w:val="bottom"/>
            <w:gridSpan w:val="3"/>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8000" w:type="dxa"/>
            <w:vAlign w:val="bottom"/>
            <w:gridSpan w:val="5"/>
            <w:vMerge w:val="restart"/>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2900" w:type="dxa"/>
            <w:vAlign w:val="bottom"/>
            <w:tcBorders>
              <w:bottom w:val="single" w:sz="8" w:color="0000EE"/>
            </w:tcBorders>
            <w:gridSpan w:val="3"/>
            <w:vMerge w:val="continue"/>
          </w:tcPr>
          <w:p>
            <w:pPr>
              <w:spacing w:after="0"/>
              <w:rPr>
                <w:sz w:val="20"/>
                <w:szCs w:val="20"/>
                <w:color w:val="auto"/>
              </w:rPr>
            </w:pPr>
          </w:p>
        </w:tc>
        <w:tc>
          <w:tcPr>
            <w:tcW w:w="8000" w:type="dxa"/>
            <w:vAlign w:val="bottom"/>
            <w:gridSpan w:val="5"/>
            <w:vMerge w:val="continue"/>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40" w:type="dxa"/>
            <w:vAlign w:val="bottom"/>
            <w:gridSpan w:val="2"/>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900" w:type="dxa"/>
            <w:vAlign w:val="bottom"/>
            <w:gridSpan w:val="8"/>
          </w:tcPr>
          <w:p>
            <w:pPr>
              <w:spacing w:after="0"/>
              <w:rPr>
                <w:sz w:val="20"/>
                <w:szCs w:val="20"/>
                <w:color w:val="auto"/>
              </w:rPr>
            </w:pPr>
            <w:r>
              <w:rPr>
                <w:rFonts w:ascii="Arial" w:cs="Arial" w:eastAsia="Arial" w:hAnsi="Arial"/>
                <w:sz w:val="18"/>
                <w:szCs w:val="18"/>
                <w:color w:val="auto"/>
              </w:rPr>
              <w:t>September 30, 2004 (unaudited) and December 31, 2003</w:t>
            </w:r>
          </w:p>
        </w:tc>
        <w:tc>
          <w:tcPr>
            <w:tcW w:w="520" w:type="dxa"/>
            <w:vAlign w:val="bottom"/>
          </w:tcPr>
          <w:p>
            <w:pPr>
              <w:jc w:val="right"/>
              <w:ind w:right="7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10900" w:type="dxa"/>
            <w:vAlign w:val="bottom"/>
            <w:gridSpan w:val="8"/>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(unaudited):</w:t>
              </w:r>
            </w:hyperlink>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900" w:type="dxa"/>
            <w:vAlign w:val="bottom"/>
            <w:gridSpan w:val="8"/>
          </w:tcPr>
          <w:p>
            <w:pPr>
              <w:spacing w:after="0"/>
              <w:rPr>
                <w:sz w:val="20"/>
                <w:szCs w:val="20"/>
                <w:color w:val="auto"/>
              </w:rPr>
            </w:pPr>
            <w:r>
              <w:rPr>
                <w:rFonts w:ascii="Arial" w:cs="Arial" w:eastAsia="Arial" w:hAnsi="Arial"/>
                <w:sz w:val="18"/>
                <w:szCs w:val="18"/>
                <w:color w:val="auto"/>
                <w:w w:val="94"/>
              </w:rPr>
              <w:t>Three Months and Nine Months ended September 30, 2004 and 2003 and the period from inception (February 14, 1991) to September 30, 2004</w:t>
            </w:r>
          </w:p>
        </w:tc>
        <w:tc>
          <w:tcPr>
            <w:tcW w:w="520" w:type="dxa"/>
            <w:vAlign w:val="bottom"/>
          </w:tcPr>
          <w:p>
            <w:pPr>
              <w:jc w:val="right"/>
              <w:ind w:right="7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0"/>
        </w:trPr>
        <w:tc>
          <w:tcPr>
            <w:tcW w:w="10900" w:type="dxa"/>
            <w:vAlign w:val="bottom"/>
            <w:gridSpan w:val="8"/>
          </w:tcPr>
          <w:p>
            <w:pPr>
              <w:spacing w:after="0" w:line="190"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w:t>
              </w:r>
            </w:hyperlink>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900" w:type="dxa"/>
            <w:vAlign w:val="bottom"/>
            <w:gridSpan w:val="8"/>
          </w:tcPr>
          <w:p>
            <w:pPr>
              <w:spacing w:after="0"/>
              <w:rPr>
                <w:sz w:val="20"/>
                <w:szCs w:val="20"/>
                <w:color w:val="auto"/>
              </w:rPr>
            </w:pPr>
            <w:r>
              <w:rPr>
                <w:rFonts w:ascii="Arial" w:cs="Arial" w:eastAsia="Arial" w:hAnsi="Arial"/>
                <w:sz w:val="18"/>
                <w:szCs w:val="18"/>
                <w:color w:val="auto"/>
              </w:rPr>
              <w:t>Nine Months ended September 30, 2004 and 2003 and the period from inception (February 14, 1991) to September 30, 2004</w:t>
            </w:r>
          </w:p>
        </w:tc>
        <w:tc>
          <w:tcPr>
            <w:tcW w:w="520" w:type="dxa"/>
            <w:vAlign w:val="bottom"/>
          </w:tcPr>
          <w:p>
            <w:pPr>
              <w:jc w:val="right"/>
              <w:ind w:right="7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0"/>
        </w:trPr>
        <w:tc>
          <w:tcPr>
            <w:tcW w:w="4040" w:type="dxa"/>
            <w:vAlign w:val="bottom"/>
            <w:tcBorders>
              <w:bottom w:val="single" w:sz="8" w:color="0000EE"/>
            </w:tcBorders>
            <w:gridSpan w:val="6"/>
          </w:tcPr>
          <w:p>
            <w:pPr>
              <w:spacing w:after="0" w:line="190"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Notes to Consolidated Financial Statements (unaudited)</w:t>
              </w:r>
            </w:hyperlink>
          </w:p>
        </w:tc>
        <w:tc>
          <w:tcPr>
            <w:tcW w:w="6860" w:type="dxa"/>
            <w:vAlign w:val="bottom"/>
            <w:gridSpan w:val="2"/>
          </w:tcPr>
          <w:p>
            <w:pPr>
              <w:spacing w:after="0"/>
              <w:rPr>
                <w:sz w:val="16"/>
                <w:szCs w:val="16"/>
                <w:color w:val="auto"/>
              </w:rPr>
            </w:pPr>
          </w:p>
        </w:tc>
        <w:tc>
          <w:tcPr>
            <w:tcW w:w="520" w:type="dxa"/>
            <w:vAlign w:val="bottom"/>
          </w:tcPr>
          <w:p>
            <w:pPr>
              <w:jc w:val="right"/>
              <w:ind w:right="75"/>
              <w:spacing w:after="0" w:line="190"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Item 2. Management’s Discussion and Analysis of Financial Condition and Results of Operations</w:t>
              </w:r>
            </w:hyperlink>
          </w:p>
        </w:tc>
        <w:tc>
          <w:tcPr>
            <w:tcW w:w="520" w:type="dxa"/>
            <w:vAlign w:val="bottom"/>
          </w:tcPr>
          <w:p>
            <w:pPr>
              <w:jc w:val="right"/>
              <w:ind w:right="75"/>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20"/>
          </w:cols>
          <w:pgMar w:left="240" w:top="122"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gridSpan w:val="15"/>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Item 3. Quantitative and Qualitative Disclosure about Market Risk</w:t>
              </w:r>
            </w:hyperlink>
          </w:p>
        </w:tc>
        <w:tc>
          <w:tcPr>
            <w:tcW w:w="6500" w:type="dxa"/>
            <w:vAlign w:val="bottom"/>
          </w:tcPr>
          <w:p>
            <w:pPr>
              <w:jc w:val="right"/>
              <w:ind w:right="70"/>
              <w:spacing w:after="0"/>
              <w:rPr>
                <w:sz w:val="20"/>
                <w:szCs w:val="20"/>
                <w:color w:val="auto"/>
              </w:rPr>
            </w:pPr>
            <w:r>
              <w:rPr>
                <w:rFonts w:ascii="Arial" w:cs="Arial" w:eastAsia="Arial" w:hAnsi="Arial"/>
                <w:sz w:val="18"/>
                <w:szCs w:val="18"/>
                <w:color w:val="auto"/>
              </w:rPr>
              <w:t>34</w:t>
            </w:r>
          </w:p>
        </w:tc>
      </w:tr>
      <w:tr>
        <w:trPr>
          <w:trHeight w:val="196"/>
        </w:trPr>
        <w:tc>
          <w:tcPr>
            <w:tcW w:w="2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4. Controls and Procedures</w:t>
              </w:r>
            </w:hyperlink>
          </w:p>
        </w:tc>
        <w:tc>
          <w:tcPr>
            <w:tcW w:w="2460" w:type="dxa"/>
            <w:vAlign w:val="bottom"/>
            <w:tcBorders>
              <w:top w:val="single" w:sz="8" w:color="0000EE"/>
            </w:tcBorders>
            <w:gridSpan w:val="4"/>
          </w:tcPr>
          <w:p>
            <w:pPr>
              <w:spacing w:after="0"/>
              <w:rPr>
                <w:sz w:val="17"/>
                <w:szCs w:val="17"/>
                <w:color w:val="auto"/>
              </w:rPr>
            </w:pPr>
          </w:p>
        </w:tc>
        <w:tc>
          <w:tcPr>
            <w:tcW w:w="120" w:type="dxa"/>
            <w:vAlign w:val="bottom"/>
          </w:tcPr>
          <w:p>
            <w:pPr>
              <w:spacing w:after="0"/>
              <w:rPr>
                <w:sz w:val="17"/>
                <w:szCs w:val="17"/>
                <w:color w:val="auto"/>
              </w:rPr>
            </w:pPr>
          </w:p>
        </w:tc>
        <w:tc>
          <w:tcPr>
            <w:tcW w:w="65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35</w:t>
            </w:r>
          </w:p>
        </w:tc>
      </w:tr>
      <w:tr>
        <w:trPr>
          <w:trHeight w:val="196"/>
        </w:trPr>
        <w:tc>
          <w:tcPr>
            <w:tcW w:w="4920" w:type="dxa"/>
            <w:vAlign w:val="bottom"/>
            <w:gridSpan w:val="1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PART II: OTHER INFORMATION</w:t>
              </w:r>
            </w:hyperlink>
          </w:p>
        </w:tc>
        <w:tc>
          <w:tcPr>
            <w:tcW w:w="6500" w:type="dxa"/>
            <w:vAlign w:val="bottom"/>
          </w:tcPr>
          <w:p>
            <w:pPr>
              <w:spacing w:after="0"/>
              <w:rPr>
                <w:sz w:val="17"/>
                <w:szCs w:val="17"/>
                <w:color w:val="auto"/>
              </w:rPr>
            </w:pPr>
          </w:p>
        </w:tc>
      </w:tr>
      <w:tr>
        <w:trPr>
          <w:trHeight w:val="196"/>
        </w:trPr>
        <w:tc>
          <w:tcPr>
            <w:tcW w:w="1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17"/>
                <w:szCs w:val="17"/>
                <w:color w:val="auto"/>
              </w:rPr>
            </w:pPr>
          </w:p>
        </w:tc>
        <w:tc>
          <w:tcPr>
            <w:tcW w:w="2340" w:type="dxa"/>
            <w:vAlign w:val="bottom"/>
            <w:gridSpan w:val="4"/>
          </w:tcPr>
          <w:p>
            <w:pPr>
              <w:spacing w:after="0"/>
              <w:rPr>
                <w:sz w:val="17"/>
                <w:szCs w:val="17"/>
                <w:color w:val="auto"/>
              </w:rPr>
            </w:pPr>
          </w:p>
        </w:tc>
        <w:tc>
          <w:tcPr>
            <w:tcW w:w="65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35</w:t>
            </w:r>
          </w:p>
        </w:tc>
      </w:tr>
      <w:tr>
        <w:trPr>
          <w:trHeight w:val="196"/>
        </w:trPr>
        <w:tc>
          <w:tcPr>
            <w:tcW w:w="49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2. Unregistered Sales of Equity Securities and Use of Proceeds</w:t>
              </w:r>
            </w:hyperlink>
          </w:p>
        </w:tc>
        <w:tc>
          <w:tcPr>
            <w:tcW w:w="65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35</w:t>
            </w: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3.</w:t>
              </w:r>
            </w:hyperlink>
          </w:p>
        </w:tc>
        <w:tc>
          <w:tcPr>
            <w:tcW w:w="4380" w:type="dxa"/>
            <w:vAlign w:val="bottom"/>
            <w:gridSpan w:val="13"/>
          </w:tcPr>
          <w:p>
            <w:pPr>
              <w:ind w:left="20"/>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Defaults Upon Senior Securities</w:t>
              </w:r>
            </w:hyperlink>
          </w:p>
        </w:tc>
        <w:tc>
          <w:tcPr>
            <w:tcW w:w="65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36</w:t>
            </w: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4.</w:t>
              </w:r>
            </w:hyperlink>
          </w:p>
        </w:tc>
        <w:tc>
          <w:tcPr>
            <w:tcW w:w="4380" w:type="dxa"/>
            <w:vAlign w:val="bottom"/>
            <w:gridSpan w:val="13"/>
          </w:tcPr>
          <w:p>
            <w:pPr>
              <w:ind w:left="20"/>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Submission of Matters to a Vote of Security Holders</w:t>
              </w:r>
            </w:hyperlink>
          </w:p>
        </w:tc>
        <w:tc>
          <w:tcPr>
            <w:tcW w:w="65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36</w:t>
            </w: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5.</w:t>
              </w:r>
            </w:hyperlink>
          </w:p>
        </w:tc>
        <w:tc>
          <w:tcPr>
            <w:tcW w:w="1340" w:type="dxa"/>
            <w:vAlign w:val="bottom"/>
            <w:tcBorders>
              <w:top w:val="single" w:sz="8" w:color="0000EE"/>
              <w:bottom w:val="single" w:sz="8" w:color="0000EE"/>
            </w:tcBorders>
            <w:gridSpan w:val="6"/>
          </w:tcPr>
          <w:p>
            <w:pPr>
              <w:ind w:left="20"/>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Other Information</w:t>
              </w:r>
            </w:hyperlink>
          </w:p>
        </w:tc>
        <w:tc>
          <w:tcPr>
            <w:tcW w:w="2440" w:type="dxa"/>
            <w:vAlign w:val="bottom"/>
            <w:tcBorders>
              <w:top w:val="single" w:sz="8" w:color="0000EE"/>
            </w:tcBorders>
            <w:gridSpan w:val="5"/>
          </w:tcPr>
          <w:p>
            <w:pPr>
              <w:spacing w:after="0"/>
              <w:rPr>
                <w:sz w:val="17"/>
                <w:szCs w:val="17"/>
                <w:color w:val="auto"/>
              </w:rPr>
            </w:pPr>
          </w:p>
        </w:tc>
        <w:tc>
          <w:tcPr>
            <w:tcW w:w="600" w:type="dxa"/>
            <w:vAlign w:val="bottom"/>
            <w:gridSpan w:val="2"/>
          </w:tcPr>
          <w:p>
            <w:pPr>
              <w:spacing w:after="0"/>
              <w:rPr>
                <w:sz w:val="17"/>
                <w:szCs w:val="17"/>
                <w:color w:val="auto"/>
              </w:rPr>
            </w:pPr>
          </w:p>
        </w:tc>
        <w:tc>
          <w:tcPr>
            <w:tcW w:w="65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36</w:t>
            </w: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6.</w:t>
              </w:r>
            </w:hyperlink>
          </w:p>
        </w:tc>
        <w:tc>
          <w:tcPr>
            <w:tcW w:w="4380" w:type="dxa"/>
            <w:vAlign w:val="bottom"/>
            <w:gridSpan w:val="13"/>
          </w:tcPr>
          <w:p>
            <w:pPr>
              <w:ind w:left="2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65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37</w:t>
            </w:r>
          </w:p>
        </w:tc>
      </w:tr>
      <w:tr>
        <w:trPr>
          <w:trHeight w:val="196"/>
        </w:trPr>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Signature</w:t>
              </w:r>
            </w:hyperlink>
          </w:p>
        </w:tc>
        <w:tc>
          <w:tcPr>
            <w:tcW w:w="460" w:type="dxa"/>
            <w:vAlign w:val="bottom"/>
            <w:tcBorders>
              <w:top w:val="single" w:sz="8" w:color="0000EE"/>
            </w:tcBorders>
            <w:gridSpan w:val="4"/>
          </w:tcPr>
          <w:p>
            <w:pPr>
              <w:spacing w:after="0"/>
              <w:rPr>
                <w:sz w:val="17"/>
                <w:szCs w:val="17"/>
                <w:color w:val="auto"/>
              </w:rPr>
            </w:pPr>
          </w:p>
        </w:tc>
        <w:tc>
          <w:tcPr>
            <w:tcW w:w="3760" w:type="dxa"/>
            <w:vAlign w:val="bottom"/>
            <w:gridSpan w:val="8"/>
          </w:tcPr>
          <w:p>
            <w:pPr>
              <w:spacing w:after="0"/>
              <w:rPr>
                <w:sz w:val="17"/>
                <w:szCs w:val="17"/>
                <w:color w:val="auto"/>
              </w:rPr>
            </w:pPr>
          </w:p>
        </w:tc>
        <w:tc>
          <w:tcPr>
            <w:tcW w:w="65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38</w:t>
            </w:r>
          </w:p>
        </w:tc>
      </w:tr>
      <w:tr>
        <w:trPr>
          <w:trHeight w:val="196"/>
        </w:trPr>
        <w:tc>
          <w:tcPr>
            <w:tcW w:w="60" w:type="dxa"/>
            <w:vAlign w:val="bottom"/>
          </w:tcPr>
          <w:p>
            <w:pPr>
              <w:spacing w:after="0"/>
              <w:rPr>
                <w:sz w:val="17"/>
                <w:szCs w:val="17"/>
                <w:color w:val="auto"/>
              </w:rPr>
            </w:pPr>
          </w:p>
        </w:tc>
        <w:tc>
          <w:tcPr>
            <w:tcW w:w="8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Exhibit 31.1</w:t>
            </w:r>
          </w:p>
        </w:tc>
        <w:tc>
          <w:tcPr>
            <w:tcW w:w="3980" w:type="dxa"/>
            <w:vAlign w:val="bottom"/>
            <w:gridSpan w:val="9"/>
          </w:tcPr>
          <w:p>
            <w:pPr>
              <w:spacing w:after="0"/>
              <w:rPr>
                <w:sz w:val="17"/>
                <w:szCs w:val="17"/>
                <w:color w:val="auto"/>
              </w:rPr>
            </w:pPr>
          </w:p>
        </w:tc>
        <w:tc>
          <w:tcPr>
            <w:tcW w:w="650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860" w:type="dxa"/>
            <w:vAlign w:val="bottom"/>
            <w:gridSpan w:val="14"/>
          </w:tcPr>
          <w:p>
            <w:pPr>
              <w:spacing w:after="0" w:line="196" w:lineRule="exact"/>
              <w:rPr>
                <w:sz w:val="20"/>
                <w:szCs w:val="20"/>
                <w:color w:val="auto"/>
              </w:rPr>
            </w:pPr>
            <w:r>
              <w:rPr>
                <w:rFonts w:ascii="Arial" w:cs="Arial" w:eastAsia="Arial" w:hAnsi="Arial"/>
                <w:sz w:val="18"/>
                <w:szCs w:val="18"/>
                <w:color w:val="0000EE"/>
              </w:rPr>
              <w:t>Exhibit 31.2</w:t>
            </w:r>
          </w:p>
        </w:tc>
        <w:tc>
          <w:tcPr>
            <w:tcW w:w="650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86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Exhibit 32</w:t>
            </w:r>
          </w:p>
        </w:tc>
        <w:tc>
          <w:tcPr>
            <w:tcW w:w="4000" w:type="dxa"/>
            <w:vAlign w:val="bottom"/>
            <w:gridSpan w:val="10"/>
          </w:tcPr>
          <w:p>
            <w:pPr>
              <w:spacing w:after="0"/>
              <w:rPr>
                <w:sz w:val="17"/>
                <w:szCs w:val="17"/>
                <w:color w:val="auto"/>
              </w:rPr>
            </w:pPr>
          </w:p>
        </w:tc>
        <w:tc>
          <w:tcPr>
            <w:tcW w:w="6500" w:type="dxa"/>
            <w:vAlign w:val="bottom"/>
          </w:tcPr>
          <w:p>
            <w:pPr>
              <w:spacing w:after="0"/>
              <w:rPr>
                <w:sz w:val="17"/>
                <w:szCs w:val="17"/>
                <w:color w:val="auto"/>
              </w:rPr>
            </w:pPr>
          </w:p>
        </w:tc>
      </w:tr>
      <w:tr>
        <w:trPr>
          <w:trHeight w:val="426"/>
        </w:trPr>
        <w:tc>
          <w:tcPr>
            <w:tcW w:w="6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tcPr>
          <w:p>
            <w:pPr>
              <w:jc w:val="right"/>
              <w:ind w:right="5570"/>
              <w:spacing w:after="0"/>
              <w:rPr>
                <w:sz w:val="20"/>
                <w:szCs w:val="20"/>
                <w:color w:val="auto"/>
              </w:rPr>
            </w:pPr>
            <w:r>
              <w:rPr>
                <w:rFonts w:ascii="Arial" w:cs="Arial" w:eastAsia="Arial" w:hAnsi="Arial"/>
                <w:sz w:val="18"/>
                <w:szCs w:val="18"/>
                <w:color w:val="auto"/>
              </w:rPr>
              <w:t>2</w:t>
            </w:r>
          </w:p>
        </w:tc>
      </w:tr>
      <w:tr>
        <w:trPr>
          <w:trHeight w:val="226"/>
        </w:trPr>
        <w:tc>
          <w:tcPr>
            <w:tcW w:w="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18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9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September 30, 2004</w:t>
            </w:r>
          </w:p>
        </w:tc>
        <w:tc>
          <w:tcPr>
            <w:tcW w:w="1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December 31, 2003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1"/>
              </w:rPr>
              <w:t>(unaudited)</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5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tcBorders>
              <w:lef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and cash equivalents</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103,871</w:t>
            </w:r>
          </w:p>
        </w:tc>
        <w:tc>
          <w:tcPr>
            <w:tcW w:w="760" w:type="dxa"/>
            <w:vAlign w:val="bottom"/>
            <w:tcBorders>
              <w:lef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54,120</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5,000</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State research and development credit exchange receivable</w:t>
            </w:r>
          </w:p>
        </w:tc>
        <w:tc>
          <w:tcPr>
            <w:tcW w:w="5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1,500</w:t>
            </w:r>
          </w:p>
        </w:tc>
        <w:tc>
          <w:tcPr>
            <w:tcW w:w="760" w:type="dxa"/>
            <w:vAlign w:val="bottom"/>
            <w:tcBorders>
              <w:lef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122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2,046</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808080"/>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current assets</w:t>
            </w:r>
          </w:p>
        </w:tc>
        <w:tc>
          <w:tcPr>
            <w:tcW w:w="5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112,417</w:t>
            </w:r>
          </w:p>
        </w:tc>
        <w:tc>
          <w:tcPr>
            <w:tcW w:w="760" w:type="dxa"/>
            <w:vAlign w:val="bottom"/>
            <w:tcBorders>
              <w:lef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57,804</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PROPERTY, PLANT AND EQUIPMENT – net</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66,223</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67,323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9"/>
              </w:rPr>
              <w:t>STATE RESEARCH AND DEVELOPMENT CREDIT EXCHANGE RECEIVABLE – net of current</w:t>
            </w:r>
          </w:p>
        </w:tc>
        <w:tc>
          <w:tcPr>
            <w:tcW w:w="540" w:type="dxa"/>
            <w:vAlign w:val="bottom"/>
            <w:tcBorders>
              <w:right w:val="single" w:sz="8" w:color="EEEEEE"/>
            </w:tcBorders>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760" w:type="dxa"/>
            <w:vAlign w:val="bottom"/>
            <w:tcBorders>
              <w:left w:val="single" w:sz="8" w:color="EEEEEE"/>
            </w:tcBorders>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portion</w:t>
            </w:r>
          </w:p>
        </w:tc>
        <w:tc>
          <w:tcPr>
            <w:tcW w:w="540" w:type="dxa"/>
            <w:vAlign w:val="bottom"/>
            <w:tcBorders>
              <w:right w:val="single" w:sz="8" w:color="EEEEEE"/>
            </w:tcBorders>
            <w:shd w:val="clear" w:color="auto" w:fill="EEEEEE"/>
          </w:tcPr>
          <w:p>
            <w:pPr>
              <w:spacing w:after="0"/>
              <w:rPr>
                <w:sz w:val="20"/>
                <w:szCs w:val="20"/>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2,526</w:t>
            </w:r>
          </w:p>
        </w:tc>
        <w:tc>
          <w:tcPr>
            <w:tcW w:w="760" w:type="dxa"/>
            <w:vAlign w:val="bottom"/>
            <w:tcBorders>
              <w:left w:val="single" w:sz="8" w:color="EEEEEE"/>
            </w:tcBorders>
            <w:shd w:val="clear" w:color="auto" w:fill="EEEEEE"/>
          </w:tcPr>
          <w:p>
            <w:pPr>
              <w:spacing w:after="0"/>
              <w:rPr>
                <w:sz w:val="20"/>
                <w:szCs w:val="20"/>
                <w:color w:val="auto"/>
              </w:rPr>
            </w:pPr>
          </w:p>
        </w:tc>
        <w:tc>
          <w:tcPr>
            <w:tcW w:w="620" w:type="dxa"/>
            <w:vAlign w:val="bottom"/>
            <w:tcBorders>
              <w:right w:val="single" w:sz="8" w:color="EEEEEE"/>
            </w:tcBorders>
            <w:shd w:val="clear" w:color="auto" w:fill="EEEEEE"/>
          </w:tcPr>
          <w:p>
            <w:pPr>
              <w:spacing w:after="0"/>
              <w:rPr>
                <w:sz w:val="20"/>
                <w:szCs w:val="20"/>
                <w:color w:val="auto"/>
              </w:rPr>
            </w:pPr>
          </w:p>
        </w:tc>
        <w:tc>
          <w:tcPr>
            <w:tcW w:w="122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RESTRICTED CASH</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5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760" w:type="dxa"/>
            <w:vAlign w:val="bottom"/>
            <w:tcBorders>
              <w:lef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190</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80808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181,797</w:t>
            </w:r>
          </w:p>
        </w:tc>
        <w:tc>
          <w:tcPr>
            <w:tcW w:w="7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125,876</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4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760" w:type="dxa"/>
            <w:vAlign w:val="bottom"/>
            <w:tcBorders>
              <w:left w:val="single" w:sz="8" w:color="808080"/>
            </w:tcBorders>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tcBorders>
              <w:lef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Accounts payable</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1,429</w:t>
            </w:r>
          </w:p>
        </w:tc>
        <w:tc>
          <w:tcPr>
            <w:tcW w:w="760" w:type="dxa"/>
            <w:vAlign w:val="bottom"/>
            <w:tcBorders>
              <w:lef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1,926</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6,382</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4,015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Payable to stockholder</w:t>
            </w:r>
          </w:p>
        </w:tc>
        <w:tc>
          <w:tcPr>
            <w:tcW w:w="54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1,406</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Arial" w:cs="Arial" w:eastAsia="Arial" w:hAnsi="Arial"/>
                <w:sz w:val="18"/>
                <w:szCs w:val="18"/>
                <w:color w:val="auto"/>
              </w:rPr>
              <w:t>Deferred compensation</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1,373</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808080"/>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9,184</w:t>
            </w:r>
          </w:p>
        </w:tc>
        <w:tc>
          <w:tcPr>
            <w:tcW w:w="760" w:type="dxa"/>
            <w:vAlign w:val="bottom"/>
            <w:tcBorders>
              <w:lef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8,707</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DEFERRED COMPENSATION – net of current portion</w:t>
            </w:r>
          </w:p>
        </w:tc>
        <w:tc>
          <w:tcPr>
            <w:tcW w:w="54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5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760" w:type="dxa"/>
            <w:vAlign w:val="bottom"/>
            <w:tcBorders>
              <w:lef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80808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5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9,242</w:t>
            </w: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9,111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808080"/>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color w:val="auto"/>
              </w:rPr>
              <w:t>COMMITMENTS AND CONTINGENCIES</w:t>
            </w:r>
          </w:p>
        </w:tc>
        <w:tc>
          <w:tcPr>
            <w:tcW w:w="5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tcBorders>
              <w:lef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tcPr>
          <w:p>
            <w:pPr>
              <w:spacing w:after="0" w:line="201" w:lineRule="exact"/>
              <w:rPr>
                <w:sz w:val="20"/>
                <w:szCs w:val="20"/>
                <w:color w:val="auto"/>
              </w:rPr>
            </w:pPr>
            <w:r>
              <w:rPr>
                <w:rFonts w:ascii="Arial" w:cs="Arial" w:eastAsia="Arial" w:hAnsi="Arial"/>
                <w:sz w:val="18"/>
                <w:szCs w:val="18"/>
                <w:color w:val="auto"/>
              </w:rPr>
              <w:t>SERIES A REDEEMABLE CONVERTIBLE PREFERRED STOCK, $0.01 par value—267,213</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Arial" w:cs="Arial" w:eastAsia="Arial" w:hAnsi="Arial"/>
                <w:sz w:val="18"/>
                <w:szCs w:val="18"/>
                <w:color w:val="auto"/>
                <w:w w:val="95"/>
              </w:rPr>
              <w:t>shares authorized; no shares issued and outstanding at September 30, 2004; 267,212, issued and</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120"/>
              <w:spacing w:after="0"/>
              <w:rPr>
                <w:sz w:val="20"/>
                <w:szCs w:val="20"/>
                <w:color w:val="auto"/>
              </w:rPr>
            </w:pPr>
            <w:r>
              <w:rPr>
                <w:rFonts w:ascii="Arial" w:cs="Arial" w:eastAsia="Arial" w:hAnsi="Arial"/>
                <w:sz w:val="18"/>
                <w:szCs w:val="18"/>
                <w:color w:val="auto"/>
              </w:rPr>
              <w:t>outstanding at December 31 2003</w:t>
            </w:r>
          </w:p>
        </w:tc>
        <w:tc>
          <w:tcPr>
            <w:tcW w:w="540" w:type="dxa"/>
            <w:vAlign w:val="bottom"/>
          </w:tcPr>
          <w:p>
            <w:pPr>
              <w:spacing w:after="0"/>
              <w:rPr>
                <w:sz w:val="20"/>
                <w:szCs w:val="20"/>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5,188</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808080"/>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5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tcBorders>
              <w:lef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tcPr>
          <w:p>
            <w:pPr>
              <w:spacing w:after="0" w:line="201" w:lineRule="exact"/>
              <w:rPr>
                <w:sz w:val="20"/>
                <w:szCs w:val="20"/>
                <w:color w:val="auto"/>
              </w:rPr>
            </w:pPr>
            <w:r>
              <w:rPr>
                <w:rFonts w:ascii="Arial" w:cs="Arial" w:eastAsia="Arial" w:hAnsi="Arial"/>
                <w:sz w:val="18"/>
                <w:szCs w:val="18"/>
                <w:color w:val="auto"/>
                <w:w w:val="95"/>
              </w:rPr>
              <w:t>Series B convertible preferred stock, $0.01 par value—192,618 shares authorized; no shares issued</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Arial" w:cs="Arial" w:eastAsia="Arial" w:hAnsi="Arial"/>
                <w:sz w:val="18"/>
                <w:szCs w:val="18"/>
                <w:color w:val="auto"/>
                <w:w w:val="96"/>
              </w:rPr>
              <w:t>and outstanding at September 30, 2004; 192,618 shares issued and outstanding at December 31,</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ind w:left="140"/>
              <w:spacing w:after="0"/>
              <w:rPr>
                <w:sz w:val="20"/>
                <w:szCs w:val="20"/>
                <w:color w:val="auto"/>
              </w:rPr>
            </w:pPr>
            <w:r>
              <w:rPr>
                <w:rFonts w:ascii="Arial" w:cs="Arial" w:eastAsia="Arial" w:hAnsi="Arial"/>
                <w:sz w:val="18"/>
                <w:szCs w:val="18"/>
                <w:color w:val="auto"/>
              </w:rPr>
              <w:t>2003</w:t>
            </w:r>
          </w:p>
        </w:tc>
        <w:tc>
          <w:tcPr>
            <w:tcW w:w="540" w:type="dxa"/>
            <w:vAlign w:val="bottom"/>
          </w:tcPr>
          <w:p>
            <w:pPr>
              <w:spacing w:after="0"/>
              <w:rPr>
                <w:sz w:val="20"/>
                <w:szCs w:val="20"/>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15,000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5"/>
              </w:rPr>
              <w:t>Series C convertible preferred stock issuable - $.01 par value; 980,393 shares authorized; no shares</w:t>
            </w:r>
          </w:p>
        </w:tc>
        <w:tc>
          <w:tcPr>
            <w:tcW w:w="540" w:type="dxa"/>
            <w:vAlign w:val="bottom"/>
            <w:tcBorders>
              <w:right w:val="single" w:sz="8" w:color="EEEEEE"/>
            </w:tcBorders>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760" w:type="dxa"/>
            <w:vAlign w:val="bottom"/>
            <w:tcBorders>
              <w:left w:val="single" w:sz="8" w:color="EEEEEE"/>
            </w:tcBorders>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issued and outstanding at September 30, 2004 and December 31, 2003, respectively</w:t>
            </w:r>
          </w:p>
        </w:tc>
        <w:tc>
          <w:tcPr>
            <w:tcW w:w="540" w:type="dxa"/>
            <w:vAlign w:val="bottom"/>
            <w:tcBorders>
              <w:right w:val="single" w:sz="8" w:color="EEEEEE"/>
            </w:tcBorders>
            <w:shd w:val="clear" w:color="auto" w:fill="EEEEEE"/>
          </w:tcPr>
          <w:p>
            <w:pPr>
              <w:spacing w:after="0"/>
              <w:rPr>
                <w:sz w:val="20"/>
                <w:szCs w:val="20"/>
                <w:color w:val="auto"/>
              </w:rPr>
            </w:pPr>
          </w:p>
        </w:tc>
        <w:tc>
          <w:tcPr>
            <w:tcW w:w="1380" w:type="dxa"/>
            <w:vAlign w:val="bottom"/>
            <w:gridSpan w:val="2"/>
            <w:shd w:val="clear" w:color="auto" w:fill="EEEEEE"/>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spacing w:after="0"/>
              <w:rPr>
                <w:sz w:val="20"/>
                <w:szCs w:val="20"/>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5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Series C convertible preferred stock subscriptions receivable</w:t>
            </w:r>
          </w:p>
        </w:tc>
        <w:tc>
          <w:tcPr>
            <w:tcW w:w="54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(18,153)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color w:val="auto"/>
                <w:w w:val="93"/>
              </w:rPr>
              <w:t>Undesignated preferred stock, $0.01 par value—10,000,000 shares authorized at September 30, 2004</w:t>
            </w:r>
          </w:p>
        </w:tc>
        <w:tc>
          <w:tcPr>
            <w:tcW w:w="54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spacing w:after="0"/>
              <w:rPr>
                <w:sz w:val="18"/>
                <w:szCs w:val="18"/>
                <w:color w:val="auto"/>
              </w:rPr>
            </w:pPr>
          </w:p>
        </w:tc>
        <w:tc>
          <w:tcPr>
            <w:tcW w:w="122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tcPr>
          <w:p>
            <w:pPr>
              <w:spacing w:after="0" w:line="201" w:lineRule="exact"/>
              <w:rPr>
                <w:sz w:val="20"/>
                <w:szCs w:val="20"/>
                <w:color w:val="auto"/>
              </w:rPr>
            </w:pPr>
            <w:r>
              <w:rPr>
                <w:rFonts w:ascii="Arial" w:cs="Arial" w:eastAsia="Arial" w:hAnsi="Arial"/>
                <w:sz w:val="18"/>
                <w:szCs w:val="18"/>
                <w:color w:val="auto"/>
                <w:w w:val="95"/>
              </w:rPr>
              <w:t>Common stock, $0.01 par value—90,000,000 shares authorized; 32,722,476 and 19,974,727 shares</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120"/>
              <w:spacing w:after="0"/>
              <w:rPr>
                <w:sz w:val="20"/>
                <w:szCs w:val="20"/>
                <w:color w:val="auto"/>
              </w:rPr>
            </w:pPr>
            <w:r>
              <w:rPr>
                <w:rFonts w:ascii="Arial" w:cs="Arial" w:eastAsia="Arial" w:hAnsi="Arial"/>
                <w:sz w:val="18"/>
                <w:szCs w:val="18"/>
                <w:color w:val="auto"/>
              </w:rPr>
              <w:t>issued and outstanding at September 30, 2004 and December 31, 2003, respectively</w:t>
            </w:r>
          </w:p>
        </w:tc>
        <w:tc>
          <w:tcPr>
            <w:tcW w:w="5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327</w:t>
            </w: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color w:val="auto"/>
              </w:rPr>
              <w:t>Additional paid-in capital</w:t>
            </w:r>
          </w:p>
        </w:tc>
        <w:tc>
          <w:tcPr>
            <w:tcW w:w="5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595,531</w:t>
            </w:r>
          </w:p>
        </w:tc>
        <w:tc>
          <w:tcPr>
            <w:tcW w:w="760" w:type="dxa"/>
            <w:vAlign w:val="bottom"/>
            <w:tcBorders>
              <w:lef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433,141</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Note receivable from stockholders</w:t>
            </w:r>
          </w:p>
        </w:tc>
        <w:tc>
          <w:tcPr>
            <w:tcW w:w="54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(1,490)</w:t>
            </w:r>
          </w:p>
        </w:tc>
        <w:tc>
          <w:tcPr>
            <w:tcW w:w="6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color w:val="auto"/>
              </w:rPr>
              <w:t>Note receivable from officers</w:t>
            </w:r>
          </w:p>
        </w:tc>
        <w:tc>
          <w:tcPr>
            <w:tcW w:w="54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spacing w:after="0"/>
              <w:rPr>
                <w:sz w:val="18"/>
                <w:szCs w:val="18"/>
                <w:color w:val="auto"/>
              </w:rPr>
            </w:pPr>
          </w:p>
        </w:tc>
        <w:tc>
          <w:tcPr>
            <w:tcW w:w="122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54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w w:val="85"/>
              </w:rPr>
              <w:t>(421,813)</w:t>
            </w:r>
          </w:p>
        </w:tc>
        <w:tc>
          <w:tcPr>
            <w:tcW w:w="6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(366,971)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808080"/>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172,555</w:t>
            </w:r>
          </w:p>
        </w:tc>
        <w:tc>
          <w:tcPr>
            <w:tcW w:w="760" w:type="dxa"/>
            <w:vAlign w:val="bottom"/>
            <w:tcBorders>
              <w:lef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111,577</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80808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181,797</w:t>
            </w:r>
          </w:p>
        </w:tc>
        <w:tc>
          <w:tcPr>
            <w:tcW w:w="7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125,876</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4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760" w:type="dxa"/>
            <w:vAlign w:val="bottom"/>
            <w:tcBorders>
              <w:left w:val="single" w:sz="8" w:color="808080"/>
            </w:tcBorders>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18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80" w:type="dxa"/>
            <w:vAlign w:val="bottom"/>
            <w:gridSpan w:val="6"/>
            <w:vMerge w:val="restart"/>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60" w:type="dxa"/>
            <w:vAlign w:val="bottom"/>
            <w:gridSpan w:val="6"/>
            <w:vMerge w:val="restart"/>
          </w:tcPr>
          <w:p>
            <w:pPr>
              <w:jc w:val="right"/>
              <w:ind w:right="84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80" w:type="dxa"/>
            <w:vAlign w:val="bottom"/>
            <w:gridSpan w:val="6"/>
            <w:vMerge w:val="continue"/>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60" w:type="dxa"/>
            <w:vAlign w:val="bottom"/>
            <w:gridSpan w:val="6"/>
            <w:vMerge w:val="continue"/>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February 14, 1991</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40" w:type="dxa"/>
            <w:vAlign w:val="bottom"/>
            <w:vMerge w:val="restart"/>
          </w:tcPr>
          <w:p>
            <w:pPr>
              <w:spacing w:after="0"/>
              <w:rPr>
                <w:sz w:val="6"/>
                <w:szCs w:val="6"/>
                <w:color w:val="auto"/>
              </w:rPr>
            </w:pPr>
          </w:p>
        </w:tc>
        <w:tc>
          <w:tcPr>
            <w:tcW w:w="15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(date of inception)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13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4"/>
                <w:szCs w:val="4"/>
                <w:color w:val="auto"/>
              </w:rPr>
            </w:pPr>
          </w:p>
        </w:tc>
        <w:tc>
          <w:tcPr>
            <w:tcW w:w="13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4"/>
                <w:szCs w:val="4"/>
                <w:color w:val="auto"/>
              </w:rPr>
            </w:pPr>
          </w:p>
        </w:tc>
        <w:tc>
          <w:tcPr>
            <w:tcW w:w="13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4"/>
                <w:szCs w:val="4"/>
                <w:color w:val="auto"/>
              </w:rPr>
            </w:pPr>
          </w:p>
        </w:tc>
        <w:tc>
          <w:tcPr>
            <w:tcW w:w="13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to September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340" w:type="dxa"/>
            <w:vAlign w:val="bottom"/>
            <w:tcBorders>
              <w:right w:val="single" w:sz="8" w:color="EEEEEE"/>
            </w:tcBorders>
            <w:shd w:val="clear" w:color="auto" w:fill="EEEEEE"/>
          </w:tcPr>
          <w:p>
            <w:pPr>
              <w:ind w:left="24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gridSpan w:val="2"/>
            <w:shd w:val="clear" w:color="auto" w:fill="EEEEEE"/>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gridSpan w:val="2"/>
            <w:shd w:val="clear" w:color="auto" w:fill="EEEEEE"/>
          </w:tcPr>
          <w:p>
            <w:pPr>
              <w:ind w:left="46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gridSpan w:val="2"/>
            <w:shd w:val="clear" w:color="auto" w:fill="EEEEEE"/>
          </w:tcPr>
          <w:p>
            <w:pPr>
              <w:ind w:left="46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2,858</w:t>
            </w:r>
          </w:p>
        </w:tc>
        <w:tc>
          <w:tcPr>
            <w:tcW w:w="4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11,695</w:t>
            </w:r>
          </w:p>
        </w:tc>
        <w:tc>
          <w:tcPr>
            <w:tcW w:w="44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10,764</w:t>
            </w:r>
          </w:p>
        </w:tc>
        <w:tc>
          <w:tcPr>
            <w:tcW w:w="46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38,805</w:t>
            </w:r>
          </w:p>
        </w:tc>
        <w:tc>
          <w:tcPr>
            <w:tcW w:w="44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31,648</w:t>
            </w:r>
          </w:p>
        </w:tc>
        <w:tc>
          <w:tcPr>
            <w:tcW w:w="4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182,452</w:t>
            </w:r>
          </w:p>
        </w:tc>
        <w:tc>
          <w:tcPr>
            <w:tcW w:w="4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8,808</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3,261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16,648</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15,971</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74,105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In-process research and development costs</w:t>
            </w: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19,726</w:t>
            </w:r>
          </w:p>
        </w:tc>
        <w:tc>
          <w:tcPr>
            <w:tcW w:w="4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20"/>
                <w:szCs w:val="20"/>
                <w:color w:val="auto"/>
              </w:rPr>
            </w:pPr>
          </w:p>
        </w:tc>
        <w:tc>
          <w:tcPr>
            <w:tcW w:w="560" w:type="dxa"/>
            <w:vAlign w:val="bottom"/>
            <w:tcBorders>
              <w:bottom w:val="single" w:sz="8" w:color="808080"/>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Borders>
              <w:bottom w:val="single" w:sz="8" w:color="808080"/>
            </w:tcBorders>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Borders>
              <w:bottom w:val="single" w:sz="8" w:color="808080"/>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Borders>
              <w:bottom w:val="single" w:sz="8" w:color="808080"/>
            </w:tcBorders>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5"/>
              </w:rPr>
              <w:t>151,428</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20,503</w:t>
            </w:r>
          </w:p>
        </w:tc>
        <w:tc>
          <w:tcPr>
            <w:tcW w:w="44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14,025</w:t>
            </w:r>
          </w:p>
        </w:tc>
        <w:tc>
          <w:tcPr>
            <w:tcW w:w="46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55,453</w:t>
            </w:r>
          </w:p>
        </w:tc>
        <w:tc>
          <w:tcPr>
            <w:tcW w:w="44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47,619</w:t>
            </w:r>
          </w:p>
        </w:tc>
        <w:tc>
          <w:tcPr>
            <w:tcW w:w="4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427,711</w:t>
            </w:r>
          </w:p>
        </w:tc>
        <w:tc>
          <w:tcPr>
            <w:tcW w:w="4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(20,503)</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77"/>
              </w:rPr>
              <w:t>(14,025)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(55,453)</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(47,619)</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0"/>
              </w:rPr>
              <w:t>(424,853)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275</w:t>
            </w:r>
          </w:p>
        </w:tc>
        <w:tc>
          <w:tcPr>
            <w:tcW w:w="44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w:t>
            </w:r>
          </w:p>
        </w:tc>
        <w:tc>
          <w:tcPr>
            <w:tcW w:w="46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496</w:t>
            </w:r>
          </w:p>
        </w:tc>
        <w:tc>
          <w:tcPr>
            <w:tcW w:w="44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307</w:t>
            </w:r>
          </w:p>
        </w:tc>
        <w:tc>
          <w:tcPr>
            <w:tcW w:w="4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5,074</w:t>
            </w:r>
          </w:p>
        </w:tc>
        <w:tc>
          <w:tcPr>
            <w:tcW w:w="4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80808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80808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Loss before provision for income taxes</w:t>
            </w:r>
          </w:p>
        </w:tc>
        <w:tc>
          <w:tcPr>
            <w:tcW w:w="3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9"/>
              </w:rPr>
              <w:t>(20,188)</w:t>
            </w: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86"/>
              </w:rPr>
              <w:t>(13,892)</w:t>
            </w: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9"/>
              </w:rPr>
              <w:t>(54,842)</w:t>
            </w: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9"/>
              </w:rPr>
              <w:t>(47,314)</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1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88"/>
              </w:rPr>
              <w:t>(421,799)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80808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80808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9"/>
              </w:rPr>
              <w:t>(20,188)</w:t>
            </w: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86"/>
              </w:rPr>
              <w:t>(13,892)</w:t>
            </w: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9"/>
              </w:rPr>
              <w:t>(54,842)</w:t>
            </w: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9"/>
              </w:rPr>
              <w:t>(47,314)</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1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88"/>
              </w:rPr>
              <w:t>(421,813)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spacing w:after="0" w:line="201" w:lineRule="exact"/>
              <w:rPr>
                <w:sz w:val="20"/>
                <w:szCs w:val="20"/>
                <w:color w:val="auto"/>
              </w:rPr>
            </w:pPr>
            <w:r>
              <w:rPr>
                <w:rFonts w:ascii="Arial" w:cs="Arial" w:eastAsia="Arial" w:hAnsi="Arial"/>
                <w:sz w:val="18"/>
                <w:szCs w:val="18"/>
                <w:color w:val="auto"/>
              </w:rPr>
              <w:t>Deemed dividend related to beneficial</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conversion feature of convertible preferred</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stock</w:t>
            </w:r>
          </w:p>
        </w:tc>
        <w:tc>
          <w:tcPr>
            <w:tcW w:w="34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(19,210)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(19,822)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Accretion on redeemable preferred stock</w:t>
            </w:r>
          </w:p>
        </w:tc>
        <w:tc>
          <w:tcPr>
            <w:tcW w:w="3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1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3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4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8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34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0"/>
              </w:rPr>
              <w:t>(39,398)</w:t>
            </w:r>
          </w:p>
        </w:tc>
        <w:tc>
          <w:tcPr>
            <w:tcW w:w="440" w:type="dxa"/>
            <w:vAlign w:val="bottom"/>
          </w:tcPr>
          <w:p>
            <w:pPr>
              <w:spacing w:after="0"/>
              <w:rPr>
                <w:sz w:val="19"/>
                <w:szCs w:val="19"/>
                <w:color w:val="auto"/>
              </w:rPr>
            </w:pP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77"/>
              </w:rPr>
              <w:t>(14,100)</w:t>
            </w:r>
          </w:p>
        </w:tc>
        <w:tc>
          <w:tcPr>
            <w:tcW w:w="460" w:type="dxa"/>
            <w:vAlign w:val="bottom"/>
          </w:tcPr>
          <w:p>
            <w:pPr>
              <w:spacing w:after="0"/>
              <w:rPr>
                <w:sz w:val="19"/>
                <w:szCs w:val="19"/>
                <w:color w:val="auto"/>
              </w:rPr>
            </w:pPr>
          </w:p>
        </w:tc>
        <w:tc>
          <w:tcPr>
            <w:tcW w:w="56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0"/>
              </w:rPr>
              <w:t>(74,724)</w:t>
            </w:r>
          </w:p>
        </w:tc>
        <w:tc>
          <w:tcPr>
            <w:tcW w:w="440" w:type="dxa"/>
            <w:vAlign w:val="bottom"/>
          </w:tcPr>
          <w:p>
            <w:pPr>
              <w:spacing w:after="0"/>
              <w:rPr>
                <w:sz w:val="19"/>
                <w:szCs w:val="19"/>
                <w:color w:val="auto"/>
              </w:rPr>
            </w:pPr>
          </w:p>
        </w:tc>
        <w:tc>
          <w:tcPr>
            <w:tcW w:w="56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0"/>
              </w:rPr>
              <w:t>(48,519)</w:t>
            </w:r>
          </w:p>
        </w:tc>
        <w:tc>
          <w:tcPr>
            <w:tcW w:w="4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0"/>
              </w:rPr>
              <w:t>(445,025)</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Borders>
              <w:left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60" w:type="dxa"/>
            <w:vAlign w:val="bottom"/>
            <w:tcBorders>
              <w:left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Borders>
              <w:left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Borders>
              <w:left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w:t>
            </w:r>
          </w:p>
        </w:tc>
        <w:tc>
          <w:tcPr>
            <w:tcW w:w="340" w:type="dxa"/>
            <w:vAlign w:val="bottom"/>
            <w:tcBorders>
              <w:right w:val="single" w:sz="8" w:color="EEEEEE"/>
            </w:tcBorders>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440" w:type="dxa"/>
            <w:vAlign w:val="bottom"/>
            <w:tcBorders>
              <w:lef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60" w:type="dxa"/>
            <w:vAlign w:val="bottom"/>
            <w:tcBorders>
              <w:right w:val="single" w:sz="8" w:color="EEEEEE"/>
            </w:tcBorders>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60" w:type="dxa"/>
            <w:vAlign w:val="bottom"/>
            <w:tcBorders>
              <w:left w:val="single" w:sz="8" w:color="EEEEEE"/>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60" w:type="dxa"/>
            <w:vAlign w:val="bottom"/>
            <w:tcBorders>
              <w:right w:val="single" w:sz="8" w:color="EEEEEE"/>
            </w:tcBorders>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440" w:type="dxa"/>
            <w:vAlign w:val="bottom"/>
            <w:tcBorders>
              <w:lef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440" w:type="dxa"/>
            <w:vAlign w:val="bottom"/>
            <w:tcBorders>
              <w:left w:val="single" w:sz="8" w:color="EEEEEE"/>
            </w:tcBorders>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60" w:type="dxa"/>
            <w:vAlign w:val="bottom"/>
            <w:tcBorders>
              <w:right w:val="single" w:sz="8" w:color="EEEEEE"/>
            </w:tcBorders>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46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Basic and diluted</w:t>
            </w:r>
          </w:p>
        </w:tc>
        <w:tc>
          <w:tcPr>
            <w:tcW w:w="34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(1.40)</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(0.72)</w:t>
            </w:r>
          </w:p>
        </w:tc>
        <w:tc>
          <w:tcPr>
            <w:tcW w:w="56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(3.29)</w:t>
            </w:r>
          </w:p>
        </w:tc>
        <w:tc>
          <w:tcPr>
            <w:tcW w:w="56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Borders>
              <w:left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60" w:type="dxa"/>
            <w:vAlign w:val="bottom"/>
            <w:tcBorders>
              <w:left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Borders>
              <w:left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Borders>
              <w:left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w w:val="96"/>
              </w:rPr>
              <w:t>Shares used to compute basic and diluted net</w:t>
            </w: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loss per share:</w:t>
            </w:r>
          </w:p>
        </w:tc>
        <w:tc>
          <w:tcPr>
            <w:tcW w:w="340" w:type="dxa"/>
            <w:vAlign w:val="bottom"/>
            <w:tcBorders>
              <w:right w:val="single" w:sz="8" w:color="EEEEEE"/>
            </w:tcBorders>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440" w:type="dxa"/>
            <w:vAlign w:val="bottom"/>
            <w:tcBorders>
              <w:left w:val="single" w:sz="8" w:color="EEEEEE"/>
            </w:tcBorders>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60" w:type="dxa"/>
            <w:vAlign w:val="bottom"/>
            <w:tcBorders>
              <w:right w:val="single" w:sz="8" w:color="EEEEEE"/>
            </w:tcBorders>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460" w:type="dxa"/>
            <w:vAlign w:val="bottom"/>
            <w:tcBorders>
              <w:left w:val="single" w:sz="8" w:color="EEEEEE"/>
            </w:tcBorders>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360" w:type="dxa"/>
            <w:vAlign w:val="bottom"/>
            <w:tcBorders>
              <w:right w:val="single" w:sz="8" w:color="EEEEEE"/>
            </w:tcBorders>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440" w:type="dxa"/>
            <w:vAlign w:val="bottom"/>
            <w:tcBorders>
              <w:left w:val="single" w:sz="8" w:color="EEEEEE"/>
            </w:tcBorders>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40" w:type="dxa"/>
            <w:vAlign w:val="bottom"/>
            <w:tcBorders>
              <w:right w:val="single" w:sz="8" w:color="EEEEEE"/>
            </w:tcBorders>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440" w:type="dxa"/>
            <w:vAlign w:val="bottom"/>
            <w:tcBorders>
              <w:left w:val="single" w:sz="8" w:color="EEEEEE"/>
            </w:tcBorders>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60" w:type="dxa"/>
            <w:vAlign w:val="bottom"/>
            <w:tcBorders>
              <w:right w:val="single" w:sz="8" w:color="EEEEEE"/>
            </w:tcBorders>
            <w:shd w:val="clear" w:color="auto" w:fill="EEEEEE"/>
          </w:tcPr>
          <w:p>
            <w:pPr>
              <w:spacing w:after="0"/>
              <w:rPr>
                <w:sz w:val="20"/>
                <w:szCs w:val="20"/>
                <w:color w:val="auto"/>
              </w:rPr>
            </w:pPr>
          </w:p>
        </w:tc>
        <w:tc>
          <w:tcPr>
            <w:tcW w:w="640" w:type="dxa"/>
            <w:vAlign w:val="bottom"/>
            <w:shd w:val="clear" w:color="auto" w:fill="EEEEEE"/>
          </w:tcPr>
          <w:p>
            <w:pPr>
              <w:spacing w:after="0"/>
              <w:rPr>
                <w:sz w:val="20"/>
                <w:szCs w:val="20"/>
                <w:color w:val="auto"/>
              </w:rPr>
            </w:pPr>
          </w:p>
        </w:tc>
        <w:tc>
          <w:tcPr>
            <w:tcW w:w="46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Basic and diluted</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28,051</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19,697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22,687</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17,986</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Borders>
              <w:left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60" w:type="dxa"/>
            <w:vAlign w:val="bottom"/>
            <w:tcBorders>
              <w:left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Borders>
              <w:left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Borders>
              <w:left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18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3"/>
          </w:tcPr>
          <w:p>
            <w:pPr>
              <w:jc w:val="center"/>
              <w:ind w:left="194"/>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3"/>
          </w:tcPr>
          <w:p>
            <w:pPr>
              <w:jc w:val="center"/>
              <w:ind w:left="174"/>
              <w:spacing w:after="0" w:line="149" w:lineRule="exact"/>
              <w:rPr>
                <w:sz w:val="20"/>
                <w:szCs w:val="20"/>
                <w:color w:val="auto"/>
              </w:rPr>
            </w:pPr>
            <w:r>
              <w:rPr>
                <w:rFonts w:ascii="Arial" w:cs="Arial" w:eastAsia="Arial" w:hAnsi="Arial"/>
                <w:sz w:val="14"/>
                <w:szCs w:val="14"/>
                <w:b w:val="1"/>
                <w:bCs w:val="1"/>
                <w:color w:val="auto"/>
                <w:w w:val="95"/>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3"/>
          </w:tcPr>
          <w:p>
            <w:pPr>
              <w:jc w:val="center"/>
              <w:ind w:left="194"/>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6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w w:val="96"/>
              </w:rPr>
              <w:t>Nine months ended September 30,</w:t>
            </w:r>
          </w:p>
        </w:tc>
        <w:tc>
          <w:tcPr>
            <w:tcW w:w="1680" w:type="dxa"/>
            <w:vAlign w:val="bottom"/>
            <w:gridSpan w:val="3"/>
          </w:tcPr>
          <w:p>
            <w:pPr>
              <w:jc w:val="center"/>
              <w:ind w:left="194"/>
              <w:spacing w:after="0" w:line="149" w:lineRule="exact"/>
              <w:rPr>
                <w:sz w:val="20"/>
                <w:szCs w:val="20"/>
                <w:color w:val="auto"/>
              </w:rPr>
            </w:pPr>
            <w:r>
              <w:rPr>
                <w:rFonts w:ascii="Arial" w:cs="Arial" w:eastAsia="Arial" w:hAnsi="Arial"/>
                <w:sz w:val="14"/>
                <w:szCs w:val="14"/>
                <w:b w:val="1"/>
                <w:bCs w:val="1"/>
                <w:color w:val="auto"/>
                <w:w w:val="93"/>
              </w:rPr>
              <w:t>1991 (date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1680" w:type="dxa"/>
            <w:vAlign w:val="bottom"/>
            <w:gridSpan w:val="3"/>
          </w:tcPr>
          <w:p>
            <w:pPr>
              <w:jc w:val="center"/>
              <w:ind w:left="194"/>
              <w:spacing w:after="0"/>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55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1680" w:type="dxa"/>
            <w:vAlign w:val="bottom"/>
            <w:gridSpan w:val="3"/>
            <w:vMerge w:val="restart"/>
          </w:tcPr>
          <w:p>
            <w:pPr>
              <w:jc w:val="center"/>
              <w:ind w:left="194"/>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500" w:type="dxa"/>
            <w:vAlign w:val="bottom"/>
          </w:tcPr>
          <w:p>
            <w:pPr>
              <w:spacing w:after="0"/>
              <w:rPr>
                <w:sz w:val="4"/>
                <w:szCs w:val="4"/>
                <w:color w:val="auto"/>
              </w:rPr>
            </w:pPr>
          </w:p>
        </w:tc>
        <w:tc>
          <w:tcPr>
            <w:tcW w:w="2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4"/>
                <w:szCs w:val="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gridSpan w:val="2"/>
          </w:tcPr>
          <w:p>
            <w:pPr>
              <w:jc w:val="center"/>
              <w:ind w:left="574"/>
              <w:spacing w:after="0"/>
              <w:rPr>
                <w:sz w:val="20"/>
                <w:szCs w:val="20"/>
                <w:color w:val="auto"/>
              </w:rPr>
            </w:pPr>
            <w:r>
              <w:rPr>
                <w:rFonts w:ascii="Arial" w:cs="Arial" w:eastAsia="Arial" w:hAnsi="Arial"/>
                <w:sz w:val="14"/>
                <w:szCs w:val="14"/>
                <w:b w:val="1"/>
                <w:bCs w:val="1"/>
                <w:color w:val="auto"/>
                <w:w w:val="89"/>
              </w:rPr>
              <w:t>2004</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1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680" w:type="dxa"/>
            <w:vAlign w:val="bottom"/>
            <w:gridSpan w:val="4"/>
          </w:tcPr>
          <w:p>
            <w:pPr>
              <w:jc w:val="right"/>
              <w:ind w:right="480"/>
              <w:spacing w:after="0"/>
              <w:rPr>
                <w:sz w:val="20"/>
                <w:szCs w:val="20"/>
                <w:color w:val="auto"/>
              </w:rPr>
            </w:pPr>
            <w:r>
              <w:rPr>
                <w:rFonts w:ascii="Arial" w:cs="Arial" w:eastAsia="Arial" w:hAnsi="Arial"/>
                <w:sz w:val="18"/>
                <w:szCs w:val="18"/>
                <w:color w:val="auto"/>
              </w:rPr>
              <w:t>$(54,842)</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$(47,314)</w:t>
            </w: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$(421,813)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2"/>
              </w:rPr>
              <w:t>Adjustments to reconcile net loss to net cash used in operating activities:</w:t>
            </w:r>
          </w:p>
        </w:tc>
        <w:tc>
          <w:tcPr>
            <w:tcW w:w="1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680" w:type="dxa"/>
            <w:vAlign w:val="bottom"/>
            <w:gridSpan w:val="4"/>
          </w:tcPr>
          <w:p>
            <w:pPr>
              <w:jc w:val="right"/>
              <w:ind w:right="540"/>
              <w:spacing w:after="0"/>
              <w:rPr>
                <w:sz w:val="20"/>
                <w:szCs w:val="20"/>
                <w:color w:val="auto"/>
              </w:rPr>
            </w:pPr>
            <w:r>
              <w:rPr>
                <w:rFonts w:ascii="Arial" w:cs="Arial" w:eastAsia="Arial" w:hAnsi="Arial"/>
                <w:sz w:val="18"/>
                <w:szCs w:val="18"/>
                <w:color w:val="auto"/>
              </w:rPr>
              <w:t>5,370</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5,713</w:t>
            </w:r>
          </w:p>
        </w:tc>
        <w:tc>
          <w:tcPr>
            <w:tcW w:w="1680" w:type="dxa"/>
            <w:vAlign w:val="bottom"/>
            <w:gridSpan w:val="3"/>
          </w:tcPr>
          <w:p>
            <w:pPr>
              <w:jc w:val="right"/>
              <w:ind w:right="380"/>
              <w:spacing w:after="0"/>
              <w:rPr>
                <w:sz w:val="20"/>
                <w:szCs w:val="20"/>
                <w:color w:val="auto"/>
              </w:rPr>
            </w:pPr>
            <w:r>
              <w:rPr>
                <w:rFonts w:ascii="Arial" w:cs="Arial" w:eastAsia="Arial" w:hAnsi="Arial"/>
                <w:sz w:val="18"/>
                <w:szCs w:val="18"/>
                <w:color w:val="auto"/>
              </w:rPr>
              <w:t>21,437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In-process research and development</w:t>
            </w:r>
          </w:p>
        </w:tc>
        <w:tc>
          <w:tcPr>
            <w:tcW w:w="1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2680" w:type="dxa"/>
            <w:vAlign w:val="bottom"/>
            <w:gridSpan w:val="4"/>
          </w:tcPr>
          <w:p>
            <w:pPr>
              <w:jc w:val="right"/>
              <w:ind w:right="540"/>
              <w:spacing w:after="0"/>
              <w:rPr>
                <w:sz w:val="20"/>
                <w:szCs w:val="20"/>
                <w:color w:val="auto"/>
              </w:rPr>
            </w:pPr>
            <w:r>
              <w:rPr>
                <w:rFonts w:ascii="Arial" w:cs="Arial" w:eastAsia="Arial" w:hAnsi="Arial"/>
                <w:sz w:val="18"/>
                <w:szCs w:val="18"/>
                <w:color w:val="auto"/>
              </w:rPr>
              <w:t>9,381</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3,316</w:t>
            </w:r>
          </w:p>
        </w:tc>
        <w:tc>
          <w:tcPr>
            <w:tcW w:w="1680" w:type="dxa"/>
            <w:vAlign w:val="bottom"/>
            <w:gridSpan w:val="3"/>
          </w:tcPr>
          <w:p>
            <w:pPr>
              <w:jc w:val="right"/>
              <w:ind w:right="380"/>
              <w:spacing w:after="0"/>
              <w:rPr>
                <w:sz w:val="20"/>
                <w:szCs w:val="20"/>
                <w:color w:val="auto"/>
              </w:rPr>
            </w:pPr>
            <w:r>
              <w:rPr>
                <w:rFonts w:ascii="Arial" w:cs="Arial" w:eastAsia="Arial" w:hAnsi="Arial"/>
                <w:sz w:val="18"/>
                <w:szCs w:val="18"/>
                <w:color w:val="auto"/>
              </w:rPr>
              <w:t>26,070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Discount on stockholder notes below market rate</w:t>
            </w:r>
          </w:p>
        </w:tc>
        <w:tc>
          <w:tcPr>
            <w:tcW w:w="1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rPr>
              <w:t>Non-cash compensation to officers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4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Stock issued for services</w:t>
            </w:r>
          </w:p>
        </w:tc>
        <w:tc>
          <w:tcPr>
            <w:tcW w:w="1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w w:val="97"/>
              </w:rPr>
              <w:t>Loss on sale and abandonment/disposal of property and equipment</w:t>
            </w:r>
          </w:p>
        </w:tc>
        <w:tc>
          <w:tcPr>
            <w:tcW w:w="2680" w:type="dxa"/>
            <w:vAlign w:val="bottom"/>
            <w:gridSpan w:val="4"/>
          </w:tcPr>
          <w:p>
            <w:pPr>
              <w:jc w:val="right"/>
              <w:ind w:right="540"/>
              <w:spacing w:after="0"/>
              <w:rPr>
                <w:sz w:val="20"/>
                <w:szCs w:val="20"/>
                <w:color w:val="auto"/>
              </w:rPr>
            </w:pPr>
            <w:r>
              <w:rPr>
                <w:rFonts w:ascii="Arial" w:cs="Arial" w:eastAsia="Arial" w:hAnsi="Arial"/>
                <w:sz w:val="18"/>
                <w:szCs w:val="18"/>
                <w:color w:val="auto"/>
              </w:rPr>
              <w:t>365</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761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3,188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Accrued interest expense on notes payable to stockholders</w:t>
            </w:r>
          </w:p>
        </w:tc>
        <w:tc>
          <w:tcPr>
            <w:tcW w:w="1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1,538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rPr>
              <w:t>Accrued interest on notes</w:t>
            </w:r>
          </w:p>
        </w:tc>
        <w:tc>
          <w:tcPr>
            <w:tcW w:w="2680" w:type="dxa"/>
            <w:vAlign w:val="bottom"/>
            <w:gridSpan w:val="4"/>
          </w:tcPr>
          <w:p>
            <w:pPr>
              <w:jc w:val="right"/>
              <w:ind w:right="480"/>
              <w:spacing w:after="0"/>
              <w:rPr>
                <w:sz w:val="20"/>
                <w:szCs w:val="20"/>
                <w:color w:val="auto"/>
              </w:rPr>
            </w:pPr>
            <w:r>
              <w:rPr>
                <w:rFonts w:ascii="Arial" w:cs="Arial" w:eastAsia="Arial" w:hAnsi="Arial"/>
                <w:sz w:val="18"/>
                <w:szCs w:val="18"/>
                <w:color w:val="auto"/>
              </w:rPr>
              <w:t>(78)</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(79)</w:t>
            </w: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Goodwill impairment</w:t>
            </w:r>
          </w:p>
        </w:tc>
        <w:tc>
          <w:tcPr>
            <w:tcW w:w="1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151,428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rPr>
              <w:t>Loss on available-for-sale securities, net</w:t>
            </w:r>
          </w:p>
        </w:tc>
        <w:tc>
          <w:tcPr>
            <w:tcW w:w="2680" w:type="dxa"/>
            <w:vAlign w:val="bottom"/>
            <w:gridSpan w:val="4"/>
          </w:tcPr>
          <w:p>
            <w:pPr>
              <w:jc w:val="right"/>
              <w:ind w:right="540"/>
              <w:spacing w:after="0"/>
              <w:rPr>
                <w:sz w:val="20"/>
                <w:szCs w:val="20"/>
                <w:color w:val="auto"/>
              </w:rPr>
            </w:pPr>
            <w:r>
              <w:rPr>
                <w:rFonts w:ascii="Arial" w:cs="Arial" w:eastAsia="Arial" w:hAnsi="Arial"/>
                <w:sz w:val="18"/>
                <w:szCs w:val="18"/>
                <w:color w:val="auto"/>
              </w:rPr>
              <w:t>94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8"/>
                <w:szCs w:val="18"/>
                <w:color w:val="auto"/>
              </w:rPr>
            </w:pPr>
          </w:p>
        </w:tc>
        <w:tc>
          <w:tcPr>
            <w:tcW w:w="1680" w:type="dxa"/>
            <w:vAlign w:val="bottom"/>
            <w:gridSpan w:val="3"/>
          </w:tcPr>
          <w:p>
            <w:pPr>
              <w:jc w:val="right"/>
              <w:ind w:right="38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Changes in assets and liabilities:</w:t>
            </w:r>
          </w:p>
        </w:tc>
        <w:tc>
          <w:tcPr>
            <w:tcW w:w="1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00"/>
              <w:spacing w:after="0"/>
              <w:rPr>
                <w:sz w:val="20"/>
                <w:szCs w:val="20"/>
                <w:color w:val="auto"/>
              </w:rPr>
            </w:pPr>
            <w:r>
              <w:rPr>
                <w:rFonts w:ascii="Arial" w:cs="Arial" w:eastAsia="Arial" w:hAnsi="Arial"/>
                <w:sz w:val="18"/>
                <w:szCs w:val="18"/>
                <w:color w:val="auto"/>
              </w:rPr>
              <w:t>State research and development credit exchange receivable</w:t>
            </w:r>
          </w:p>
        </w:tc>
        <w:tc>
          <w:tcPr>
            <w:tcW w:w="2680" w:type="dxa"/>
            <w:vAlign w:val="bottom"/>
            <w:gridSpan w:val="4"/>
          </w:tcPr>
          <w:p>
            <w:pPr>
              <w:jc w:val="right"/>
              <w:ind w:right="480"/>
              <w:spacing w:after="0"/>
              <w:rPr>
                <w:sz w:val="20"/>
                <w:szCs w:val="20"/>
                <w:color w:val="auto"/>
              </w:rPr>
            </w:pPr>
            <w:r>
              <w:rPr>
                <w:rFonts w:ascii="Arial" w:cs="Arial" w:eastAsia="Arial" w:hAnsi="Arial"/>
                <w:sz w:val="18"/>
                <w:szCs w:val="18"/>
                <w:color w:val="auto"/>
              </w:rPr>
              <w:t>(4,026)</w:t>
            </w:r>
          </w:p>
        </w:tc>
        <w:tc>
          <w:tcPr>
            <w:tcW w:w="56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680" w:type="dxa"/>
            <w:vAlign w:val="bottom"/>
            <w:gridSpan w:val="4"/>
            <w:shd w:val="clear" w:color="auto" w:fill="EEEEEE"/>
          </w:tcPr>
          <w:p>
            <w:pPr>
              <w:jc w:val="right"/>
              <w:ind w:right="480"/>
              <w:spacing w:after="0"/>
              <w:rPr>
                <w:sz w:val="20"/>
                <w:szCs w:val="20"/>
                <w:color w:val="auto"/>
              </w:rPr>
            </w:pPr>
            <w:r>
              <w:rPr>
                <w:rFonts w:ascii="Arial" w:cs="Arial" w:eastAsia="Arial" w:hAnsi="Arial"/>
                <w:sz w:val="18"/>
                <w:szCs w:val="18"/>
                <w:color w:val="auto"/>
              </w:rPr>
              <w:t>(187)</w:t>
            </w:r>
          </w:p>
        </w:tc>
        <w:tc>
          <w:tcPr>
            <w:tcW w:w="154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(306)</w:t>
            </w:r>
          </w:p>
        </w:tc>
        <w:tc>
          <w:tcPr>
            <w:tcW w:w="168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00"/>
              <w:spacing w:after="0"/>
              <w:rPr>
                <w:sz w:val="20"/>
                <w:szCs w:val="20"/>
                <w:color w:val="auto"/>
              </w:rPr>
            </w:pPr>
            <w:r>
              <w:rPr>
                <w:rFonts w:ascii="Arial" w:cs="Arial" w:eastAsia="Arial" w:hAnsi="Arial"/>
                <w:sz w:val="18"/>
                <w:szCs w:val="18"/>
                <w:color w:val="auto"/>
              </w:rPr>
              <w:t>Restricted cash</w:t>
            </w:r>
          </w:p>
        </w:tc>
        <w:tc>
          <w:tcPr>
            <w:tcW w:w="2680" w:type="dxa"/>
            <w:vAlign w:val="bottom"/>
            <w:gridSpan w:val="4"/>
          </w:tcPr>
          <w:p>
            <w:pPr>
              <w:jc w:val="right"/>
              <w:ind w:right="480"/>
              <w:spacing w:after="0"/>
              <w:rPr>
                <w:sz w:val="20"/>
                <w:szCs w:val="20"/>
                <w:color w:val="auto"/>
              </w:rPr>
            </w:pPr>
            <w:r>
              <w:rPr>
                <w:rFonts w:ascii="Arial" w:cs="Arial" w:eastAsia="Arial" w:hAnsi="Arial"/>
                <w:sz w:val="18"/>
                <w:szCs w:val="18"/>
                <w:color w:val="auto"/>
              </w:rPr>
              <w:t>(22)</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(559)</w:t>
            </w: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Other assets</w:t>
            </w:r>
          </w:p>
        </w:tc>
        <w:tc>
          <w:tcPr>
            <w:tcW w:w="268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140</w:t>
            </w:r>
          </w:p>
        </w:tc>
        <w:tc>
          <w:tcPr>
            <w:tcW w:w="154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4</w:t>
            </w:r>
          </w:p>
        </w:tc>
        <w:tc>
          <w:tcPr>
            <w:tcW w:w="168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2680" w:type="dxa"/>
            <w:vAlign w:val="bottom"/>
            <w:gridSpan w:val="4"/>
          </w:tcPr>
          <w:p>
            <w:pPr>
              <w:jc w:val="right"/>
              <w:ind w:right="480"/>
              <w:spacing w:after="0"/>
              <w:rPr>
                <w:sz w:val="20"/>
                <w:szCs w:val="20"/>
                <w:color w:val="auto"/>
              </w:rPr>
            </w:pPr>
            <w:r>
              <w:rPr>
                <w:rFonts w:ascii="Arial" w:cs="Arial" w:eastAsia="Arial" w:hAnsi="Arial"/>
                <w:sz w:val="18"/>
                <w:szCs w:val="18"/>
                <w:color w:val="auto"/>
              </w:rPr>
              <w:t>(497)</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(1,668)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1,429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268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2,367</w:t>
            </w:r>
          </w:p>
        </w:tc>
        <w:tc>
          <w:tcPr>
            <w:tcW w:w="154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624</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6,382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2680" w:type="dxa"/>
            <w:vAlign w:val="bottom"/>
            <w:gridSpan w:val="4"/>
          </w:tcPr>
          <w:p>
            <w:pPr>
              <w:jc w:val="right"/>
              <w:ind w:right="480"/>
              <w:spacing w:after="0"/>
              <w:rPr>
                <w:sz w:val="20"/>
                <w:szCs w:val="20"/>
                <w:color w:val="auto"/>
              </w:rPr>
            </w:pPr>
            <w:r>
              <w:rPr>
                <w:rFonts w:ascii="Arial" w:cs="Arial" w:eastAsia="Arial" w:hAnsi="Arial"/>
                <w:sz w:val="18"/>
                <w:szCs w:val="18"/>
                <w:color w:val="auto"/>
              </w:rPr>
              <w:t>(62)</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(153)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Payment of deferred compensation</w:t>
            </w:r>
          </w:p>
        </w:tc>
        <w:tc>
          <w:tcPr>
            <w:tcW w:w="2680" w:type="dxa"/>
            <w:vAlign w:val="bottom"/>
            <w:gridSpan w:val="4"/>
            <w:shd w:val="clear" w:color="auto" w:fill="EEEEEE"/>
          </w:tcPr>
          <w:p>
            <w:pPr>
              <w:jc w:val="right"/>
              <w:ind w:right="480"/>
              <w:spacing w:after="0"/>
              <w:rPr>
                <w:sz w:val="20"/>
                <w:szCs w:val="20"/>
                <w:color w:val="auto"/>
              </w:rPr>
            </w:pPr>
            <w:r>
              <w:rPr>
                <w:rFonts w:ascii="Arial" w:cs="Arial" w:eastAsia="Arial" w:hAnsi="Arial"/>
                <w:sz w:val="18"/>
                <w:szCs w:val="18"/>
                <w:color w:val="auto"/>
              </w:rPr>
              <w:t>(271)</w:t>
            </w:r>
          </w:p>
        </w:tc>
        <w:tc>
          <w:tcPr>
            <w:tcW w:w="154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(220)</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1,373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520"/>
              <w:spacing w:after="0"/>
              <w:rPr>
                <w:sz w:val="20"/>
                <w:szCs w:val="20"/>
                <w:color w:val="auto"/>
              </w:rPr>
            </w:pPr>
            <w:r>
              <w:rPr>
                <w:rFonts w:ascii="Arial" w:cs="Arial" w:eastAsia="Arial" w:hAnsi="Arial"/>
                <w:sz w:val="18"/>
                <w:szCs w:val="18"/>
                <w:color w:val="auto"/>
              </w:rPr>
              <w:t>Net cash used in operating activities</w:t>
            </w:r>
          </w:p>
        </w:tc>
        <w:tc>
          <w:tcPr>
            <w:tcW w:w="26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156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3"/>
              </w:rPr>
              <w:t>(42,268)</w:t>
            </w: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0"/>
              </w:rPr>
              <w:t>(39,780)</w:t>
            </w: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0"/>
              </w:rPr>
              <w:t>(195,310)</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1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Purchase of marketable securities</w:t>
            </w:r>
          </w:p>
        </w:tc>
        <w:tc>
          <w:tcPr>
            <w:tcW w:w="2680" w:type="dxa"/>
            <w:vAlign w:val="bottom"/>
            <w:gridSpan w:val="4"/>
          </w:tcPr>
          <w:p>
            <w:pPr>
              <w:jc w:val="right"/>
              <w:ind w:right="480"/>
              <w:spacing w:after="0"/>
              <w:rPr>
                <w:sz w:val="20"/>
                <w:szCs w:val="20"/>
                <w:color w:val="auto"/>
              </w:rPr>
            </w:pPr>
            <w:r>
              <w:rPr>
                <w:rFonts w:ascii="Arial" w:cs="Arial" w:eastAsia="Arial" w:hAnsi="Arial"/>
                <w:sz w:val="18"/>
                <w:szCs w:val="18"/>
                <w:color w:val="auto"/>
              </w:rPr>
              <w:t>(4,999)</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(18,167)</w:t>
            </w: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(126,114)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Sales of marketable securities</w:t>
            </w:r>
          </w:p>
        </w:tc>
        <w:tc>
          <w:tcPr>
            <w:tcW w:w="268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1,730</w:t>
            </w:r>
          </w:p>
        </w:tc>
        <w:tc>
          <w:tcPr>
            <w:tcW w:w="154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27,429</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120,877</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Purchase of property and equipment</w:t>
            </w:r>
          </w:p>
        </w:tc>
        <w:tc>
          <w:tcPr>
            <w:tcW w:w="2680" w:type="dxa"/>
            <w:vAlign w:val="bottom"/>
            <w:gridSpan w:val="4"/>
          </w:tcPr>
          <w:p>
            <w:pPr>
              <w:jc w:val="right"/>
              <w:ind w:right="480"/>
              <w:spacing w:after="0"/>
              <w:rPr>
                <w:sz w:val="20"/>
                <w:szCs w:val="20"/>
                <w:color w:val="auto"/>
              </w:rPr>
            </w:pPr>
            <w:r>
              <w:rPr>
                <w:rFonts w:ascii="Arial" w:cs="Arial" w:eastAsia="Arial" w:hAnsi="Arial"/>
                <w:sz w:val="18"/>
                <w:szCs w:val="18"/>
                <w:color w:val="auto"/>
              </w:rPr>
              <w:t>(4,632)</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(4,234)</w:t>
            </w: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(90,937)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4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520"/>
              <w:spacing w:after="0"/>
              <w:rPr>
                <w:sz w:val="20"/>
                <w:szCs w:val="20"/>
                <w:color w:val="auto"/>
              </w:rPr>
            </w:pPr>
            <w:r>
              <w:rPr>
                <w:rFonts w:ascii="Arial" w:cs="Arial" w:eastAsia="Arial" w:hAnsi="Arial"/>
                <w:sz w:val="18"/>
                <w:szCs w:val="18"/>
                <w:color w:val="auto"/>
              </w:rPr>
              <w:t>Net cash provided by (used in) investing activities</w:t>
            </w:r>
          </w:p>
        </w:tc>
        <w:tc>
          <w:tcPr>
            <w:tcW w:w="2680" w:type="dxa"/>
            <w:vAlign w:val="bottom"/>
            <w:gridSpan w:val="4"/>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156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98"/>
              </w:rPr>
              <w:t>(7,901)</w:t>
            </w: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5,101</w:t>
            </w: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92"/>
              </w:rPr>
              <w:t>(96,082)</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1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Repurchase of common stock</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(1,028)</w:t>
            </w: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Issuance of common stock for cash</w:t>
            </w:r>
          </w:p>
        </w:tc>
        <w:tc>
          <w:tcPr>
            <w:tcW w:w="268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83,173</w:t>
            </w:r>
          </w:p>
        </w:tc>
        <w:tc>
          <w:tcPr>
            <w:tcW w:w="154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50,000</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319,013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300" w:type="dxa"/>
            <w:vAlign w:val="bottom"/>
          </w:tcPr>
          <w:p>
            <w:pPr>
              <w:jc w:val="right"/>
              <w:ind w:right="971"/>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3"/>
          </w:tcPr>
          <w:p>
            <w:pPr>
              <w:jc w:val="center"/>
              <w:ind w:left="207"/>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40" w:type="dxa"/>
            <w:vAlign w:val="bottom"/>
            <w:gridSpan w:val="3"/>
          </w:tcPr>
          <w:p>
            <w:pPr>
              <w:jc w:val="center"/>
              <w:ind w:left="227"/>
              <w:spacing w:after="0" w:line="149" w:lineRule="exact"/>
              <w:rPr>
                <w:sz w:val="20"/>
                <w:szCs w:val="20"/>
                <w:color w:val="auto"/>
              </w:rPr>
            </w:pPr>
            <w:r>
              <w:rPr>
                <w:rFonts w:ascii="Arial" w:cs="Arial" w:eastAsia="Arial" w:hAnsi="Arial"/>
                <w:sz w:val="14"/>
                <w:szCs w:val="14"/>
                <w:b w:val="1"/>
                <w:bCs w:val="1"/>
                <w:color w:val="auto"/>
                <w:w w:val="95"/>
              </w:rPr>
              <w:t>period from</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40" w:type="dxa"/>
            <w:vAlign w:val="bottom"/>
            <w:gridSpan w:val="3"/>
          </w:tcPr>
          <w:p>
            <w:pPr>
              <w:jc w:val="center"/>
              <w:ind w:left="207"/>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0" w:type="dxa"/>
            <w:vAlign w:val="bottom"/>
            <w:gridSpan w:val="7"/>
            <w:vMerge w:val="restart"/>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1640" w:type="dxa"/>
            <w:vAlign w:val="bottom"/>
            <w:gridSpan w:val="3"/>
          </w:tcPr>
          <w:p>
            <w:pPr>
              <w:jc w:val="center"/>
              <w:ind w:left="207"/>
              <w:spacing w:after="0" w:line="149" w:lineRule="exact"/>
              <w:rPr>
                <w:sz w:val="20"/>
                <w:szCs w:val="20"/>
                <w:color w:val="auto"/>
              </w:rPr>
            </w:pPr>
            <w:r>
              <w:rPr>
                <w:rFonts w:ascii="Arial" w:cs="Arial" w:eastAsia="Arial" w:hAnsi="Arial"/>
                <w:sz w:val="14"/>
                <w:szCs w:val="14"/>
                <w:b w:val="1"/>
                <w:bCs w:val="1"/>
                <w:color w:val="auto"/>
                <w:w w:val="93"/>
              </w:rPr>
              <w:t>1991 (date of</w:t>
            </w:r>
          </w:p>
        </w:tc>
        <w:tc>
          <w:tcPr>
            <w:tcW w:w="0" w:type="dxa"/>
            <w:vAlign w:val="bottom"/>
          </w:tcPr>
          <w:p>
            <w:pPr>
              <w:spacing w:after="0"/>
              <w:rPr>
                <w:sz w:val="1"/>
                <w:szCs w:val="1"/>
                <w:color w:val="auto"/>
              </w:rPr>
            </w:pPr>
          </w:p>
        </w:tc>
      </w:tr>
      <w:tr>
        <w:trPr>
          <w:trHeight w:val="162"/>
        </w:trPr>
        <w:tc>
          <w:tcPr>
            <w:tcW w:w="6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7"/>
            <w:vMerge w:val="continue"/>
          </w:tcPr>
          <w:p>
            <w:pPr>
              <w:spacing w:after="0"/>
              <w:rPr>
                <w:sz w:val="14"/>
                <w:szCs w:val="14"/>
                <w:color w:val="auto"/>
              </w:rPr>
            </w:pPr>
          </w:p>
        </w:tc>
        <w:tc>
          <w:tcPr>
            <w:tcW w:w="1640" w:type="dxa"/>
            <w:vAlign w:val="bottom"/>
            <w:gridSpan w:val="3"/>
          </w:tcPr>
          <w:p>
            <w:pPr>
              <w:jc w:val="center"/>
              <w:ind w:left="227"/>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90"/>
        </w:trPr>
        <w:tc>
          <w:tcPr>
            <w:tcW w:w="690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1640" w:type="dxa"/>
            <w:vAlign w:val="bottom"/>
            <w:gridSpan w:val="3"/>
            <w:vMerge w:val="restart"/>
          </w:tcPr>
          <w:p>
            <w:pPr>
              <w:jc w:val="center"/>
              <w:ind w:left="207"/>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38"/>
        </w:trPr>
        <w:tc>
          <w:tcPr>
            <w:tcW w:w="6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2004</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Cash received for common stock to be issued</w:t>
            </w:r>
          </w:p>
        </w:tc>
        <w:tc>
          <w:tcPr>
            <w:tcW w:w="280" w:type="dxa"/>
            <w:vAlign w:val="bottom"/>
          </w:tcPr>
          <w:p>
            <w:pPr>
              <w:spacing w:after="0"/>
              <w:rPr>
                <w:sz w:val="20"/>
                <w:szCs w:val="20"/>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3,900</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Put shares sold to majority stockholder</w:t>
            </w:r>
          </w:p>
        </w:tc>
        <w:tc>
          <w:tcPr>
            <w:tcW w:w="28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rPr>
                <w:sz w:val="20"/>
                <w:szCs w:val="20"/>
                <w:color w:val="auto"/>
              </w:rPr>
            </w:pPr>
            <w:r>
              <w:rPr>
                <w:rFonts w:ascii="Arial" w:cs="Arial" w:eastAsia="Arial" w:hAnsi="Arial"/>
                <w:sz w:val="18"/>
                <w:szCs w:val="18"/>
                <w:color w:val="auto"/>
              </w:rPr>
              <w:t>Borrowings under lines of credit</w:t>
            </w:r>
          </w:p>
        </w:tc>
        <w:tc>
          <w:tcPr>
            <w:tcW w:w="280" w:type="dxa"/>
            <w:vAlign w:val="bottom"/>
          </w:tcPr>
          <w:p>
            <w:pPr>
              <w:spacing w:after="0"/>
              <w:rPr>
                <w:sz w:val="18"/>
                <w:szCs w:val="18"/>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Proceeds from notes receivables</w:t>
            </w:r>
          </w:p>
        </w:tc>
        <w:tc>
          <w:tcPr>
            <w:tcW w:w="28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1,742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rPr>
                <w:sz w:val="20"/>
                <w:szCs w:val="20"/>
                <w:color w:val="auto"/>
              </w:rPr>
            </w:pPr>
            <w:r>
              <w:rPr>
                <w:rFonts w:ascii="Arial" w:cs="Arial" w:eastAsia="Arial" w:hAnsi="Arial"/>
                <w:sz w:val="18"/>
                <w:szCs w:val="18"/>
                <w:color w:val="auto"/>
              </w:rPr>
              <w:t>Principal payments on notes payable</w:t>
            </w:r>
          </w:p>
        </w:tc>
        <w:tc>
          <w:tcPr>
            <w:tcW w:w="280" w:type="dxa"/>
            <w:vAlign w:val="bottom"/>
          </w:tcPr>
          <w:p>
            <w:pPr>
              <w:spacing w:after="0"/>
              <w:rPr>
                <w:sz w:val="18"/>
                <w:szCs w:val="18"/>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6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Payable to stockholder</w:t>
            </w:r>
          </w:p>
        </w:tc>
        <w:tc>
          <w:tcPr>
            <w:tcW w:w="28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(1,406)</w:t>
            </w:r>
          </w:p>
        </w:tc>
        <w:tc>
          <w:tcPr>
            <w:tcW w:w="58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rPr>
                <w:sz w:val="20"/>
                <w:szCs w:val="20"/>
                <w:color w:val="auto"/>
              </w:rPr>
            </w:pPr>
            <w:r>
              <w:rPr>
                <w:rFonts w:ascii="Arial" w:cs="Arial" w:eastAsia="Arial" w:hAnsi="Arial"/>
                <w:sz w:val="18"/>
                <w:szCs w:val="18"/>
                <w:color w:val="auto"/>
              </w:rPr>
              <w:t>Issuance of Series B convertible preferred stock for cash</w:t>
            </w:r>
          </w:p>
        </w:tc>
        <w:tc>
          <w:tcPr>
            <w:tcW w:w="280" w:type="dxa"/>
            <w:vAlign w:val="bottom"/>
          </w:tcPr>
          <w:p>
            <w:pPr>
              <w:spacing w:after="0"/>
              <w:rPr>
                <w:sz w:val="18"/>
                <w:szCs w:val="18"/>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Borrowings on notes payable</w:t>
            </w:r>
          </w:p>
        </w:tc>
        <w:tc>
          <w:tcPr>
            <w:tcW w:w="28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3,460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18,153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99,920</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3"/>
              </w:rPr>
              <w:t>48,972</w:t>
            </w:r>
          </w:p>
        </w:tc>
        <w:tc>
          <w:tcPr>
            <w:tcW w:w="40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395,263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49,751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14,293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103,871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54,120</w:t>
            </w:r>
          </w:p>
        </w:tc>
        <w:tc>
          <w:tcPr>
            <w:tcW w:w="5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3"/>
              </w:rPr>
              <w:t>19,917</w:t>
            </w:r>
          </w:p>
        </w:tc>
        <w:tc>
          <w:tcPr>
            <w:tcW w:w="40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103,871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34,210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ind w:left="5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103,871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690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6900" w:type="dxa"/>
            <w:vAlign w:val="bottom"/>
            <w:shd w:val="clear" w:color="auto" w:fill="EEEEEE"/>
          </w:tcPr>
          <w:p>
            <w:pPr>
              <w:spacing w:after="0"/>
              <w:rPr>
                <w:sz w:val="20"/>
                <w:szCs w:val="20"/>
                <w:color w:val="auto"/>
              </w:rPr>
            </w:pPr>
            <w:r>
              <w:rPr>
                <w:rFonts w:ascii="Arial" w:cs="Arial" w:eastAsia="Arial" w:hAnsi="Arial"/>
                <w:sz w:val="18"/>
                <w:szCs w:val="18"/>
                <w:color w:val="auto"/>
              </w:rPr>
              <w:t>SUPPLEMENTAL CASH FLOWS DISCLOSURES:</w:t>
            </w: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68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900" w:type="dxa"/>
            <w:vAlign w:val="bottom"/>
          </w:tcPr>
          <w:p>
            <w:pPr>
              <w:ind w:left="140"/>
              <w:spacing w:after="0"/>
              <w:rPr>
                <w:sz w:val="20"/>
                <w:szCs w:val="20"/>
                <w:color w:val="auto"/>
              </w:rPr>
            </w:pPr>
            <w:r>
              <w:rPr>
                <w:rFonts w:ascii="Arial" w:cs="Arial" w:eastAsia="Arial" w:hAnsi="Arial"/>
                <w:sz w:val="18"/>
                <w:szCs w:val="18"/>
                <w:color w:val="auto"/>
              </w:rPr>
              <w:t>Cash paid for income taxes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Pr>
          <w:p>
            <w:pPr>
              <w:ind w:left="5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690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6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Interest paid in cash</w:t>
            </w:r>
          </w:p>
        </w:tc>
        <w:tc>
          <w:tcPr>
            <w:tcW w:w="280" w:type="dxa"/>
            <w:vAlign w:val="bottom"/>
            <w:tcBorders>
              <w:right w:val="single" w:sz="8" w:color="EEEEEE"/>
            </w:tcBorders>
            <w:shd w:val="clear" w:color="auto" w:fill="EEEEEE"/>
          </w:tcPr>
          <w:p>
            <w:pPr>
              <w:spacing w:after="0"/>
              <w:rPr>
                <w:sz w:val="19"/>
                <w:szCs w:val="19"/>
                <w:color w:val="auto"/>
              </w:rPr>
            </w:pPr>
          </w:p>
        </w:tc>
        <w:tc>
          <w:tcPr>
            <w:tcW w:w="11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spacing w:after="0"/>
              <w:rPr>
                <w:sz w:val="19"/>
                <w:szCs w:val="19"/>
                <w:color w:val="auto"/>
              </w:rPr>
            </w:pPr>
          </w:p>
        </w:tc>
        <w:tc>
          <w:tcPr>
            <w:tcW w:w="90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6900" w:type="dxa"/>
            <w:vAlign w:val="bottom"/>
            <w:vMerge w:val="restart"/>
          </w:tcPr>
          <w:p>
            <w:pPr>
              <w:ind w:left="140"/>
              <w:spacing w:after="0"/>
              <w:rPr>
                <w:sz w:val="20"/>
                <w:szCs w:val="20"/>
                <w:color w:val="auto"/>
              </w:rPr>
            </w:pPr>
            <w:r>
              <w:rPr>
                <w:rFonts w:ascii="Arial" w:cs="Arial" w:eastAsia="Arial" w:hAnsi="Arial"/>
                <w:sz w:val="18"/>
                <w:szCs w:val="18"/>
                <w:color w:val="auto"/>
              </w:rPr>
              <w:t>Issuance of common stock upon conversion of notes payable</w:t>
            </w:r>
          </w:p>
        </w:tc>
        <w:tc>
          <w:tcPr>
            <w:tcW w:w="2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520" w:type="dxa"/>
            <w:vAlign w:val="bottom"/>
            <w:vMerge w:val="restart"/>
          </w:tcPr>
          <w:p>
            <w:pPr>
              <w:spacing w:after="0"/>
              <w:rPr>
                <w:sz w:val="6"/>
                <w:szCs w:val="6"/>
                <w:color w:val="auto"/>
              </w:rPr>
            </w:pPr>
          </w:p>
        </w:tc>
        <w:tc>
          <w:tcPr>
            <w:tcW w:w="58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00" w:type="dxa"/>
            <w:vAlign w:val="bottom"/>
            <w:vMerge w:val="restart"/>
          </w:tcPr>
          <w:p>
            <w:pPr>
              <w:spacing w:after="0"/>
              <w:rPr>
                <w:sz w:val="6"/>
                <w:szCs w:val="6"/>
                <w:color w:val="auto"/>
              </w:rPr>
            </w:pPr>
          </w:p>
        </w:tc>
        <w:tc>
          <w:tcPr>
            <w:tcW w:w="6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6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3,331</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690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6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Issuance of common stock for notes receivable</w:t>
            </w:r>
          </w:p>
        </w:tc>
        <w:tc>
          <w:tcPr>
            <w:tcW w:w="280" w:type="dxa"/>
            <w:vAlign w:val="bottom"/>
            <w:tcBorders>
              <w:right w:val="single" w:sz="8" w:color="EEEEEE"/>
            </w:tcBorders>
            <w:shd w:val="clear" w:color="auto" w:fill="EEEEEE"/>
          </w:tcPr>
          <w:p>
            <w:pPr>
              <w:spacing w:after="0"/>
              <w:rPr>
                <w:sz w:val="19"/>
                <w:szCs w:val="19"/>
                <w:color w:val="auto"/>
              </w:rPr>
            </w:pPr>
          </w:p>
        </w:tc>
        <w:tc>
          <w:tcPr>
            <w:tcW w:w="11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spacing w:after="0"/>
              <w:rPr>
                <w:sz w:val="19"/>
                <w:szCs w:val="19"/>
                <w:color w:val="auto"/>
              </w:rPr>
            </w:pPr>
          </w:p>
        </w:tc>
        <w:tc>
          <w:tcPr>
            <w:tcW w:w="90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2,758</w:t>
            </w: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6900" w:type="dxa"/>
            <w:vAlign w:val="bottom"/>
            <w:vMerge w:val="restart"/>
          </w:tcPr>
          <w:p>
            <w:pPr>
              <w:ind w:left="140"/>
              <w:spacing w:after="0"/>
              <w:rPr>
                <w:sz w:val="20"/>
                <w:szCs w:val="20"/>
                <w:color w:val="auto"/>
              </w:rPr>
            </w:pPr>
            <w:r>
              <w:rPr>
                <w:rFonts w:ascii="Arial" w:cs="Arial" w:eastAsia="Arial" w:hAnsi="Arial"/>
                <w:sz w:val="18"/>
                <w:szCs w:val="18"/>
                <w:color w:val="auto"/>
              </w:rPr>
              <w:t>Increase in additional paid-in capital resulting from merger</w:t>
            </w:r>
          </w:p>
        </w:tc>
        <w:tc>
          <w:tcPr>
            <w:tcW w:w="2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520" w:type="dxa"/>
            <w:vAlign w:val="bottom"/>
            <w:vMerge w:val="restart"/>
          </w:tcPr>
          <w:p>
            <w:pPr>
              <w:spacing w:after="0"/>
              <w:rPr>
                <w:sz w:val="6"/>
                <w:szCs w:val="6"/>
                <w:color w:val="auto"/>
              </w:rPr>
            </w:pPr>
          </w:p>
        </w:tc>
        <w:tc>
          <w:tcPr>
            <w:tcW w:w="58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00" w:type="dxa"/>
            <w:vAlign w:val="bottom"/>
            <w:vMerge w:val="restart"/>
          </w:tcPr>
          <w:p>
            <w:pPr>
              <w:spacing w:after="0"/>
              <w:rPr>
                <w:sz w:val="6"/>
                <w:szCs w:val="6"/>
                <w:color w:val="auto"/>
              </w:rPr>
            </w:pPr>
          </w:p>
        </w:tc>
        <w:tc>
          <w:tcPr>
            <w:tcW w:w="6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6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171,154</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690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6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Put option redemption by stockholder</w:t>
            </w:r>
          </w:p>
        </w:tc>
        <w:tc>
          <w:tcPr>
            <w:tcW w:w="280" w:type="dxa"/>
            <w:vAlign w:val="bottom"/>
            <w:tcBorders>
              <w:right w:val="single" w:sz="8" w:color="EEEEEE"/>
            </w:tcBorders>
            <w:shd w:val="clear" w:color="auto" w:fill="EEEEEE"/>
          </w:tcPr>
          <w:p>
            <w:pPr>
              <w:spacing w:after="0"/>
              <w:rPr>
                <w:sz w:val="19"/>
                <w:szCs w:val="19"/>
                <w:color w:val="auto"/>
              </w:rPr>
            </w:pPr>
          </w:p>
        </w:tc>
        <w:tc>
          <w:tcPr>
            <w:tcW w:w="11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spacing w:after="0"/>
              <w:rPr>
                <w:sz w:val="19"/>
                <w:szCs w:val="19"/>
                <w:color w:val="auto"/>
              </w:rPr>
            </w:pPr>
          </w:p>
        </w:tc>
        <w:tc>
          <w:tcPr>
            <w:tcW w:w="90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1,921</w:t>
            </w: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6900" w:type="dxa"/>
            <w:vAlign w:val="bottom"/>
            <w:vMerge w:val="restart"/>
          </w:tcPr>
          <w:p>
            <w:pPr>
              <w:ind w:left="140"/>
              <w:spacing w:after="0"/>
              <w:rPr>
                <w:sz w:val="20"/>
                <w:szCs w:val="20"/>
                <w:color w:val="auto"/>
              </w:rPr>
            </w:pPr>
            <w:r>
              <w:rPr>
                <w:rFonts w:ascii="Arial" w:cs="Arial" w:eastAsia="Arial" w:hAnsi="Arial"/>
                <w:sz w:val="18"/>
                <w:szCs w:val="18"/>
                <w:color w:val="auto"/>
              </w:rPr>
              <w:t>Accretion on redeemable convertible preferred stock</w:t>
            </w:r>
          </w:p>
        </w:tc>
        <w:tc>
          <w:tcPr>
            <w:tcW w:w="2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520" w:type="dxa"/>
            <w:vAlign w:val="bottom"/>
            <w:vMerge w:val="restart"/>
          </w:tcPr>
          <w:p>
            <w:pPr>
              <w:spacing w:after="0"/>
              <w:rPr>
                <w:sz w:val="6"/>
                <w:szCs w:val="6"/>
                <w:color w:val="auto"/>
              </w:rPr>
            </w:pPr>
          </w:p>
        </w:tc>
        <w:tc>
          <w:tcPr>
            <w:tcW w:w="58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00" w:type="dxa"/>
            <w:vAlign w:val="bottom"/>
            <w:vMerge w:val="restart"/>
          </w:tcPr>
          <w:p>
            <w:pPr>
              <w:spacing w:after="0"/>
              <w:rPr>
                <w:sz w:val="6"/>
                <w:szCs w:val="6"/>
                <w:color w:val="auto"/>
              </w:rPr>
            </w:pPr>
          </w:p>
        </w:tc>
        <w:tc>
          <w:tcPr>
            <w:tcW w:w="6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8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6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52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40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w:t>
            </w:r>
          </w:p>
        </w:tc>
        <w:tc>
          <w:tcPr>
            <w:tcW w:w="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690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6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Issuance of put option by stockholder</w:t>
            </w: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680" w:type="dxa"/>
            <w:vAlign w:val="bottom"/>
            <w:tcBorders>
              <w:right w:val="single" w:sz="8" w:color="EEEEEE"/>
            </w:tcBorders>
            <w:shd w:val="clear" w:color="auto" w:fill="EEEEEE"/>
          </w:tcPr>
          <w:p>
            <w:pPr>
              <w:spacing w:after="0"/>
              <w:rPr>
                <w:sz w:val="19"/>
                <w:szCs w:val="19"/>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71"/>
        </w:trPr>
        <w:tc>
          <w:tcPr>
            <w:tcW w:w="6900" w:type="dxa"/>
            <w:vAlign w:val="bottom"/>
            <w:vMerge w:val="restart"/>
          </w:tcPr>
          <w:p>
            <w:pPr>
              <w:ind w:left="140"/>
              <w:spacing w:after="0"/>
              <w:rPr>
                <w:sz w:val="20"/>
                <w:szCs w:val="20"/>
                <w:color w:val="auto"/>
              </w:rPr>
            </w:pPr>
            <w:r>
              <w:rPr>
                <w:rFonts w:ascii="Arial" w:cs="Arial" w:eastAsia="Arial" w:hAnsi="Arial"/>
                <w:sz w:val="18"/>
                <w:szCs w:val="18"/>
                <w:color w:val="auto"/>
              </w:rPr>
              <w:t>Notes receivable by stockholder to officers</w:t>
            </w:r>
          </w:p>
        </w:tc>
        <w:tc>
          <w:tcPr>
            <w:tcW w:w="2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520" w:type="dxa"/>
            <w:vAlign w:val="bottom"/>
            <w:vMerge w:val="restart"/>
          </w:tcPr>
          <w:p>
            <w:pPr>
              <w:spacing w:after="0"/>
              <w:rPr>
                <w:sz w:val="6"/>
                <w:szCs w:val="6"/>
                <w:color w:val="auto"/>
              </w:rPr>
            </w:pPr>
          </w:p>
        </w:tc>
        <w:tc>
          <w:tcPr>
            <w:tcW w:w="58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8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6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52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690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6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Issuance of Series C convertible preferred stock subscriptions</w:t>
            </w: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68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6900" w:type="dxa"/>
            <w:vAlign w:val="bottom"/>
            <w:vMerge w:val="restart"/>
          </w:tcPr>
          <w:p>
            <w:pPr>
              <w:ind w:left="140"/>
              <w:spacing w:after="0"/>
              <w:rPr>
                <w:sz w:val="20"/>
                <w:szCs w:val="20"/>
                <w:color w:val="auto"/>
              </w:rPr>
            </w:pPr>
            <w:r>
              <w:rPr>
                <w:rFonts w:ascii="Arial" w:cs="Arial" w:eastAsia="Arial" w:hAnsi="Arial"/>
                <w:sz w:val="18"/>
                <w:szCs w:val="18"/>
                <w:color w:val="auto"/>
              </w:rPr>
              <w:t>Issuance of Series A redeemable convertible preferred stock</w:t>
            </w:r>
          </w:p>
        </w:tc>
        <w:tc>
          <w:tcPr>
            <w:tcW w:w="2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6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4,296</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690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6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Conversion of Series A redeemable convertible preferred stock</w:t>
            </w:r>
          </w:p>
        </w:tc>
        <w:tc>
          <w:tcPr>
            <w:tcW w:w="280" w:type="dxa"/>
            <w:vAlign w:val="bottom"/>
            <w:tcBorders>
              <w:right w:val="single" w:sz="8" w:color="EEEEEE"/>
            </w:tcBorders>
            <w:shd w:val="clear" w:color="auto" w:fill="EEEEEE"/>
          </w:tcPr>
          <w:p>
            <w:pPr>
              <w:spacing w:after="0"/>
              <w:rPr>
                <w:sz w:val="19"/>
                <w:szCs w:val="19"/>
                <w:color w:val="auto"/>
              </w:rPr>
            </w:pPr>
          </w:p>
        </w:tc>
        <w:tc>
          <w:tcPr>
            <w:tcW w:w="112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(5,188)</w:t>
            </w:r>
          </w:p>
        </w:tc>
        <w:tc>
          <w:tcPr>
            <w:tcW w:w="5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680" w:type="dxa"/>
            <w:vAlign w:val="bottom"/>
            <w:tcBorders>
              <w:right w:val="single" w:sz="8" w:color="EEEEEE"/>
            </w:tcBorders>
            <w:shd w:val="clear" w:color="auto" w:fill="EEEEEE"/>
          </w:tcPr>
          <w:p>
            <w:pPr>
              <w:spacing w:after="0"/>
              <w:rPr>
                <w:sz w:val="19"/>
                <w:szCs w:val="19"/>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(5,188)</w:t>
            </w:r>
          </w:p>
        </w:tc>
        <w:tc>
          <w:tcPr>
            <w:tcW w:w="0" w:type="dxa"/>
            <w:vAlign w:val="bottom"/>
          </w:tcPr>
          <w:p>
            <w:pPr>
              <w:spacing w:after="0"/>
              <w:rPr>
                <w:sz w:val="1"/>
                <w:szCs w:val="1"/>
                <w:color w:val="auto"/>
              </w:rPr>
            </w:pPr>
          </w:p>
        </w:tc>
      </w:tr>
      <w:tr>
        <w:trPr>
          <w:trHeight w:val="71"/>
        </w:trPr>
        <w:tc>
          <w:tcPr>
            <w:tcW w:w="6900" w:type="dxa"/>
            <w:vAlign w:val="bottom"/>
            <w:vMerge w:val="restart"/>
          </w:tcPr>
          <w:p>
            <w:pPr>
              <w:ind w:left="140"/>
              <w:spacing w:after="0"/>
              <w:rPr>
                <w:sz w:val="20"/>
                <w:szCs w:val="20"/>
                <w:color w:val="auto"/>
              </w:rPr>
            </w:pPr>
            <w:r>
              <w:rPr>
                <w:rFonts w:ascii="Arial" w:cs="Arial" w:eastAsia="Arial" w:hAnsi="Arial"/>
                <w:sz w:val="18"/>
                <w:szCs w:val="18"/>
                <w:color w:val="auto"/>
              </w:rPr>
              <w:t>Conversion of Series B convertible preferred stock</w:t>
            </w:r>
          </w:p>
        </w:tc>
        <w:tc>
          <w:tcPr>
            <w:tcW w:w="2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520" w:type="dxa"/>
            <w:vAlign w:val="bottom"/>
            <w:vMerge w:val="restart"/>
          </w:tcPr>
          <w:p>
            <w:pPr>
              <w:spacing w:after="0"/>
              <w:rPr>
                <w:sz w:val="6"/>
                <w:szCs w:val="6"/>
                <w:color w:val="auto"/>
              </w:rPr>
            </w:pPr>
          </w:p>
        </w:tc>
        <w:tc>
          <w:tcPr>
            <w:tcW w:w="58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8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6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(15,000)</w:t>
            </w:r>
          </w:p>
        </w:tc>
        <w:tc>
          <w:tcPr>
            <w:tcW w:w="52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(15,000)</w:t>
            </w:r>
          </w:p>
        </w:tc>
        <w:tc>
          <w:tcPr>
            <w:tcW w:w="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690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6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Conversion of Series C convertible preferred stock</w:t>
            </w:r>
          </w:p>
        </w:tc>
        <w:tc>
          <w:tcPr>
            <w:tcW w:w="280" w:type="dxa"/>
            <w:vAlign w:val="bottom"/>
            <w:tcBorders>
              <w:right w:val="single" w:sz="8" w:color="EEEEEE"/>
            </w:tcBorders>
            <w:shd w:val="clear" w:color="auto" w:fill="EEEEEE"/>
          </w:tcPr>
          <w:p>
            <w:pPr>
              <w:spacing w:after="0"/>
              <w:rPr>
                <w:sz w:val="19"/>
                <w:szCs w:val="19"/>
                <w:color w:val="auto"/>
              </w:rPr>
            </w:pPr>
          </w:p>
        </w:tc>
        <w:tc>
          <w:tcPr>
            <w:tcW w:w="112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w w:val="92"/>
              </w:rPr>
              <w:t>(50,000)</w:t>
            </w:r>
          </w:p>
        </w:tc>
        <w:tc>
          <w:tcPr>
            <w:tcW w:w="5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680" w:type="dxa"/>
            <w:vAlign w:val="bottom"/>
            <w:tcBorders>
              <w:right w:val="single" w:sz="8" w:color="EEEEEE"/>
            </w:tcBorders>
            <w:shd w:val="clear" w:color="auto" w:fill="EEEEEE"/>
          </w:tcPr>
          <w:p>
            <w:pPr>
              <w:spacing w:after="0"/>
              <w:rPr>
                <w:sz w:val="19"/>
                <w:szCs w:val="19"/>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2"/>
              </w:rPr>
              <w:t>(50,000)</w:t>
            </w:r>
          </w:p>
        </w:tc>
        <w:tc>
          <w:tcPr>
            <w:tcW w:w="0" w:type="dxa"/>
            <w:vAlign w:val="bottom"/>
          </w:tcPr>
          <w:p>
            <w:pPr>
              <w:spacing w:after="0"/>
              <w:rPr>
                <w:sz w:val="1"/>
                <w:szCs w:val="1"/>
                <w:color w:val="auto"/>
              </w:rPr>
            </w:pPr>
          </w:p>
        </w:tc>
      </w:tr>
      <w:tr>
        <w:trPr>
          <w:trHeight w:val="66"/>
        </w:trPr>
        <w:tc>
          <w:tcPr>
            <w:tcW w:w="690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Development Stage Company)</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202" w:lineRule="exact"/>
        <w:rPr>
          <w:sz w:val="20"/>
          <w:szCs w:val="20"/>
          <w:color w:val="auto"/>
        </w:rPr>
      </w:pPr>
    </w:p>
    <w:p>
      <w:pPr>
        <w:ind w:right="100" w:firstLine="222"/>
        <w:spacing w:after="0" w:line="291" w:lineRule="auto"/>
        <w:rPr>
          <w:sz w:val="20"/>
          <w:szCs w:val="20"/>
          <w:color w:val="auto"/>
        </w:rPr>
      </w:pPr>
      <w:r>
        <w:rPr>
          <w:rFonts w:ascii="Arial" w:cs="Arial" w:eastAsia="Arial" w:hAnsi="Arial"/>
          <w:sz w:val="16"/>
          <w:szCs w:val="16"/>
          <w:color w:val="auto"/>
        </w:rPr>
        <w:t>The accompanying unaudited consolidated financial statements of MannKind Corporation (the “Company”), have been prepared in accordance with generally accepted accounting principles in the United States of America for interim financial information and with the instructions to Form 10-Q and Article 10 of Regulation S-X of the Securities and Exchange Commission (the “SEC”). Accordingly, they do not include all of the information and footnotes required by generally accepted accounting principles in the United States of America for complete financial statements. These statements should be read in conjunction with the consolidated financial statements and notes thereto included in the Company’s latest audited annual financial statements. These audited statements for the year ended December 31, 2003 are included in the Prospectus (the “Prospectus”) filed by the Company pursuant to Rule 424(b) under the Securities Act of 1933, as amended (the “Securities Act”), with the SEC on July 28, 2004 in connection with the Company’s initial public offering.</w:t>
      </w:r>
    </w:p>
    <w:p>
      <w:pPr>
        <w:spacing w:after="0" w:line="127" w:lineRule="exact"/>
        <w:rPr>
          <w:sz w:val="20"/>
          <w:szCs w:val="20"/>
          <w:color w:val="auto"/>
        </w:rPr>
      </w:pPr>
    </w:p>
    <w:p>
      <w:pPr>
        <w:jc w:val="both"/>
        <w:ind w:right="520" w:firstLine="225"/>
        <w:spacing w:after="0" w:line="264" w:lineRule="auto"/>
        <w:rPr>
          <w:sz w:val="20"/>
          <w:szCs w:val="20"/>
          <w:color w:val="auto"/>
        </w:rPr>
      </w:pPr>
      <w:r>
        <w:rPr>
          <w:rFonts w:ascii="Arial" w:cs="Arial" w:eastAsia="Arial" w:hAnsi="Arial"/>
          <w:sz w:val="18"/>
          <w:szCs w:val="18"/>
          <w:color w:val="auto"/>
        </w:rPr>
        <w:t>On July 22, 2004, the Company effected a one-for-three reverse stock split of its common stock. All share and per share amounts included in these unaudited consolidated financial statements have been retroactively adjusted for all periods presented to give effect to the reverse stock split, including reclassifying an amount equal to the reduction in par value to additional paid-in capital.</w:t>
      </w:r>
    </w:p>
    <w:p>
      <w:pPr>
        <w:spacing w:after="0" w:line="141"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nine months ended September 30, 2004 may not be indicative of the results that may be expected for the full year.</w:t>
      </w:r>
    </w:p>
    <w:p>
      <w:pPr>
        <w:spacing w:after="0" w:line="154" w:lineRule="exact"/>
        <w:rPr>
          <w:sz w:val="20"/>
          <w:szCs w:val="20"/>
          <w:color w:val="auto"/>
        </w:rPr>
      </w:pPr>
    </w:p>
    <w:p>
      <w:pPr>
        <w:ind w:right="20" w:firstLine="222"/>
        <w:spacing w:after="0" w:line="30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financial statements involve accrued expenses and the valuation of stock-based compensation.</w:t>
      </w:r>
    </w:p>
    <w:p>
      <w:pPr>
        <w:spacing w:after="0" w:line="114"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Company is considered to be in the development stage as its primary activities since incorporation have been establishing its facilities, recruiting personnel, conducting research and development, business development, business and financial planning, and raising capital. Since its inception through September 30, 2004 the Company has reported accumulated net losses of $421.8 million which include a goodwill impairment charge of $151.4 million, and negative cash flow from operations of $195.3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Initial public offering</w:t>
      </w:r>
    </w:p>
    <w:p>
      <w:pPr>
        <w:spacing w:after="0" w:line="202" w:lineRule="exact"/>
        <w:rPr>
          <w:sz w:val="20"/>
          <w:szCs w:val="20"/>
          <w:color w:val="auto"/>
        </w:rPr>
      </w:pPr>
    </w:p>
    <w:p>
      <w:pPr>
        <w:ind w:right="80" w:firstLine="225"/>
        <w:spacing w:after="0" w:line="274" w:lineRule="auto"/>
        <w:rPr>
          <w:sz w:val="20"/>
          <w:szCs w:val="20"/>
          <w:color w:val="auto"/>
        </w:rPr>
      </w:pPr>
      <w:r>
        <w:rPr>
          <w:rFonts w:ascii="Arial" w:cs="Arial" w:eastAsia="Arial" w:hAnsi="Arial"/>
          <w:sz w:val="17"/>
          <w:szCs w:val="17"/>
          <w:color w:val="auto"/>
        </w:rPr>
        <w:t>On August 2, 2004, the Company completed an initial public offering of its common stock at a price to the public of $14.00 per share. The Company sold 6,250,000 shares of common stock in the offering resulting in gross proceeds of $87.5 million. In connection with the offering, the Company paid</w:t>
      </w:r>
    </w:p>
    <w:p>
      <w:pPr>
        <w:spacing w:after="0" w:line="288" w:lineRule="auto"/>
        <w:rPr>
          <w:sz w:val="20"/>
          <w:szCs w:val="20"/>
          <w:color w:val="auto"/>
        </w:rPr>
      </w:pPr>
      <w:r>
        <w:rPr>
          <w:rFonts w:ascii="Arial" w:cs="Arial" w:eastAsia="Arial" w:hAnsi="Arial"/>
          <w:sz w:val="16"/>
          <w:szCs w:val="16"/>
          <w:color w:val="auto"/>
        </w:rPr>
        <w:t>$6.1 million in underwriting discounts and commissions to underwriters and incurred $2.2 million in other offering expenses. After deducting the underwriting discounts and commissions and other offering expenses, the Company received net proceeds from the offering of approximately $79.2 million. The Company had granted the underwriters a 30-day option to purchase up to an additional 937,500 shares of common stock from the Company to cover over-allotments, if any. This option was exercised for 307,100 shares on August 28, 2004 and closing occurred on September 1, 2004 with net proceeds to the Company of $4.0 million. Additionally, in connection with the initial public offering, all of the outstanding shares of the Company’s preferred stock were converted into shares of its common stock. Accordingly, the automatic conversion of preferred stock on August 2, 2004 into common stock is reflected in the accompanying unaudited consolidated financial statements. A summary of the terms of the offering can be found in the Prospectus.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for stock-based compensation</w:t>
      </w:r>
    </w:p>
    <w:p>
      <w:pPr>
        <w:spacing w:after="0" w:line="189"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The Company’s employee stock option plans are accounted for using the intrinsic-value method of Accounting Principles Board (“APB”) Opinion No. 25, “Accounting for Stock Issued to Employees,” and related interpretations. Accordingly, no compensation expense is recorded for options issued to employees with fixed amounts and fixed exercise prices which for accounting purposes are at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least equal to the fair value of the Company’s common stock at the date of grant. Conversely, when the exercise price for accounting purposes is below fair value of the Company’s common stock on the date of grant, a non-cash charge to compensation expense is recorded ratably over the term of the option vesting period in an amount equal to the difference between the value calculated using the exercise price and the fair value. The Company uses the fair-value method to account for non-employee stock-based compensation.</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options granted during the nine months ended September 30, 2004 are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gridSpan w:val="2"/>
            <w:vMerge w:val="restart"/>
          </w:tcPr>
          <w:p>
            <w:pPr>
              <w:jc w:val="center"/>
              <w:ind w:right="754"/>
              <w:spacing w:after="0"/>
              <w:rPr>
                <w:sz w:val="20"/>
                <w:szCs w:val="20"/>
                <w:color w:val="auto"/>
              </w:rPr>
            </w:pPr>
            <w:r>
              <w:rPr>
                <w:rFonts w:ascii="Arial" w:cs="Arial" w:eastAsia="Arial" w:hAnsi="Arial"/>
                <w:sz w:val="14"/>
                <w:szCs w:val="14"/>
                <w:b w:val="1"/>
                <w:bCs w:val="1"/>
                <w:color w:val="auto"/>
                <w:w w:val="86"/>
              </w:rPr>
              <w:t>Exercise</w:t>
            </w:r>
          </w:p>
        </w:tc>
        <w:tc>
          <w:tcPr>
            <w:tcW w:w="46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tcPr>
          <w:p>
            <w:pPr>
              <w:jc w:val="center"/>
              <w:ind w:right="1174"/>
              <w:spacing w:after="0" w:line="149" w:lineRule="exact"/>
              <w:rPr>
                <w:sz w:val="20"/>
                <w:szCs w:val="20"/>
                <w:color w:val="auto"/>
              </w:rPr>
            </w:pPr>
            <w:r>
              <w:rPr>
                <w:rFonts w:ascii="Arial" w:cs="Arial" w:eastAsia="Arial" w:hAnsi="Arial"/>
                <w:sz w:val="14"/>
                <w:szCs w:val="14"/>
                <w:b w:val="1"/>
                <w:bCs w:val="1"/>
                <w:color w:val="auto"/>
                <w:w w:val="87"/>
              </w:rPr>
              <w:t>Price</w:t>
            </w:r>
          </w:p>
        </w:tc>
        <w:tc>
          <w:tcPr>
            <w:tcW w:w="46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80" w:type="dxa"/>
            <w:vAlign w:val="bottom"/>
            <w:gridSpan w:val="2"/>
          </w:tcPr>
          <w:p>
            <w:pPr>
              <w:jc w:val="center"/>
              <w:ind w:right="754"/>
              <w:spacing w:after="0"/>
              <w:rPr>
                <w:sz w:val="20"/>
                <w:szCs w:val="20"/>
                <w:color w:val="auto"/>
              </w:rPr>
            </w:pPr>
            <w:r>
              <w:rPr>
                <w:rFonts w:ascii="Arial" w:cs="Arial" w:eastAsia="Arial" w:hAnsi="Arial"/>
                <w:sz w:val="14"/>
                <w:szCs w:val="14"/>
                <w:b w:val="1"/>
                <w:bCs w:val="1"/>
                <w:color w:val="auto"/>
                <w:w w:val="94"/>
              </w:rPr>
              <w:t>Per Share</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center"/>
              <w:ind w:right="234"/>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760" w:type="dxa"/>
            <w:vAlign w:val="bottom"/>
          </w:tcPr>
          <w:p>
            <w:pPr>
              <w:spacing w:after="0"/>
              <w:rPr>
                <w:sz w:val="4"/>
                <w:szCs w:val="4"/>
                <w:color w:val="auto"/>
              </w:rPr>
            </w:pPr>
          </w:p>
        </w:tc>
        <w:tc>
          <w:tcPr>
            <w:tcW w:w="184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56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For the three months ended:</w:t>
            </w:r>
          </w:p>
        </w:tc>
        <w:tc>
          <w:tcPr>
            <w:tcW w:w="18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March 31, 2004</w:t>
            </w:r>
          </w:p>
        </w:tc>
        <w:tc>
          <w:tcPr>
            <w:tcW w:w="1840" w:type="dxa"/>
            <w:vAlign w:val="bottom"/>
          </w:tcPr>
          <w:p>
            <w:pPr>
              <w:jc w:val="right"/>
              <w:ind w:right="479"/>
              <w:spacing w:after="0"/>
              <w:rPr>
                <w:sz w:val="20"/>
                <w:szCs w:val="20"/>
                <w:color w:val="auto"/>
              </w:rPr>
            </w:pPr>
            <w:r>
              <w:rPr>
                <w:rFonts w:ascii="Arial" w:cs="Arial" w:eastAsia="Arial" w:hAnsi="Arial"/>
                <w:sz w:val="18"/>
                <w:szCs w:val="18"/>
                <w:color w:val="auto"/>
              </w:rPr>
              <w:t>74,333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7.95</w:t>
            </w:r>
          </w:p>
        </w:tc>
        <w:tc>
          <w:tcPr>
            <w:tcW w:w="1560" w:type="dxa"/>
            <w:vAlign w:val="bottom"/>
          </w:tcPr>
          <w:p>
            <w:pPr>
              <w:jc w:val="right"/>
              <w:ind w:right="834"/>
              <w:spacing w:after="0"/>
              <w:rPr>
                <w:sz w:val="20"/>
                <w:szCs w:val="20"/>
                <w:color w:val="auto"/>
              </w:rPr>
            </w:pPr>
            <w:r>
              <w:rPr>
                <w:rFonts w:ascii="Arial" w:cs="Arial" w:eastAsia="Arial" w:hAnsi="Arial"/>
                <w:sz w:val="18"/>
                <w:szCs w:val="18"/>
                <w:color w:val="auto"/>
              </w:rPr>
              <w:t>- $ 9.18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June 30, 2004</w:t>
            </w:r>
          </w:p>
        </w:tc>
        <w:tc>
          <w:tcPr>
            <w:tcW w:w="1840" w:type="dxa"/>
            <w:vAlign w:val="bottom"/>
            <w:shd w:val="clear" w:color="auto" w:fill="EEEEEE"/>
          </w:tcPr>
          <w:p>
            <w:pPr>
              <w:jc w:val="right"/>
              <w:ind w:right="479"/>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EEEEEE"/>
          </w:tcPr>
          <w:p>
            <w:pPr>
              <w:jc w:val="right"/>
              <w:ind w:right="834"/>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September 30, 2004</w:t>
            </w:r>
          </w:p>
        </w:tc>
        <w:tc>
          <w:tcPr>
            <w:tcW w:w="1840" w:type="dxa"/>
            <w:vAlign w:val="bottom"/>
          </w:tcPr>
          <w:p>
            <w:pPr>
              <w:jc w:val="right"/>
              <w:ind w:right="479"/>
              <w:spacing w:after="0"/>
              <w:rPr>
                <w:sz w:val="20"/>
                <w:szCs w:val="20"/>
                <w:color w:val="auto"/>
              </w:rPr>
            </w:pPr>
            <w:r>
              <w:rPr>
                <w:rFonts w:ascii="Arial" w:cs="Arial" w:eastAsia="Arial" w:hAnsi="Arial"/>
                <w:sz w:val="18"/>
                <w:szCs w:val="18"/>
                <w:color w:val="auto"/>
              </w:rPr>
              <w:t>1,786,591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13.05</w:t>
            </w:r>
          </w:p>
        </w:tc>
        <w:tc>
          <w:tcPr>
            <w:tcW w:w="1560" w:type="dxa"/>
            <w:vAlign w:val="bottom"/>
          </w:tcPr>
          <w:p>
            <w:pPr>
              <w:jc w:val="right"/>
              <w:ind w:right="834"/>
              <w:spacing w:after="0"/>
              <w:rPr>
                <w:sz w:val="20"/>
                <w:szCs w:val="20"/>
                <w:color w:val="auto"/>
              </w:rPr>
            </w:pPr>
            <w:r>
              <w:rPr>
                <w:rFonts w:ascii="Arial" w:cs="Arial" w:eastAsia="Arial" w:hAnsi="Arial"/>
                <w:sz w:val="18"/>
                <w:szCs w:val="18"/>
                <w:color w:val="auto"/>
                <w:w w:val="93"/>
              </w:rPr>
              <w:t>- $14.15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w w:val="84"/>
              </w:rPr>
              <w:t>13.77</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no stock options granted during the three months ended June 30, 2004.</w:t>
      </w:r>
    </w:p>
    <w:p>
      <w:pPr>
        <w:spacing w:after="0" w:line="198"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Pursuant to the 2004 Non-Employee Directors’ Stock Option Plan which became effective upon the closing of the initial public offering on August 2, 2004, stock option grants to purchase 180,000 shares of common stock were awarded to non-employee directors at an exercise price of $14.15 per share. These options vest in three equal annual installments.</w:t>
      </w:r>
    </w:p>
    <w:p>
      <w:pPr>
        <w:spacing w:after="0" w:line="141"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On August 2, 2004, the Company’s Board of Directors approved stock option grants to certain employees in recognition of their performance and tenure. These stock option grants were to purchase 915,091 shares of common stock at an exercise price of $14.00 and vest annually over four years. Additionally, on August 2, 2004, the Company’s Board of Directors approved new hire stock option grants to purchase 224,000 shares of common stock at an exercise price of $14.00 which vest annually over four years. On August 19, 2004, the Company’s Board of Directors approved stock option grants to executive management to purchase 467,500 shares of common stock at an exercise price of $13.05 per share. These options vest annually over four years.</w:t>
      </w:r>
    </w:p>
    <w:p>
      <w:pPr>
        <w:spacing w:after="0" w:line="118"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If the Company had determined compensation cost for grants issued during the current and prior periods based on the fair-value approach in accordance with Statement of Financial Accounting Standards (“SFAS”) No. 123, “Accounting for Stock-based Compensation,” pro forma net loss and net loss per share would have been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89"/>
              </w:rPr>
              <w:t>September 30,</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53"/>
        </w:trPr>
        <w:tc>
          <w:tcPr>
            <w:tcW w:w="612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40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10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applicable to common stockholders - as reported</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color w:val="auto"/>
                <w:w w:val="89"/>
              </w:rPr>
              <w:t>(39,398)</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9"/>
              </w:rPr>
              <w:t>(14,100)</w:t>
            </w:r>
          </w:p>
        </w:tc>
        <w:tc>
          <w:tcPr>
            <w:tcW w:w="4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color w:val="auto"/>
                <w:w w:val="89"/>
              </w:rPr>
              <w:t>(74,724)</w:t>
            </w:r>
          </w:p>
        </w:tc>
        <w:tc>
          <w:tcPr>
            <w:tcW w:w="4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9"/>
              </w:rPr>
              <w:t>(48,519)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Add: Stock-based compensation expense included in reported net loss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7,004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9,381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8"/>
              </w:rPr>
              <w:t>Deduct: Stock-based compensation expense determined under fair value method</w:t>
            </w:r>
          </w:p>
        </w:tc>
        <w:tc>
          <w:tcPr>
            <w:tcW w:w="2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color w:val="auto"/>
              </w:rPr>
              <w:t>(2,677)</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(1,650)</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color w:val="auto"/>
              </w:rPr>
              <w:t>(6,783)</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0"/>
        </w:trPr>
        <w:tc>
          <w:tcPr>
            <w:tcW w:w="6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808080"/>
            </w:tcBorders>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right w:val="single" w:sz="8" w:color="808080"/>
            </w:tcBorders>
            <w:gridSpan w:val="2"/>
          </w:tcPr>
          <w:p>
            <w:pPr>
              <w:spacing w:after="0" w:line="20" w:lineRule="exact"/>
              <w:rPr>
                <w:sz w:val="1"/>
                <w:szCs w:val="1"/>
                <w:color w:val="auto"/>
              </w:rPr>
            </w:pPr>
          </w:p>
        </w:tc>
        <w:tc>
          <w:tcPr>
            <w:tcW w:w="560" w:type="dxa"/>
            <w:vAlign w:val="bottom"/>
            <w:tcBorders>
              <w:right w:val="single" w:sz="8" w:color="808080"/>
            </w:tcBorders>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808080"/>
            </w:tcBorders>
            <w:gridSpan w:val="2"/>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400" w:type="dxa"/>
            <w:vAlign w:val="bottom"/>
            <w:gridSpan w:val="3"/>
          </w:tcPr>
          <w:p>
            <w:pPr>
              <w:spacing w:after="0"/>
              <w:rPr>
                <w:sz w:val="20"/>
                <w:szCs w:val="20"/>
                <w:color w:val="auto"/>
              </w:rPr>
            </w:pPr>
            <w:r>
              <w:rPr>
                <w:rFonts w:ascii="Arial" w:cs="Arial" w:eastAsia="Arial" w:hAnsi="Arial"/>
                <w:sz w:val="18"/>
                <w:szCs w:val="18"/>
                <w:color w:val="auto"/>
              </w:rPr>
              <w:t>Net loss applicable to common stockholders - pro forma</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8"/>
              <w:spacing w:after="0"/>
              <w:rPr>
                <w:sz w:val="20"/>
                <w:szCs w:val="20"/>
                <w:color w:val="auto"/>
              </w:rPr>
            </w:pPr>
            <w:r>
              <w:rPr>
                <w:rFonts w:ascii="Arial" w:cs="Arial" w:eastAsia="Arial" w:hAnsi="Arial"/>
                <w:sz w:val="18"/>
                <w:szCs w:val="18"/>
                <w:color w:val="auto"/>
                <w:w w:val="89"/>
              </w:rPr>
              <w:t>(35,071)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(15,585)</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8"/>
              <w:spacing w:after="0"/>
              <w:rPr>
                <w:sz w:val="20"/>
                <w:szCs w:val="20"/>
                <w:color w:val="auto"/>
              </w:rPr>
            </w:pPr>
            <w:r>
              <w:rPr>
                <w:rFonts w:ascii="Arial" w:cs="Arial" w:eastAsia="Arial" w:hAnsi="Arial"/>
                <w:sz w:val="18"/>
                <w:szCs w:val="18"/>
                <w:color w:val="auto"/>
                <w:w w:val="89"/>
              </w:rPr>
              <w:t>(72,126)</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(51,114)</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Borders>
              <w:left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per common share (basic and diluted):</w:t>
            </w:r>
          </w:p>
        </w:tc>
        <w:tc>
          <w:tcPr>
            <w:tcW w:w="20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120"/>
              <w:spacing w:after="0"/>
              <w:rPr>
                <w:sz w:val="20"/>
                <w:szCs w:val="20"/>
                <w:color w:val="auto"/>
              </w:rPr>
            </w:pPr>
            <w:r>
              <w:rPr>
                <w:rFonts w:ascii="Arial" w:cs="Arial" w:eastAsia="Arial" w:hAnsi="Arial"/>
                <w:sz w:val="18"/>
                <w:szCs w:val="18"/>
                <w:color w:val="auto"/>
              </w:rPr>
              <w:t>As reported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8"/>
              <w:spacing w:after="0"/>
              <w:rPr>
                <w:sz w:val="20"/>
                <w:szCs w:val="20"/>
                <w:color w:val="auto"/>
              </w:rPr>
            </w:pPr>
            <w:r>
              <w:rPr>
                <w:rFonts w:ascii="Arial" w:cs="Arial" w:eastAsia="Arial" w:hAnsi="Arial"/>
                <w:sz w:val="18"/>
                <w:szCs w:val="18"/>
                <w:color w:val="auto"/>
              </w:rPr>
              <w:t>(1.40)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8"/>
              <w:spacing w:after="0"/>
              <w:rPr>
                <w:sz w:val="20"/>
                <w:szCs w:val="20"/>
                <w:color w:val="auto"/>
              </w:rPr>
            </w:pPr>
            <w:r>
              <w:rPr>
                <w:rFonts w:ascii="Arial" w:cs="Arial" w:eastAsia="Arial" w:hAnsi="Arial"/>
                <w:sz w:val="18"/>
                <w:szCs w:val="18"/>
                <w:color w:val="auto"/>
              </w:rPr>
              <w:t>(3.29)</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Pro forma</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color w:val="auto"/>
              </w:rPr>
              <w:t>(1.25)</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(.79)</w:t>
            </w:r>
          </w:p>
        </w:tc>
        <w:tc>
          <w:tcPr>
            <w:tcW w:w="4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color w:val="auto"/>
              </w:rPr>
              <w:t>(3.18)</w:t>
            </w:r>
          </w:p>
        </w:tc>
        <w:tc>
          <w:tcPr>
            <w:tcW w:w="4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common share</w:t>
      </w:r>
    </w:p>
    <w:p>
      <w:pPr>
        <w:spacing w:after="0" w:line="189"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Basic and diluted net loss per common share is calculated by dividing the net loss applicable to common stockholders by the weighted-average number of common shares outstanding during the period. Diluted net loss per common share is the same as basic net loss per common share, because the effects of potentially dilutive securities are antidilutive for all periods presented. Antidilutive securities, which consist of redeemable convertible preferred stock, convertible preferred stock, stock options and warrants that are not included in the diluted net loss per share calculation, consisted of an aggregate of 4,038,091 shares and 3,826,959 shares as of September 30, 2004 and 2003, respectively.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State research and development credit exchange receivable</w:t>
      </w:r>
    </w:p>
    <w:p>
      <w:pPr>
        <w:spacing w:after="0" w:line="202"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The State of Connecticut provides certain companies with the opportunity to exchange certain research and development tax credit carryforwards for cash in exchange for foregoing the carryforward of the research and development credits. The program provides for an exchange of research and development tax credits for cash equal to 65% of the value of corporation tax credit available for exchange. The Company has recorded an offset to R&amp;D expenses of $5.5 million through the nine months ended September 30, 2004 related to this research and development credit exchange program. Of this amount, approximately $1.5 million consisted of cash received during the third quarter of 2004.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Property and equipment at cost consist of the following:</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gridSpan w:val="3"/>
          </w:tcPr>
          <w:p>
            <w:pPr>
              <w:ind w:left="36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7"/>
                <w:szCs w:val="17"/>
                <w:color w:val="auto"/>
              </w:rPr>
            </w:pPr>
          </w:p>
        </w:tc>
        <w:tc>
          <w:tcPr>
            <w:tcW w:w="1560" w:type="dxa"/>
            <w:vAlign w:val="bottom"/>
            <w:gridSpan w:val="3"/>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7760" w:type="dxa"/>
            <w:vAlign w:val="bottom"/>
            <w:gridSpan w:val="3"/>
            <w:vMerge w:val="continue"/>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2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Land</w:t>
            </w:r>
          </w:p>
        </w:tc>
        <w:tc>
          <w:tcPr>
            <w:tcW w:w="440" w:type="dxa"/>
            <w:vAlign w:val="bottom"/>
            <w:shd w:val="clear" w:color="auto" w:fill="EEEEEE"/>
          </w:tcPr>
          <w:p>
            <w:pPr>
              <w:ind w:left="3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5,273</w:t>
            </w:r>
          </w:p>
        </w:tc>
        <w:tc>
          <w:tcPr>
            <w:tcW w:w="5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ind w:left="8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5,273</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9,566</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9,566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Building improvements</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36,688</w:t>
            </w: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36,296</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17,646</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16,530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Computer equipment and software</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3,126</w:t>
            </w: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3,048</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Furniture, fixtures and office equipment</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2,353</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2,234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Leasehold improvements</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627</w:t>
            </w: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627</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2,945</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Deposits on equipment</w:t>
            </w:r>
          </w:p>
        </w:tc>
        <w:tc>
          <w:tcPr>
            <w:tcW w:w="440" w:type="dxa"/>
            <w:vAlign w:val="bottom"/>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5,911</w:t>
            </w: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5,656</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84,135</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80,019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Less accumulated depreciation and amortization</w:t>
            </w:r>
          </w:p>
        </w:tc>
        <w:tc>
          <w:tcPr>
            <w:tcW w:w="4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92"/>
              </w:rPr>
              <w:t>(17,912)</w:t>
            </w:r>
          </w:p>
        </w:tc>
        <w:tc>
          <w:tcPr>
            <w:tcW w:w="5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9"/>
              </w:rPr>
              <w:t>(12,696)</w:t>
            </w:r>
          </w:p>
        </w:tc>
        <w:tc>
          <w:tcPr>
            <w:tcW w:w="0" w:type="dxa"/>
            <w:vAlign w:val="bottom"/>
          </w:tcPr>
          <w:p>
            <w:pPr>
              <w:spacing w:after="0"/>
              <w:rPr>
                <w:sz w:val="1"/>
                <w:szCs w:val="1"/>
                <w:color w:val="auto"/>
              </w:rPr>
            </w:pPr>
          </w:p>
        </w:tc>
      </w:tr>
      <w:tr>
        <w:trPr>
          <w:trHeight w:val="233"/>
        </w:trPr>
        <w:tc>
          <w:tcPr>
            <w:tcW w:w="776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66,223</w:t>
            </w:r>
          </w:p>
        </w:tc>
        <w:tc>
          <w:tcPr>
            <w:tcW w:w="560" w:type="dxa"/>
            <w:vAlign w:val="bottom"/>
          </w:tcPr>
          <w:p>
            <w:pPr>
              <w:spacing w:after="0"/>
              <w:rPr>
                <w:sz w:val="20"/>
                <w:szCs w:val="20"/>
                <w:color w:val="auto"/>
              </w:rPr>
            </w:pPr>
          </w:p>
        </w:tc>
        <w:tc>
          <w:tcPr>
            <w:tcW w:w="960" w:type="dxa"/>
            <w:vAlign w:val="bottom"/>
            <w:gridSpan w:val="2"/>
          </w:tcPr>
          <w:p>
            <w:pPr>
              <w:ind w:left="86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8"/>
              </w:rPr>
              <w:t>67,323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89" w:lineRule="exact"/>
        <w:rPr>
          <w:sz w:val="20"/>
          <w:szCs w:val="20"/>
          <w:color w:val="auto"/>
        </w:rPr>
      </w:pPr>
    </w:p>
    <w:p>
      <w:pPr>
        <w:ind w:right="300" w:firstLine="225"/>
        <w:spacing w:after="0" w:line="273" w:lineRule="auto"/>
        <w:rPr>
          <w:sz w:val="20"/>
          <w:szCs w:val="20"/>
          <w:color w:val="auto"/>
        </w:rPr>
      </w:pPr>
      <w:r>
        <w:rPr>
          <w:rFonts w:ascii="Arial" w:cs="Arial" w:eastAsia="Arial" w:hAnsi="Arial"/>
          <w:sz w:val="17"/>
          <w:szCs w:val="17"/>
          <w:color w:val="auto"/>
        </w:rPr>
        <w:t>On April 30, 2004, the Company filed a registration statement on Form S-1 with the SEC for an initial public offering of its common stock. Upon the closing of the Company’s initial public offering, which occurred on August 2, 2004, all 267,212 shares of the Company’s Series A redeemable convertible preferred stock, all 192,618 shares of the Company’s Series B convertible preferred stock and all 980,392 shares of the Company’s Series C convertible preferred stock outstanding as of August 2, 2004, were converted into an aggregate of 6,166,372 shares of common stock. These conversions were based upon the conversion ratios then applicable for each series of preferred stock. Stockholders’ equity at September 30, 2004 reflects the conversions which occurred upon the closing of the Company’s initial public offering.</w:t>
      </w:r>
    </w:p>
    <w:p>
      <w:pPr>
        <w:spacing w:after="0" w:line="151"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In March 2004, the Company’s board of directors approved the 2004 Equity Incentive Plan, the 2004 Employee Stock Purchase Plan and the 2004 Non-Employee Directors’ Stock Option Plan, each of which became effective upon the closing of the Company’s initial public offering. The aggregate number of shares of common stock which may be issued under the 2004 Equity Incentive Plan and the 2004 Non-Employee Directors’ Stock Option Plan is 5,000,000 shares and 800,000 shares, respectively. The aggregate number of shares which may be sold under the 2004 Employee Stock Purchase Plan is 2,000,000 shares of common stock.</w:t>
      </w:r>
    </w:p>
    <w:p>
      <w:pPr>
        <w:spacing w:after="0" w:line="148"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Upon the closing of the Company’s initial public offering, the Company’s authorized capital stock consisted of 90,000,000 shares of common stock, par value $0.01 per share, and 10,000,000 shares of undesignated preferred stock, par value $0.01 per share, issuable in one or more series designated by the Company’s board of directors. No other class of capital stock is authorized.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Recently issued accounting pronouncements</w:t>
      </w:r>
    </w:p>
    <w:p>
      <w:pPr>
        <w:spacing w:after="0" w:line="202"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In December 2002, the Financial Accounting Standard Board (“FASB”) issued SFAS No. 148, “Accounting for Stock-based Compensation — Transition and Disclosure, an Amendment of FASB Statement No. 123,” to provide alternative methods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transition for a voluntary change to the fair-value based method of accounting for stock-based compensation. The Company has adopted the disclosure requirements of this statement. In March 2004, the FASB issued a proposed SFAS - - “Share-based Payment: an Amendment of FASB Statements No. 123 and 95.” The proposed statement would require companies to expense share-based payments to employees, including stock options, based on the fair value of the award at the grant date. The proposed statement also would eliminate the intrinsic value method of accounting for stock options permitted by APB No. 25, “Accounting for Stock Issued to Employees,” which the Company currently follows. At the FASB meeting held on October 13, 2004, the FASB decided to defer, for public companies, the effective date of its proposed SFAS, “Share-based Payment: an Amendment of FASB Statements No. 123 and 95"</w:t>
      </w:r>
      <w:r>
        <w:rPr>
          <w:rFonts w:ascii="Arial" w:cs="Arial" w:eastAsia="Arial" w:hAnsi="Arial"/>
          <w:sz w:val="17"/>
          <w:szCs w:val="17"/>
          <w:i w:val="1"/>
          <w:iCs w:val="1"/>
          <w:color w:val="auto"/>
        </w:rPr>
        <w:t>,</w:t>
      </w:r>
      <w:r>
        <w:rPr>
          <w:rFonts w:ascii="Arial" w:cs="Arial" w:eastAsia="Arial" w:hAnsi="Arial"/>
          <w:sz w:val="17"/>
          <w:szCs w:val="17"/>
          <w:color w:val="auto"/>
        </w:rPr>
        <w:t xml:space="preserve"> from fiscal years beginning after December 15, 2004, to periods beginning after June 15, 2005. The earliest that the Company would be required to implement the proposed standard would be the quarter that begins July 1, 2005. The Company will continue to monitor the actions of the FASB and assess the impact, if any, on its consolidated financial statements.</w:t>
      </w:r>
    </w:p>
    <w:p>
      <w:pPr>
        <w:spacing w:after="0" w:line="155"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In March 2004, the FASB ratified the measurement and recognition guidance and certain disclosure requirements for impaired securities as described in Emerging Issues Task Force (“EITF”) Issue No. 03-1, “The Meaning of Other-Than-Temporary Impairment and Its Application to Certain Investments”. In September 2004, the FASB issued a proposed Staff Position (“FSP”) EITF Issue No. 03-1a, “Implementation Guidance for the Application of Paragraph 16 of EITF 03-1”. The proposed FSP will provide measurement and recognition guidance with respect to debt securities that are impaired solely due to interest rates and/or sector spreads. The FSP has delayed the effective date until such time that they issue the final standard. Management has not determined what impact the adoption of the measurement and recognition guidance in EITF Issue No. 03-1 will have on our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89" w:lineRule="exact"/>
        <w:rPr>
          <w:sz w:val="20"/>
          <w:szCs w:val="20"/>
          <w:color w:val="auto"/>
        </w:rPr>
      </w:pPr>
    </w:p>
    <w:p>
      <w:pPr>
        <w:ind w:right="160" w:firstLine="225"/>
        <w:spacing w:after="0" w:line="271" w:lineRule="auto"/>
        <w:rPr>
          <w:sz w:val="20"/>
          <w:szCs w:val="20"/>
          <w:color w:val="auto"/>
        </w:rPr>
      </w:pPr>
      <w:r>
        <w:rPr>
          <w:rFonts w:ascii="Arial" w:cs="Arial" w:eastAsia="Arial" w:hAnsi="Arial"/>
          <w:sz w:val="17"/>
          <w:szCs w:val="17"/>
          <w:color w:val="auto"/>
        </w:rPr>
        <w:t>In the ordinary course of its business, the Company makes certain indemnities, commitments and guarantees under 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152" w:lineRule="exact"/>
        <w:rPr>
          <w:sz w:val="20"/>
          <w:szCs w:val="20"/>
          <w:color w:val="auto"/>
        </w:rPr>
      </w:pPr>
    </w:p>
    <w:p>
      <w:pPr>
        <w:ind w:right="180" w:firstLine="215"/>
        <w:spacing w:after="0" w:line="264" w:lineRule="auto"/>
        <w:rPr>
          <w:sz w:val="20"/>
          <w:szCs w:val="20"/>
          <w:color w:val="auto"/>
        </w:rPr>
      </w:pPr>
      <w:r>
        <w:rPr>
          <w:rFonts w:ascii="Arial" w:cs="Arial" w:eastAsia="Arial" w:hAnsi="Arial"/>
          <w:sz w:val="18"/>
          <w:szCs w:val="18"/>
          <w:color w:val="auto"/>
        </w:rPr>
        <w:t>Additionally, the Company may be involved in various legal proceedings and other matters. In accordance with SFAS No. 5, Accounting for Contingencies, the Company would make a provision for a liability when it is both probable that a liability has been incurred and the amount of the loss can be reasonably estimated.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w:t>
      </w:r>
    </w:p>
    <w:p>
      <w:pPr>
        <w:spacing w:after="0" w:line="189" w:lineRule="exact"/>
        <w:rPr>
          <w:sz w:val="20"/>
          <w:szCs w:val="20"/>
          <w:color w:val="auto"/>
        </w:rPr>
      </w:pPr>
    </w:p>
    <w:p>
      <w:pPr>
        <w:jc w:val="both"/>
        <w:ind w:right="100" w:firstLine="225"/>
        <w:spacing w:after="0" w:line="285" w:lineRule="auto"/>
        <w:rPr>
          <w:sz w:val="20"/>
          <w:szCs w:val="20"/>
          <w:color w:val="auto"/>
        </w:rPr>
      </w:pPr>
      <w:r>
        <w:rPr>
          <w:rFonts w:ascii="Arial" w:cs="Arial" w:eastAsia="Arial" w:hAnsi="Arial"/>
          <w:sz w:val="16"/>
          <w:szCs w:val="16"/>
          <w:color w:val="auto"/>
        </w:rPr>
        <w:t>During the year ended December 31, 2000, the Company issued an aggregate 699,972 shares of common stock to three consultants in exchange for notes receivable aggregating approximately $10,891,000. The notes are collateralized by the underlying common stock, bear interest at fixed rates, and are payable in October 2005. The notes-for-stock transactions are being accounted for as in-substance stock option grants to non-employees. On November 10, 2004, the borrowers notified the Company that they believed that they had entered into an agreement in October 2001 with the Company’s principal stockholder under which the stockholder would purchase from the borrowers some of the common stock, with the proceeds to be paid to the Company to pay down the notes.</w:t>
      </w:r>
    </w:p>
    <w:p>
      <w:pPr>
        <w:spacing w:after="0" w:line="2"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The borrowers indicated they intend to be held harmless from any alleged damages arising from any failure of the agreement to be performed. The Company has concluded that the matter does not have any financial statement impact as of September 30, 2004. The Company believes that the ultimate resolution of this matter will not have a material impact on the Company’s financial position or results of operations.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under the caption “Risk Factors” and elsewhere in this quarterly report on Form 10-Q. The interim financial statements and this Management’s discussion and analysis of financial condition and results of operations should be read in conjunction with the financial statements and notes thereto for the year ended December 31, 2003 and the related Management’s discussion and analysis of financial condition and results of operations, both of which are contained in our Prospectus filed pursuant to Rule 424(b) under the Securities Act of 1933, as amended (the “Securities Act”), with the SEC on July 28, 2004.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60"/>
        <w:spacing w:after="0" w:line="228" w:lineRule="auto"/>
        <w:rPr>
          <w:sz w:val="20"/>
          <w:szCs w:val="20"/>
          <w:color w:val="auto"/>
        </w:rPr>
      </w:pPr>
      <w:r>
        <w:rPr>
          <w:rFonts w:ascii="Arial" w:cs="Arial" w:eastAsia="Arial" w:hAnsi="Arial"/>
          <w:sz w:val="16"/>
          <w:szCs w:val="16"/>
          <w:color w:val="auto"/>
        </w:rPr>
        <w:t>We are a biopharmaceutical company focused on the discovery, development and commercialization of therapeutic products for diseases including diabetes, cancer, inflammatory and autoimmune diseases. Our lead product, the Technosphere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Insulin System, currently is in late Phase 2 clinical trials for the treatment of diabetes. This therapy consists of a proprietary dry powder Technosphere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formulation of insulin that is inhaled into the deep lung using our</w:t>
      </w:r>
    </w:p>
    <w:p>
      <w:pPr>
        <w:spacing w:after="0" w:line="2" w:lineRule="exact"/>
        <w:rPr>
          <w:sz w:val="20"/>
          <w:szCs w:val="20"/>
          <w:color w:val="auto"/>
        </w:rPr>
      </w:pPr>
    </w:p>
    <w:p>
      <w:pPr>
        <w:ind w:right="200"/>
        <w:spacing w:after="0" w:line="204" w:lineRule="auto"/>
        <w:rPr>
          <w:sz w:val="20"/>
          <w:szCs w:val="20"/>
          <w:color w:val="auto"/>
        </w:rPr>
      </w:pPr>
      <w:r>
        <w:rPr>
          <w:rFonts w:ascii="Arial" w:cs="Arial" w:eastAsia="Arial" w:hAnsi="Arial"/>
          <w:sz w:val="18"/>
          <w:szCs w:val="18"/>
          <w:color w:val="auto"/>
        </w:rPr>
        <w:t>MedTone™ inhaler. We believe that our proprietary Technosphere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Insulin System’s performance characteristics, unique kinetics, convenience and ease of use may have the potential to change the current diabetes treatment paradigm.</w:t>
      </w:r>
    </w:p>
    <w:p>
      <w:pPr>
        <w:spacing w:after="0" w:line="17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were incorporated in February 1991 under the laws of the State of Delaware as Pharmaceutical Discovery Corporation (“PDC”). On December 12, 2001, AlleCure Corp. (“Allecure”) and CTL ImmunoTherapies Corp. (“CTL”) merged with wholly-owned subsidiaries of PDC. Pursuant to the merger, all of the outstanding shares of capital stock of AlleCure and CTL were exchanged for shares of capital stock of PDC, and AlleCure and CTL became wholly-owned subsidiaries of PDC. In connection with the merger, PDC changed its name to MannKind Corporation. On December 31, 2002, AlleCure and CTL merged with and into MannKind and ceased to be separate entities.</w:t>
      </w:r>
    </w:p>
    <w:p>
      <w:pPr>
        <w:spacing w:after="0" w:line="148"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From our inception in 1991 through September 30, 2004, we have incurred a cumulative net loss of $421.8 million which includes a goodwill impairment charge of $151.4 million. We do not anticipate receiving revenues from the sales of any product prior to regulatory approval and commercialization of our Technosphere Insulin System. We expect to make substantial expenditures and to incur additional operating losses for at least the next several years as we:</w:t>
      </w:r>
    </w:p>
    <w:p>
      <w:pPr>
        <w:spacing w:after="0" w:line="106"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the clinical development and commercialization of our Technosphere Insulin System for the treatment of diabetes;</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 our proprietary Technosphere formulation technology and develop additional applications for the delivery of other drugs;</w:t>
      </w:r>
    </w:p>
    <w:p>
      <w:pPr>
        <w:spacing w:after="0" w:line="184" w:lineRule="exact"/>
        <w:rPr>
          <w:rFonts w:ascii="Arial" w:cs="Arial" w:eastAsia="Arial" w:hAnsi="Arial"/>
          <w:sz w:val="18"/>
          <w:szCs w:val="18"/>
          <w:color w:val="auto"/>
        </w:rPr>
      </w:pPr>
    </w:p>
    <w:p>
      <w:pPr>
        <w:ind w:right="600" w:firstLine="8"/>
        <w:spacing w:after="0" w:line="277" w:lineRule="auto"/>
        <w:tabs>
          <w:tab w:leader="none" w:pos="108"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 our other research, discovery and development programs focused on the development of therapies for cancer, inflammation and autoimmune disorders;</w:t>
      </w:r>
    </w:p>
    <w:p>
      <w:pPr>
        <w:spacing w:after="0" w:line="129" w:lineRule="exact"/>
        <w:rPr>
          <w:rFonts w:ascii="Arial" w:cs="Arial" w:eastAsia="Arial" w:hAnsi="Arial"/>
          <w:sz w:val="18"/>
          <w:szCs w:val="18"/>
          <w:color w:val="auto"/>
        </w:rPr>
      </w:pPr>
    </w:p>
    <w:p>
      <w:pPr>
        <w:ind w:right="160" w:firstLine="8"/>
        <w:spacing w:after="0" w:line="277" w:lineRule="auto"/>
        <w:tabs>
          <w:tab w:leader="none" w:pos="108"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 our manufacturing operations and quality systems to meet our currently anticipated commercial production needs as we advance the Technosphere Insulin System through Phase 3 clinical trials and into commercialization; and</w:t>
      </w:r>
    </w:p>
    <w:p>
      <w:pPr>
        <w:spacing w:after="0" w:line="143"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6"/>
          <w:szCs w:val="16"/>
          <w:color w:val="auto"/>
        </w:rPr>
      </w:pPr>
      <w:r>
        <w:rPr>
          <w:rFonts w:ascii="Arial" w:cs="Arial" w:eastAsia="Arial" w:hAnsi="Arial"/>
          <w:sz w:val="16"/>
          <w:szCs w:val="16"/>
          <w:color w:val="auto"/>
        </w:rPr>
        <w:t>enter into sales and marketing collaborations with other companies, if available on commercially reasonable terms, or develop these capabilities ourselves.</w:t>
      </w:r>
    </w:p>
    <w:p>
      <w:pPr>
        <w:spacing w:after="0" w:line="20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have a limited history of operations with our current management team and we have not generated any revenues from sales of any product to date. We currently do not have the required approvals to market any of our product candidates, and we may not receive them. We may not be profitable even if we succeed in commercializing any of our product candidates.</w:t>
      </w:r>
    </w:p>
    <w:p>
      <w:pPr>
        <w:spacing w:after="0" w:line="14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Prior to our initial public offering, we funded our operations primarily through private placements of equity securities. In 2003, we raised $100.0 million through private placements of our equity securities, comprised of 3,493,194 shares of common stock sold at a weighted average price of $14.31 per share and 980,392 shares of Series C convertible preferred stock that were subscribed for in 2003 at a price of $51.00 per preferred share. Of the $50.0 million of Series C convertible preferred stock subscribed for in 2003, $31.8 million, representing the purchase price for 624,449 shares of Series C convertible preferred stock, was received in 2003. The remaining $18.2 million, representing the purchase price of the remaining 355,943 shares of Series C convertible preferred stock, was received in the first quarter of 2004. All of the shares of our Series C convertible preferred stock were issued in the first quarter of 2004.</w:t>
      </w:r>
    </w:p>
    <w:p>
      <w:pPr>
        <w:spacing w:after="0" w:line="13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2, 2004, we closed our initial public offering at a price to the public of $14.00 per share. We sold 6,250,000 shares of our common stock in the offering and the aggregate price of the offering registered on our behalf was $87.5 million. We granted the underwriters a 30-day option to purchase up to an additional 937,500 shares of common stock to cover over-allotments, if any. This option was exercised for 307,100 shares on August 28, 2004 and closing occurred on September 1, 2004 with net proceeds to us of approximately $4.0 million. In connection with the initial public offering, we paid $6.1 million in underwriting discounts and commissions to underwriters and incurred $2.2 million in other offering expenses. After deducting the underwriting discounts and commissions and other offering expenses, we received net proceeds from the initial public offering, including the over-allotment, of approximately $83.2 million. These proceeds and the conversion of our preferred stock to common stock in connection with our initial public offering are reflected in the accompanying consolidated financial statements as of September 30, 2004.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8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research and development expenses consist mainly of costs associated with the clinical trials of our product candidates, the salaries, benefits and stock-based compensation of research and development personnel, laboratory supplies and materials, facility costs, costs for consultants and related contract research, licensing fees, and depreciation of laboratory equipment. We track research and development costs by the type of cost incurred. We offset research and development expenses for the recognition of amounts receivable from the State of Connecticut pursuant to a program under which we can exchange qualified research and development tax credits for cash.</w:t>
      </w:r>
    </w:p>
    <w:p>
      <w:pPr>
        <w:spacing w:after="0" w:line="161"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and manufacturing and related activities. This staff is located at our facilities in Valencia, California, Elmsford, New York and Danbury, Connecticut. We expense research and development costs as we incur them.</w:t>
      </w:r>
    </w:p>
    <w:p>
      <w:pPr>
        <w:spacing w:after="0" w:line="1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the Technosphere Insulin System, we are unable to estimate with any certainty the costs we will incur in the continued development of our product candidates for commercialization. The costs required to complete the development of our Technosphere Insulin System will be largely dependent on the results of our current Phase 2 trials, discussions with the U.S. Food and Drug Administration (the “FDA”) on their requirements, the length of our clinical trials and the cost and efficiency of our manufacturing process. However, we expect our research and development costs to increase as we continue to develop new applications for our proprietary therapeutics and drug-delivery technologies, refine our manufacturing processes and move our other product candidates through preclinical and clinical trials.</w:t>
      </w:r>
    </w:p>
    <w:p>
      <w:pPr>
        <w:spacing w:after="0" w:line="1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Clinical development timelines, likelihood of success and total costs vary widely. We are currently focused primarily on advancing the Technosphere Insulin System through continuing Phase 2 and into and through 3 clinical trials. We plan to commercialize our lead product as a treatment for diabetes. Based on the results of preclinical studies, we also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business insurance and professional services costs.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based our discussion and analysis of our financial condition and results of operations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We evaluate our estimates and judgments on an ongoing basis. We base our estimates on historical experience and on various assumptions that we believe to be reasonable under the circumstances, the results of which form the basis for making estimates of expenses such as stock option expenses and judgments about the carrying values of assets and liabilities. Actual results may differ from these estimates under different assumptions or conditions. The significant accounting policies that are critical to the judgments and estimates used in the preparation of our financial statements are described in more detail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long-lived assets</w:t>
      </w:r>
    </w:p>
    <w:p>
      <w:pPr>
        <w:spacing w:after="0" w:line="18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Assessing goodwill, intangibles and other long-lived assets for impairment requires us to make assumptions and judgments regarding the carrying value of these assets. Goodwill and intangible assets with indefinite lives are tested for impairment annually, or on an interim basis if events or circumstances indicate that the fair value of the asset has decreased below its carrying value. Other long-lived assets are tested for impairment whenever events or changes in circumstances indicate that the carrying value of an asset may not be recoverable. The assets are considered to be impaired if we determine that the carrying value may not be recoverable based upon our assessment of the following events or changes in circumstances:</w:t>
      </w:r>
    </w:p>
    <w:p>
      <w:pPr>
        <w:spacing w:after="0" w:line="158" w:lineRule="exact"/>
        <w:rPr>
          <w:sz w:val="20"/>
          <w:szCs w:val="20"/>
          <w:color w:val="auto"/>
        </w:rPr>
      </w:pPr>
    </w:p>
    <w:p>
      <w:pPr>
        <w:ind w:left="220" w:hanging="167"/>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changes in our strategic business objectives and utilization of the assets;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determination that the carrying value of such assets can not be recovered through undiscounted cash flows;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legal ownership or title to the assets; or</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significant negative industry or economic trends.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If we believe that one of our assets is impaired, the impairment we recognize is the amount by which the carrying value of the asset exceeds the fair value of the asset. Any write-downs would be treated as permanent reductions in the carrying amount of the asset and an operating loss would be recognized. In addition, we base the useful lives and related amortization or depreciation expense on our estimate of the useful lives of the assets. If a change were to occur in any of the above-mentioned factors or estimates, our reported results could materially change.</w:t>
      </w:r>
    </w:p>
    <w:p>
      <w:pPr>
        <w:spacing w:after="0" w:line="14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To date, we have had recurring operating losses and the recoverability of our long-lived assets is contingent upon executing our business plan. If we are unable to execute our business plan, we may be required to write down the value of our long-lived assets in future periods.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part of the process of preparing consolidated financial statements we are required to estimate accrued expenses. This process involves identifying services that have been performed on our behalf and estimating the level of services performed and the associated cost incurred for these services as of each balance sheet date in our consolidated financial statements. Examples of estimated expenses for which we accrue include contract service fees such as amounts paid to clinical monitors, data management organizations and investigators in conjunction with clinical trials and fees paid to contract manufacturers in conjunction with the production of clinical materials, as well as professional service fees, such as lawyers and accountants fees. In connection with these service fees, our estimates are primarily affected by our understanding of the status and timing of services provided relative to the actual levels of services incurred by our service providers. The majority of our service providers invoice us monthly in arrears for services performed. In the event that we do not identify certain costs that have begun to be incurred or we underestimate or overestimate the level of services performed or the costs of such services, our reported expenses for a period would be too low or too high, respectively. The date on which certain services commence, the level of services performed on or before a given date and the cost of the services are often judgmental. We make these judgments based upon the facts and circumstances known to us in accordance with generally accepted accounting principles.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expenses</w:t>
      </w:r>
    </w:p>
    <w:p>
      <w:pPr>
        <w:spacing w:after="0" w:line="1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clinical trial accrual process seeks to account for expenses resulting from our obligations under contract with vendors, consultants, and clinical site agreements in connection with conducting clinical trials. The financial terms of these contracts are subject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negotiations which vary from contract to contract and may result in uneven payment flows. Our objective is to reflect the appropriate trial expenses in our financial statements by matching period expenses with period services and efforts expended. We account for these expenses according to the progress of the trial as measured by patient enrollment and the timing of various aspects of the trial. We determine accrual estimates through discussions with internal clinical personnel and outside service providers as to the progress or state of completion of trials, or the services completed. Service provider status is then compared to the contractual obligated fee to be paid for such services. During the course of a clinical trial, we adjust our rate of clinical expense recognition if actual results differ from our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recorded compensation expense related to options to purchase our common stock issued to employees and consultants. We have elected to follow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and related interpretations, in accounting for our stock-options issued to employees, and we have adopted the disclosure-only alternative of SFAS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Accordingly, we have recorded stock-based compensation expense in connection with the grant of common stock options to employees based on the intrinsic-value method provided for under APB Opinion No. 25 rather than the alternative fair-value method provided for under SFAS No. 123. The intrinsic value of an employee stock option under APB Opinion No. 25 is equal to the difference between the exercise price of the option and the estimated fair value, on the measurement date, of the common stock purchasable with the option. In the notes to our financial statements, we provide pro-forma disclosures that indicate the effect on our net income as if we had applied the fair-value method.</w:t>
      </w:r>
    </w:p>
    <w:p>
      <w:pPr>
        <w:spacing w:after="0" w:line="13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measurement date for stock-based compensation, if any, in connection with an employee stock option is generally the option grant date. However, modifying option terms subsequent to the grant date can result in a remeasurement of stock option compensation on the modification date and subsequently under certain circumstances. On October 7, 2003, our board of directors approved a repricing program for certain outstanding options to purchase shares of our common stock granted under each of our stock plans. Under the repricing program, each holder of outstanding options granted under the stock plans who was an employee of ours on November 5, 2003 could elect to exchange up to all of his or her outstanding options that had an exercise price greater than $7.95 for repriced stock options with an exercise price of $7.95 per share and a term of four years. The option repricing became effective on November 5, 2003. Each replacement option vests 50% in November 2004 and the remaining 50% vests monthly until fully vested in November 2005. Employees who voluntarily resign in the 12-month period beginning November 5, 2003 will forfeit their repriced options. Employees who are involuntarily terminated in the 12-month period beginning November 5, 2003 will vest 50% upon termination and forfeit the remaining portions of their options. Compensation cost for all options repriced under the repricing program will be remeasured on a quarterly basis until the options expire or are exercised or canceled. Stock options issued to consultants are accounted for in accordance with the provisions of SFAS No. 123 and EITF Issue No. 96-18, “</w:t>
      </w:r>
      <w:r>
        <w:rPr>
          <w:rFonts w:ascii="Arial" w:cs="Arial" w:eastAsia="Arial" w:hAnsi="Arial"/>
          <w:sz w:val="17"/>
          <w:szCs w:val="17"/>
          <w:i w:val="1"/>
          <w:iCs w:val="1"/>
          <w:color w:val="auto"/>
        </w:rPr>
        <w:t>Accounting for Equity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That Are Issued to Other Than Employees for Acquiring, or in Conjunction with Selling, Goods or Services”. </w:t>
      </w:r>
      <w:r>
        <w:rPr>
          <w:rFonts w:ascii="Arial" w:cs="Arial" w:eastAsia="Arial" w:hAnsi="Arial"/>
          <w:sz w:val="17"/>
          <w:szCs w:val="17"/>
          <w:color w:val="auto"/>
        </w:rPr>
        <w:t>Under SFAS No. 123,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for stock options granted to non-employees is equal to the fair value of the stock options rather than the intrinsic value under APB No. 25. We determine the fair value of options granted to non-employees using the Black-Scholes option valuation model, which was developed for use in estimating the fair value of traded options that have no vesting restrictions and are fully transferable. The Black-Scholes option valuation model requires the input of highly subjective assumptions, including the expected volatility of our stock price. Stock-based compensation related to options granted to consultants is generally remeasured periodically as the underlying options vest.</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Stock-based compensation expense includes amounts attributable to certain issuances of common stock for notes receivable that we have accounted for as in-substance stock options and are further described in the notes to our annual financial statements appearing in the Prospectus. Stock-based compensation expense is assigned to operating expense categories in our statements of operations according to nature of the services rendered by the employee or consultant to whom the expense applies.</w:t>
      </w:r>
    </w:p>
    <w:p>
      <w:pPr>
        <w:spacing w:after="0" w:line="1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future periods we are required to remeasure stock-based compensation cost for all employee options repriced under the repricing program that remain outstanding and to periodically remeasure the stock-based compensation cost of options we have granted to consultants. Since the amount of compensation cost attributable to the repriced options and consultant options is dependent on the fair value of our common stock underlying the options on the future remeasurement dates, the amount of stock-based compensation recognized in any given future period cannot be predicted and may have a material impact on our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must make significant management judgments when determining our provision for income taxes, our deferred tax assets and liabilities and any valuation allowance recorded against our net deferred tax assets. As of September 30, 2004, we recorded a full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valuation allowance against our gross deferred tax assets due to uncertainties related to our deferred tax assets as a result of our history of operating losses. The valuation allowance is based on our estimates of taxable income by jurisdiction in which we operate and the period over which our deferred tax assets will be recoverable. In the event that actual results differ from these estimates or we adjust these estimates in future periods, we may need to change the valuation allowance, which could materially impact our financial position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Accretion of dividends and offering costs on convertible preferred stock</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Accretion of dividends and offering costs on convertible preferred stock primarily consists of dividends on convertible preferred stock. Prior to the conversion of our convertible preferred stock into shares of our common stock that occurred on August 2, 2004 upon the completion of our initial public offering, our convertible preferred stock was entitled to accretion of dividends. The amount of the accretion of dividends decreased the amount of stockholders’ equity available to our common stockholders and effectively increased the loss per share of our common stock. After August 2, 2004, no existing convertible preferred stock was outstanding, and accordingly there will be no further accretion of dividends and offering costs on these shares. All preferred stock dividends which were accreted before August 2, 2004 were forfeited by the preferred stockholders on that date in connection with the conversion of these preferred shares to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2004 and 2003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 revenues were recorded for the three months ended September 30, 2004 or 2003. We do not anticipate receiving revenues from the sales of any product prior to regulatory approval and commercialization of our Technosphere Insulin System.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Research and development expenses increased by $0.9 million to $11.7 million for the three months ended September 30, 2004 compared to $10.8 million for the three months ended September 30, 2003, an increase of 8.3%. The increase was primarily due to ongoing expenditures in 2004 related to our Technosphere Insulin System. Continuation of preclinical and clinical studies in 2004 increased research expenditures by $4.7 million, which also resulted in increased manufacturing costs of $1.5 million to supply clinical trial materials and our continued validation of our manufacturing system. Additionally, research and development expenses increased by $0.2 million related to our development of therapies for the treatment of solid-tumor cancers. Offsetting the total increase in research and development expenses of $6.4 million is the recognition of an estimated $5.5 million receivable from the State of Connecticut pursuant to a program under which we can exchange qualified research and development tax credits for cash. Approximately $1.5 million of the $5.5 million recognized consisted of cash received during the third quarter of 2004. We anticipate that our research and development expenses will increase significantly with the continuation of existing, and initiation of new, clinical trials and the resulting manufacturing costs associated with producing materials for these clinical trials. Additionally, we continue to advance our efforts in developing additional applications for our proprietary Technosphere formulation technology and developing therapies for the treatment of solid-tumor cancers.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increased by $5.5 million to $8.8 million for the three months ended September 30, 2004 compared to $3.3 million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three months ended September 30, 2003, an increase of 167%. The increase was primarily due to non-cash stock-based compensation expense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 million in 2004 recognized primarily from the repricing of employee stock options, which was approved by our board of directors in October 2003,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$0.1 million in non-cash stock-based compensation expense recognized in 2003. Additionally, various general and administrative expenses,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recruiting, marketing and facilities expense, increased $0.6 million due to increased administrative support of the Company’s growing workforce which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numbered 196 employees as of September 30, 2003 and increased to 256 employees as of September 30,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Interest income increased by $171,000 to $275,000 for the three months ended September 30, 2004 compared to $104,000 for the three months ended September 30, 2003, an increase of 164.4%. The increase was primarily due to higher levels of cash equivalents and marketable securities available for investment during 2004 compared to 2003.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Other income of $40,000 and $29,000 for the three months ended September 30, 2004 and 2003, respectively, relates primarily to dividend income from available-for-sale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Deemed Dividend</w:t>
      </w: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Deemed dividend of $19.2 million and $0.1 million for the three months ended September 30, 2004 and 2003, respectively, represents the beneficial conversion charge to common stockholders related to the downward adjustment of the Series B and C preferred stock conversion price. No further deemed dividend will be recognized as all outstanding preferred stock automatically converted into common stock at the close of the initial public offering in the third quarter of 2004.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2004 and 2003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revenues were recorded for the nine months ended September 30, 2004 or 2003.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18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Research and development expenses increased by $7.2 million to $38.8 million for the nine months ended September 30, 2004 compared to $31.6 million for the nine months ended September 30, 2003, an increase of 22.8%. The increase was primarily due to ongoing expenditures in 2004 related to our Technosphere Insulin System. Initiation of preclinical and clinical studies in 2004 increased research expenditures by $7.5 million, which also resulted in increased manufacturing costs of $5.8 million to supply clinical trial materials and our continued validation of our manufacturing system. The increased costs were offset by a decrease of $0.6 million in research and development costs resulting from the termination of AlleCure product development programs and the redesign of CTL product development programs initiated in the first quarter of 2003. Additionally, offsetting the total increase in research and development expenses is an estimated $5.5 million receivable from the State of Connecticut pursuant to a program under which we can exchange qualified research and development tax credits for cash. Approximately $1.5 million of the $5.5 million recognized consisted of cash received during the third quarter of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increased by $0.6 million to $16.6 million for the nine months ended September 30, 2004 compared to $16.0 million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nine months ended September 30, 2003, an increase of 3.8%. The increase was primarily due to the non-cash stock-based compensation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$6.6 million in 2004 recognized primarily from the repricing of employee stock options, which was approved by our board of directors in October 2003,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$2.7 million in non-cash stock-based compensation expense recognized in 2003, an increase of $3.9 million. The increased costs were offset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of $3.2 million in transition and severance expenses resulting from the consolidation in 2003 of California operations into our Valencia, California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facility and reduction of our California workforce.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Interest income increased by $189,000 to $496,000 for the nine months ended September 30, 2004 compared to $307,000 for the nine months ended September 30, 2003, an increase of 61.6%. The increase was primarily due to higher levels of cash and marketable securities available for investment during 2004 compared to 2003.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Other income of $115,000 for the nine months ended September 30, 2004 relates primarily to dividend income from available-for-sale securities. Other expense of $2,000 for the nine months ended September 30, 2003 represents investment income of $31,000 offset by rental income of $33,000 that was fully reserved due to non-payment by the lessee.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Deemed Dividend</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Deemed dividend of $19.8 million and $1.0 million for the nine months ended September 30, 2004 and 2003, respectively, represents the beneficial conversion charge to common stockholders related to the downward adjustment of the Series B and C preferred stock conversion price. No further deemed dividend will be recognized as all outstanding preferred stock automatically converted into common stock at the close of the initial public offering in the third quarter of 2004.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Prior to our initial public offering, we have historically funded our operations primarily through the private placement of equity securities with our majority stockholder and his affiliated entities, who have invested approximately $228.5 million of the approximately $328.5 million that we have raised prior to the closing of our initial public offering on August 2, 2004. In 2003, we raised $100.0 million through private placements of our equity securities, comprising 3,493,194 shares of common stock sold at a weighted average price of $14.31 per share, and 980,392 shares of Series C convertible preferred stock that were subscribed for in 2003 at a price of $51.00 per preferred share. Of the $50.0 million of Series C convertible preferred stock subscribed for in 2003,</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$31.8 million, representing the purchase price of 624,449 shares of Series C convertible preferred stock, was received in 2003 and $18.2 million, representing the purchase price of the remaining 355,943 shares of Series C convertible preferred stock, was received in the first quarter of 2004. All of the shares of our Series C convertible preferred stock were issued in the first quarter of 2004.</w:t>
      </w:r>
    </w:p>
    <w:p>
      <w:pPr>
        <w:spacing w:after="0" w:line="15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August 2, 2004, we closed our initial public offering at a price to the public of $14.00 per share. We sold 6,250,000 shares of our common stock in the offering for a gross offering price of $87.5 million. We granted the underwriters a 30-day option to purchase up to an additional 937,500 shares of common stock to cover over-allotments, if any. This option was exercised for 307,100 shares on August 28, 2004 and closing occurred on September 1, 2004 with net proceeds to us of approximately $4.0 million. In connection with the initial public offering, we paid $6.4 million in underwriting discounts and commissions to underwriters and incurred $2.2 million in other offering expenses. After deducting the underwriting discounts and commissions and other offering expenses, we received net proceeds from the initial public offering, including the over-allotment, of approximately $83.2 million. These proceeds and the conversion of our preferred stock to common stock are reflected in the accompanying consolidated financial statements as of September 30, 2004.</w:t>
      </w:r>
    </w:p>
    <w:p>
      <w:pPr>
        <w:spacing w:after="0" w:line="12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the nine months ended September 30, 2004, operating activities used $42.3 million of cash. Net cash used by operating activities during this period resulted primarily from a net loss of $54.8 million, which included non-cash stock-based compensation of $9.4 million and depreciation of $5.4 million. We expect our negative operating cash flow to continue for several years.</w:t>
      </w:r>
    </w:p>
    <w:p>
      <w:pPr>
        <w:spacing w:after="0" w:line="154"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During the nine months ended September 30, 2004, investing activities used $7.9 million of cash. This use of cash was solely for purchases of equipment of $4.6 million and marketable securities of $3.3 million. Our efforts with respect to our Technosphere Insulin System include expansion of our manufacturing operations and quality systems. Accordingly, we expect to make significant purchases of equipment in the foreseeable future.</w:t>
      </w:r>
    </w:p>
    <w:p>
      <w:pPr>
        <w:spacing w:after="0" w:line="1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nine months ended September 30, 2004, financing activities provided $99.9 million in cash primarily from the initial public offering and the collection of $18.2 million in preferred stock subscriptions receivable in the first quarter of 2004, offset by $1.4 million returned to a stockholder due to the oversubscribed sale of our Series C convertible preferred stock.</w:t>
      </w:r>
    </w:p>
    <w:p>
      <w:pPr>
        <w:spacing w:after="0" w:line="14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of September 30, 2004, we had $108.9 million in cash, cash equivalents and marketable securities. We will require substantial funding to develop therapeutic products and conduct clinical trials for these products. Based upon our current expectations, we believe our cash, cash equivalents and marketable securities at September 30, 2004 will enable us to continue planned operations through the second quarter of 2005.</w:t>
      </w:r>
    </w:p>
    <w:p>
      <w:pPr>
        <w:spacing w:after="0" w:line="13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intend to use our capital resources to continue the development of our Technosphere Insulin System and to develop additional applications for our proprietary Technosphere formulation technology. In addition, a portion of our capital resources will be devoted to expanding our other product development programs for the treatment of solid-tumor cancers and a variety of inflammatory and autoimmune diseases. We also intend to use our capital resources for general corporate purposes, which may include in-licensing or acquiring additional technologies.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If we achieve a strategic business collaboration with a pharmaceutical or biotechnology company, we would expect, as part of the transaction, to raise additional capital and share a portion of the costs associated with the development, manufacture and commercialization of our Technosphere Insulin product candidate. In addition, we will in the future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5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management believes that planned expenditures could be reduced substantially; thereby extending the time period over which our currently available capital resources will be adequate to fund our operations. We may also be required to reduce expenses through the delay, reduction or curtailment of our projects, including our Technosphere Insulin System development activities, or further reduction of costs for facilities and administration to extend the time period over which our currently available capital resources will be adequate to fund our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Our contractual obligations consist of operating leases, purchase obligations, capital lease commitments and deferred compensation. Some of our current and former employees elected to defer part or all of their compensation from 1991 through 1998, resulting in total deferred compensation of $1.4 million at September 30, 2004. The amounts due for deferred compensation are non-interest-bearing with no repayment terms. Our other obligations are included in the table below.</w:t>
      </w:r>
    </w:p>
    <w:p>
      <w:pPr>
        <w:spacing w:after="0" w:line="16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At September 30, 2004, our total capital lease commitments were not material. Future payments under our operating lease obligations and open purchase commitments consist of the following at September 30, 2004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gridSpan w:val="5"/>
          </w:tcPr>
          <w:p>
            <w:pPr>
              <w:ind w:left="160"/>
              <w:spacing w:after="0"/>
              <w:rPr>
                <w:sz w:val="20"/>
                <w:szCs w:val="20"/>
                <w:color w:val="auto"/>
              </w:rPr>
            </w:pPr>
            <w:r>
              <w:rPr>
                <w:rFonts w:ascii="Arial" w:cs="Arial" w:eastAsia="Arial" w:hAnsi="Arial"/>
                <w:sz w:val="14"/>
                <w:szCs w:val="14"/>
                <w:b w:val="1"/>
                <w:bCs w:val="1"/>
                <w:color w:val="auto"/>
              </w:rPr>
              <w:t>Payments due in</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40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0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132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7"/>
                <w:szCs w:val="17"/>
                <w:color w:val="auto"/>
              </w:rPr>
            </w:pPr>
          </w:p>
        </w:tc>
        <w:tc>
          <w:tcPr>
            <w:tcW w:w="10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86"/>
        </w:trPr>
        <w:tc>
          <w:tcPr>
            <w:tcW w:w="550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32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18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Open purchase order commitments (1)</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$12,067</w:t>
            </w:r>
          </w:p>
        </w:tc>
        <w:tc>
          <w:tcPr>
            <w:tcW w:w="38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$3,876</w:t>
            </w:r>
          </w:p>
        </w:tc>
        <w:tc>
          <w:tcPr>
            <w:tcW w:w="13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$6,764</w:t>
            </w:r>
          </w:p>
        </w:tc>
        <w:tc>
          <w:tcPr>
            <w:tcW w:w="28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$1,427</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561</w:t>
            </w:r>
          </w:p>
        </w:tc>
        <w:tc>
          <w:tcPr>
            <w:tcW w:w="3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155</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364</w:t>
            </w:r>
          </w:p>
        </w:tc>
        <w:tc>
          <w:tcPr>
            <w:tcW w:w="2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5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contractual obligations</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$12,628</w:t>
            </w:r>
          </w:p>
        </w:tc>
        <w:tc>
          <w:tcPr>
            <w:tcW w:w="380" w:type="dxa"/>
            <w:vAlign w:val="bottom"/>
            <w:shd w:val="clear" w:color="auto" w:fill="EEEEEE"/>
          </w:tcPr>
          <w:p>
            <w:pPr>
              <w:spacing w:after="0"/>
              <w:rPr>
                <w:sz w:val="21"/>
                <w:szCs w:val="21"/>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$4,031</w:t>
            </w:r>
          </w:p>
        </w:tc>
        <w:tc>
          <w:tcPr>
            <w:tcW w:w="13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$7,128</w:t>
            </w:r>
          </w:p>
        </w:tc>
        <w:tc>
          <w:tcPr>
            <w:tcW w:w="280" w:type="dxa"/>
            <w:vAlign w:val="bottom"/>
            <w:shd w:val="clear" w:color="auto" w:fill="EEEEEE"/>
          </w:tcPr>
          <w:p>
            <w:pPr>
              <w:spacing w:after="0"/>
              <w:rPr>
                <w:sz w:val="21"/>
                <w:szCs w:val="21"/>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$1,469</w:t>
            </w:r>
          </w:p>
        </w:tc>
        <w:tc>
          <w:tcPr>
            <w:tcW w:w="30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300" w:type="dxa"/>
            <w:vAlign w:val="bottom"/>
            <w:gridSpan w:val="2"/>
            <w:shd w:val="clear" w:color="auto" w:fill="EEEEEE"/>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808080"/>
            </w:tcBorders>
            <w:shd w:val="clear" w:color="auto" w:fill="808080"/>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808080"/>
            </w:tcBorders>
            <w:shd w:val="clear" w:color="auto" w:fill="808080"/>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808080"/>
            </w:tcBorders>
            <w:shd w:val="clear" w:color="auto" w:fill="808080"/>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808080"/>
            </w:tcBorders>
            <w:shd w:val="clear" w:color="auto" w:fill="808080"/>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7061200</wp:posOffset>
            </wp:positionH>
            <wp:positionV relativeFrom="paragraph">
              <wp:posOffset>-38100</wp:posOffset>
            </wp:positionV>
            <wp:extent cx="12446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4460"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13208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27" w:lineRule="exact"/>
        <w:rPr>
          <w:sz w:val="20"/>
          <w:szCs w:val="20"/>
          <w:color w:val="auto"/>
        </w:rPr>
      </w:pPr>
    </w:p>
    <w:p>
      <w:pPr>
        <w:ind w:left="540" w:right="120" w:hanging="526"/>
        <w:spacing w:after="0" w:line="264" w:lineRule="auto"/>
        <w:tabs>
          <w:tab w:leader="none" w:pos="5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amounts included in open purchase order commitments are subject to performance under the purchase order by the supplier of the goods or services and do not become our obligation until such performance is rendered. The amount shown is principally for the purchase of materials for our clinical trials and the acquisition of manufacturing equipment.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December 2002, FASB issued SFAS No. 148, “Accounting for Stock-based Compensation — Transition and Disclosure, an Amendment of FASB Statement No. 123,” to provide alternative methods of transition for a voluntary change to the fair value based method of accounting for stock-based compensation. We have adopted the disclosure requirements of this statement. In March 2004, the FASB issued a proposed SFAS — “Share-based Payment: an Amendment of FASB Statements No. 123 and 95.” The proposed standard would require companies to expense share-based payments to employees, including stock options, based on the fair value of the award at the grant date. The proposed statement would eliminate the intrinsic value method of accounting for stock options permitted by APB No. 25, “Accounting for Stock Issued to Employees,” which we currently follow. At the FASB meeting held on October 13, 2004, the FASB decided to defer, for public companies, the effective date of its proposed SFAS, “Share-based Payment: an Amendment of FASB Statements No. 123 and 95"</w:t>
      </w:r>
      <w:r>
        <w:rPr>
          <w:rFonts w:ascii="Arial" w:cs="Arial" w:eastAsia="Arial" w:hAnsi="Arial"/>
          <w:sz w:val="17"/>
          <w:szCs w:val="17"/>
          <w:i w:val="1"/>
          <w:iCs w:val="1"/>
          <w:color w:val="auto"/>
        </w:rPr>
        <w:t>,</w:t>
      </w:r>
      <w:r>
        <w:rPr>
          <w:rFonts w:ascii="Arial" w:cs="Arial" w:eastAsia="Arial" w:hAnsi="Arial"/>
          <w:sz w:val="17"/>
          <w:szCs w:val="17"/>
          <w:color w:val="auto"/>
        </w:rPr>
        <w:t xml:space="preserve"> from fiscal years beginning after December 15, 2004, to periods beginning after June 15, 2005. The earliest that we would be required to implement the proposed standard would be our quarter beginning July 1, 2005. We will continue to monitor the actions of the FASB and assess the impact, if any, on our consolidated financial statements.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In March 2004, the FASB ratified the measurement and recognition guidance and certain disclosure requirements for impaired securities as described in Emerging Issues Task Force (“EITF”) Issue No. 03-1, “The Meaning of Other-Than-Temporary Impairment and Its Application to Certain Investments”. In September 2004, the FASB issued a proposed Staff Position (“FSP”) EITF Issue No. 03-1a, “Implementation Guidance for the Application of Paragraph 16 of EITF 03-1”. The proposed FSP will provide measurement and recognition guidance with respect to debt securities that are impaired solely due to interest rates and/or sector spreads. The FSP has delayed the effective date until such time that they issue the final standard. Management has not determined what impact the adoption of the measurement and recognition guidance in EITF Issue No. 03-1 will have on our financial statements.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operating losses, we expect to continue to incur losses, and we may never become profitable.</w:t>
      </w:r>
    </w:p>
    <w:p>
      <w:pPr>
        <w:spacing w:after="0" w:line="20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are a development stage company with no commercial products. All of our product candidates are still being developed, and all but our Technosphere Insulin System are still in early stages of development. Our product candidates will require significant additional development, clinical trials, regulatory clearances and additional investment before they can be commercialized. We anticipate that our Technosphere Insulin System will not be commercially available for several years, if at all.</w:t>
      </w:r>
    </w:p>
    <w:p>
      <w:pPr>
        <w:spacing w:after="0" w:line="14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never been profitable, and, as of September 30, 2004, we had an accumulated deficit of $421.8 million and a net loss of $54.8 million for the nine months ended September 30, 2004 and $65.9 million for the year ended December 31, 2003. The accumulated deficit has resulted principally from the write-off of goodwill, costs incurred in our research and development programs and general operating expenses. We expect to make substantial expenditures and to incur additional operating losses in the future in order to further develop and commercialize our product candidates, including costs and expenses to complete clinical trials, seek regulatory approvals and market our product candidates. This accumulated deficit may increase significantly as we expand development and clinical trial efforts. Our losses have had, and are expected to continue to have, an adverse impact on our working capital, total assets and stockholders’ equity. Our ability to achieve and sustain profitability depends upon obtaining regulatory approvals for and successfully commercializing our Technosphere Insulin System,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raise additional capital, our financial condition and business will suffer.</w:t>
      </w:r>
    </w:p>
    <w:p>
      <w:pPr>
        <w:spacing w:after="0" w:line="20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It is costly to develop therapeutic products and conduct clinical trials for these products. Although we currently are focusing on our Technosphere Insulin System as our lead product candidate, we may in the future conduct clinical trials and perform preclinical research for a number of additional product candidates. Our future revenues may not be sufficient to support the expense of these activities.</w:t>
      </w:r>
    </w:p>
    <w:p>
      <w:pPr>
        <w:spacing w:after="0" w:line="141"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Based upon our current expectations, we believe that our existing capital resources, including the proceeds from our initial public offering, will enable us to continue planned operations through the second quarter of 2005, even if we do not enter into a collaborative agreement. However, we cannot assure you that our plans will not change or that changed circumstances will not result in the depletion of our capital resources more rapidly than we currently anticipate.</w:t>
      </w:r>
    </w:p>
    <w:p>
      <w:pPr>
        <w:ind w:right="120"/>
        <w:spacing w:after="0" w:line="302" w:lineRule="auto"/>
        <w:rPr>
          <w:sz w:val="20"/>
          <w:szCs w:val="20"/>
          <w:color w:val="auto"/>
        </w:rPr>
      </w:pPr>
      <w:r>
        <w:rPr>
          <w:rFonts w:ascii="Arial" w:cs="Arial" w:eastAsia="Arial" w:hAnsi="Arial"/>
          <w:sz w:val="16"/>
          <w:szCs w:val="16"/>
          <w:color w:val="auto"/>
        </w:rPr>
        <w:t>Accordingly, we expect that we will need to raise additional capital, either through a strategic business collaboration, the sale of equity and/or debt securities or the establishment of other funding facilities, in order to continue the development and commercialization of our Technosphere Insulin System and other product candidates and to support our other ongoing activities. The amount of additional funds we need will depend on a number of factors, including:</w:t>
      </w:r>
    </w:p>
    <w:p>
      <w:pPr>
        <w:spacing w:after="0" w:line="155" w:lineRule="exact"/>
        <w:rPr>
          <w:sz w:val="20"/>
          <w:szCs w:val="20"/>
          <w:color w:val="auto"/>
        </w:rPr>
      </w:pPr>
    </w:p>
    <w:p>
      <w:pPr>
        <w:ind w:left="220" w:right="220" w:hanging="167"/>
        <w:spacing w:after="0" w:line="277"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170" w:lineRule="exact"/>
        <w:rPr>
          <w:rFonts w:ascii="Arial" w:cs="Arial" w:eastAsia="Arial" w:hAnsi="Arial"/>
          <w:sz w:val="18"/>
          <w:szCs w:val="18"/>
          <w:color w:val="auto"/>
        </w:rPr>
      </w:pPr>
    </w:p>
    <w:p>
      <w:pPr>
        <w:ind w:left="220" w:hanging="167"/>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amount of milestone or other payments we might receive from potential third parties;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hanging="167"/>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amount of payments we might receive from potential licenses;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or decommissioning existing facilities, if we undertake those activities;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degree of success in commercializing our Technosphere Insulin System or our other product candidates;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adverse market developments; and</w:t>
      </w:r>
    </w:p>
    <w:p>
      <w:pPr>
        <w:spacing w:after="0" w:line="225" w:lineRule="exact"/>
        <w:rPr>
          <w:rFonts w:ascii="Arial" w:cs="Arial" w:eastAsia="Arial" w:hAnsi="Arial"/>
          <w:sz w:val="18"/>
          <w:szCs w:val="18"/>
          <w:color w:val="auto"/>
        </w:rPr>
      </w:pPr>
    </w:p>
    <w:p>
      <w:pPr>
        <w:ind w:left="220" w:right="340" w:hanging="167"/>
        <w:spacing w:after="0" w:line="277"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raised capital in the past primarily through the private placement of equity securities. We intend to raise additional capital through strategic business collaborations. In addition, we may in the future pursue the sale of equity and/or debt securities, or the establishment of other funding facilities. Issuances of debt or additional equity could impact your rights as a holder of our common stock, may dilute your ownership percentage and may impose restrictions on our operations. These restrictions could include limitations on additional borrowing, specific restrictions on the use of our assets, as well as prohibitions on our ability to create liens, pay dividends, redeem our stock or make investments.</w:t>
      </w:r>
    </w:p>
    <w:p>
      <w:pPr>
        <w:spacing w:after="0" w:line="16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also may seek to raise additional capital by pursuing opportunities for the licensing, sale or divestiture of certain intellectual property and other assets, including our Technosphere technology platform. We cannot assure you, however, that any strategic collaborations, sales of securities or sale or license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4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licensing arrangements, sales of securities and/or asset sales on a timely basis, we may be required to reduce expenses through the delay, reduction or curtailment of our projects, including our Technosphere Insulin System development activities, or further reduction of costs for facilities and administration.</w:t>
      </w:r>
    </w:p>
    <w:p>
      <w:pPr>
        <w:spacing w:after="0" w:line="137" w:lineRule="exact"/>
        <w:rPr>
          <w:sz w:val="20"/>
          <w:szCs w:val="20"/>
          <w:color w:val="auto"/>
        </w:rPr>
      </w:pPr>
    </w:p>
    <w:p>
      <w:pPr>
        <w:jc w:val="both"/>
        <w:ind w:right="160"/>
        <w:spacing w:after="0" w:line="282" w:lineRule="auto"/>
        <w:rPr>
          <w:sz w:val="20"/>
          <w:szCs w:val="20"/>
          <w:color w:val="auto"/>
        </w:rPr>
      </w:pPr>
      <w:r>
        <w:rPr>
          <w:rFonts w:ascii="Arial" w:cs="Arial" w:eastAsia="Arial" w:hAnsi="Arial"/>
          <w:sz w:val="18"/>
          <w:szCs w:val="18"/>
          <w:b w:val="1"/>
          <w:bCs w:val="1"/>
          <w:color w:val="auto"/>
        </w:rPr>
        <w:t>We depend heavily on the successful development and commercialization of our lead product candidate, the Technosphere Insulin System, which is still under development, and our other product candidates, which are in early stages of preclinical development.</w:t>
      </w:r>
    </w:p>
    <w:p>
      <w:pPr>
        <w:spacing w:after="0" w:line="139"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To date, we have not completed the development of any products through to commercialization. Only our Technosphere Insulin System is currently undergoing clinical trials, while our other product candidates are in research or preclinical development. We anticipate that in the near term our ability to generate revenues will depend solely on the successful development and commercialization of our Technosphere Insulin System.</w:t>
      </w:r>
    </w:p>
    <w:p>
      <w:pPr>
        <w:spacing w:after="0" w:line="10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expended significant time, money and effort in the development of our lead product candidate, the Technosphere Insulin System, which has not yet received regulatory approval and which may never be commercialized. Before we can market and sell our Technosphere Insulin System, we will need to advance our Technosphere Insulin System to Phase 3 clinical trials and demonstrate in these trials that our Technosphere Insulin System is safe and effective. We currently anticipate conducting several pivotal Phase 3 clinical trials as well as several special population studies involving, in total, several thousand patients, which will require the expenditure of additional time and resources. We must also receive the necessary approvals from the FDA and similar foreign regulatory agencies before this product can be marketed in the United States or elsewhere. Even if we were to receive regulatory approval, we ultimately may be unable to gain market acceptance of our Technosphere Insulin System for a variety of reasons, including the treatment and dosage regimen, potential adverse effects, the availability of alternative treatments and cost effectiveness. If we fail to commercialize our Technosphere Insulin System, our business, financial condition and results of operations will be materially and adversely affected.</w:t>
      </w:r>
    </w:p>
    <w:p>
      <w:pPr>
        <w:spacing w:after="0" w:line="14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seeking to develop and expand our portfolio of product candidates through our internal research programs and through licensing or otherwise acquiring the rights to therapeutics in the areas of cancer and immunology. All of these product candidates will require additional research and development and significant preclinical, clinical and other testing prior to seeking regulatory approval to market them. Accordingly, these product candidates will not be commercially available for many years, if at all.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 significant portion of the research that we are conducting involves new and unproven compounds and technologies, including our Technosphere Insulin System, Technosphere formulation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drugs or therapeutics. In addition, the clinical results we obtain at one stage are not necessarily indicative of future testing results. If we fail to successfully complete the development and commercialization of our Technosphere Insulin System or develop or expand our other product candidates, or are significantly delayed in doing so, our business and results of operations will be harmed and the value of our stock could decline.</w:t>
      </w:r>
    </w:p>
    <w:p>
      <w:pPr>
        <w:spacing w:after="0" w:line="14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we fail to enter into a strategic collaboration with respect to our Technosphere Insulin System, our most clinically advanced program, we may not be able to execute on our business model.</w:t>
      </w:r>
    </w:p>
    <w:p>
      <w:pPr>
        <w:spacing w:after="0" w:line="1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current strategy for developing, manufacturing and commercializing our product candidates includes securing collaborations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w:t>
      </w:r>
    </w:p>
    <w:p>
      <w:pPr>
        <w:spacing w:after="0" w:line="14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If we are not able to enter into a collaboration on terms that are favorable to us for our products, we could be required to undertake and fund product development, clinical trials, manufacturing and marketing activities solely at our own expense. For example, we are currently seeking to enter into a collaboration with respect to our Technosphere Insulin System. If we are not able to enter into a collaboration prior to the commencement of Phase 3 clinical trials, upon successful completion of our Phase 2 clinical trials we intend to fund the initial Phase 3 clinical trials ourselves from the proceeds of the initial public offering. We previously estimated the cost of a self-funded Phase 3 program to be $70 to $80 million over the next 24 to 30 months. We currently expect that the cost and timeline of such a program would exceed these previous estimates. Failure to enter into a collaboration with respect to our Technosphere Insulin System following initial Phase 3 clinical trials or for any other product candidate would substantially increase our requirements for capital, which might not be available on favorable terms, or at all. Alternatively, we would have to substantially reduce our development efforts, which would delay or otherwise impede the commercialization of our product candidates.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testing of a particular product candidate does not yield successful results, we will be unable to commercialize that product candidate.</w:t>
      </w:r>
    </w:p>
    <w:p>
      <w:pPr>
        <w:spacing w:after="0" w:line="20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preclinical and clinical testing. We may experience numerous unforeseen events during, or as a result of, the testing process that could delay or prevent commercialization of our Technosphere Insulin System or any of our other product candidates, including the following:</w:t>
      </w:r>
    </w:p>
    <w:p>
      <w:pPr>
        <w:spacing w:after="0" w:line="181" w:lineRule="exact"/>
        <w:rPr>
          <w:sz w:val="20"/>
          <w:szCs w:val="20"/>
          <w:color w:val="auto"/>
        </w:rPr>
      </w:pPr>
    </w:p>
    <w:p>
      <w:pPr>
        <w:jc w:val="both"/>
        <w:ind w:left="220" w:right="140" w:hanging="167"/>
        <w:spacing w:after="0" w:line="264"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safety and efficacy results obtained in our preclinical and initial clinical testing may be inconclusive or may not be predictive of results obtained in later-stage clinical trials or following long-term use and we may be forced to stop developing product candidates that we currently believe are important to our future;</w:t>
      </w:r>
    </w:p>
    <w:p>
      <w:pPr>
        <w:spacing w:after="0" w:line="181" w:lineRule="exact"/>
        <w:rPr>
          <w:rFonts w:ascii="Arial" w:cs="Arial" w:eastAsia="Arial" w:hAnsi="Arial"/>
          <w:sz w:val="18"/>
          <w:szCs w:val="18"/>
          <w:color w:val="auto"/>
        </w:rPr>
      </w:pPr>
    </w:p>
    <w:p>
      <w:pPr>
        <w:ind w:left="220" w:hanging="167"/>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FDA or other regulatory approval;</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225" w:lineRule="exact"/>
        <w:rPr>
          <w:rFonts w:ascii="Arial" w:cs="Arial" w:eastAsia="Arial" w:hAnsi="Arial"/>
          <w:sz w:val="18"/>
          <w:szCs w:val="18"/>
          <w:color w:val="auto"/>
        </w:rPr>
      </w:pPr>
    </w:p>
    <w:p>
      <w:pPr>
        <w:ind w:left="220" w:right="40" w:hanging="167"/>
        <w:spacing w:after="0" w:line="277"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long-term safety studies of our Technosphere Insulin system are designed to evaluate a number of safety issues, including pulmonary function. Our Technosphere Insulin System is intended for multiple uses per day. Due to the size and time frame over which the clinical trials are conducted, the results of clinical trials may not be indicative of the effects of long-term use. If long-term use of our product results in adverse health effects or reduced efficacy or both, the FDA or other regulatory agencies may terminate our ability to market and sell our Technosphere Insulin System, may narrow the approved indications for use or otherwise require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restrictive product labeling, or may require further clinical trials, which may be time-consuming and expensive, and may not produce favorable results.</w:t>
      </w:r>
    </w:p>
    <w:p>
      <w:pPr>
        <w:spacing w:after="0" w:line="2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a result of any of these events, the FDA, other regulatory authorities, our collaborators or we may suspend or terminate clinical trials or marketing of our Technosphere Insulin System at any time. Any suspension or termination of our clinical trials or marketing activities may harm our business and results of operations and the market price of our common stock may decline.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third-party payors do not reimburse customers for our products, they might not be used or purchased, which would adversely affect our revenues.</w:t>
      </w:r>
    </w:p>
    <w:p>
      <w:pPr>
        <w:spacing w:after="0" w:line="21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revenues and profitability may be affected by the continuing efforts of governments and third-party payors to contain or reduce the costs of healthcare through various means. For example, in certain foreign markets the pricing or profitability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healthcare reform proposals or legislation. Such reforms may make it difficult to complete the development and testing of our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United States and elsewhere, sales of prescription pharmaceuticals still depend in large part on the availability of reimbursement to the consumer from third-party payors, such as governmental and private insurance plans. Third-party payors are increasingly challenging the prices charged for medical products and services. In addition, because each third-party payor individually approves reimbursement, obtaining these approvals is a time-consuming and costly process that will require us to provide scientific and clinical support for the use of each of our products to each third-party payor separately with no assurance that approval will be obtained. This process could delay the market acceptance of new products and could have a negative effect on our revenues and operating results. Even if we succeed in bringing one or more products to market, we cannot be certain that these products will be considered cost-effective or that reimbursement to the consumer will be available, in which case our business and results of operations will be harmed and the market price of our common stock may decline.</w:t>
      </w:r>
    </w:p>
    <w:p>
      <w:pPr>
        <w:spacing w:after="0" w:line="14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we do not achieve our projected development goals in the timeframes we announce and expect, the commercialization of our product candidates may be delayed and our business will be harmed.</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based on a variety of assumptions. The actual timing of the achievement of these milestones can vary dramatically compared to our estimates—in many cases for reasons beyond our control—depending on numerous factors, including:</w:t>
      </w:r>
    </w:p>
    <w:p>
      <w:pPr>
        <w:spacing w:after="0" w:line="188" w:lineRule="exact"/>
        <w:rPr>
          <w:sz w:val="20"/>
          <w:szCs w:val="20"/>
          <w:color w:val="auto"/>
        </w:rPr>
      </w:pPr>
    </w:p>
    <w:p>
      <w:pPr>
        <w:ind w:left="220" w:hanging="167"/>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 and research and development activities;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of approvals by our competitors and by us from the FDA and other regulatory agencies;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actions by regulators;</w:t>
      </w:r>
    </w:p>
    <w:p>
      <w:pPr>
        <w:spacing w:after="0" w:line="225" w:lineRule="exact"/>
        <w:rPr>
          <w:rFonts w:ascii="Arial" w:cs="Arial" w:eastAsia="Arial" w:hAnsi="Arial"/>
          <w:sz w:val="18"/>
          <w:szCs w:val="18"/>
          <w:color w:val="auto"/>
        </w:rPr>
      </w:pPr>
    </w:p>
    <w:p>
      <w:pPr>
        <w:ind w:left="220" w:right="300" w:hanging="167"/>
        <w:spacing w:after="0" w:line="277"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our Technosphere Insulin System;</w:t>
      </w:r>
    </w:p>
    <w:p>
      <w:pPr>
        <w:spacing w:after="0" w:line="170" w:lineRule="exact"/>
        <w:rPr>
          <w:rFonts w:ascii="Arial" w:cs="Arial" w:eastAsia="Arial" w:hAnsi="Arial"/>
          <w:sz w:val="18"/>
          <w:szCs w:val="18"/>
          <w:color w:val="auto"/>
        </w:rPr>
      </w:pPr>
    </w:p>
    <w:p>
      <w:pPr>
        <w:ind w:left="220" w:hanging="167"/>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of scheduling conflicts with participating clinicians and clinical institutions; and</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color w:val="auto"/>
        </w:rPr>
        <w:t>In addition, if we do not obtain sufficient additional funds through strategic collaborations, sales of securities or the sale or license of our assets on a timely basis, we may be required to reduce expenses by delaying, reducing or curtailing our Technosphere Insulin System or other product development activities, which may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14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we enter into collaborative agreements and if our third-party collaborators do not perform satisfactorily or if our collaborations fail, development or commercialization of our product candidates may be delayed and our business could be harmed.</w:t>
      </w:r>
    </w:p>
    <w:p>
      <w:pPr>
        <w:spacing w:after="0" w:line="1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currently rely on hospitals and clinical research organizations to conduct, supervise or monitor some or all aspects of clinical trials involving our product candidates, including our Technosphere Insulin System. Further, we are seeking to enter into license agreements, partnerships or other collaborative arrangements to support financing, development and marketing of our Technosphere Insulin System.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11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trials, and the sale and marketing of our product candidates. We cannot assure you that we will be able to enter into satisfactory arrangements with third parties as contemplated or that any of our existing or future collaborations will be successful.</w:t>
      </w:r>
    </w:p>
    <w:p>
      <w:pPr>
        <w:spacing w:after="0" w:line="15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we are unable to manage growth in connection with our transition from an early-stage development company to a company that commercializes therapeutics, our operations will suffer.</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need to add a significant number of new personnel, broaden our areas of expertise, and expand our manufacturing capabilities in order to successfully implement our commercialization strategy for our Technosphere Insulin System. Over the next two years, we estimate that we will need to recruit a significant number of new employees, principally in the clinical development and manufacturing production areas. Organizational growth and expansion of operations could strain our existing managerial, operational, financial and other resources.</w:t>
      </w:r>
    </w:p>
    <w:p>
      <w:pPr>
        <w:spacing w:after="0" w:line="142"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We have never manufactured any of our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currently use our Danbury, Connecticut facility to manufacture raw Technosphere material, formulate Technosphere Insulin, fill plastic cartridges with Technosphere Insulin and blister package the cartridges for our clinical trials. We presently intend to increase our formulation, fill and finishing capabilities at Danbury in order to accommodate our activities through initial commercialization. We are in the process of qualifying a third-party manufacturer to supply us with commercial quantities of the raw Technosphere material. We are currently negotiating a long-term supply agreement with a third party to manufacture our MedTone inhaler and the unfilled cartridges as well as the related molds.</w:t>
      </w:r>
    </w:p>
    <w:p>
      <w:pPr>
        <w:spacing w:after="0" w:line="14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never manufactured any of our product candidates in commercial quantities. As our product candidates move through the regulatory process, we will need to either develop the capability of manufacturing on a commercial scale or engage third-party manufacturers with this capability, and we cannot assure you that we will be able to do either successfully.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Technosphere Insulin at our Danbury facility, it will have to undergo a pre-approval inspection by the FDA. The expansion process and preparation for the FDA’s pre-approval inspection for commercial production at the Danbury facility could take an additional six months or longer. If we use a third-party supplier to formulate Technosphere Insulin or produce its raw material, the transition could also require significant start-up time to qualify and implement the manufacturing process. If we engage a third-party manufacturer, our third-party manufacturer may not perform as agreed or may terminate its agreement with us.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our potential third-party manufacturers fail to deliver the required commercial quantities of our products on a timely basis and at commercially reasonable prices, and we were unable to promptly find one or more replacement manufacturers capable of production at a substantially equivalent cost, in substantially equivalent volume and on a timely basis, we would likely be unable to meet demand for our products and we would lose potential revenues.</w:t>
      </w:r>
    </w:p>
    <w:p>
      <w:pPr>
        <w:spacing w:after="0" w:line="142" w:lineRule="exact"/>
        <w:rPr>
          <w:sz w:val="20"/>
          <w:szCs w:val="20"/>
          <w:color w:val="auto"/>
        </w:rPr>
      </w:pPr>
    </w:p>
    <w:p>
      <w:pPr>
        <w:jc w:val="both"/>
        <w:ind w:right="600"/>
        <w:spacing w:after="0" w:line="266" w:lineRule="auto"/>
        <w:rPr>
          <w:sz w:val="20"/>
          <w:szCs w:val="20"/>
          <w:color w:val="auto"/>
        </w:rPr>
      </w:pPr>
      <w:r>
        <w:rPr>
          <w:rFonts w:ascii="Arial" w:cs="Arial" w:eastAsia="Arial" w:hAnsi="Arial"/>
          <w:sz w:val="18"/>
          <w:szCs w:val="18"/>
          <w:b w:val="1"/>
          <w:bCs w:val="1"/>
          <w:color w:val="auto"/>
        </w:rPr>
        <w:t>If our suppliers fail to deliver materials and services needed for the production of our Technosphere Insulin System in a timely and sufficient manner, or they fail to comply with applicable regulations, our business and results of operations will be harmed and the market price of our common stock may decline.</w:t>
      </w:r>
    </w:p>
    <w:p>
      <w:pPr>
        <w:spacing w:after="0" w:line="14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For our Technosphere Insulin System to be commercially viable, we need access to sufficient, reliable and affordable supplies of insulin, our MedTone inhaler, the related cartridges and other materials. We currently have a long-term supply agreement with Diosynth B.V., an independent supplier of insulin, which is currently our sole supplier for insulin. We are aware of at least five other suppliers of bulk insulin. We are currently negotiating a long-term supply agreement with the supplier of our MedTone inhaler and cartridges. We must rely on our suppliers to comply with relevant regulatory and other legal requirements, including the production of insulin in accordance with current Good Manufacturing Practices (“cGMP”).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our development or manufacturing may be delayed. Any such events would delay the submission of our product candidates for regulatory approval or market introduction and subsequent sales and, if so, our business and results of operations will be harmed and the market price of our common stock may decline.</w:t>
      </w:r>
    </w:p>
    <w:p>
      <w:pPr>
        <w:spacing w:after="0" w:line="12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fail to enter into collaborations with third parties, we will be required to establish our own sales, marketing and distribution capabilities, which could delay the commercialization of our products and harm our business.</w:t>
      </w:r>
    </w:p>
    <w:p>
      <w:pPr>
        <w:spacing w:after="0" w:line="139"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A broad base of physicians and specialists treat patients with diabetes. A large sales force will be required in order to educate and support these physicians and specialists. Therefore, we plan to enter into collaborations with one or more pharmaceutical companies to sell, market and distribute our Technosphere Insulin System. If we fail to enter into collaborations, we will be required to establish our own direct sales, marketing and distribution capabilities. Establishing these capabilities can be time-consuming and expensive and we estimate that establishing a specialty sales force would cost more than</w:t>
      </w:r>
    </w:p>
    <w:p>
      <w:pPr>
        <w:spacing w:after="0" w:line="2"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$20 million. Because of our size, we would be at a disadvantage to our potential competitors, all of which have collaborated with large pharmaceutical companies that have substantially more resources than we do. As a result, we would not initially be able to field a sales force as large as our competitors or provide the same degree of market research or marketing support. In addition, our competitors would have a greater ability to devote research resources toward expansion of the indications for their products. We cannot assure you that we will succeed in entering into acceptable collaborations, that any such collaboration will be successful or, if not, that we will successfully develop our own sales, marketing and distribution capabilities.</w:t>
      </w:r>
    </w:p>
    <w:p>
      <w:pPr>
        <w:spacing w:after="0" w:line="118"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We face substantial competition in the development of our product candidates and may not be able to compete successfully, and our product candidates may be rendered obsolete by rapid technological change.</w:t>
      </w:r>
    </w:p>
    <w:p>
      <w:pPr>
        <w:spacing w:after="0" w:line="1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initially are focusing on the development of the Technosphere Insulin System for the treatment of diabetes, and we face intense competition in this area. Pfizer, Inc. and Sanofi-Aventis, in collaboration with Nektar Therapeutics, have been conducting Phase 3 clinical trials for the Exubera product and in March 2004 filed a submission seeking regulatory approval in Europe. Novo Nordisk A.S., in collaboration with Aradigm Corporation, has a pulmonary insulin product in development. Eli Lilly and Company, in collaboration with Alkermes, Inc., is conducting clinical trials for a pulmonary insulin product. In addition, a number of established pharmaceutical companies are developing proprietary technologies or have entered into arrangements with, or acquired, companies with technologies for the treatment of diabetes. We also face substantial competition for the development of our other product candidates.</w:t>
      </w:r>
    </w:p>
    <w:p>
      <w:pPr>
        <w:spacing w:after="0" w:line="13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w:t>
      </w:r>
    </w:p>
    <w:p>
      <w:pPr>
        <w:spacing w:after="0" w:line="14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products becoming obsolete or noncompetitive. Our competitors may develop or introduce new products that would render our technology and our Technosphere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Insulin System less competitive, uneconomical or obsolete. The fact that another company will likely be the first to commercialize a pulmonary insulin system may give that company an advantage in terms of being able to gain reputation and market share as well as set parameters for the pulmonary insulin market such as pricing. Our future success will depend not only on our ability to develop our products but to improve them and to keep pace with emerging industry developments. We cannot assure you that we will be able to do so.</w:t>
      </w:r>
    </w:p>
    <w:p>
      <w:pPr>
        <w:spacing w:after="0" w:line="16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also expect to face increasing competition from universities and other non-profit research organizations. These institutions carry out a significant amount of research and development in the areas of diabetes, cancer and inflammatory and autoimmune diseases. These institutions are becoming increasingly aware of the commercial value of their findings and are more active in seeking patent and other proprietary rights as well as licensing revenues.</w:t>
      </w:r>
    </w:p>
    <w:p>
      <w:pPr>
        <w:spacing w:after="0" w:line="102"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If our products do not become widely accepted by physicians, patients, third-party payors and the healthcare community, we may be unable to generate significant revenue, if any.</w:t>
      </w:r>
    </w:p>
    <w:p>
      <w:pPr>
        <w:spacing w:after="0" w:line="1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product candidates are new and unproven. Even if our product candidates obtain regulatory approvals, they may not gain market acceptance among physicians, patients, third-party payors and the healthcare community. Failure to achieve market acceptance would limit our ability to generate revenue and would adversely affect our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our product candidates will depend on many factors, including:</w:t>
      </w:r>
    </w:p>
    <w:p>
      <w:pPr>
        <w:spacing w:after="0" w:line="225" w:lineRule="exact"/>
        <w:rPr>
          <w:sz w:val="20"/>
          <w:szCs w:val="20"/>
          <w:color w:val="auto"/>
        </w:rPr>
      </w:pPr>
    </w:p>
    <w:p>
      <w:pPr>
        <w:ind w:left="220" w:hanging="167"/>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adopt new technologies;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manufacture the product in sufficient quantities with acceptable quality and at an acceptable cost;</w:t>
      </w:r>
    </w:p>
    <w:p>
      <w:pPr>
        <w:spacing w:after="0" w:line="225" w:lineRule="exact"/>
        <w:rPr>
          <w:rFonts w:ascii="Arial" w:cs="Arial" w:eastAsia="Arial" w:hAnsi="Arial"/>
          <w:sz w:val="18"/>
          <w:szCs w:val="18"/>
          <w:color w:val="auto"/>
        </w:rPr>
      </w:pPr>
    </w:p>
    <w:p>
      <w:pPr>
        <w:ind w:left="220" w:right="140" w:hanging="167"/>
        <w:spacing w:after="0" w:line="277"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perception of patients and the healthcare community, including third-party payors, regarding the safety, efficacy and benefits of the product compared to those of competing products or therapies;</w:t>
      </w:r>
    </w:p>
    <w:p>
      <w:pPr>
        <w:spacing w:after="0" w:line="170" w:lineRule="exact"/>
        <w:rPr>
          <w:rFonts w:ascii="Arial" w:cs="Arial" w:eastAsia="Arial" w:hAnsi="Arial"/>
          <w:sz w:val="18"/>
          <w:szCs w:val="18"/>
          <w:color w:val="auto"/>
        </w:rPr>
      </w:pPr>
    </w:p>
    <w:p>
      <w:pPr>
        <w:ind w:left="220" w:hanging="167"/>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convenience and ease of administration of the products relative to existing treatment methods;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pricing and reimbursement of our products relative to existing treatment therapeutics and methods; and</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marketing and distribution support for our products.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Physicians will not recommend our products until clinical data or other factors demonstrate the safety and efficacy of our products as compared to other treatments. Even if the clinical safety and efficacy of our product candidates is established, physicians may elect not to recommend these product candidates for a variety of factors, including the reimbursement policies of government and third-party payors and the effectiveness of our competitors in marketing their therapies. Because of these and other factors, our products may not gain market acceptance, which would materially harm our business,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product liability claims are brought against us, we may incur significant liabilities and suffer damage to our reputation.</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testing, manufacturing, marketing and sale of our various product candidates, including the Technosphere Insulin System,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may not be able to obtain insurance coverage that will be adequate to satisfy any liability that may arise. If losses from such claims exceed our liability insurance coverage, we may ourselves incur substantial liabilities. If we are required to pay a product liability claim, we may not have sufficient financial resources to complete development or commercialization of any of our product candidates and, if so, our business and results of operations will be harmed and the market price of our common stock may decline.</w:t>
      </w:r>
    </w:p>
    <w:p>
      <w:pPr>
        <w:spacing w:after="0" w:line="1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currently carry worldwide liability insurance in the amount of $5 million. We believe these limits are reasonable to cover us from potential damages arising from current and previous clinical trials of our Technosphere Insulin System. In addition, we carry local policies per trial in each country in which we conduct clinical trials that requires us to carry local coverage. We intend to obtain product liability coverage for commercial sales in the future. However, insurance coverage in our industry can be very expensive and difficult to obtain and we cannot assure you that we will be able to obtain sufficient coverage at an acceptable cost, if at all. If we are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sued for any injury caused by our technology or products, or by third-party products that we manufacture, our liability could exceed our insurance coverage and total assets.</w:t>
      </w:r>
    </w:p>
    <w:p>
      <w:pPr>
        <w:spacing w:after="0" w:line="139"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We deal with hazardous materials and must comply with environmental laws and regulations, which can be expensive and restrict how we do business.</w:t>
      </w:r>
    </w:p>
    <w:p>
      <w:pPr>
        <w:spacing w:after="0" w:line="1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research and development work involves the controlled storage and use of hazardous materials, including chemical, radioactive and biological materials. In addition, our manufacturing operations involve the use of CBZ-lysine, which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13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When we purchased the facilities located in Danbury, Connecticut,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Although the land is zoned for industrial use, we are seeking that the seller remediate the soil to meet residential use standards. We estimate the cost to complete the soil cleanup plan is $4.75 to $5.75 million over the next 18 to 24 months. We also received an indemnification from the seller for environmental conditions created during its ownership of the property and for environmental problems unknown at the time that the seller acquired the property. These latter indemnities are limited to the purchase price that we paid for the Danbury facilities. In the event that any cleanup costs are imposed on us and we are unable to collect the full amount of these costs and expenses from the seller or the party responsible for the contamination, we may be required to pay these costs and our business and results of operations may be harmed.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lose any key employees or scientific advisors, our operations and our ability to execute our business strategy could be materially harmed.</w:t>
      </w:r>
    </w:p>
    <w:p>
      <w:pPr>
        <w:spacing w:after="0" w:line="212"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loss of the services of any principal member of our management and scientific staff, including Messrs. Mann, Edstrom, Burns and Anderson and Drs. Cheatham and Thomson,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our Chief Executive Officer is unable to devote sufficient time and attention to our business, our operations and our ability to execute our business strategy could be materially harmed.</w:t>
      </w:r>
    </w:p>
    <w:p>
      <w:pPr>
        <w:spacing w:after="0" w:line="13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Alfred Mann, our Chairman and Chief Executive Officer, is also serving as the Chairman and Co-Chief Executive Officer of Advanced Bionics Corporation, which was acquired by Boston Scientific Corporation, and is involved in many other business and charitable activities. As a result, the time and attention Mr. Mann devotes to the operation of our business varies and he may not be able to expend the same time or focus on our activities as other, similarly situated chief executive officers. Mr. Mann typically devotes anywhere between 25 and 50 hours a week to our business. If Mr. Mann is unable to devote the time and attention necessary to running our business, we may not be able to execute our business strategy and our business could be materially harmed.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 that are located in Southern California may be affected by natural disasters.</w:t>
      </w:r>
    </w:p>
    <w:p>
      <w:pPr>
        <w:spacing w:after="0" w:line="18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headquarters and some of our research and development activities are located in Southern California, where they are subject to an enhanced risk of natural and other disasters such as power and telecommunications failures, fires and earthquakes. A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8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product candidates must undergo rigorous preclinical and clinical testing and regulatory approvals, which could be costly and time-consuming and subject us to unanticipated delays or prevent us from marketing any products.</w:t>
      </w:r>
    </w:p>
    <w:p>
      <w:pPr>
        <w:spacing w:after="0" w:line="1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our product candidates, including our Technosphere Insulin System, are subject to regulation, including regulation for safety, efficacy and quality, by the FDA in the United States and comparable authorities in other countries. FDA regulations are wide-ranging and govern, among other things:</w:t>
      </w:r>
    </w:p>
    <w:p>
      <w:pPr>
        <w:spacing w:after="0" w:line="181" w:lineRule="exact"/>
        <w:rPr>
          <w:sz w:val="20"/>
          <w:szCs w:val="20"/>
          <w:color w:val="auto"/>
        </w:rPr>
      </w:pPr>
    </w:p>
    <w:p>
      <w:pPr>
        <w:ind w:left="220" w:hanging="167"/>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Clinical testing can be costly and take many years, and the outcome is uncertain and susceptible to varying interpretations. We expect, based on our interactions with the FDA and on our understanding of the interactions between the FDA and other pharmaceutical companies developing pulmonary insulin delivery systems, that we will need safety data covering at least two years from patients treated with our Technosphere Insulin System and that we must conduct a two-year carcinogenicity study of Technosphere Insulin in rodents. We cannot be certain when or under what conditions we will undertake further clinical trials, including a Phase 3 program for our Technosphere Insulin System. The clinical trials of our product candidates may not be completed on schedule, and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our Technosphere Insulin System.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42"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requirements governing the conduct of clinical trials and manufacturing and marketing of our product candidates, including our Technosphere Insulin System, outside the United States vary widely from country to country. Foreign approvals may take longer to obtain than FDA approvals and can require, among other things, additional testing and different clinical trial designs. Foreign regulatory approval processes include all of the risks associated with the FDA approval processes. Some of those agencies also must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5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process of obtaining FDA and other required regulatory approvals, including foreign approvals, is expensive, often takes many years and can vary substantially based upon the type, complexity and novelty of the products involved. To our knowledge, no pulmonary insulin product has yet been approved for marketing and we are not aware of any precedent for the successful commercialization of products based on our technology or technologies similar to ours. The FDA likely will regulate our Technosphere Insulin System as a “combination product” because of the complex nature of the system that includes the combination of a new drug (Technosphere Insulin) and a new medical device (the MedTone inhaler used to administer the insulin). There have been some indications from the FDA that the review of a future marketing application for our Technosphere Insulin System will involve three separate review groups of the FDA: (1) the Metabolic and Endocrine Drug Products Division; (2) the Pulmonary Drug Products Division; and (3) the Center for Devices and Radiological Health within the FDA that reviews medical devices. We currently understand that the Metabolic and Endocrine Drug Products Division will be the lead group and will obtain consulting reviews from the other two FDA groups. The FDA has not made an official final decision in this regard, however, and we can make no assurances at this time about what impact FDA review by multiple groups will have on the review and approval of our product or whether we are correct in our understanding of how the Technosphere Insulin System will be reviewed.</w:t>
      </w:r>
    </w:p>
    <w:p>
      <w:pPr>
        <w:spacing w:after="0" w:line="138"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FDA review of our Technosphere Insulin System as a combination-product therapy may lengthen the product development and regulatory approval process, increase our development costs and delay or prevent the commercialization of our Technosphere Insulin System.</w:t>
      </w:r>
    </w:p>
    <w:p>
      <w:pPr>
        <w:spacing w:after="0" w:line="102"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We are developing our Technosphere Insulin System as a new treatment for diabetes utilizing unique, proprietary components. The FDA advised us that the Technosphere Insulin System must be tested as an entire system and that changes to either the MedTone inhaler, the Technosphere material or the insulin could result in FDA requirements to repeat clinical studies because the agency will not permit bridging studies. Bridging studies are traditionally performed on investigational medical products to demonstrate relevance of data obtained on older generation products to newer changed products. Our product candidates that are currently in development for the treatment of cancer and autoimmune and inflammatory diseases also face similar obstacles and costs.</w:t>
      </w:r>
    </w:p>
    <w:p>
      <w:pPr>
        <w:spacing w:after="0" w:line="12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12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will not be able to commercialize our Technosphere Insulin System and other product candidates until we have obtained regulatory approval, and any delay in obtaining, or inability to obtain, regulatory approval could harm our business. In addition, regulatory authorities may also limit the segments of the diabetes population to which we or others may market our Technosphere Insulin System or limit the target population for our other product candidates.</w:t>
      </w:r>
    </w:p>
    <w:p>
      <w:pPr>
        <w:spacing w:after="0" w:line="102" w:lineRule="exact"/>
        <w:rPr>
          <w:sz w:val="20"/>
          <w:szCs w:val="20"/>
          <w:color w:val="auto"/>
        </w:rPr>
      </w:pPr>
    </w:p>
    <w:p>
      <w:pPr>
        <w:jc w:val="both"/>
        <w:ind w:right="500"/>
        <w:spacing w:after="0" w:line="266" w:lineRule="auto"/>
        <w:rPr>
          <w:sz w:val="20"/>
          <w:szCs w:val="20"/>
          <w:color w:val="auto"/>
        </w:rPr>
      </w:pPr>
      <w:r>
        <w:rPr>
          <w:rFonts w:ascii="Arial" w:cs="Arial" w:eastAsia="Arial" w:hAnsi="Arial"/>
          <w:sz w:val="18"/>
          <w:szCs w:val="18"/>
          <w:b w:val="1"/>
          <w:b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15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 if we obtain regulatory approval for our product candidates, we will be subject to stringent, ongoing government regulation.</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Even if regulatory authorities approve any of our product candidates, the manufacture, marketing and sale of these product candidates will be subject to stringent and ongoing government regulation. We also are required to register our establishments with the FDA and certain state agencies. We and any third-party manufacturers or suppliers must continually adhere to federal regulations setting forth requirements, known as cGMP (for drugs) and Quality System Regulations (“QSR”) (for medical devices), and their foreign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establishment registration, device listing,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13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insulin supplier does not yet supply human recombinant insulin for an FDA-approved product and will likely be subject to an FDA preapproval inspection before the agency will approve a future marketing application for our Technosphere Insulin System.</w:t>
      </w:r>
    </w:p>
    <w:p>
      <w:pPr>
        <w:spacing w:after="0" w:line="1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our Technosphere Insulin System. We also depend on suppliers for other materials that comprise our Technosphere Insulin System, including our MedTone inhaler and cartridges. We must rely on our MedTone inhaler and cartridge supplier to comply with relevant regulatory requirements including QSR and other FDA requirements for medical device manufacturers. It also is likely that this supplier will be subject to an FDA preapproval inspection before the agency will approve a future marketing application for our Technosphere Insulin System. At the present time our supplier is certified to the ISO 9001:2000 Standard. There can be no assurance, however, that if the FDA were to conduct a preapproval inspection of our supplier, that the agency would find that the supplier substantially complies with the QSR. If we or any potential third-party manufacturer or supplier fail to comply with these cGMP or QSR requirements, regulatory authorities may subject us to regulatory action, including criminal prosecutions, fines and suspension of the manufacture of our products.</w:t>
      </w:r>
    </w:p>
    <w:p>
      <w:pPr>
        <w:spacing w:after="0" w:line="1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regulatory approvals that we receive for our product candidates may also be subject to limitations on the indicated uses for which the product candidate may be marketed or contain requirements for potentially costly post-marketing follow-up clinical trials.</w:t>
      </w:r>
    </w:p>
    <w:p>
      <w:pPr>
        <w:spacing w:after="0" w:line="13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1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At present, there are a number of clinical trials being conducted by other pharmaceutical companies involving insulin delivery systems. The announcement of adverse results from these clinical trials, particularly trials involving the pulmonary delivery of insulin, as well as the FDA’s response to these clinical trials, could negatively impact the timing of our clinical trials, our ability to obtain regulatory approval or the public perception of our products. For example, in 2001, Pfizer and Aventis announced that the planned filing for regulatory approval of their pulmonary insulin product would be delayed, citing two concerns. The first concern was that one patient out of more than 1,000 that had used the inhaled form of insulin had developed pulmonary fibrosis. The incidence of pulmonary fibrosis seen in their Phase 3 clinical trials was comparable to the general population incidence, so it was unclear that the pulmonary fibrosis was related to the use of inhaled insulin. However, the use of inhaled insulin could not be ruled out as a cause. The second concern was that four times as many patients inhaling their drug developed antibodies against insulin as those who injected insulin, although these antibodies did not appear to inhibit insulin activity. Because of these concerns, Pfizer and Aventis stated that the FDA would likely require more safety data. To date, Pfizer and Aventis have filed for regulatory approval in Europe (in March 2004), but have not filed for regulatory approval in the United States. A review of this long-term safety data by the FDA may result in delays in approvals of any inhaled insulin product, including our Technosphere Insulin System. 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proprietary rights, we may not be able to compete effectively, or operate profitably.</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know-how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technologies.</w:t>
      </w:r>
    </w:p>
    <w:p>
      <w:pPr>
        <w:spacing w:after="0" w:line="1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if we attempt to enforce them and they are challenged in court or in other proceedings, such as oppositions, which may be brought in US or foreign jurisdictions to challenge the validity of a patent. A third party may challenge the validity or enforceability of a patent after its issuance by the US Patent and Trademark Office (“USPTO”).</w:t>
      </w:r>
    </w:p>
    <w:p>
      <w:pPr>
        <w:spacing w:after="0" w:line="16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4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1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An adverse determination of any litigation or defense proceedings could put one or more of our patents at risk of being invalidated or interpreted narrowly and could put our patent applications at risk of not issuing.</w:t>
      </w:r>
    </w:p>
    <w:p>
      <w:pPr>
        <w:spacing w:after="0" w:line="16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42"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a patent and the courts do not always arrive at uniform conclusions.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third party may claim that we are using inventions covered by such third party’s patents and may go to court to stop us from engaging in our normal operations and activities. These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be required to obtain a license from the other party in order to continue to commercialize the affected products, or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Although we own a number of domestic and foreign patents and patent applications relating to our Technosphere Insulin System and cancer vaccine products under development, we have identified certain third-party patents that a court may interpret to restrict our freedom to operate (that is, to cover our products) in the areas of Technosphere formulations, pulmonary insulin delivery and the treatment of cancer. Specifically, we have identified certain third-party patents having claims relating to chemical compositions of matter and pulmonary insulin delivery that may trigger an allegation of infringement upon the commercial manufacture and sale of our Technosphere Insulin System. We have also identified third-party patents disclosing methods of use and compositions of matter related to DNA-based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Patent litigation is costly and time-consuming. Among other things, such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Although patent and intellectual property disputes in the pharmaceutical area have often been settled for licensing or similar arrangements, associated costs may be substantial and could include ongoing royalties.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obtain trademark registrations for our potential trade names.</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not selected trade names for some of our products and product candidates; therefore, we have not filed trademark registrations for our potential trade names for those products in any jurisdiction, including the United States.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that our stock price will fluctuate significantly.</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completed our initial public offering on August 2, 2004. Prior to that, our stockholders could not buy or sell our common stock publicly. An active public market for our common stock may not continue to develop or be sustained. The stock market, particularly in recent years, has experienced significant volatility particularly with respect to pharmaceutical and biotechnology stocks.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188" w:lineRule="exact"/>
        <w:rPr>
          <w:sz w:val="20"/>
          <w:szCs w:val="20"/>
          <w:color w:val="auto"/>
        </w:rPr>
      </w:pPr>
    </w:p>
    <w:p>
      <w:pPr>
        <w:ind w:left="220" w:hanging="167"/>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progress and results of our clinical trials;</w:t>
      </w:r>
    </w:p>
    <w:p>
      <w:pPr>
        <w:spacing w:after="0" w:line="225" w:lineRule="exact"/>
        <w:rPr>
          <w:rFonts w:ascii="Arial" w:cs="Arial" w:eastAsia="Arial" w:hAnsi="Arial"/>
          <w:sz w:val="18"/>
          <w:szCs w:val="18"/>
          <w:color w:val="auto"/>
        </w:rPr>
      </w:pPr>
    </w:p>
    <w:p>
      <w:pPr>
        <w:ind w:left="220" w:right="560" w:hanging="167"/>
        <w:spacing w:after="0" w:line="277"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our competitors concerning their clinical trial results, acquisitions, strategic alliances, technological innovations and newly approved commercial products;</w:t>
      </w:r>
    </w:p>
    <w:p>
      <w:pPr>
        <w:spacing w:after="0" w:line="170" w:lineRule="exact"/>
        <w:rPr>
          <w:rFonts w:ascii="Arial" w:cs="Arial" w:eastAsia="Arial" w:hAnsi="Arial"/>
          <w:sz w:val="18"/>
          <w:szCs w:val="18"/>
          <w:color w:val="auto"/>
        </w:rPr>
      </w:pPr>
    </w:p>
    <w:p>
      <w:pPr>
        <w:ind w:left="220" w:hanging="167"/>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our Technosphere Insulin System or other product candidates;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developments concerning our patents, proprietary rights and potential infringement claims;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and operating performance;</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 and</w:t>
      </w:r>
    </w:p>
    <w:p>
      <w:pPr>
        <w:spacing w:after="0" w:line="225" w:lineRule="exact"/>
        <w:rPr>
          <w:rFonts w:ascii="Arial" w:cs="Arial" w:eastAsia="Arial" w:hAnsi="Arial"/>
          <w:sz w:val="18"/>
          <w:szCs w:val="18"/>
          <w:color w:val="auto"/>
        </w:rPr>
      </w:pPr>
    </w:p>
    <w:p>
      <w:pPr>
        <w:ind w:left="220" w:hanging="167"/>
        <w:spacing w:after="0" w:line="277"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discussion of our Technosphere Insulin System, our other product candidates, competitors’ products, or our stock price by the financial and scientific press, the healthcare community and online investor communities such as chat rooms.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8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other biotechnology and biopharmaceutical companies or the securities markets in general encounter problems, the market price of our common stock could be adversely affected.</w:t>
      </w:r>
    </w:p>
    <w:p>
      <w:pPr>
        <w:spacing w:after="0" w:line="1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Public companies in general and companies included on The Nasdaq National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13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37"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Alfred E. Mann, our Chairman,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13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Mr. Mann has been our primary source of financing prior to the initial public offering. As of September 30, 2004, Mr. Mann owned or controlled approximately 48.5% of our outstanding shares of common stock. By virtue of his holdings, he is able to effectively control the election of the members of our board of directors, control our management and affairs and prevent corporate transactions such as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mergers, consolidations or the sale of all or substantially all of our assets that may be favorable from our standpoint or that of our other stockholders or cause a transaction that we or our stockholders may view as unfavorable.</w:t>
      </w:r>
    </w:p>
    <w:p>
      <w:pPr>
        <w:spacing w:after="0" w:line="14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Subject to compliance with federal and state securities laws, Mr. Mann is free to sell the shares of our stock he holds at any time following the expiration of his lock-up agreement with the underwriters.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 at the University of Southern California, and that may serve as funding organizations for any other charities that he may establish. The AEMMRO is a membership foundation consisting of six members, including Mr. Mann, four of his children and Dr. Joseph Schulman, the director of AMF. The AEMFBE is a membership foundation consisting of five members, including Mr. Mann and the same four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12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Mr. Mann has agreed to certain provisions regarding the disposition of his shares, including a prohibition on the sale of his shares for a period of 180 days following the date of the Prospectus, July 28, 2004.</w:t>
      </w:r>
    </w:p>
    <w:p>
      <w:pPr>
        <w:spacing w:after="0" w:line="126" w:lineRule="exact"/>
        <w:rPr>
          <w:sz w:val="20"/>
          <w:szCs w:val="20"/>
          <w:color w:val="auto"/>
        </w:rPr>
      </w:pPr>
    </w:p>
    <w:p>
      <w:pPr>
        <w:ind w:right="640"/>
        <w:spacing w:after="0" w:line="347" w:lineRule="auto"/>
        <w:rPr>
          <w:sz w:val="20"/>
          <w:szCs w:val="20"/>
          <w:color w:val="auto"/>
        </w:rPr>
      </w:pPr>
      <w:r>
        <w:rPr>
          <w:rFonts w:ascii="Arial" w:cs="Arial" w:eastAsia="Arial" w:hAnsi="Arial"/>
          <w:sz w:val="16"/>
          <w:szCs w:val="16"/>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9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amended and restated certificate of incorporation and bylaws include anti-takeover provisions, such as a prohibition on stockholder actions by written consent, the authority of our board of directors to issue preferred stock without stockholder approval, and supermajority voting requirements for specified actions. In addition, because we are incorporated in Delaware, we are governed by the provisions of Section 203 of the Delaware General Corporation Law, which generally prohibits stockholders owning in excess of 15% of our outstanding voting stock from merging or combining with us.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33"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Because we do not expect to pay dividends in the foreseeable future, our stockholders must rely on stock appreciation for any return on their investment.</w:t>
      </w:r>
    </w:p>
    <w:p>
      <w:pPr>
        <w:spacing w:after="0" w:line="1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or even maintain the price at which you purchased your shares, and you may not realize a return on your investment in our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not used derivative financial instruments for speculation or trading purposes. However, we are exposed to market risk related to changes in interest rates. Our current policy is to maintain an investment portfolio consisting mainly of U.S. money market and government-grade securities, directly or through managed funds, with maturities of one year or less. Our cash is deposited in and invested through highly rated financial institutions in North America. Our short-term investments are subject to interest rate risk and will fall in value if market interest rates increase. If market interest rates were to increase immediately and uniformly by ten percent from levels at September 30, 2004, we estimate that the fair value of our investment portfolio would decline by an immaterial amount. We currently have the ability to hold our fixed income investments until maturity, and therefore we do not expect our operating results or cash flows to be affected to any significant degree by the effect of a change in market interest rates on our investments.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assets are primarily monetary, consisting of cash, and cash equivalents. Because of their liquidity, these assets are not directly affected by inflation. We also believe that we have intangible assets in the value of our technology. In accordance with generally accepted accounting principles, we have not capitalized the value of this intellectual property on our consolidated balance sheet. Due to the nature of this intellectual property, we believe that these intangible assets are not affected by inflation. Because we intend to retain and continue to use our equipment, furniture and fixtures and leasehold improvements, we believe that the incremental inflation related to replacement costs of such items will not materially affect our operations. However, the rate of inflation affects our expenses, such as those for employee compensation and contract services, which could increase our level of expenses and the rate at which we use our resources.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foregoing, our chief executive officer and chief financial officer concluded that our disclosure controls and procedures were effective at the reasonable assurance level.</w:t>
      </w:r>
    </w:p>
    <w:p>
      <w:pPr>
        <w:spacing w:after="0" w:line="14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3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its disclosure controls will prevent all errors or potential fraud. A control system, no matter how well conceived and operated, can provide only reasonable and not absolute assurance that the objectives of the control system are met. Further, the design of a control system must reflect the fact that there are resource constraints, and the benefits of controls must be considered relative to their cost.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simple error or mistake. Additionally, controls can be circumvented by the individual acts of some persons or by collusion of two or more people.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240" w:right="8060" w:hanging="7"/>
        <w:spacing w:after="0" w:line="454" w:lineRule="auto"/>
        <w:tabs>
          <w:tab w:leader="none" w:pos="4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Unregistered Sales of Equity Securities None</w:t>
      </w:r>
    </w:p>
    <w:p>
      <w:pPr>
        <w:ind w:left="480" w:hanging="247"/>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of Proceeds</w:t>
      </w:r>
    </w:p>
    <w:p>
      <w:pPr>
        <w:spacing w:after="0" w:line="198" w:lineRule="exact"/>
        <w:rPr>
          <w:sz w:val="20"/>
          <w:szCs w:val="20"/>
          <w:color w:val="auto"/>
        </w:rPr>
      </w:pPr>
    </w:p>
    <w:p>
      <w:pPr>
        <w:jc w:val="both"/>
        <w:ind w:right="320" w:firstLine="222"/>
        <w:spacing w:after="0" w:line="264" w:lineRule="auto"/>
        <w:rPr>
          <w:sz w:val="20"/>
          <w:szCs w:val="20"/>
          <w:color w:val="auto"/>
        </w:rPr>
      </w:pPr>
      <w:r>
        <w:rPr>
          <w:rFonts w:ascii="Arial" w:cs="Arial" w:eastAsia="Arial" w:hAnsi="Arial"/>
          <w:sz w:val="18"/>
          <w:szCs w:val="18"/>
          <w:color w:val="auto"/>
        </w:rPr>
        <w:t>The initial public offering of our common stock, par value $0.01 per share, was effected through a Registration Statement on Form S-1 (File No. 333-115020) that was declared effective by the SEC on July 27, 2004, and a Registration Statement on Form S-1 (File No. 333-117702) that became effective upon filing with the SEC on July 28, 2004. The Registration Statements covered the offer and</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sale of up to 7,187,500 shares of our common stock, including an over-allotment option we granted to the underwriters to purchase up to 937,500 shares of our common stock from us, for an aggregate offering price of $100.6 million. Our initial public offering commenced on July 28, 2004. On August 2, 2004, 6,250,000 shares of our common stock were sold for an aggregate offering price of $87.5 million. The managing underwriters in the offering were UBS Investment Bank, Piper Jaffray, Wachovia Securities, Jefferies &amp; Company, Inc. and Harris Nesbitt. The underwriters exercised 307,100 shares of the over-allotment option on August 28, 2004 and the closing occurred on September 1, 2004.</w:t>
      </w:r>
    </w:p>
    <w:p>
      <w:pPr>
        <w:spacing w:after="0" w:line="146"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Our initial public offering resulted in aggregate net proceeds to us of approximately $83.2 million, including approximately $4.0 million in proceeds from the exercise of the underwriter’s over-allotment option. In connection with the offering, we paid $6.4 million in underwriting discounts and commissions and offering expenses of approximately $2.2 million.</w:t>
      </w:r>
    </w:p>
    <w:p>
      <w:pPr>
        <w:spacing w:after="0" w:line="141"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No offering expenses were paid directly or indirectly to any of our directors or officers (or their associates) or person owning ten percent or more of any class of our equity securities or to any other affiliates. All offering expenses were paid directly to others. The foregoing payments were direct payments made to third parties who were not our directors or officers (or their associates), persons owning ten percent or more of any class of our equity securities or any other affiliate, except that the proceeds used for working capital included regular compensation for officers and directors.</w:t>
      </w:r>
    </w:p>
    <w:p>
      <w:pPr>
        <w:spacing w:after="0" w:line="131"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No offering expenses were paid directly or indirectly to any of our directors or officers (or their associates) or person owning ten percent or more of any class of our equity securities or to any other affiliates. All offering expenses were paid directly to others.</w:t>
      </w:r>
    </w:p>
    <w:p>
      <w:pPr>
        <w:spacing w:after="0" w:line="143" w:lineRule="exact"/>
        <w:rPr>
          <w:sz w:val="20"/>
          <w:szCs w:val="20"/>
          <w:color w:val="auto"/>
        </w:rPr>
      </w:pPr>
    </w:p>
    <w:p>
      <w:pPr>
        <w:ind w:right="500" w:firstLine="215"/>
        <w:spacing w:after="0" w:line="308" w:lineRule="auto"/>
        <w:rPr>
          <w:sz w:val="20"/>
          <w:szCs w:val="20"/>
          <w:color w:val="auto"/>
        </w:rPr>
      </w:pPr>
      <w:r>
        <w:rPr>
          <w:rFonts w:ascii="Arial" w:cs="Arial" w:eastAsia="Arial" w:hAnsi="Arial"/>
          <w:sz w:val="17"/>
          <w:szCs w:val="17"/>
          <w:color w:val="auto"/>
        </w:rPr>
        <w:t>As of September 30, 2004, we estimate that we had used approximately $13.4 million for operating activities and approximately $2.1 million for the purchase of manufacturing equipment. The remainder of the proceeds has been invested into short-term securities and cash equivalents.</w:t>
      </w:r>
    </w:p>
    <w:p>
      <w:pPr>
        <w:spacing w:after="0" w:line="106" w:lineRule="exact"/>
        <w:rPr>
          <w:sz w:val="20"/>
          <w:szCs w:val="20"/>
          <w:color w:val="auto"/>
        </w:rPr>
      </w:pPr>
    </w:p>
    <w:p>
      <w:pPr>
        <w:jc w:val="both"/>
        <w:ind w:firstLine="222"/>
        <w:spacing w:after="0" w:line="259" w:lineRule="auto"/>
        <w:rPr>
          <w:sz w:val="20"/>
          <w:szCs w:val="20"/>
          <w:color w:val="auto"/>
        </w:rPr>
      </w:pPr>
      <w:r>
        <w:rPr>
          <w:rFonts w:ascii="Arial" w:cs="Arial" w:eastAsia="Arial" w:hAnsi="Arial"/>
          <w:sz w:val="18"/>
          <w:szCs w:val="18"/>
          <w:color w:val="auto"/>
        </w:rPr>
        <w:t>The foregoing payments were direct payments made to third parties who were not our directors or officers (or their associates), persons owning ten percent or more of any class of our equity securities or any other affiliate, except that the proceeds used for working capital included regular compensation for officers and directors. The use of proceeds does not represent a material change from the use of proceeds described in the prospectus we filed pursuant to Rule 424(b) of the Securities Act with the SEC on July 28, 2004.</w:t>
      </w:r>
    </w:p>
    <w:p>
      <w:pPr>
        <w:spacing w:after="0" w:line="146" w:lineRule="exact"/>
        <w:rPr>
          <w:sz w:val="20"/>
          <w:szCs w:val="20"/>
          <w:color w:val="auto"/>
        </w:rPr>
      </w:pPr>
    </w:p>
    <w:p>
      <w:pPr>
        <w:ind w:left="240" w:right="10040" w:hanging="7"/>
        <w:spacing w:after="0" w:line="551" w:lineRule="auto"/>
        <w:tabs>
          <w:tab w:leader="none" w:pos="485"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Repurchases 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89"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On July 20, 2004, our stockholders acted by written consent to approve and adopt an Amended and Restated Certificate of Incorporation to be filed prior to the effectiveness of our initial public offering to implement a 1-for-3 reverse stock split of our outstanding common stock. Stockholders holding an aggregate of 14,190,507 shares approved the reverse stock split set forth in the action by written consent and stockholders holding approximately 11,950,954 shares did not vote with respect to the reverse stock split.</w:t>
      </w:r>
    </w:p>
    <w:p>
      <w:pPr>
        <w:spacing w:after="0" w:line="146"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The above action was effected pursuant to an action by written consent of our stockholders in compliance with Section 228 of the Delaware General Corporation Law.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jc w:val="right"/>
              <w:ind w:right="353"/>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9980" w:type="dxa"/>
            <w:vAlign w:val="bottom"/>
            <w:vMerge w:val="restart"/>
          </w:tcPr>
          <w:p>
            <w:pPr>
              <w:ind w:left="43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40" w:type="dxa"/>
            <w:vAlign w:val="bottom"/>
          </w:tcPr>
          <w:p>
            <w:pPr>
              <w:jc w:val="right"/>
              <w:ind w:right="333"/>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34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99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5"/>
              </w:rPr>
              <w:t>Amended and Restated Certificate of Incorporation as currently in effect (incorporated by reference from Exhibit 3.5 to Registration</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Statement File No. 333-115020)</w:t>
            </w:r>
          </w:p>
        </w:tc>
        <w:tc>
          <w:tcPr>
            <w:tcW w:w="0" w:type="dxa"/>
            <w:vAlign w:val="bottom"/>
          </w:tcPr>
          <w:p>
            <w:pPr>
              <w:spacing w:after="0"/>
              <w:rPr>
                <w:sz w:val="1"/>
                <w:szCs w:val="1"/>
                <w:color w:val="auto"/>
              </w:rPr>
            </w:pPr>
          </w:p>
        </w:tc>
      </w:tr>
      <w:tr>
        <w:trPr>
          <w:trHeight w:val="418"/>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Amended and Restated Bylaws as currently in effect (incorporated by reference from Exhibit 3.7 to Registration Statement File No. 333-</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10080" w:type="dxa"/>
            <w:vAlign w:val="bottom"/>
            <w:gridSpan w:val="2"/>
          </w:tcPr>
          <w:p>
            <w:pPr>
              <w:ind w:left="100"/>
              <w:spacing w:after="0"/>
              <w:rPr>
                <w:sz w:val="20"/>
                <w:szCs w:val="20"/>
                <w:color w:val="auto"/>
              </w:rPr>
            </w:pPr>
            <w:r>
              <w:rPr>
                <w:rFonts w:ascii="Arial" w:cs="Arial" w:eastAsia="Arial" w:hAnsi="Arial"/>
                <w:sz w:val="18"/>
                <w:szCs w:val="18"/>
                <w:color w:val="auto"/>
              </w:rPr>
              <w:t>115020)</w:t>
            </w:r>
          </w:p>
        </w:tc>
        <w:tc>
          <w:tcPr>
            <w:tcW w:w="0" w:type="dxa"/>
            <w:vAlign w:val="bottom"/>
          </w:tcPr>
          <w:p>
            <w:pPr>
              <w:spacing w:after="0"/>
              <w:rPr>
                <w:sz w:val="1"/>
                <w:szCs w:val="1"/>
                <w:color w:val="auto"/>
              </w:rPr>
            </w:pPr>
          </w:p>
        </w:tc>
      </w:tr>
      <w:tr>
        <w:trPr>
          <w:trHeight w:val="432"/>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9"/>
              </w:rPr>
              <w:t>Form of Common Stock Certificate (incorporated by reference from Exhibit 4.1 to Registration Statement File No. 333-115020)</w:t>
            </w:r>
          </w:p>
        </w:tc>
        <w:tc>
          <w:tcPr>
            <w:tcW w:w="0" w:type="dxa"/>
            <w:vAlign w:val="bottom"/>
          </w:tcPr>
          <w:p>
            <w:pPr>
              <w:spacing w:after="0"/>
              <w:rPr>
                <w:sz w:val="1"/>
                <w:szCs w:val="1"/>
                <w:color w:val="auto"/>
              </w:rPr>
            </w:pPr>
          </w:p>
        </w:tc>
      </w:tr>
      <w:tr>
        <w:trPr>
          <w:trHeight w:val="418"/>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5"/>
              </w:rPr>
              <w:t>Registration Rights Agreement made and entered into as of October 15, 1998 by and among CTL Immunotherapies Corp., Medical</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4"/>
              </w:rPr>
              <w:t>Research Group, LLC. McLean Watson Advisory Inc. and Alfred E. Mann, as amended (incorporated by reference from Exhibit 4.2 to</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Registration Statement File No. 333-115020)</w:t>
            </w:r>
          </w:p>
        </w:tc>
        <w:tc>
          <w:tcPr>
            <w:tcW w:w="0" w:type="dxa"/>
            <w:vAlign w:val="bottom"/>
          </w:tcPr>
          <w:p>
            <w:pPr>
              <w:spacing w:after="0"/>
              <w:rPr>
                <w:sz w:val="1"/>
                <w:szCs w:val="1"/>
                <w:color w:val="auto"/>
              </w:rPr>
            </w:pPr>
          </w:p>
        </w:tc>
      </w:tr>
      <w:tr>
        <w:trPr>
          <w:trHeight w:val="432"/>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Form of Indemnity Agreement (incorporated by reference from Exhibit 10.1 to Registration Statement File No. 333-115020)</w:t>
            </w:r>
          </w:p>
        </w:tc>
        <w:tc>
          <w:tcPr>
            <w:tcW w:w="0" w:type="dxa"/>
            <w:vAlign w:val="bottom"/>
          </w:tcPr>
          <w:p>
            <w:pPr>
              <w:spacing w:after="0"/>
              <w:rPr>
                <w:sz w:val="1"/>
                <w:szCs w:val="1"/>
                <w:color w:val="auto"/>
              </w:rPr>
            </w:pPr>
          </w:p>
        </w:tc>
      </w:tr>
      <w:tr>
        <w:trPr>
          <w:trHeight w:val="418"/>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3"/>
              </w:rPr>
              <w:t>2004 Equity Incentive Plan and Form of Stock Option Agreement thereunder (incorporated by reference from Exhibit 10.2 to Quarterly</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Report on Form 10-Q for the quarter ended June 30, 2004)</w:t>
            </w:r>
          </w:p>
        </w:tc>
        <w:tc>
          <w:tcPr>
            <w:tcW w:w="0" w:type="dxa"/>
            <w:vAlign w:val="bottom"/>
          </w:tcPr>
          <w:p>
            <w:pPr>
              <w:spacing w:after="0"/>
              <w:rPr>
                <w:sz w:val="1"/>
                <w:szCs w:val="1"/>
                <w:color w:val="auto"/>
              </w:rPr>
            </w:pPr>
          </w:p>
        </w:tc>
      </w:tr>
      <w:tr>
        <w:trPr>
          <w:trHeight w:val="418"/>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5"/>
              </w:rPr>
              <w:t>2004 Non-Employee Directors’ Stock Option Plan and Form of Stock Option Agreement thereunder (incorporated by reference from</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Exhibit 10.3 to Registration Statement No. 333-115020)</w:t>
            </w:r>
          </w:p>
        </w:tc>
        <w:tc>
          <w:tcPr>
            <w:tcW w:w="0" w:type="dxa"/>
            <w:vAlign w:val="bottom"/>
          </w:tcPr>
          <w:p>
            <w:pPr>
              <w:spacing w:after="0"/>
              <w:rPr>
                <w:sz w:val="1"/>
                <w:szCs w:val="1"/>
                <w:color w:val="auto"/>
              </w:rPr>
            </w:pPr>
          </w:p>
        </w:tc>
      </w:tr>
      <w:tr>
        <w:trPr>
          <w:trHeight w:val="418"/>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7"/>
              </w:rPr>
              <w:t>2004 Employee Stock Purchase Plan and Form of Offering Document thereunder (incorporated by reference from Exhibit 10.4 to</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Registration Statement File No. 333-115020)</w:t>
            </w:r>
          </w:p>
        </w:tc>
        <w:tc>
          <w:tcPr>
            <w:tcW w:w="0" w:type="dxa"/>
            <w:vAlign w:val="bottom"/>
          </w:tcPr>
          <w:p>
            <w:pPr>
              <w:spacing w:after="0"/>
              <w:rPr>
                <w:sz w:val="1"/>
                <w:szCs w:val="1"/>
                <w:color w:val="auto"/>
              </w:rPr>
            </w:pPr>
          </w:p>
        </w:tc>
      </w:tr>
      <w:tr>
        <w:trPr>
          <w:trHeight w:val="432"/>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Certification of the Chief Executive Officer under Section 302 of the Sarbanes-Oxley Act of 2002</w:t>
            </w:r>
          </w:p>
        </w:tc>
        <w:tc>
          <w:tcPr>
            <w:tcW w:w="0" w:type="dxa"/>
            <w:vAlign w:val="bottom"/>
          </w:tcPr>
          <w:p>
            <w:pPr>
              <w:spacing w:after="0"/>
              <w:rPr>
                <w:sz w:val="1"/>
                <w:szCs w:val="1"/>
                <w:color w:val="auto"/>
              </w:rPr>
            </w:pPr>
          </w:p>
        </w:tc>
      </w:tr>
      <w:tr>
        <w:trPr>
          <w:trHeight w:val="432"/>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Certification of the Chief Financial Officer under Section 302 of the Sarbanes-Oxley Act of 2002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20" w:right="820" w:hanging="5036"/>
        <w:spacing w:after="0" w:line="481" w:lineRule="auto"/>
        <w:tabs>
          <w:tab w:leader="none" w:pos="14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under Section 906 of the Sarbanes-Oxley Act of 2002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this 12th day of November 2004.</w:t>
      </w:r>
    </w:p>
    <w:p>
      <w:pPr>
        <w:spacing w:after="0" w:line="387" w:lineRule="exact"/>
        <w:rPr>
          <w:sz w:val="20"/>
          <w:szCs w:val="20"/>
          <w:color w:val="auto"/>
        </w:rPr>
      </w:pPr>
    </w:p>
    <w:p>
      <w:pPr>
        <w:ind w:left="5360"/>
        <w:spacing w:after="0"/>
        <w:tabs>
          <w:tab w:leader="none" w:pos="5860" w:val="left"/>
        </w:tabs>
        <w:rPr>
          <w:sz w:val="20"/>
          <w:szCs w:val="20"/>
          <w:color w:val="auto"/>
        </w:rPr>
      </w:pPr>
      <w:r>
        <w:rPr>
          <w:rFonts w:ascii="Arial" w:cs="Arial" w:eastAsia="Arial" w:hAnsi="Arial"/>
          <w:sz w:val="18"/>
          <w:szCs w:val="18"/>
          <w:color w:val="auto"/>
        </w:rPr>
        <w:t>By:</w:t>
        <w:tab/>
        <w:t>/s/ RICHARD L. ANDERSON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Corporate Vice President and 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80" w:type="dxa"/>
            <w:vAlign w:val="bottom"/>
          </w:tcPr>
          <w:p>
            <w:pPr>
              <w:ind w:left="3580"/>
              <w:spacing w:after="0"/>
              <w:rPr>
                <w:sz w:val="20"/>
                <w:szCs w:val="20"/>
                <w:color w:val="auto"/>
              </w:rPr>
            </w:pPr>
            <w:r>
              <w:rPr>
                <w:rFonts w:ascii="Arial" w:cs="Arial" w:eastAsia="Arial" w:hAnsi="Arial"/>
                <w:sz w:val="18"/>
                <w:szCs w:val="18"/>
                <w:b w:val="1"/>
                <w:bCs w:val="1"/>
                <w:color w:val="auto"/>
              </w:rPr>
              <w:t>EXHIBIT INDEX</w:t>
            </w:r>
          </w:p>
        </w:tc>
      </w:tr>
      <w:tr>
        <w:trPr>
          <w:trHeight w:val="531"/>
        </w:trPr>
        <w:tc>
          <w:tcPr>
            <w:tcW w:w="1340" w:type="dxa"/>
            <w:vAlign w:val="bottom"/>
          </w:tcPr>
          <w:p>
            <w:pPr>
              <w:jc w:val="right"/>
              <w:ind w:right="353"/>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9980" w:type="dxa"/>
            <w:vAlign w:val="bottom"/>
          </w:tcPr>
          <w:p>
            <w:pPr>
              <w:spacing w:after="0"/>
              <w:rPr>
                <w:sz w:val="24"/>
                <w:szCs w:val="24"/>
                <w:color w:val="auto"/>
              </w:rPr>
            </w:pPr>
          </w:p>
        </w:tc>
      </w:tr>
      <w:tr>
        <w:trPr>
          <w:trHeight w:val="186"/>
        </w:trPr>
        <w:tc>
          <w:tcPr>
            <w:tcW w:w="1340" w:type="dxa"/>
            <w:vAlign w:val="bottom"/>
          </w:tcPr>
          <w:p>
            <w:pPr>
              <w:jc w:val="right"/>
              <w:ind w:right="333"/>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9980" w:type="dxa"/>
            <w:vAlign w:val="bottom"/>
          </w:tcPr>
          <w:p>
            <w:pPr>
              <w:spacing w:after="0"/>
              <w:rPr>
                <w:sz w:val="16"/>
                <w:szCs w:val="16"/>
                <w:color w:val="auto"/>
              </w:rPr>
            </w:pPr>
          </w:p>
        </w:tc>
      </w:tr>
      <w:tr>
        <w:trPr>
          <w:trHeight w:val="53"/>
        </w:trPr>
        <w:tc>
          <w:tcPr>
            <w:tcW w:w="134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9980" w:type="dxa"/>
            <w:vAlign w:val="bottom"/>
            <w:tcBorders>
              <w:bottom w:val="single" w:sz="8" w:color="808080"/>
            </w:tcBorders>
          </w:tcPr>
          <w:p>
            <w:pPr>
              <w:spacing w:after="0"/>
              <w:rPr>
                <w:sz w:val="4"/>
                <w:szCs w:val="4"/>
                <w:color w:val="auto"/>
              </w:rPr>
            </w:pPr>
          </w:p>
        </w:tc>
      </w:tr>
      <w:tr>
        <w:trPr>
          <w:trHeight w:val="276"/>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5"/>
              </w:rPr>
              <w:t>Amended and Restated Certificate of Incorporation as currently in effect (incorporated by reference from Exhibit 3.5 to Registration</w:t>
            </w:r>
          </w:p>
        </w:tc>
      </w:tr>
      <w:tr>
        <w:trPr>
          <w:trHeight w:val="230"/>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Statement File No. 333-115020)</w:t>
            </w:r>
          </w:p>
        </w:tc>
      </w:tr>
      <w:tr>
        <w:trPr>
          <w:trHeight w:val="418"/>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Amended and Restated Bylaws as currently in effect (incorporated by reference from Exhibit 3.7 to Registration Statement File No. 333-</w:t>
            </w:r>
          </w:p>
        </w:tc>
      </w:tr>
      <w:tr>
        <w:trPr>
          <w:trHeight w:val="230"/>
        </w:trPr>
        <w:tc>
          <w:tcPr>
            <w:tcW w:w="1340" w:type="dxa"/>
            <w:vAlign w:val="bottom"/>
          </w:tcPr>
          <w:p>
            <w:pPr>
              <w:spacing w:after="0"/>
              <w:rPr>
                <w:sz w:val="20"/>
                <w:szCs w:val="20"/>
                <w:color w:val="auto"/>
              </w:rPr>
            </w:pPr>
          </w:p>
        </w:tc>
        <w:tc>
          <w:tcPr>
            <w:tcW w:w="10080" w:type="dxa"/>
            <w:vAlign w:val="bottom"/>
            <w:gridSpan w:val="2"/>
          </w:tcPr>
          <w:p>
            <w:pPr>
              <w:ind w:left="100"/>
              <w:spacing w:after="0"/>
              <w:rPr>
                <w:sz w:val="20"/>
                <w:szCs w:val="20"/>
                <w:color w:val="auto"/>
              </w:rPr>
            </w:pPr>
            <w:r>
              <w:rPr>
                <w:rFonts w:ascii="Arial" w:cs="Arial" w:eastAsia="Arial" w:hAnsi="Arial"/>
                <w:sz w:val="18"/>
                <w:szCs w:val="18"/>
                <w:color w:val="auto"/>
              </w:rPr>
              <w:t>115020)</w:t>
            </w:r>
          </w:p>
        </w:tc>
      </w:tr>
      <w:tr>
        <w:trPr>
          <w:trHeight w:val="432"/>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9"/>
              </w:rPr>
              <w:t>Form of Common Stock Certificate (incorporated by reference from Exhibit 4.1 to Registration Statement File No. 333-115020)</w:t>
            </w:r>
          </w:p>
        </w:tc>
      </w:tr>
      <w:tr>
        <w:trPr>
          <w:trHeight w:val="418"/>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5"/>
              </w:rPr>
              <w:t>Registration Rights Agreement made and entered into as of October 15, 1998 by and among CTL Immunotherapies Corp., Medical</w:t>
            </w:r>
          </w:p>
        </w:tc>
      </w:tr>
      <w:tr>
        <w:trPr>
          <w:trHeight w:val="216"/>
        </w:trPr>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4"/>
              </w:rPr>
              <w:t>Research Group, LLC. McLean Watson Advisory Inc. and Alfred E. Mann, as amended (incorporated by reference from Exhibit 4.2 to</w:t>
            </w:r>
          </w:p>
        </w:tc>
      </w:tr>
      <w:tr>
        <w:trPr>
          <w:trHeight w:val="230"/>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Registration Statement File No. 333-115020)</w:t>
            </w:r>
          </w:p>
        </w:tc>
      </w:tr>
      <w:tr>
        <w:trPr>
          <w:trHeight w:val="432"/>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Form of Indemnity Agreement (incorporated by reference from Exhibit 10.1 to Registration Statement File No. 333-115020)</w:t>
            </w:r>
          </w:p>
        </w:tc>
      </w:tr>
      <w:tr>
        <w:trPr>
          <w:trHeight w:val="418"/>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3"/>
              </w:rPr>
              <w:t>2004 Equity Incentive Plan and Form of Stock Option Agreement thereunder (incorporated by reference from Exhibit 10.2 to Quarterly</w:t>
            </w:r>
          </w:p>
        </w:tc>
      </w:tr>
      <w:tr>
        <w:trPr>
          <w:trHeight w:val="230"/>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Report on Form 10-Q for the quarter ended June 30, 2004)</w:t>
            </w:r>
          </w:p>
        </w:tc>
      </w:tr>
      <w:tr>
        <w:trPr>
          <w:trHeight w:val="418"/>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5"/>
              </w:rPr>
              <w:t>2004 Non-Employee Directors’ Stock Option Plan and Form of Stock Option Agreement thereunder (incorporated by reference from</w:t>
            </w:r>
          </w:p>
        </w:tc>
      </w:tr>
      <w:tr>
        <w:trPr>
          <w:trHeight w:val="230"/>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Exhibit 10.3 to Registration Statement No. 333-115020)</w:t>
            </w:r>
          </w:p>
        </w:tc>
      </w:tr>
      <w:tr>
        <w:trPr>
          <w:trHeight w:val="418"/>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7"/>
              </w:rPr>
              <w:t>2004 Employee Stock Purchase Plan and Form of Offering Document thereunder (incorporated by reference from Exhibit 10.4 to</w:t>
            </w:r>
          </w:p>
        </w:tc>
      </w:tr>
      <w:tr>
        <w:trPr>
          <w:trHeight w:val="230"/>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Registration Statement File No. 333-115020)</w:t>
            </w:r>
          </w:p>
        </w:tc>
      </w:tr>
      <w:tr>
        <w:trPr>
          <w:trHeight w:val="432"/>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Certification of the Chief Executive Officer under Section 302 of the Sarbanes-Oxley Act of 2002</w:t>
            </w:r>
          </w:p>
        </w:tc>
      </w:tr>
      <w:tr>
        <w:trPr>
          <w:trHeight w:val="432"/>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Certification of the Chief Financial Officer under Section 302 of the Sarbanes-Oxley Act of 2002</w:t>
            </w:r>
          </w:p>
        </w:tc>
      </w:tr>
      <w:tr>
        <w:trPr>
          <w:trHeight w:val="432"/>
        </w:trPr>
        <w:tc>
          <w:tcPr>
            <w:tcW w:w="1340" w:type="dxa"/>
            <w:vAlign w:val="bottom"/>
          </w:tcPr>
          <w:p>
            <w:pPr>
              <w:jc w:val="right"/>
              <w:ind w:right="49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Certifications of the Chief Executive Officer and Chief Financial Officer under Section 906 of the Sarbanes-Oxley Act of 2002</w:t>
            </w:r>
          </w:p>
        </w:tc>
      </w:tr>
    </w:tbl>
    <w:p>
      <w:pPr>
        <w:sectPr>
          <w:pgSz w:w="11900" w:h="16838" w:orient="portrait"/>
          <w:cols w:equalWidth="0" w:num="1">
            <w:col w:w="11420"/>
          </w:cols>
          <w:pgMar w:left="240" w:top="419"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EXHIBIT 31.1</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CHIEF EXECUTIVE OFFICER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SECTION 302 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85" w:lineRule="exact"/>
        <w:rPr>
          <w:sz w:val="20"/>
          <w:szCs w:val="20"/>
          <w:color w:val="auto"/>
        </w:rPr>
      </w:pPr>
    </w:p>
    <w:p>
      <w:pPr>
        <w:ind w:left="420" w:hanging="187"/>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MannKind Corporation;</w:t>
      </w:r>
    </w:p>
    <w:p>
      <w:pPr>
        <w:spacing w:after="0" w:line="184" w:lineRule="exact"/>
        <w:rPr>
          <w:rFonts w:ascii="Arial" w:cs="Arial" w:eastAsia="Arial" w:hAnsi="Arial"/>
          <w:sz w:val="18"/>
          <w:szCs w:val="18"/>
          <w:color w:val="auto"/>
        </w:rPr>
      </w:pPr>
    </w:p>
    <w:p>
      <w:pPr>
        <w:ind w:right="440" w:firstLine="233"/>
        <w:spacing w:after="0" w:line="342" w:lineRule="auto"/>
        <w:tabs>
          <w:tab w:leader="none" w:pos="4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500" w:firstLine="233"/>
        <w:spacing w:after="0" w:line="277" w:lineRule="auto"/>
        <w:tabs>
          <w:tab w:leader="none" w:pos="4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740" w:firstLine="233"/>
        <w:spacing w:after="0" w:line="277" w:lineRule="auto"/>
        <w:tabs>
          <w:tab w:leader="none" w:pos="4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720" w:hanging="244"/>
        <w:spacing w:after="0" w:line="264"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20" w:right="40" w:hanging="254"/>
        <w:spacing w:after="0" w:line="308" w:lineRule="auto"/>
        <w:tabs>
          <w:tab w:leader="none" w:pos="7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720" w:right="80" w:hanging="244"/>
        <w:spacing w:after="0" w:line="342" w:lineRule="auto"/>
        <w:tabs>
          <w:tab w:leader="none" w:pos="7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420" w:firstLine="233"/>
        <w:spacing w:after="0" w:line="308" w:lineRule="auto"/>
        <w:tabs>
          <w:tab w:leader="none" w:pos="40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right="440" w:hanging="244"/>
        <w:spacing w:after="0" w:line="308" w:lineRule="auto"/>
        <w:tabs>
          <w:tab w:leader="none" w:pos="7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720" w:right="20" w:hanging="254"/>
        <w:spacing w:after="0" w:line="277"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2004</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ALFRED E. MANN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4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EXHIBIT 31.2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CHIEF FINANCIAL OFFICER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SECTION 302 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Richard L. Anderson, certify that:</w:t>
      </w:r>
    </w:p>
    <w:p>
      <w:pPr>
        <w:spacing w:after="0" w:line="185" w:lineRule="exact"/>
        <w:rPr>
          <w:sz w:val="20"/>
          <w:szCs w:val="20"/>
          <w:color w:val="auto"/>
        </w:rPr>
      </w:pPr>
    </w:p>
    <w:p>
      <w:pPr>
        <w:ind w:left="420" w:hanging="187"/>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MannKind Corporation;</w:t>
      </w:r>
    </w:p>
    <w:p>
      <w:pPr>
        <w:spacing w:after="0" w:line="184" w:lineRule="exact"/>
        <w:rPr>
          <w:rFonts w:ascii="Arial" w:cs="Arial" w:eastAsia="Arial" w:hAnsi="Arial"/>
          <w:sz w:val="18"/>
          <w:szCs w:val="18"/>
          <w:color w:val="auto"/>
        </w:rPr>
      </w:pPr>
    </w:p>
    <w:p>
      <w:pPr>
        <w:ind w:right="440" w:firstLine="233"/>
        <w:spacing w:after="0" w:line="342" w:lineRule="auto"/>
        <w:tabs>
          <w:tab w:leader="none" w:pos="40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500" w:firstLine="233"/>
        <w:spacing w:after="0" w:line="277" w:lineRule="auto"/>
        <w:tabs>
          <w:tab w:leader="none" w:pos="4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740" w:firstLine="233"/>
        <w:spacing w:after="0" w:line="277" w:lineRule="auto"/>
        <w:tabs>
          <w:tab w:leader="none" w:pos="40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720" w:hanging="244"/>
        <w:spacing w:after="0" w:line="264" w:lineRule="auto"/>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any consolidated subsidiaries, is made known to us by others, particularly during the period in which this report is being prepared;</w:t>
      </w:r>
    </w:p>
    <w:p>
      <w:pPr>
        <w:spacing w:after="0" w:line="181" w:lineRule="exact"/>
        <w:rPr>
          <w:rFonts w:ascii="Arial" w:cs="Arial" w:eastAsia="Arial" w:hAnsi="Arial"/>
          <w:sz w:val="18"/>
          <w:szCs w:val="18"/>
          <w:color w:val="auto"/>
        </w:rPr>
      </w:pPr>
    </w:p>
    <w:p>
      <w:pPr>
        <w:ind w:left="720" w:right="40" w:hanging="254"/>
        <w:spacing w:after="0" w:line="308" w:lineRule="auto"/>
        <w:tabs>
          <w:tab w:leader="none" w:pos="7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720" w:right="80" w:hanging="244"/>
        <w:spacing w:after="0" w:line="342" w:lineRule="auto"/>
        <w:tabs>
          <w:tab w:leader="none" w:pos="7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420" w:firstLine="233"/>
        <w:spacing w:after="0" w:line="308" w:lineRule="auto"/>
        <w:tabs>
          <w:tab w:leader="none" w:pos="40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right="440" w:hanging="244"/>
        <w:spacing w:after="0" w:line="308" w:lineRule="auto"/>
        <w:tabs>
          <w:tab w:leader="none" w:pos="7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720" w:right="20" w:hanging="254"/>
        <w:spacing w:after="0" w:line="277" w:lineRule="auto"/>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2004</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RICHARD L. ANDERSON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4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EXHIBIT 32</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CERTIFICATIONS OF</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Alfred E. Mann, Chief Executive Officer of MannKind Corporation (the “Company”), certify, pursuant to Section 906 of the Sarbanes-Oxley Act of 2002, 18 U.S.C. Section 1350, that to my knowledge:</w:t>
      </w:r>
    </w:p>
    <w:p>
      <w:pPr>
        <w:spacing w:after="0" w:line="143" w:lineRule="exact"/>
        <w:rPr>
          <w:sz w:val="20"/>
          <w:szCs w:val="20"/>
          <w:color w:val="auto"/>
        </w:rPr>
      </w:pPr>
    </w:p>
    <w:p>
      <w:pPr>
        <w:ind w:right="100" w:firstLine="233"/>
        <w:spacing w:after="0" w:line="277" w:lineRule="auto"/>
        <w:tabs>
          <w:tab w:leader="none" w:pos="4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2004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firstLine="233"/>
        <w:spacing w:after="0" w:line="277" w:lineRule="auto"/>
        <w:tabs>
          <w:tab w:leader="none" w:pos="4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 covered by the Report.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 November 12, 2004</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ALFRED E. MANN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Executive Officer</w:t>
      </w:r>
    </w:p>
    <w:p>
      <w:pPr>
        <w:spacing w:after="0" w:line="40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 Richard L. Anderson, Chief Financial Officer of MannKind Corporation (the “Company”), certify pursuant to Section 906 of the Sarbanes-Oxley Act of 2002, 18 U.S.C. Section 1350, that to my knowledge:</w:t>
      </w:r>
    </w:p>
    <w:p>
      <w:pPr>
        <w:spacing w:after="0" w:line="130" w:lineRule="exact"/>
        <w:rPr>
          <w:sz w:val="20"/>
          <w:szCs w:val="20"/>
          <w:color w:val="auto"/>
        </w:rPr>
      </w:pPr>
    </w:p>
    <w:p>
      <w:pPr>
        <w:ind w:right="100" w:firstLine="233"/>
        <w:spacing w:after="0" w:line="277" w:lineRule="auto"/>
        <w:tabs>
          <w:tab w:leader="none" w:pos="4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2004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firstLine="233"/>
        <w:spacing w:after="0" w:line="277" w:lineRule="auto"/>
        <w:tabs>
          <w:tab w:leader="none" w:pos="4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 covered by the Report.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 November 12, 2004</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RICHARD L. ANDERSON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3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signed original of these certifications has been provided to MannKind Corporation and will be retained by MannKind Corporation and furnished to the Securities and Exchange Commission or its staff upon request.</w:t>
      </w:r>
    </w:p>
    <w:p>
      <w:pPr>
        <w:spacing w:after="0" w:line="130"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These certifications are being furnished solely to accompany this quarterly report pursuant to 18 U.S.C. Section 1350, and shall not be deemed filed for purposes of Section 18 of the Securities Exchange Act of 1934 into any filing of MannKind Corporation, whether made before or after the date hereof, regardless of any general incorporation language in such filing.</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sectPr>
      <w:pgSz w:w="11900" w:h="16838" w:orient="portrait"/>
      <w:cols w:equalWidth="0" w:num="1">
        <w:col w:w="11340"/>
      </w:cols>
      <w:pgMar w:left="240" w:top="13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3"/>
    </w:lvl>
  </w:abstractNum>
  <w:abstractNum w:abstractNumId="13">
    <w:nsid w:val="6B68079A"/>
    <w:multiLevelType w:val="hybridMultilevel"/>
    <w:lvl w:ilvl="0">
      <w:lvlJc w:val="left"/>
      <w:lvlText w:val="%1"/>
      <w:numFmt w:val="decimal"/>
      <w:start w:val="32"/>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2019-12-14T00:46:23Z</dcterms:created>
  <dcterms:modified xsi:type="dcterms:W3CDTF">2019-12-14T00:46:23Z</dcterms:modified>
</cp:coreProperties>
</file>