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tabs>
          <w:tab w:leader="none" w:pos="4680" w:val="left"/>
          <w:tab w:leader="none" w:pos="58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000-50865</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1"/>
              </w:rPr>
              <w:t>Delaware</w:t>
            </w:r>
          </w:p>
        </w:tc>
        <w:tc>
          <w:tcPr>
            <w:tcW w:w="3300" w:type="dxa"/>
            <w:vAlign w:val="bottom"/>
          </w:tcPr>
          <w:p>
            <w:pPr>
              <w:jc w:val="right"/>
              <w:ind w:right="150"/>
              <w:spacing w:after="0"/>
              <w:rPr>
                <w:sz w:val="20"/>
                <w:szCs w:val="20"/>
                <w:color w:val="auto"/>
              </w:rPr>
            </w:pPr>
            <w:r>
              <w:rPr>
                <w:rFonts w:ascii="Arial" w:cs="Arial" w:eastAsia="Arial" w:hAnsi="Arial"/>
                <w:sz w:val="18"/>
                <w:szCs w:val="18"/>
                <w:b w:val="1"/>
                <w:bCs w:val="1"/>
                <w:color w:val="auto"/>
              </w:rPr>
              <w:t>13-3607736</w:t>
            </w:r>
          </w:p>
        </w:tc>
      </w:tr>
      <w:tr>
        <w:trPr>
          <w:trHeight w:val="216"/>
        </w:trPr>
        <w:tc>
          <w:tcPr>
            <w:tcW w:w="4780" w:type="dxa"/>
            <w:vAlign w:val="bottom"/>
          </w:tcPr>
          <w:p>
            <w:pPr>
              <w:jc w:val="center"/>
              <w:ind w:right="1850"/>
              <w:spacing w:after="0"/>
              <w:rPr>
                <w:sz w:val="20"/>
                <w:szCs w:val="20"/>
                <w:color w:val="auto"/>
              </w:rPr>
            </w:pPr>
            <w:r>
              <w:rPr>
                <w:rFonts w:ascii="Arial" w:cs="Arial" w:eastAsia="Arial" w:hAnsi="Arial"/>
                <w:sz w:val="18"/>
                <w:szCs w:val="18"/>
                <w:i w:val="1"/>
                <w:iCs w:val="1"/>
                <w:color w:val="auto"/>
                <w:w w:val="94"/>
              </w:rPr>
              <w:t>(State or other jurisdiction of</w:t>
            </w:r>
          </w:p>
        </w:tc>
        <w:tc>
          <w:tcPr>
            <w:tcW w:w="3300" w:type="dxa"/>
            <w:vAlign w:val="bottom"/>
          </w:tcPr>
          <w:p>
            <w:pPr>
              <w:jc w:val="center"/>
              <w:ind w:left="18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4"/>
              </w:rPr>
              <w:t>incorporation or organization)</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5"/>
              </w:rPr>
              <w:t>Identification No.)</w:t>
            </w:r>
          </w:p>
        </w:tc>
      </w:tr>
      <w:tr>
        <w:trPr>
          <w:trHeight w:val="414"/>
        </w:trPr>
        <w:tc>
          <w:tcPr>
            <w:tcW w:w="4780" w:type="dxa"/>
            <w:vAlign w:val="bottom"/>
          </w:tcPr>
          <w:p>
            <w:pPr>
              <w:jc w:val="center"/>
              <w:ind w:right="1850"/>
              <w:spacing w:after="0"/>
              <w:rPr>
                <w:sz w:val="20"/>
                <w:szCs w:val="20"/>
                <w:color w:val="auto"/>
              </w:rPr>
            </w:pPr>
            <w:r>
              <w:rPr>
                <w:rFonts w:ascii="Arial" w:cs="Arial" w:eastAsia="Arial" w:hAnsi="Arial"/>
                <w:sz w:val="18"/>
                <w:szCs w:val="18"/>
                <w:b w:val="1"/>
                <w:bCs w:val="1"/>
                <w:color w:val="auto"/>
                <w:w w:val="90"/>
              </w:rPr>
              <w:t>28903 North Avenue Paine</w:t>
            </w:r>
          </w:p>
        </w:tc>
        <w:tc>
          <w:tcPr>
            <w:tcW w:w="3300" w:type="dxa"/>
            <w:vAlign w:val="bottom"/>
          </w:tcPr>
          <w:p>
            <w:pPr>
              <w:spacing w:after="0"/>
              <w:rPr>
                <w:sz w:val="24"/>
                <w:szCs w:val="24"/>
                <w:color w:val="auto"/>
              </w:rPr>
            </w:pPr>
          </w:p>
        </w:tc>
      </w:tr>
      <w:tr>
        <w:trPr>
          <w:trHeight w:val="220"/>
        </w:trPr>
        <w:tc>
          <w:tcPr>
            <w:tcW w:w="4780" w:type="dxa"/>
            <w:vAlign w:val="bottom"/>
          </w:tcPr>
          <w:p>
            <w:pPr>
              <w:jc w:val="center"/>
              <w:ind w:right="1870"/>
              <w:spacing w:after="0"/>
              <w:rPr>
                <w:sz w:val="20"/>
                <w:szCs w:val="20"/>
                <w:color w:val="auto"/>
              </w:rPr>
            </w:pPr>
            <w:r>
              <w:rPr>
                <w:rFonts w:ascii="Arial" w:cs="Arial" w:eastAsia="Arial" w:hAnsi="Arial"/>
                <w:sz w:val="18"/>
                <w:szCs w:val="18"/>
                <w:b w:val="1"/>
                <w:bCs w:val="1"/>
                <w:color w:val="auto"/>
                <w:w w:val="92"/>
              </w:rPr>
              <w:t>Valencia, California</w:t>
            </w:r>
          </w:p>
        </w:tc>
        <w:tc>
          <w:tcPr>
            <w:tcW w:w="3300" w:type="dxa"/>
            <w:vAlign w:val="bottom"/>
          </w:tcPr>
          <w:p>
            <w:pPr>
              <w:jc w:val="right"/>
              <w:ind w:right="350"/>
              <w:spacing w:after="0"/>
              <w:rPr>
                <w:sz w:val="20"/>
                <w:szCs w:val="20"/>
                <w:color w:val="auto"/>
              </w:rPr>
            </w:pPr>
            <w:r>
              <w:rPr>
                <w:rFonts w:ascii="Arial" w:cs="Arial" w:eastAsia="Arial" w:hAnsi="Arial"/>
                <w:sz w:val="18"/>
                <w:szCs w:val="18"/>
                <w:b w:val="1"/>
                <w:bCs w:val="1"/>
                <w:color w:val="auto"/>
              </w:rPr>
              <w:t>91355</w:t>
            </w:r>
          </w:p>
        </w:tc>
      </w:tr>
      <w:tr>
        <w:trPr>
          <w:trHeight w:val="230"/>
        </w:trPr>
        <w:tc>
          <w:tcPr>
            <w:tcW w:w="4780" w:type="dxa"/>
            <w:vAlign w:val="bottom"/>
          </w:tcPr>
          <w:p>
            <w:pPr>
              <w:jc w:val="center"/>
              <w:ind w:right="187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300" w:type="dxa"/>
            <w:vAlign w:val="bottom"/>
          </w:tcPr>
          <w:p>
            <w:pPr>
              <w:jc w:val="center"/>
              <w:ind w:left="1870"/>
              <w:spacing w:after="0"/>
              <w:rPr>
                <w:sz w:val="20"/>
                <w:szCs w:val="20"/>
                <w:color w:val="auto"/>
              </w:rPr>
            </w:pPr>
            <w:r>
              <w:rPr>
                <w:rFonts w:ascii="Arial" w:cs="Arial" w:eastAsia="Arial" w:hAnsi="Arial"/>
                <w:sz w:val="18"/>
                <w:szCs w:val="18"/>
                <w:i w:val="1"/>
                <w:iCs w:val="1"/>
                <w:color w:val="auto"/>
                <w:w w:val="91"/>
              </w:rPr>
              <w:t>(Zip Code)</w:t>
            </w: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(661) 775-5300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800" w:space="720"/>
            <w:col w:w="1620" w:space="720"/>
            <w:col w:w="3360" w:space="100"/>
            <w:col w:w="2100"/>
          </w:cols>
          <w:pgMar w:left="240" w:top="122"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As of October 23, 2009, there were 112,806,245 shares of the registrant’s common stock, $.01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327660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0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00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September 30, 2009 and December 31, 2008</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2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and nine months ended September 30, 2009 and 2008 and the period from inception</w:t>
              </w:r>
            </w:hyperlink>
          </w:p>
        </w:tc>
        <w:tc>
          <w:tcPr>
            <w:tcW w:w="62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31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(February 14, 1991) to September 30, 2009</w:t>
              </w:r>
            </w:hyperlink>
          </w:p>
        </w:tc>
        <w:tc>
          <w:tcPr>
            <w:tcW w:w="7560" w:type="dxa"/>
            <w:vAlign w:val="bottom"/>
            <w:gridSpan w:val="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0900" w:type="dxa"/>
            <w:vAlign w:val="bottom"/>
            <w:gridSpan w:val="22"/>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Cash Flows: Nine months ended September 30, 2009 and 2008 and the period from inception (February 14,</w:t>
              </w:r>
            </w:hyperlink>
          </w:p>
        </w:tc>
        <w:tc>
          <w:tcPr>
            <w:tcW w:w="46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4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1991) to September 30, 2009</w:t>
              </w:r>
            </w:hyperlink>
          </w:p>
        </w:tc>
        <w:tc>
          <w:tcPr>
            <w:tcW w:w="2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Item 2. Management’s Discussion and Analysis of Financial Condition and Results of Operations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49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880" w:type="dxa"/>
            <w:vAlign w:val="bottom"/>
            <w:gridSpan w:val="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3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Item 4. Controls and Procedures</w:t>
              </w:r>
            </w:hyperlink>
          </w:p>
        </w:tc>
        <w:tc>
          <w:tcPr>
            <w:tcW w:w="856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PART II: OTHER INFORMATION</w:t>
              </w:r>
            </w:hyperlink>
          </w:p>
        </w:tc>
        <w:tc>
          <w:tcPr>
            <w:tcW w:w="460" w:type="dxa"/>
            <w:vAlign w:val="bottom"/>
          </w:tcPr>
          <w:p>
            <w:pPr>
              <w:spacing w:after="0"/>
              <w:rPr>
                <w:sz w:val="17"/>
                <w:szCs w:val="17"/>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32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Item 1A. Risk Factors</w:t>
              </w:r>
            </w:hyperlink>
          </w:p>
        </w:tc>
        <w:tc>
          <w:tcPr>
            <w:tcW w:w="930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492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Item 2. Unregistered Sales of Equity Securities and Use of Proceeds</w:t>
              </w:r>
            </w:hyperlink>
          </w:p>
        </w:tc>
        <w:tc>
          <w:tcPr>
            <w:tcW w:w="598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3. Defaults Upon Senior Securities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658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4. Submission of Matters to a Vote of Security Holders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Item 5. Other Information</w:t>
              </w:r>
            </w:hyperlink>
          </w:p>
        </w:tc>
        <w:tc>
          <w:tcPr>
            <w:tcW w:w="2440" w:type="dxa"/>
            <w:vAlign w:val="bottom"/>
            <w:tcBorders>
              <w:top w:val="single" w:sz="8" w:color="0000EE"/>
            </w:tcBorders>
            <w:gridSpan w:val="10"/>
          </w:tcPr>
          <w:p>
            <w:pPr>
              <w:spacing w:after="0"/>
              <w:rPr>
                <w:sz w:val="17"/>
                <w:szCs w:val="17"/>
                <w:color w:val="auto"/>
              </w:rPr>
            </w:pPr>
          </w:p>
        </w:tc>
        <w:tc>
          <w:tcPr>
            <w:tcW w:w="658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090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6. Exhibits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SIGNATURES</w:t>
              </w:r>
            </w:hyperlink>
          </w:p>
        </w:tc>
        <w:tc>
          <w:tcPr>
            <w:tcW w:w="974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20"/>
        </w:trPr>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58"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 2009</w:t>
            </w:r>
          </w:p>
        </w:tc>
        <w:tc>
          <w:tcPr>
            <w:tcW w:w="15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210"/>
        </w:trPr>
        <w:tc>
          <w:tcPr>
            <w:tcW w:w="8320" w:type="dxa"/>
            <w:vAlign w:val="bottom"/>
            <w:shd w:val="clear" w:color="auto" w:fill="CCEEFF"/>
          </w:tcPr>
          <w:p>
            <w:pPr>
              <w:ind w:left="398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53,918</w:t>
            </w: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27,648</w:t>
            </w: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2,649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18,844</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research and development credit exchange — current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3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63,314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53,975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224,057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226,436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288,655</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282,459</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8,801</w:t>
            </w:r>
          </w:p>
        </w:tc>
        <w:tc>
          <w:tcPr>
            <w:tcW w:w="320" w:type="dxa"/>
            <w:vAlign w:val="bottom"/>
          </w:tcPr>
          <w:p>
            <w:pPr>
              <w:spacing w:after="0"/>
              <w:rPr>
                <w:sz w:val="18"/>
                <w:szCs w:val="18"/>
                <w:color w:val="auto"/>
              </w:rPr>
            </w:pP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19,624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37,842</w:t>
            </w:r>
          </w:p>
        </w:tc>
        <w:tc>
          <w:tcPr>
            <w:tcW w:w="0" w:type="dxa"/>
            <w:vAlign w:val="bottom"/>
          </w:tcPr>
          <w:p>
            <w:pPr>
              <w:spacing w:after="0"/>
              <w:rPr>
                <w:sz w:val="1"/>
                <w:szCs w:val="1"/>
                <w:color w:val="auto"/>
              </w:rPr>
            </w:pPr>
          </w:p>
        </w:tc>
      </w:tr>
      <w:tr>
        <w:trPr>
          <w:trHeight w:val="223"/>
        </w:trPr>
        <w:tc>
          <w:tcPr>
            <w:tcW w:w="83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28,425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112,635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112,253</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291,060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195,725</w:t>
            </w:r>
          </w:p>
        </w:tc>
        <w:tc>
          <w:tcPr>
            <w:tcW w:w="0" w:type="dxa"/>
            <w:vAlign w:val="bottom"/>
          </w:tcPr>
          <w:p>
            <w:pPr>
              <w:spacing w:after="0"/>
              <w:rPr>
                <w:sz w:val="1"/>
                <w:szCs w:val="1"/>
                <w:color w:val="auto"/>
              </w:rPr>
            </w:pPr>
          </w:p>
        </w:tc>
      </w:tr>
      <w:tr>
        <w:trPr>
          <w:trHeight w:val="223"/>
        </w:trPr>
        <w:tc>
          <w:tcPr>
            <w:tcW w:w="83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outstanding at September 30, 2009 and December 31, 2008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- 150,000,000 shares authorized; 112,783,803 and 102,008,096 shares</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issued and outstanding at September 30, 2009 and December 31, 2008, respectively</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1,128</w:t>
            </w: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1,541,223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1,469,497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(1,544,649)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(1,384,078)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(2,405)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86,734</w:t>
            </w:r>
          </w:p>
        </w:tc>
        <w:tc>
          <w:tcPr>
            <w:tcW w:w="0" w:type="dxa"/>
            <w:vAlign w:val="bottom"/>
          </w:tcPr>
          <w:p>
            <w:pPr>
              <w:spacing w:after="0"/>
              <w:rPr>
                <w:sz w:val="1"/>
                <w:szCs w:val="1"/>
                <w:color w:val="auto"/>
              </w:rPr>
            </w:pPr>
          </w:p>
        </w:tc>
      </w:tr>
      <w:tr>
        <w:trPr>
          <w:trHeight w:val="223"/>
        </w:trPr>
        <w:tc>
          <w:tcPr>
            <w:tcW w:w="8320" w:type="dxa"/>
            <w:vAlign w:val="bottom"/>
          </w:tcPr>
          <w:p>
            <w:pPr>
              <w:ind w:left="4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288,655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6"/>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30,494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55,645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113,232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181,665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13,435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40,727</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42,365</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286,569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In-process research and development costs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w:t>
            </w:r>
          </w:p>
        </w:tc>
        <w:tc>
          <w:tcPr>
            <w:tcW w:w="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69,080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153,959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224,030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1,568,437</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(42,767)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(69,080)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(153,959)</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(224,010)</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503</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expense on note payable to related party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(3,806)</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(3,376)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715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4,858</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5"/>
              </w:rPr>
              <w:t>(45,555)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(68,496)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(160,571)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(219,744)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w w:val="95"/>
              </w:rPr>
              <w:t>(45,555)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(68,496)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(160,571)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8"/>
              </w:rPr>
              <w:t>(219,744)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(1,544,649)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line="201" w:lineRule="exact"/>
              <w:rPr>
                <w:sz w:val="20"/>
                <w:szCs w:val="20"/>
                <w:color w:val="auto"/>
              </w:rPr>
            </w:pPr>
            <w:r>
              <w:rPr>
                <w:rFonts w:ascii="Arial" w:cs="Arial" w:eastAsia="Arial" w:hAnsi="Arial"/>
                <w:sz w:val="18"/>
                <w:szCs w:val="18"/>
                <w:color w:val="auto"/>
                <w:w w:val="96"/>
              </w:rPr>
              <w:t>Deemed dividend related to beneficial conversion feature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of convertible preferred stock</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(45,555</w:t>
            </w:r>
          </w:p>
        </w:tc>
        <w:tc>
          <w:tcPr>
            <w:tcW w:w="620" w:type="dxa"/>
            <w:vAlign w:val="bottom"/>
            <w:gridSpan w:val="2"/>
          </w:tcPr>
          <w:p>
            <w:pPr>
              <w:jc w:val="right"/>
              <w:ind w:right="5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(68,496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(160,571</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(219,744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(1,567,861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6"/>
              </w:rPr>
              <w:t>Net loss per share applicable to common stockholders —</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Shares used to compute basic and diluted net loss per</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share applicable to common stockholders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108,779</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101,647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w w:val="98"/>
              </w:rPr>
              <w:t>104,402</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101,495</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 (A Development Stage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20" w:type="dxa"/>
            <w:vAlign w:val="bottom"/>
            <w:gridSpan w:val="5"/>
            <w:vMerge w:val="restart"/>
          </w:tcPr>
          <w:p>
            <w:pPr>
              <w:jc w:val="right"/>
              <w:ind w:right="86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20" w:type="dxa"/>
            <w:vAlign w:val="bottom"/>
            <w:gridSpan w:val="5"/>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2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240" w:type="dxa"/>
            <w:vAlign w:val="bottom"/>
            <w:gridSpan w:val="2"/>
          </w:tcPr>
          <w:p>
            <w:pPr>
              <w:jc w:val="center"/>
              <w:ind w:left="211"/>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loss</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 (160,571)</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 (219,744)</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 (1,544,649)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color w:val="auto"/>
              </w:rPr>
              <w:t>14,020</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7,321</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74,434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1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17,979</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18,849</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97,602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Stock expense for shares issued pursuant to research agreement</w:t>
            </w:r>
          </w:p>
        </w:tc>
        <w:tc>
          <w:tcPr>
            <w:tcW w:w="7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sale, abandonment/disposal or impairment of property and equipment</w:t>
            </w:r>
          </w:p>
        </w:tc>
        <w:tc>
          <w:tcPr>
            <w:tcW w:w="1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121</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In-process research and development</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Goodwill impairment</w:t>
            </w:r>
          </w:p>
        </w:tc>
        <w:tc>
          <w:tcPr>
            <w:tcW w:w="7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151,428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available-for-sale securities</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400"/>
              <w:spacing w:after="0"/>
              <w:rPr>
                <w:sz w:val="20"/>
                <w:szCs w:val="20"/>
                <w:color w:val="auto"/>
              </w:rPr>
            </w:pPr>
            <w:r>
              <w:rPr>
                <w:rFonts w:ascii="Arial" w:cs="Arial" w:eastAsia="Arial" w:hAnsi="Arial"/>
                <w:sz w:val="18"/>
                <w:szCs w:val="18"/>
                <w:color w:val="auto"/>
              </w:rPr>
              <w:t>Other, net</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assets and liabilities:</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State research and development credit exchange receivable</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color w:val="auto"/>
              </w:rPr>
              <w:t>800</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(294)</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expenses and other current assets</w:t>
            </w:r>
          </w:p>
        </w:tc>
        <w:tc>
          <w:tcPr>
            <w:tcW w:w="1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736</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1,887</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(2)</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(3,994)</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(12,502)</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600"/>
              <w:spacing w:after="0"/>
              <w:rPr>
                <w:sz w:val="20"/>
                <w:szCs w:val="20"/>
                <w:color w:val="auto"/>
              </w:rPr>
            </w:pPr>
            <w:r>
              <w:rPr>
                <w:rFonts w:ascii="Arial" w:cs="Arial" w:eastAsia="Arial" w:hAnsi="Arial"/>
                <w:sz w:val="18"/>
                <w:szCs w:val="18"/>
                <w:color w:val="auto"/>
              </w:rPr>
              <w:t>Accrued expenses and other current liabilities</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(15,695)</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3,343</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18,059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800"/>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(146,706)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(201,045)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(1,166,533)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(2,000)</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(63,651)</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(792,601)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Sales/ maturities of marketable securities</w:t>
            </w:r>
          </w:p>
        </w:tc>
        <w:tc>
          <w:tcPr>
            <w:tcW w:w="1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17,800</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790,565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860" w:type="dxa"/>
            <w:vAlign w:val="bottom"/>
            <w:gridSpan w:val="3"/>
          </w:tcPr>
          <w:p>
            <w:pPr>
              <w:jc w:val="right"/>
              <w:ind w:right="280"/>
              <w:spacing w:after="0"/>
              <w:rPr>
                <w:sz w:val="20"/>
                <w:szCs w:val="20"/>
                <w:color w:val="auto"/>
              </w:rPr>
            </w:pPr>
            <w:r>
              <w:rPr>
                <w:rFonts w:ascii="Arial" w:cs="Arial" w:eastAsia="Arial" w:hAnsi="Arial"/>
                <w:sz w:val="18"/>
                <w:szCs w:val="18"/>
                <w:color w:val="auto"/>
              </w:rPr>
              <w:t>(16,679)</w:t>
            </w:r>
          </w:p>
        </w:tc>
        <w:tc>
          <w:tcPr>
            <w:tcW w:w="1420" w:type="dxa"/>
            <w:vAlign w:val="bottom"/>
            <w:gridSpan w:val="3"/>
          </w:tcPr>
          <w:p>
            <w:pPr>
              <w:jc w:val="right"/>
              <w:ind w:right="300"/>
              <w:spacing w:after="0"/>
              <w:rPr>
                <w:sz w:val="20"/>
                <w:szCs w:val="20"/>
                <w:color w:val="auto"/>
              </w:rPr>
            </w:pPr>
            <w:r>
              <w:rPr>
                <w:rFonts w:ascii="Arial" w:cs="Arial" w:eastAsia="Arial" w:hAnsi="Arial"/>
                <w:sz w:val="18"/>
                <w:szCs w:val="18"/>
                <w:color w:val="auto"/>
              </w:rPr>
              <w:t>(72,297)</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(308,536)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7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(135,878)</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Issuance of common stock and warrants, net</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color w:val="auto"/>
              </w:rPr>
              <w:t>60,648</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425</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1,201,196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7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7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7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on notes payable to related party</w:t>
            </w:r>
          </w:p>
        </w:tc>
        <w:tc>
          <w:tcPr>
            <w:tcW w:w="1860" w:type="dxa"/>
            <w:vAlign w:val="bottom"/>
            <w:gridSpan w:val="3"/>
          </w:tcPr>
          <w:p>
            <w:pPr>
              <w:jc w:val="right"/>
              <w:ind w:right="340"/>
              <w:spacing w:after="0"/>
              <w:rPr>
                <w:sz w:val="20"/>
                <w:szCs w:val="20"/>
                <w:color w:val="auto"/>
              </w:rPr>
            </w:pPr>
            <w:r>
              <w:rPr>
                <w:rFonts w:ascii="Arial" w:cs="Arial" w:eastAsia="Arial" w:hAnsi="Arial"/>
                <w:sz w:val="18"/>
                <w:szCs w:val="18"/>
                <w:color w:val="auto"/>
              </w:rPr>
              <w:t>120,000</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7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7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from senior convertible notes</w:t>
            </w:r>
          </w:p>
        </w:tc>
        <w:tc>
          <w:tcPr>
            <w:tcW w:w="7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111,267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1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(6,793)</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(205)</w:t>
            </w:r>
          </w:p>
        </w:tc>
        <w:tc>
          <w:tcPr>
            <w:tcW w:w="1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200"/>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173,855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800" w:type="dxa"/>
            <w:vAlign w:val="bottom"/>
            <w:gridSpan w:val="2"/>
          </w:tcPr>
          <w:p>
            <w:pPr>
              <w:jc w:val="right"/>
              <w:ind w:right="950"/>
              <w:spacing w:after="0"/>
              <w:rPr>
                <w:sz w:val="20"/>
                <w:szCs w:val="20"/>
                <w:color w:val="auto"/>
              </w:rPr>
            </w:pPr>
            <w:r>
              <w:rPr>
                <w:rFonts w:ascii="Arial" w:cs="Arial" w:eastAsia="Arial" w:hAnsi="Arial"/>
                <w:sz w:val="18"/>
                <w:szCs w:val="18"/>
                <w:color w:val="auto"/>
              </w:rPr>
              <w:t>5</w:t>
            </w: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8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5"/>
            <w:vMerge w:val="restart"/>
          </w:tcPr>
          <w:p>
            <w:pPr>
              <w:jc w:val="right"/>
              <w:ind w:right="11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11"/>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26,270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0"/>
              </w:rPr>
              <w:t>(336,703)</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27,648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368,285</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53,918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31,582</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53,918</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FLOWS DISCLOSURES: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Interest paid in cash</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2,156</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on redeemable convertible preferred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Issuance of common stock upon conversion of notes payable</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additional paid-in capital resulting from merger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Issuance of common stock for notes receivable</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put option by stockholder</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Put option redemption by stockholder</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Series C convertible preferred stock subscriptions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Issuance of Series A redeemable convertible preferred stock</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Series A redeemable convertible preferred stock</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200"/>
              <w:spacing w:after="0"/>
              <w:rPr>
                <w:sz w:val="20"/>
                <w:szCs w:val="20"/>
                <w:color w:val="auto"/>
              </w:rPr>
            </w:pPr>
            <w:r>
              <w:rPr>
                <w:rFonts w:ascii="Arial" w:cs="Arial" w:eastAsia="Arial" w:hAnsi="Arial"/>
                <w:sz w:val="18"/>
                <w:szCs w:val="18"/>
                <w:color w:val="auto"/>
              </w:rPr>
              <w:t>Non-cash construction in progress and property and equipment</w:t>
            </w:r>
          </w:p>
        </w:tc>
        <w:tc>
          <w:tcPr>
            <w:tcW w:w="140" w:type="dxa"/>
            <w:vAlign w:val="bottom"/>
          </w:tcPr>
          <w:p>
            <w:pPr>
              <w:spacing w:after="0"/>
              <w:rPr>
                <w:sz w:val="20"/>
                <w:szCs w:val="20"/>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10,900</w:t>
            </w:r>
          </w:p>
        </w:tc>
        <w:tc>
          <w:tcPr>
            <w:tcW w:w="2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MANNKIND CORPORATION AND SUBSIDIARIES (A Development Stage Company)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MannKind Corporation and its subsidiaries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These statements should be read in conjunction with the financial statements and notes thereto included in the Company’s latest audited annual financial statements. The audited statements for the year ended December 31, 2008 are included in the Company’s annual report on Form 10-K for the fiscal year ended December 31, 2008 filed with the SEC on February 27, 2009 (the “Annual Report”).</w:t>
      </w:r>
    </w:p>
    <w:p>
      <w:pPr>
        <w:spacing w:after="0" w:line="8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nine months ended September 30, 2009 may not be indicative of the results that may be expected for the full year.</w:t>
      </w:r>
    </w:p>
    <w:p>
      <w:pPr>
        <w:spacing w:after="0" w:line="73"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or assumptions. The more significant estimates reflected in these accompanying financial statements involve accrued expenses, the valuation of stock-based compensation and the determination of the provision for income taxes and corresponding deferred tax assets and liabilities and any valuation allowance recorded against net deferred tax assets.</w:t>
      </w:r>
    </w:p>
    <w:p>
      <w:pPr>
        <w:spacing w:after="0" w:line="4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 xml:space="preserve">Business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 biopharmaceutical company focused on the discovery, development and commercialization of therapeutic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diseases such as diabetes and cancer. The Company’s lead product candidate, AFRESA®, is an ultra rapid-acting insulin. In March 2009, the Company submitted a new drug application (“NDA”) to the U.S. Food and Drug Administration (“FDA”) requesting approval of AFRESA for the treatment of adults with type 1 or type 2 diabetes for the control of hyperglycemia. The FDA accepted the Company’s NDA for filing in May 2009. AFRESA consists of the Company’s proprietary Technosphere particles onto which insulin molecules are loaded. These loaded particles are then aerosolized and inhaled deep into the lung using the Company’s AFRESA inhaler.</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Basis of Presentation — </w:t>
      </w:r>
      <w:r>
        <w:rPr>
          <w:rFonts w:ascii="Arial" w:cs="Arial" w:eastAsia="Arial" w:hAnsi="Arial"/>
          <w:sz w:val="16"/>
          <w:szCs w:val="16"/>
          <w:color w:val="auto"/>
        </w:rPr>
        <w:t>The Company is considered to be in the development stage as its primary activities since incorporation have been establishing its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facilities, recruiting personnel, conducting research and development, business development, business and financial planning, and raising capital. Since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inception through September 30, 2009, the Company has reported accumulated net losses of $1.5 billion and accumulated deficit in stockholders’ equity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$2.4 million, which include a goodwill impairment charge of $151.4 million, and cumulative negative cash flow from operations of $1.2 billion. It is costly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develop therapeutic products and conduct clinical trials for these products. At September 30, 2009 the Company’s capital resources consisted of cash,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equivalents, and marketable securities of $56.6 million (including a $2.0 million certificate of deposit held as collateral for foreign exchange hedging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instruments) and $200.0 million of available borrowings under the loan agreement with an entity controlled by the Company’s principal shareholder (see Note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 Based upon the Company’s current expectations, management believes the Company’s existing capital resources will enable it to continue planned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through at least the end of 2010. However, the Company cannot provide assurances that its plans will not change or that changed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not result in the depletion of its capital resources more rapidly than it currently anticipates. Accordingly, the Company expects that it will need to raise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capital, either through the sale of equity and/or debt securities, the entry into a strategic business collaboration with a pharmaceutical company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establishment of other funding facilities, in order to continue the development and commercialization of AFRESA and other product candidates and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support its other ongoing activities.</w:t>
      </w:r>
    </w:p>
    <w:p>
      <w:pPr>
        <w:spacing w:after="0" w:line="9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carrying amounts of financial instruments, which include cash equivalents, marketable securities and accounts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approximate their fair values due to their relatively short maturities. The fair value of the note payable to an entity controlled by the Company’s principal shareholder cannot be reasonably estimated as the Company would not be able to obtain a similar credit arrangement in the current economic environment. The senior convertible notes had a carrying value of $112.6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million and $112.3 million and an estimated fair value of $89.8 million and $53.9 million as of September 30, 2009 and December 31, 2008, respectively which is calculated based on quoted prices in an active market (Level 1 in the fair value hierarchy).</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Subsequent Events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has evaluated subsequent events through the date the financial statements were issued, November 2, 2009.</w:t>
      </w:r>
    </w:p>
    <w:p>
      <w:pPr>
        <w:spacing w:after="0" w:line="13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Recently Issued Accounting Standards — </w:t>
      </w:r>
      <w:r>
        <w:rPr>
          <w:rFonts w:ascii="Arial" w:cs="Arial" w:eastAsia="Arial" w:hAnsi="Arial"/>
          <w:sz w:val="17"/>
          <w:szCs w:val="17"/>
          <w:color w:val="auto"/>
        </w:rPr>
        <w:t>On June 29, 2009, the Financial Accounting Standard Board (“FASB”) issued FASB Statement No. 168,</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“FASB</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 xml:space="preserve">Accounting Statement on Codification and Hierarchy of Generally Accepted Accounting Principles- a replacement of FASB Statement No. 162,” </w:t>
      </w:r>
      <w:r>
        <w:rPr>
          <w:rFonts w:ascii="Arial" w:cs="Arial" w:eastAsia="Arial" w:hAnsi="Arial"/>
          <w:sz w:val="17"/>
          <w:szCs w:val="17"/>
          <w:color w:val="auto"/>
        </w:rPr>
        <w:t>or ASC 105-10, which will become the source of authoritative GAAP recognized by the FASB to be applied by all nongovernmental agencies. The statement is effective for financial statements issued for interim and annual periods ending after September 15, 2009. The adoption of this statement did not have a material impact on the Company’s results of operations, financial position, cash flows or financial statement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 in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388"/>
              <w:spacing w:after="0"/>
              <w:rPr>
                <w:sz w:val="20"/>
                <w:szCs w:val="20"/>
                <w:color w:val="auto"/>
              </w:rPr>
            </w:pPr>
            <w:r>
              <w:rPr>
                <w:rFonts w:ascii="Arial" w:cs="Arial" w:eastAsia="Arial" w:hAnsi="Arial"/>
                <w:sz w:val="14"/>
                <w:szCs w:val="14"/>
                <w:b w:val="1"/>
                <w:bCs w:val="1"/>
                <w:color w:val="auto"/>
                <w:w w:val="96"/>
              </w:rPr>
              <w:t>2008</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Gross</w:t>
            </w:r>
          </w:p>
        </w:tc>
        <w:tc>
          <w:tcPr>
            <w:tcW w:w="440" w:type="dxa"/>
            <w:vAlign w:val="bottom"/>
          </w:tcPr>
          <w:p>
            <w:pPr>
              <w:spacing w:after="0"/>
              <w:rPr>
                <w:sz w:val="10"/>
                <w:szCs w:val="10"/>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0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Cost Basis</w:t>
            </w:r>
          </w:p>
        </w:tc>
        <w:tc>
          <w:tcPr>
            <w:tcW w:w="4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2"/>
                <w:szCs w:val="12"/>
                <w:color w:val="auto"/>
              </w:rPr>
            </w:pPr>
          </w:p>
        </w:tc>
        <w:tc>
          <w:tcPr>
            <w:tcW w:w="106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Arial" w:cs="Arial" w:eastAsia="Arial" w:hAnsi="Arial"/>
                <w:sz w:val="18"/>
                <w:szCs w:val="18"/>
                <w:color w:val="auto"/>
              </w:rPr>
              <w:t>Available-for-sale securities</w:t>
            </w:r>
          </w:p>
        </w:tc>
        <w:tc>
          <w:tcPr>
            <w:tcW w:w="106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Loss</w:t>
            </w:r>
          </w:p>
        </w:tc>
        <w:tc>
          <w:tcPr>
            <w:tcW w:w="44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Basis</w:t>
            </w:r>
          </w:p>
        </w:tc>
        <w:tc>
          <w:tcPr>
            <w:tcW w:w="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w:t>
            </w:r>
          </w:p>
        </w:tc>
        <w:tc>
          <w:tcPr>
            <w:tcW w:w="4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3060" w:type="dxa"/>
            <w:vAlign w:val="bottom"/>
            <w:vMerge w:val="continue"/>
          </w:tcPr>
          <w:p>
            <w:pPr>
              <w:spacing w:after="0"/>
              <w:rPr>
                <w:sz w:val="19"/>
                <w:szCs w:val="19"/>
                <w:color w:val="auto"/>
              </w:rPr>
            </w:pPr>
          </w:p>
        </w:tc>
        <w:tc>
          <w:tcPr>
            <w:tcW w:w="1060" w:type="dxa"/>
            <w:vAlign w:val="bottom"/>
          </w:tcPr>
          <w:p>
            <w:pPr>
              <w:jc w:val="right"/>
              <w:ind w:right="259"/>
              <w:spacing w:after="0"/>
              <w:rPr>
                <w:sz w:val="20"/>
                <w:szCs w:val="20"/>
                <w:color w:val="auto"/>
              </w:rPr>
            </w:pPr>
            <w:r>
              <w:rPr>
                <w:rFonts w:ascii="Arial" w:cs="Arial" w:eastAsia="Arial" w:hAnsi="Arial"/>
                <w:sz w:val="18"/>
                <w:szCs w:val="18"/>
                <w:color w:val="auto"/>
              </w:rPr>
              <w:t>$2,761</w:t>
            </w:r>
          </w:p>
        </w:tc>
        <w:tc>
          <w:tcPr>
            <w:tcW w:w="4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$(112)</w:t>
            </w:r>
          </w:p>
        </w:tc>
        <w:tc>
          <w:tcPr>
            <w:tcW w:w="440" w:type="dxa"/>
            <w:vAlign w:val="bottom"/>
          </w:tcPr>
          <w:p>
            <w:pPr>
              <w:spacing w:after="0"/>
              <w:rPr>
                <w:sz w:val="19"/>
                <w:szCs w:val="19"/>
                <w:color w:val="auto"/>
              </w:rPr>
            </w:pPr>
          </w:p>
        </w:tc>
        <w:tc>
          <w:tcPr>
            <w:tcW w:w="1060" w:type="dxa"/>
            <w:vAlign w:val="bottom"/>
          </w:tcPr>
          <w:p>
            <w:pPr>
              <w:jc w:val="right"/>
              <w:ind w:right="259"/>
              <w:spacing w:after="0"/>
              <w:rPr>
                <w:sz w:val="20"/>
                <w:szCs w:val="20"/>
                <w:color w:val="auto"/>
              </w:rPr>
            </w:pPr>
            <w:r>
              <w:rPr>
                <w:rFonts w:ascii="Arial" w:cs="Arial" w:eastAsia="Arial" w:hAnsi="Arial"/>
                <w:sz w:val="18"/>
                <w:szCs w:val="18"/>
                <w:color w:val="auto"/>
              </w:rPr>
              <w:t>$2,649</w:t>
            </w:r>
          </w:p>
        </w:tc>
        <w:tc>
          <w:tcPr>
            <w:tcW w:w="440" w:type="dxa"/>
            <w:vAlign w:val="bottom"/>
          </w:tcPr>
          <w:p>
            <w:pPr>
              <w:spacing w:after="0"/>
              <w:rPr>
                <w:sz w:val="19"/>
                <w:szCs w:val="19"/>
                <w:color w:val="auto"/>
              </w:rPr>
            </w:pPr>
          </w:p>
        </w:tc>
        <w:tc>
          <w:tcPr>
            <w:tcW w:w="1040" w:type="dxa"/>
            <w:vAlign w:val="bottom"/>
          </w:tcPr>
          <w:p>
            <w:pPr>
              <w:jc w:val="right"/>
              <w:ind w:right="182"/>
              <w:spacing w:after="0"/>
              <w:rPr>
                <w:sz w:val="20"/>
                <w:szCs w:val="20"/>
                <w:color w:val="auto"/>
              </w:rPr>
            </w:pPr>
            <w:r>
              <w:rPr>
                <w:rFonts w:ascii="Arial" w:cs="Arial" w:eastAsia="Arial" w:hAnsi="Arial"/>
                <w:sz w:val="18"/>
                <w:szCs w:val="18"/>
                <w:color w:val="auto"/>
              </w:rPr>
              <w:t>$18,549</w:t>
            </w:r>
          </w:p>
        </w:tc>
        <w:tc>
          <w:tcPr>
            <w:tcW w:w="460" w:type="dxa"/>
            <w:vAlign w:val="bottom"/>
          </w:tcPr>
          <w:p>
            <w:pPr>
              <w:spacing w:after="0"/>
              <w:rPr>
                <w:sz w:val="19"/>
                <w:szCs w:val="19"/>
                <w:color w:val="auto"/>
              </w:rPr>
            </w:pPr>
          </w:p>
        </w:tc>
        <w:tc>
          <w:tcPr>
            <w:tcW w:w="940" w:type="dxa"/>
            <w:vAlign w:val="bottom"/>
          </w:tcPr>
          <w:p>
            <w:pPr>
              <w:jc w:val="right"/>
              <w:ind w:right="265"/>
              <w:spacing w:after="0"/>
              <w:rPr>
                <w:sz w:val="20"/>
                <w:szCs w:val="20"/>
                <w:color w:val="auto"/>
              </w:rPr>
            </w:pPr>
            <w:r>
              <w:rPr>
                <w:rFonts w:ascii="Arial" w:cs="Arial" w:eastAsia="Arial" w:hAnsi="Arial"/>
                <w:sz w:val="18"/>
                <w:szCs w:val="18"/>
                <w:color w:val="auto"/>
              </w:rPr>
              <w:t>$295</w:t>
            </w:r>
          </w:p>
        </w:tc>
        <w:tc>
          <w:tcPr>
            <w:tcW w:w="440" w:type="dxa"/>
            <w:vAlign w:val="bottom"/>
          </w:tcPr>
          <w:p>
            <w:pPr>
              <w:spacing w:after="0"/>
              <w:rPr>
                <w:sz w:val="19"/>
                <w:szCs w:val="19"/>
                <w:color w:val="auto"/>
              </w:rPr>
            </w:pPr>
          </w:p>
        </w:tc>
        <w:tc>
          <w:tcPr>
            <w:tcW w:w="1060" w:type="dxa"/>
            <w:vAlign w:val="bottom"/>
          </w:tcPr>
          <w:p>
            <w:pPr>
              <w:jc w:val="right"/>
              <w:ind w:right="182"/>
              <w:spacing w:after="0"/>
              <w:rPr>
                <w:sz w:val="20"/>
                <w:szCs w:val="20"/>
                <w:color w:val="auto"/>
              </w:rPr>
            </w:pPr>
            <w:r>
              <w:rPr>
                <w:rFonts w:ascii="Arial" w:cs="Arial" w:eastAsia="Arial" w:hAnsi="Arial"/>
                <w:sz w:val="18"/>
                <w:szCs w:val="18"/>
                <w:color w:val="auto"/>
              </w:rPr>
              <w:t>$18,844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Company’s available-for-sale securities at September 30, 2009 consist principally of a $2.0 million certificate of deposit with a maturity greater than 90 days, held as collateral for foreign exchange hedging instruments, and a common stock investment, which is stated at fair value based on quoted prices in an active market (Level 1 in the fair value hierarchy). The Company’s available-for-sale securities at December 31, 2008 consist principally of US agency securities, which are stated at fair value based on quoted prices for similar securities in active markets (Level 2 in the fair value hierarchy). The Company’s policy is to maintain a highly liquid short-term investment portfolio. Proceeds from the sales and maturities of available-for-sale securities amounted to approximately $17.8 million for the nine months ended September 30, 2009. Gross realized gains and losses for available-for-sale securities were insignificant and recorded as other income (expense). Gross unrealized gains and losses are included in other comprehensive income (loss).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are comprised of the following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10,134</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12,452</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3,184</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13,438</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555</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3,327</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2,665</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8,421</w:t>
            </w: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19,624</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37,842</w:t>
            </w:r>
          </w:p>
        </w:tc>
        <w:tc>
          <w:tcPr>
            <w:tcW w:w="100" w:type="dxa"/>
            <w:vAlign w:val="bottom"/>
          </w:tcPr>
          <w:p>
            <w:pPr>
              <w:spacing w:after="0"/>
              <w:rPr>
                <w:sz w:val="19"/>
                <w:szCs w:val="19"/>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Accounting for stock-based compensation</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2009 and 2008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740" w:type="dxa"/>
            <w:vAlign w:val="bottom"/>
            <w:gridSpan w:val="5"/>
          </w:tcPr>
          <w:p>
            <w:pPr>
              <w:jc w:val="center"/>
              <w:ind w:right="680"/>
              <w:spacing w:after="0"/>
              <w:rPr>
                <w:sz w:val="20"/>
                <w:szCs w:val="20"/>
                <w:color w:val="auto"/>
              </w:rPr>
            </w:pPr>
            <w:r>
              <w:rPr>
                <w:rFonts w:ascii="Arial" w:cs="Arial" w:eastAsia="Arial" w:hAnsi="Arial"/>
                <w:sz w:val="14"/>
                <w:szCs w:val="14"/>
                <w:b w:val="1"/>
                <w:bCs w:val="1"/>
                <w:color w:val="auto"/>
                <w:w w:val="91"/>
              </w:rPr>
              <w:t>Three months ended</w:t>
            </w:r>
          </w:p>
        </w:tc>
        <w:tc>
          <w:tcPr>
            <w:tcW w:w="2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540" w:type="dxa"/>
            <w:vAlign w:val="bottom"/>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3800" w:type="dxa"/>
            <w:vAlign w:val="bottom"/>
            <w:vMerge w:val="restart"/>
          </w:tcPr>
          <w:p>
            <w:pPr>
              <w:spacing w:after="0"/>
              <w:rPr>
                <w:sz w:val="20"/>
                <w:szCs w:val="20"/>
                <w:color w:val="auto"/>
              </w:rPr>
            </w:pPr>
            <w:r>
              <w:rPr>
                <w:rFonts w:ascii="Arial" w:cs="Arial" w:eastAsia="Arial" w:hAnsi="Arial"/>
                <w:sz w:val="18"/>
                <w:szCs w:val="18"/>
                <w:color w:val="auto"/>
              </w:rPr>
              <w:t>Stock-based compensation</w:t>
            </w:r>
          </w:p>
        </w:tc>
        <w:tc>
          <w:tcPr>
            <w:tcW w:w="2740" w:type="dxa"/>
            <w:vAlign w:val="bottom"/>
          </w:tcPr>
          <w:p>
            <w:pPr>
              <w:spacing w:after="0"/>
              <w:rPr>
                <w:sz w:val="12"/>
                <w:szCs w:val="12"/>
                <w:color w:val="auto"/>
              </w:rPr>
            </w:pPr>
          </w:p>
        </w:tc>
        <w:tc>
          <w:tcPr>
            <w:tcW w:w="70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0" w:type="dxa"/>
            <w:vAlign w:val="bottom"/>
            <w:vMerge w:val="continue"/>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5,090</w:t>
            </w:r>
          </w:p>
        </w:tc>
        <w:tc>
          <w:tcPr>
            <w:tcW w:w="7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6,781</w:t>
            </w:r>
          </w:p>
        </w:tc>
        <w:tc>
          <w:tcPr>
            <w:tcW w:w="6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$ 17,979</w:t>
            </w: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$ 18,849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740" w:type="dxa"/>
            <w:vAlign w:val="bottom"/>
            <w:vMerge w:val="restart"/>
          </w:tcPr>
          <w:p>
            <w:pPr>
              <w:jc w:val="right"/>
              <w:ind w:right="690"/>
              <w:spacing w:after="0"/>
              <w:rPr>
                <w:sz w:val="20"/>
                <w:szCs w:val="20"/>
                <w:color w:val="auto"/>
              </w:rPr>
            </w:pPr>
            <w:r>
              <w:rPr>
                <w:rFonts w:ascii="Arial" w:cs="Arial" w:eastAsia="Arial" w:hAnsi="Arial"/>
                <w:sz w:val="18"/>
                <w:szCs w:val="18"/>
                <w:color w:val="auto"/>
              </w:rPr>
              <w:t>8</w:t>
            </w: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8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September 30, 2009, there was $39.6 million of unrecognized compensation costs, of which $13.3 million related to options and $26.3 million related to restricted stock units, which are expected to be recognized over the remaining weighted average vesting period of 2.4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Comprehensive Loss</w:t>
      </w:r>
    </w:p>
    <w:p>
      <w:pPr>
        <w:spacing w:after="0" w:line="121"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FASB Statement No. 130, “</w:t>
      </w:r>
      <w:r>
        <w:rPr>
          <w:rFonts w:ascii="Arial" w:cs="Arial" w:eastAsia="Arial" w:hAnsi="Arial"/>
          <w:sz w:val="17"/>
          <w:szCs w:val="17"/>
          <w:i w:val="1"/>
          <w:iCs w:val="1"/>
          <w:color w:val="auto"/>
        </w:rPr>
        <w:t>Reporting Comprehensive Income,”</w:t>
      </w:r>
      <w:r>
        <w:rPr>
          <w:rFonts w:ascii="Arial" w:cs="Arial" w:eastAsia="Arial" w:hAnsi="Arial"/>
          <w:sz w:val="17"/>
          <w:szCs w:val="17"/>
          <w:color w:val="auto"/>
        </w:rPr>
        <w:t xml:space="preserve"> or ASC 220-10-45 requires reporting and displaying comprehensive income (loss) and its components, which, for the Company, includes net loss and unrealized gains and losses on investments and cumulative translation gains and losses. In accordance with this guidance, the accumulated balance of other comprehensive income (loss) is disclosed as a separate component of stockholders’ equity. For the three and nine months ended September 30, 2009 and 2008, comprehensive loss consisted of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3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1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(45,555)</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(68,496)</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(160,571)</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(219,744)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gain/(loss) on investments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Cumulative translation gain</w:t>
            </w:r>
          </w:p>
        </w:tc>
        <w:tc>
          <w:tcPr>
            <w:tcW w:w="1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 (45,543)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5"/>
              </w:rPr>
              <w:t>$ (68,496)</w:t>
            </w:r>
          </w:p>
        </w:tc>
        <w:tc>
          <w:tcPr>
            <w:tcW w:w="14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(160,973)</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(219,744)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common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net loss per share excludes dilution for potentially dilutive securities and is computed 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18,123,648 shares and 19,607,924 shares as of September 30, 2009 and 2008,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State research and development credit exchange receivable</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At September 30, 2009, the estimated amount receivable under the program was $2.2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 —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Useful</w:t>
            </w:r>
          </w:p>
        </w:tc>
        <w:tc>
          <w:tcPr>
            <w:tcW w:w="320" w:type="dxa"/>
            <w:vAlign w:val="bottom"/>
          </w:tcPr>
          <w:p>
            <w:pPr>
              <w:spacing w:after="0"/>
              <w:rPr>
                <w:sz w:val="12"/>
                <w:szCs w:val="12"/>
                <w:color w:val="auto"/>
              </w:rPr>
            </w:pPr>
          </w:p>
        </w:tc>
        <w:tc>
          <w:tcPr>
            <w:tcW w:w="1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Life</w:t>
            </w:r>
          </w:p>
        </w:tc>
        <w:tc>
          <w:tcPr>
            <w:tcW w:w="32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6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Buildings</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39-40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54,993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113,197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79,776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5,371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15,849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13,715</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288,346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(64,289)</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224,057</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the shorter of the term of the lease or the service lives of the improvements.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nine months ended September 30, 2009 and 2008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20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2"/>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tcBorders>
              <w:bottom w:val="single" w:sz="8" w:color="auto"/>
            </w:tcBorders>
            <w:gridSpan w:val="4"/>
          </w:tcPr>
          <w:p>
            <w:pPr>
              <w:jc w:val="center"/>
              <w:ind w:left="44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Borders>
              <w:bottom w:val="single" w:sz="8" w:color="auto"/>
            </w:tcBorders>
            <w:gridSpan w:val="3"/>
          </w:tcPr>
          <w:p>
            <w:pPr>
              <w:jc w:val="center"/>
              <w:ind w:left="46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2"/>
                <w:szCs w:val="12"/>
                <w:color w:val="auto"/>
              </w:rPr>
            </w:pPr>
          </w:p>
        </w:tc>
        <w:tc>
          <w:tcPr>
            <w:tcW w:w="68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68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4,658</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66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$ 13,638</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Capitalized interest added to property and equipment during the three and nine months ended September 30, 2009 and 2008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20" w:type="dxa"/>
            <w:vAlign w:val="bottom"/>
            <w:gridSpan w:val="6"/>
          </w:tcPr>
          <w:p>
            <w:pPr>
              <w:jc w:val="center"/>
              <w:ind w:right="70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9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40" w:type="dxa"/>
            <w:vAlign w:val="bottom"/>
            <w:gridSpan w:val="5"/>
          </w:tcPr>
          <w:p>
            <w:pPr>
              <w:jc w:val="center"/>
              <w:ind w:right="11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60" w:type="dxa"/>
            <w:vAlign w:val="bottom"/>
            <w:gridSpan w:val="3"/>
          </w:tcPr>
          <w:p>
            <w:pPr>
              <w:ind w:left="440"/>
              <w:spacing w:after="0"/>
              <w:rPr>
                <w:sz w:val="20"/>
                <w:szCs w:val="20"/>
                <w:color w:val="auto"/>
              </w:rPr>
            </w:pPr>
            <w:r>
              <w:rPr>
                <w:rFonts w:ascii="Arial" w:cs="Arial" w:eastAsia="Arial" w:hAnsi="Arial"/>
                <w:sz w:val="14"/>
                <w:szCs w:val="14"/>
                <w:b w:val="1"/>
                <w:bCs w:val="1"/>
                <w:color w:val="auto"/>
                <w:w w:val="93"/>
              </w:rPr>
              <w:t>September 30,</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77</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1,078</w:t>
            </w: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79"/>
              </w:rPr>
              <w:t>240</w:t>
            </w:r>
          </w:p>
        </w:tc>
        <w:tc>
          <w:tcPr>
            <w:tcW w:w="6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sale of common stock in the private placement which closed in August 2005, the Company concurrently issued warrants to purchase up to 3,426,000 shares of common stock at an exercise price of $12.228 per share. These warrants became exercisable in February 2006 and expire in August 2010. During the nine months ended September 30, 2009, no warrants were exercised. As of September 30, 2009, warrants to purchase 2,882,873 shares of common stock remained outstanding.</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Supply Commitments — </w:t>
      </w:r>
      <w:r>
        <w:rPr>
          <w:rFonts w:ascii="Arial" w:cs="Arial" w:eastAsia="Arial" w:hAnsi="Arial"/>
          <w:sz w:val="18"/>
          <w:szCs w:val="18"/>
          <w:color w:val="auto"/>
        </w:rPr>
        <w:t>As of September 30, 2009, the Company had a binding annual commitment for insulin purchases with Organon N.V. (“Organon”)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aggregating approximately $103 million over the period from 2009 through 2012. If the Company terminates the supply agreement following failure to obtain or maintain regulatory approval of AFRESA or either party terminates the agreement following the parties’ inability to agree to changes to product specifications mandated after regulatory approval, the Company will be required to pay Organon a specified termination fee if Organon is unable to sell certain quantities of insulin to other parties.</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i w:val="1"/>
          <w:iCs w:val="1"/>
          <w:color w:val="auto"/>
        </w:rPr>
        <w:t xml:space="preserve">Guarantees and Indemnifications — </w:t>
      </w:r>
      <w:r>
        <w:rPr>
          <w:rFonts w:ascii="Arial" w:cs="Arial" w:eastAsia="Arial" w:hAnsi="Arial"/>
          <w:sz w:val="17"/>
          <w:szCs w:val="17"/>
          <w:color w:val="auto"/>
        </w:rPr>
        <w:t>In the ordinary course of its business, the Company makes certain indemnities, commitments and guarantees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70"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i w:val="1"/>
          <w:iCs w:val="1"/>
          <w:color w:val="auto"/>
        </w:rPr>
        <w:t xml:space="preserve">Litigation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involved in various legal proceedings and other matters. In accordance with general accounting guidance for recording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contingencies, the Company would record a provision for a liability when it is both probable that a liability has been incurred and the amount of the loss can be reasonably estimated.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Related-party loan arrangement</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In October 2007, the Company entered into a $350.0 million loan arrangement with its principal stockholder. Under the arrangement, the Company can borrow up to a total of $350.0 million. On February 26, 2009, the promissory note underlying the loan arrangement was revised as a result of the principal stockholder being licensed as a finance lender under the California Finance Lenders Law. Accordingly, the lender was revised to The Mann Group LLC, an entity controlled by the Company’s principal stockholder.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lender can require the Company to prepay up to $200.0 million in advances that have been outstanding for at least 12 months. If the lender exercises this right, the Company will have until the earlier of 180 days after the lender provides written notice or December 31, 2011 to prepay such advances.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6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amount outstanding under the arrangement was $150.0 million and $30.0 million at September 30, 2009 and December 31, 2008, respectively. As of September 30, 2009, the Company had accrued interest of $1.8 million related to the amount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Senior convertible notes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As of September 30, 2009 and December 31, 2008, the Company had accrued interest of $1.3 million and $0.2 million, respectively, related to the Notes. The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Notes is December 15, 2013 and payment is due in full on that date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 The Company incurred approximately $3.7 million in issuance costs which are recorded as an offset to the Notes in the accompanying condensed consolidated balance sheets. These costs are being amortized to interest expense using the effective interest method over the term of the Notes.</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debt issuance expense in connection with the Notes during the three and nine months ended September 30, 2009 and 2008 was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9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24"/>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3"/>
              </w:rPr>
              <w:t>September 30,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8"/>
                <w:szCs w:val="18"/>
                <w:color w:val="auto"/>
              </w:rPr>
              <w:t>Amortization expense</w:t>
            </w: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4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2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6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382</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As discussed in Note 14 to the financial statements in the Company’s Annual Report, management of the Company has concluded, in accordance with applicable accounting standards, that it is more likely than not that the Company may not realize the benefit of its deferred tax assets. Accordingly, net deferred tax assets have been fully reserved.</w:t>
      </w:r>
    </w:p>
    <w:p>
      <w:pPr>
        <w:spacing w:after="0" w:line="7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or ASC 740-10-25 (“FIN 48”), which clarifies the accounting and disclosure for uncertainty in tax positions, as defined. FIN 48 seeks to reduce the diversity in practice associated with certain aspects of the recognition and measurement related to accounting for income taxes. The Company was subject to the provisions of FIN 48 as of January 1, 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Common stock offering</w:t>
      </w:r>
    </w:p>
    <w:p>
      <w:pPr>
        <w:spacing w:after="0" w:line="12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 August 5, 2009, the Company sold 8.4 million shares of common stock comprised of 1.0 million shares to its principal stockholder at a price per share of $8.11 and 7.4 million shares to other investors at a price per share of $7.07. The sale of common stock resulted in aggregate net proceeds to the Company of approximately $59.7 million after deducting offering expenses.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(this “Quarterly Report”). These interim condensed consolidated financial statements and this Management’s Discussion and Analysis of Financial Condition and Results of Operations should be read in conjunction with the financial statements and notes for the year ended December 31, 2008 and the related Management’s Discussion and Analysis of Financial Condition and Results of Operations, both of which are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 biopharmaceutical company focused on the discovery, development and commercialization of therapeutic products for diseases such as diabetes and cancer. Our lead product candidate, AFRESA, is an ultra rapid-acting insulin. In March 2009, we submitted an NDA to the FDA requesting approval of AFRESA for the treatment of adults with type 1 or type 2 diabetes for the control of hyperglycemia. The FDA accepted our NDA for filing in May 2009. We believe that the performance characteristics, unique kinetics, convenience and ease of use of AFRESA may have the potential to change the way diabetes is treated.</w:t>
      </w:r>
    </w:p>
    <w:p>
      <w:pPr>
        <w:spacing w:after="0" w:line="8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are a development stage enterprise and have incurred significant losses since our inception in 1991. As of September 30, 2009, we have incurred a cumulative net loss of $1.5 billion and accumulated deficit in stockholders’ equity of $2.4 million. To date, we have not generated any product revenues and have funded our operations primarily through the sale of equity securities and convertible debt securities. As discussed below in “Liquidity and Capital Resources,” if we are unable to obtain additional funding in the future, there will be substantial doubt about our ability to continue as a going concern.</w:t>
      </w:r>
    </w:p>
    <w:p>
      <w:pPr>
        <w:spacing w:after="0" w:line="4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AFRESA. On October 6, 2009, we announced that we do not expect to complete a partnership until after we receive a response from the FDA regarding our NDA for AFRESA. We cannot predict when, if ever, we could conclude an agreement with a partner. There can be no assurance that any such collaboration will be available to us on a timely basis or on acceptable terms, if at all.</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do not expect to record sales of any product prior to regulatory approval and commercialization of AFRESA.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39"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AFRESA and new inhalation systems for the treatment of diabetes;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seek regulatory approval to sell AFRESA in the United States and other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increase our manufacturing capacity for AFRESA to meet our currently anticipated commercial production needs;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expand our proprietary Technosphere platform technology and develop additional applications for the pulmonary delivery of other drugs; and</w:t>
      </w:r>
    </w:p>
    <w:p>
      <w:pPr>
        <w:spacing w:after="0" w:line="142" w:lineRule="exact"/>
        <w:rPr>
          <w:rFonts w:ascii="Arial" w:cs="Arial" w:eastAsia="Arial" w:hAnsi="Arial"/>
          <w:sz w:val="17"/>
          <w:szCs w:val="17"/>
          <w:b w:val="1"/>
          <w:bCs w:val="1"/>
          <w:color w:val="auto"/>
        </w:rPr>
      </w:pPr>
    </w:p>
    <w:p>
      <w:pPr>
        <w:ind w:left="660" w:right="3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2"/>
          <w:szCs w:val="12"/>
          <w:b w:val="1"/>
          <w:bCs w:val="1"/>
          <w:color w:val="auto"/>
        </w:rPr>
        <w:t>ESEARCH AND</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w:t>
      </w:r>
    </w:p>
    <w:p>
      <w:pPr>
        <w:spacing w:after="0" w:line="121"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quarter ended September 30, 2009 were purchases of insulin totaling $2.6 million.</w:t>
      </w:r>
    </w:p>
    <w:p>
      <w:pPr>
        <w:spacing w:after="0" w:line="70" w:lineRule="exact"/>
        <w:rPr>
          <w:sz w:val="20"/>
          <w:szCs w:val="20"/>
          <w:color w:val="auto"/>
        </w:rPr>
      </w:pPr>
    </w:p>
    <w:p>
      <w:pPr>
        <w:ind w:right="420" w:firstLine="225"/>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our research and development costs as we incur them.</w:t>
      </w:r>
    </w:p>
    <w:p>
      <w:pPr>
        <w:spacing w:after="0" w:line="73"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Clinical development timelines, likelihood of success and total costs vary widely. We are focused primarily on advancing AFRESA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or if any revenues from the commercialization of our products will commence.</w:t>
      </w:r>
    </w:p>
    <w:p>
      <w:pPr>
        <w:spacing w:after="0" w:line="80" w:lineRule="exact"/>
        <w:rPr>
          <w:sz w:val="20"/>
          <w:szCs w:val="20"/>
          <w:color w:val="auto"/>
        </w:rPr>
      </w:pPr>
    </w:p>
    <w:p>
      <w:pPr>
        <w:ind w:right="100" w:firstLine="215"/>
        <w:spacing w:after="0" w:line="259"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AFRESA, we are unable to estimate with any certainty the costs that we will incur in the continued development of our product candidates for commercialization. The costs required to complete the development of AFRESA will be largely dependent on the cost and efficiency of our manufacturing process and additional FDA requirements, if any.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2"/>
          <w:szCs w:val="12"/>
          <w:b w:val="1"/>
          <w:bCs w:val="1"/>
          <w:color w:val="auto"/>
        </w:rPr>
        <w:t>ENERAL AND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DMINISTRATIVE</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XPENSES</w:t>
      </w:r>
    </w:p>
    <w:p>
      <w:pPr>
        <w:spacing w:after="0" w:line="121" w:lineRule="exact"/>
        <w:rPr>
          <w:sz w:val="20"/>
          <w:szCs w:val="20"/>
          <w:color w:val="auto"/>
        </w:rPr>
      </w:pPr>
    </w:p>
    <w:p>
      <w:pPr>
        <w:ind w:right="480" w:firstLine="225"/>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as described in Item 7 of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2009 and 2008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three months ended September 30, 2009 and 2008, we did not recognize any revenue. We recognized no revenue during the nine months ended September 30, 2009. During the nine months ended September 30, 2008, we recognized $20,000 in revenue under a license agreement. We do not anticipate sales of any product prior to regulatory approval and commercialization of AFRESA.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2009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(dollars in thousands):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9"/>
          </w:tcPr>
          <w:p>
            <w:pPr>
              <w:jc w:val="center"/>
              <w:ind w:right="500"/>
              <w:spacing w:after="0"/>
              <w:rPr>
                <w:sz w:val="20"/>
                <w:szCs w:val="20"/>
                <w:color w:val="auto"/>
              </w:rPr>
            </w:pPr>
            <w:r>
              <w:rPr>
                <w:rFonts w:ascii="Arial" w:cs="Arial" w:eastAsia="Arial" w:hAnsi="Arial"/>
                <w:sz w:val="14"/>
                <w:szCs w:val="14"/>
                <w:b w:val="1"/>
                <w:bCs w:val="1"/>
                <w:color w:val="auto"/>
                <w:w w:val="89"/>
              </w:rPr>
              <w:t>September 30,</w:t>
            </w: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8,467</w:t>
            </w: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27,044</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(18,577)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Manufacturing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15,907</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18,434</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(2,527)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3,791</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6,549</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(2,758)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right"/>
              <w:ind w:right="580"/>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(375)</w:t>
            </w: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(379)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3,083</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38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30,494</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55,645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(25,151</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9"/>
          </w:tcPr>
          <w:p>
            <w:pPr>
              <w:jc w:val="center"/>
              <w:ind w:right="540"/>
              <w:spacing w:after="0"/>
              <w:rPr>
                <w:sz w:val="20"/>
                <w:szCs w:val="20"/>
                <w:color w:val="auto"/>
              </w:rPr>
            </w:pPr>
            <w:r>
              <w:rPr>
                <w:rFonts w:ascii="Arial" w:cs="Arial" w:eastAsia="Arial" w:hAnsi="Arial"/>
                <w:sz w:val="14"/>
                <w:szCs w:val="14"/>
                <w:b w:val="1"/>
                <w:bCs w:val="1"/>
                <w:color w:val="auto"/>
                <w:w w:val="90"/>
              </w:rPr>
              <w:t>Nine months ended</w:t>
            </w: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7"/>
          </w:tcPr>
          <w:p>
            <w:pPr>
              <w:jc w:val="center"/>
              <w:ind w:left="336"/>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 Change</w:t>
            </w:r>
          </w:p>
        </w:tc>
        <w:tc>
          <w:tcPr>
            <w:tcW w:w="660" w:type="dxa"/>
            <w:vAlign w:val="bottom"/>
            <w:vMerge w:val="restart"/>
          </w:tcPr>
          <w:p>
            <w:pPr>
              <w:spacing w:after="0"/>
              <w:rPr>
                <w:sz w:val="14"/>
                <w:szCs w:val="14"/>
                <w:color w:val="auto"/>
              </w:rPr>
            </w:pPr>
          </w:p>
        </w:tc>
        <w:tc>
          <w:tcPr>
            <w:tcW w:w="6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16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35,843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88,208</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(52,365)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Manufacturing</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53,262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60,119</w:t>
            </w:r>
          </w:p>
        </w:tc>
        <w:tc>
          <w:tcPr>
            <w:tcW w:w="380" w:type="dxa"/>
            <w:vAlign w:val="bottom"/>
          </w:tcPr>
          <w:p>
            <w:pPr>
              <w:spacing w:after="0"/>
              <w:rPr>
                <w:sz w:val="18"/>
                <w:szCs w:val="18"/>
                <w:color w:val="auto"/>
              </w:rPr>
            </w:pPr>
          </w:p>
        </w:tc>
        <w:tc>
          <w:tcPr>
            <w:tcW w:w="1640" w:type="dxa"/>
            <w:vAlign w:val="bottom"/>
            <w:gridSpan w:val="3"/>
          </w:tcPr>
          <w:p>
            <w:pPr>
              <w:jc w:val="right"/>
              <w:ind w:right="520"/>
              <w:spacing w:after="0"/>
              <w:rPr>
                <w:sz w:val="20"/>
                <w:szCs w:val="20"/>
                <w:color w:val="auto"/>
              </w:rPr>
            </w:pPr>
            <w:r>
              <w:rPr>
                <w:rFonts w:ascii="Arial" w:cs="Arial" w:eastAsia="Arial" w:hAnsi="Arial"/>
                <w:sz w:val="18"/>
                <w:szCs w:val="18"/>
                <w:color w:val="auto"/>
              </w:rPr>
              <w:t>(6,857)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14,073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23,921</w:t>
            </w:r>
          </w:p>
        </w:tc>
        <w:tc>
          <w:tcPr>
            <w:tcW w:w="16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(9,848)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5"/>
          </w:tcPr>
          <w:p>
            <w:pPr>
              <w:jc w:val="right"/>
              <w:ind w:right="620"/>
              <w:spacing w:after="0"/>
              <w:rPr>
                <w:sz w:val="20"/>
                <w:szCs w:val="20"/>
                <w:color w:val="auto"/>
              </w:rPr>
            </w:pPr>
            <w:r>
              <w:rPr>
                <w:rFonts w:ascii="Arial" w:cs="Arial" w:eastAsia="Arial" w:hAnsi="Arial"/>
                <w:sz w:val="18"/>
                <w:szCs w:val="18"/>
                <w:color w:val="auto"/>
                <w:w w:val="98"/>
              </w:rPr>
              <w:t>(1,104)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(1,471)</w:t>
            </w:r>
          </w:p>
        </w:tc>
        <w:tc>
          <w:tcPr>
            <w:tcW w:w="1640" w:type="dxa"/>
            <w:vAlign w:val="bottom"/>
            <w:gridSpan w:val="3"/>
          </w:tcPr>
          <w:p>
            <w:pPr>
              <w:jc w:val="right"/>
              <w:ind w:right="580"/>
              <w:spacing w:after="0"/>
              <w:rPr>
                <w:sz w:val="20"/>
                <w:szCs w:val="20"/>
                <w:color w:val="auto"/>
              </w:rPr>
            </w:pPr>
            <w:r>
              <w:rPr>
                <w:rFonts w:ascii="Arial" w:cs="Arial" w:eastAsia="Arial" w:hAnsi="Arial"/>
                <w:sz w:val="18"/>
                <w:szCs w:val="18"/>
                <w:color w:val="auto"/>
              </w:rPr>
              <w:t>367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11,158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10,888</w:t>
            </w:r>
          </w:p>
        </w:tc>
        <w:tc>
          <w:tcPr>
            <w:tcW w:w="16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113,232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181,665</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(68,433</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decrease in research and development expenses for the three and nine months ended September 30, 2009, as compared to the three and nine months ended September 30, 2008, was primarily due to decreased costs associated with the clinical development of AFRESA as we completed our pivotal AFRESA trials during 2008, as well as decreases in manufacturing costs associated with raw material purchases. The decrease in research expenses reflects reduced salary-related and other research costs as a result of a reduction in force that we implemented in April 2009. We anticipate that our research and development expenses will continue to decrease in 2009 compared to the prior year since we have completed our pivotal AFRESA clinical trials and the expansion of our commercial manufacturing facilities during 2008, as well as due to decreased expenses resulting from the April 2009 reduction in force.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2009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2008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vMerge w:val="restart"/>
          </w:tcPr>
          <w:p>
            <w:pPr>
              <w:spacing w:after="0"/>
              <w:rPr>
                <w:sz w:val="14"/>
                <w:szCs w:val="14"/>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 Change</w:t>
            </w:r>
          </w:p>
        </w:tc>
        <w:tc>
          <w:tcPr>
            <w:tcW w:w="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2008</w:t>
            </w: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tcBorders>
              <w:bottom w:val="single" w:sz="8" w:color="auto"/>
            </w:tcBorders>
            <w:gridSpan w:val="2"/>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10,266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10,647</w:t>
            </w:r>
          </w:p>
        </w:tc>
        <w:tc>
          <w:tcPr>
            <w:tcW w:w="36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2,007</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2,788</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(781)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12,273</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13,435</w:t>
            </w:r>
          </w:p>
        </w:tc>
        <w:tc>
          <w:tcPr>
            <w:tcW w:w="360" w:type="dxa"/>
            <w:vAlign w:val="bottom"/>
            <w:tcBorders>
              <w:lef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(1,162)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89"/>
              </w:rPr>
              <w:t>Change</w:t>
            </w:r>
          </w:p>
        </w:tc>
        <w:tc>
          <w:tcPr>
            <w:tcW w:w="660" w:type="dxa"/>
            <w:vAlign w:val="bottom"/>
            <w:vMerge w:val="restart"/>
          </w:tcPr>
          <w:p>
            <w:pPr>
              <w:spacing w:after="0"/>
              <w:rPr>
                <w:sz w:val="14"/>
                <w:szCs w:val="14"/>
                <w:color w:val="auto"/>
              </w:rPr>
            </w:pPr>
          </w:p>
        </w:tc>
        <w:tc>
          <w:tcPr>
            <w:tcW w:w="9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33,906</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34,404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6,821</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7,961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(1,140)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40,727</w:t>
            </w:r>
          </w:p>
        </w:tc>
        <w:tc>
          <w:tcPr>
            <w:tcW w:w="7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42,365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(1,638)</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for the three months ended September 30, 2009 decreased as compared to the same period in the prior year primarily due to decreased salary related costs resulting from the April 2009 reduction in force.</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for the nine months ended September 30, 2009 decreased as compared to the same period in the prior year primarily due to the purchase of patents from Emisphere Technologies, Inc. during the first quarter of 2008, offset by increased professional fees related to the recently completed transaction with Pfizer during the second quarter and partnership efforts during the third quarter of 2009. Overall, we expect general and administrative expenses to decrease in 2009 as a result of decreased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Interest income for the three and nine months ended September 30, 2009 decreased by $0.7 million and $4.8 million, respectively, as compared to the same period in the prior year primarily due to a lower investment balance and lower market interest rates.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Interest expense for the three and nine months ended September 30, 2009 increased by $2.8 million and $6.6 million as compared to the same period in the prior year primarily due to the interest expense related to amounts outstanding under the borrowing arrangement with an entity controlled by our principal stockholder (See Note 11 — Related-party loan arrangement, of the Notes to the accompanying financial statements) and a decrease in capitalized interest related to the completion of the Danbury, Connecticut plant expansion.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funded our operations primarily through the sale of equity securities and convertible debt securities.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In October 2007, we entered into a loan arrangement with our principal stockholder allowing us to borrow up to a total of $350.0 million On February 26, 2009, as a result of our principal stockholder being licensed as a finance lender under the California Finance Lenders Law, the promissory note underlying the loan arrangement was revised to reflect the lender as The Mann Group LLC, an entity controlled by our principal stockholder.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lender can require us to prepay up to $200.0 million in advances that have been outstanding for at least 12 months. If the lender exercises this right, we will have until the earlier of 180 days after the lender provides written notice or December 31, 2011 to prepay such advances. In the event of a default, all unpaid principal and interest either becomes immediately due and payable or may be accelerated at the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 As of September 30, 2009, the amount borrowed and outstanding under the arrangement was $150.0 million.</w:t>
      </w:r>
    </w:p>
    <w:p>
      <w:pPr>
        <w:spacing w:after="0" w:line="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nine months ended September 30, 2009, we used $146.7 million of cash for our operations compared to using $201.0 million for our operations in the nine months ended September 30, 2008. We had a net loss of $160.6 million for the nine months ended September 30, 2009, of which $32.0 million consisted of non-cash charges such as depreciation and amortization, and stock-based compensation. We expect our negative operating cash flow to continue at least until we obtain regulatory approval and achieve commercialization of AFRESA.</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used $0.9 million of cash in investing activities during the nine months ended September 30, 2009, compared to $135.9 million for the nine months ended September 30, 2008. For the nine months ended September 30, 2009 and 2008, $16.7 million and $72.3 million, respectively, were used to purchase machinery and equipment to expand our manufacturing operations and our quality systems that support clinical trials for AFRESA.</w:t>
      </w:r>
    </w:p>
    <w:p>
      <w:pPr>
        <w:spacing w:after="0" w:line="5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financing activities generated $173.9 million of cash for the nine months ended September 30, 2009, compared to $0.2 million for the same period in 2008. For the nine months ended September 30, 2009, cash from financing activities was primarily from the common stock offering completed in August 2009, related party borrowings received, as well as the exercise of stock options.</w:t>
      </w:r>
    </w:p>
    <w:p>
      <w:pPr>
        <w:spacing w:after="0" w:line="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September 30, 2009, we had $56.6 million in cash, cash equivalents and marketable securities. Although we believe our existing cash resources, including the $200.0 million remaining available under our loan arrangement with an entity controlled by our principal stockholder, will be sufficient to fund our anticipated cash requirements through at least the end of 2010,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and/or debt securities, the entry into a strategic business collaboration with a pharmaceutical or biotechnology company or the establishment of other funding facilities, in order to continue the development and commercialization of AFRESA and other product candidates and to support our other ongoing activities.</w:t>
      </w:r>
    </w:p>
    <w:p>
      <w:pPr>
        <w:spacing w:after="0" w:line="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intend to use our capital resources to continue the development and commercialization of AFRESA, if approved,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AFRESA. On October 6, 2009, we announced that we do not expect to complete a partnership until after we receive a response from the FDA regarding our NDA for AFRESA. We cannot predict when, if ever, we could conclude an agreement with a partner. There can be no assurance that any such collaboration will be available to us on a timely basis or on acceptable terms, if at all.</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AFRESA development activities, or further reduction of costs for facilities and administration, and there will be substantial doubt about our ability to continue as a going concern.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2009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The only material change to our contractual obligations disclosed in Item 7 of our Annual Report was the additional borrowing of $120.0 million from an entity controlled by our principal stockholder during the nine months ended September 30, 2009. (See Note 11 — Related-party loan arrangement of the Notes to the accompanying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On June 29, 2009, the FASB issued FASB Statement No. 168, </w:t>
      </w:r>
      <w:r>
        <w:rPr>
          <w:rFonts w:ascii="Arial" w:cs="Arial" w:eastAsia="Arial" w:hAnsi="Arial"/>
          <w:sz w:val="18"/>
          <w:szCs w:val="18"/>
          <w:i w:val="1"/>
          <w:iCs w:val="1"/>
          <w:color w:val="auto"/>
        </w:rPr>
        <w:t>“FASB Accounting Statement on Codification and Hierarchy of Generally Accepted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Principles- a replacement of FASB Statement No. 162,” </w:t>
      </w:r>
      <w:r>
        <w:rPr>
          <w:rFonts w:ascii="Arial" w:cs="Arial" w:eastAsia="Arial" w:hAnsi="Arial"/>
          <w:sz w:val="18"/>
          <w:szCs w:val="18"/>
          <w:color w:val="auto"/>
        </w:rPr>
        <w:t>or ASC 105-10, which will become the source of authoritative GAAP recognized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to be applied by all nongovernmental agencies. The statement is effective for financial statements issued for interim and annual periods ending after September 15, 2009. The adoption of this standard did not have a material impact on our results of operations, financial position, cash flows or financial statement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We are exposed to market risk related to changes in interest rates impacting our short-term investment portfolio as well as the interest rate on our credit facility with an entity controlled by our principal stockholder. The interest rate on our credit facility with an entity controlled by our principal stockholder is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September 30, 2009 are comprised mainly of a certificate of deposit and a common stock investment. We have entered into a foreign exchange derivative hedging transaction as part of our risk management program. We continue to utilize our $350.0 million credit facility to fund operations. The interest rate is fixed at the time of the draw. If interest rates were to increase from levels at September 30, 2009 we could experience a higher level of interest expense than assumed in our current operating plan.</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or the Securities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chief executive officer and chief financial officer performed an evaluation under the supervision and with the participation of our management, of our disclosure controls and procedures (as defined in Rules 13a-15(e) and 15d-15(e) of the Securities Exchange Act) as of September 30, 2009. Based on that evaluation, our chief executive officer and chief financial officer concluded that our disclosure controls and procedures were effective at the reasonable assurance level.</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September 30, 2009 that has materially affected, or is reasonably likely to materially affect, our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on Form 10-K.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depend heavily on the successful development and commercialization of our lead product candidate, AFRESA, which is not yet approved, and our other product candidates, which are in early clinical or preclinical development.*</w:t>
      </w:r>
    </w:p>
    <w:p>
      <w:pPr>
        <w:spacing w:after="0" w:line="62"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To date, we have not commercialized any product candidates. In March 2009, we submitted an NDA to the FDA requesting approval of AFRESA for the treatment of adults with type 1 or type 2 diabetes for the control of hyperglycemia. The FDA accepted our NDA for filing in May 2009, meaning the FDA determined that our submission is sufficiently complete to permit a substantive review.</w:t>
      </w:r>
    </w:p>
    <w:p>
      <w:pPr>
        <w:spacing w:after="0" w:line="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other product candidates are generally in early clinical or preclinical development. We anticipate that in the near term, our ability to generate revenues will depend solely on the successful development and commercialization of AFRESA.</w:t>
      </w:r>
    </w:p>
    <w:p>
      <w:pPr>
        <w:spacing w:after="0" w:line="6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AFRESA, which has not yet received regulatory approval and which may not be approved by the FDA in a timely manner, or at all. We must receive the necessary approvals from the FDA and similar foreign regulatory agencies before AFRESA can be marketed and sold in the United States or elsewhere. Even if we were to receive regulatory approval, we ultimately may be unable to gain market acceptance of AFRESA for a variety of reasons, including the treatment and dosage regimen, potential adverse effects, the availability of alternative treatments and cost effectiveness. If we fail to commercialize AFRESA, our business, financial condition and results of operations will be materially and adversely affected.</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79"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AFRESA,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complete the development and commercialization of AFRESA or develop or expand our other product candidates, or are significantly delayed in doing so, our business and results of operations will be harmed and the value of our stock could decline.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We are a development stage company with no commercial products. All of our product candidates are still being developed, and all but AFRESA are still in the early stages of development. Our product candidates will require significant additional development, clinical trials, regulatory clearances and additional investment before they can be commercialized. We cannot be certain when AFRESA may be approved, or if it will be approved.</w:t>
      </w:r>
    </w:p>
    <w:p>
      <w:pPr>
        <w:spacing w:after="0" w:line="5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have never been profitable and, as of September 30, 2009, we had an accumulated deficit of $1.5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AFRESA. This accumulated deficit may increase significantly as we continue development and clinical trial efforts.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As of September 30, 2009, we had an accumulated deficit in stockholders’ equity of $2.4 million. Our ability to achieve and sustain profitability depends upon obtaining regulatory approvals for and successfully commercializing AFRESA,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AFRESA as our lead product candidate, we have begun to conduct clinical trials for additional product candidates. Our existing capital resources will not be sufficient to support the expense of fully commercializing AFRESA or developing any of our product candidates.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Based upon our current expectations, we believe that our existing capital resources, including the loan arrangement with an entity controlled by our principal stockholder, will enable us to continue planned operations through at least the end of 2010.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the entry into a strategic business collaboration, or the establishment of other funding facilities, in order to continue the development and commercialization of AFRESA and other product candidates and to support our other ongoing activities. However, it may be difficult for us to raise additional capital through the sale of equity and/or debt securities. As of September 30, 2009, we had an accumulated deficit in stockholders’ equity of $2.4 million which may affect our ability to raise additional capital. The amount of additional funds we need will depend on a number of factors, including:</w:t>
      </w:r>
    </w:p>
    <w:p>
      <w:pPr>
        <w:spacing w:after="0" w:line="71" w:lineRule="exact"/>
        <w:rPr>
          <w:sz w:val="20"/>
          <w:szCs w:val="20"/>
          <w:color w:val="auto"/>
        </w:rPr>
      </w:pPr>
    </w:p>
    <w:p>
      <w:pPr>
        <w:ind w:left="660" w:right="5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62"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AFRESA;</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discontinuing projects and technologies or decommissioning existing facilities, if we undertake those activities; and</w:t>
      </w:r>
    </w:p>
    <w:p>
      <w:pPr>
        <w:spacing w:after="0" w:line="117" w:lineRule="exact"/>
        <w:rPr>
          <w:rFonts w:ascii="Arial" w:cs="Arial" w:eastAsia="Arial" w:hAnsi="Arial"/>
          <w:sz w:val="18"/>
          <w:szCs w:val="18"/>
          <w:b w:val="1"/>
          <w:bCs w:val="1"/>
          <w:color w:val="auto"/>
        </w:rPr>
      </w:pPr>
    </w:p>
    <w:p>
      <w:pPr>
        <w:ind w:left="660" w:right="460" w:hanging="436"/>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62"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We have raised capital in the past primarily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credit facilities, licensing arrangements and/or asset sales on a timely basis, we may be required to reduce expenses through the delay, reduction or curtailment of our projects, including AFRESA commercialization, or further reduction of costs for facilities and administration. Moreover, if we do not obtain such additional funds, there will be substantial doubt about our ability to continue as a going concern.</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Deteriorating global economic conditions may have an adverse impact on the loan facility with an entity controlled by our principal stockholder, which we currently cannot predict.*</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widely reported,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an entity controlled by our principal stockholder. If we are unable to draw on this financial resource, our business and financial condition will be adversely affected.</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660" w:right="4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6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AFRESA;</w:t>
      </w:r>
    </w:p>
    <w:p>
      <w:pPr>
        <w:spacing w:after="0" w:line="62"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AFRESA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AFRESA. Many of our competitors have existing infrastructure and relationships with managed care organizations and reimbursement authorities which can be used to their advantage.</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one or more of our product candidates becoming obsolete or noncompetitive. Our competitors may develop or introduce new products that render our technology and AFRESA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7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 aware of the commercial value of their findings and are more active in seeking patent and other proprietary rights as well as licensing revenues.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enter into a strategic collaboration with respect to AFRESA, we may not be able to execute on our business model.*</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held extensive discussions with a number of pharmaceutical companies concerning a potential strategic business collaboration for AFRESA. To date we have not reached an agreement with any of these companies on a collaboration. On October 6, 2009, we announced that we do not expect to complete a partnership until after we receive a response from the FDA regarding our NDA for AFRESA. We cannot predict when, if ever, we could conclude an agreement with a partner. There can be no assurance that any such collaboration will be available to us on a timely basis or on acceptable terms.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AFRESA.</w:t>
      </w:r>
    </w:p>
    <w:p>
      <w:pPr>
        <w:spacing w:after="0" w:line="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79" w:lineRule="exact"/>
        <w:rPr>
          <w:sz w:val="20"/>
          <w:szCs w:val="20"/>
          <w:color w:val="auto"/>
        </w:rPr>
      </w:pPr>
    </w:p>
    <w:p>
      <w:pPr>
        <w:ind w:right="960"/>
        <w:spacing w:after="0" w:line="342" w:lineRule="auto"/>
        <w:rPr>
          <w:sz w:val="20"/>
          <w:szCs w:val="20"/>
          <w:color w:val="auto"/>
        </w:rPr>
      </w:pPr>
      <w:r>
        <w:rPr>
          <w:rFonts w:ascii="Arial" w:cs="Arial" w:eastAsia="Arial" w:hAnsi="Arial"/>
          <w:sz w:val="16"/>
          <w:szCs w:val="16"/>
          <w:b w:val="1"/>
          <w:bCs w:val="1"/>
          <w:i w:val="1"/>
          <w:iCs w:val="1"/>
          <w:color w:val="auto"/>
        </w:rPr>
        <w:t>If we enter into collaborative agreements with respect to AFRESA and if our third-party collaborators do not perform satisfactorily or if our collaborations fail, development or commercialization of AFRESA may be delayed and our business could be harmed.</w:t>
      </w:r>
    </w:p>
    <w:p>
      <w:pPr>
        <w:spacing w:after="0" w:line="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currently rely on clinical research organizations and hospitals to conduct, supervise or monitor some or all aspects of clinical trials involving AFRESA. Further, we may also enter into license agreements, partnerships or other collaborative arrangements to support the financing, development and marketing of AFRESA.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8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If we enter into collaborative arrangements, we will have less control over the timing, planning and other aspects of our clinical trials, and the sale and marketing of AFRESA and our other product candidates. We cannot offer assurances that we will be able to enter into satisfactory arrangements with third parties as contemplated or that any of our existing or future collaborations will be successful.</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Continued testing of AFRESA or another product candidate may not yield successful results, and even if it does, we may still be unable to commercialize that product candidate.*</w:t>
      </w:r>
    </w:p>
    <w:p>
      <w:pPr>
        <w:spacing w:after="0" w:line="6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AFRESA and our other product candidates through extensive nonclinical and clinical testing. We may experience numerous unforeseen events during, or as a result of, the testing process that could delay or prevent commercialization of AFRESA or any of our other product candidates, including the following:</w:t>
      </w:r>
    </w:p>
    <w:p>
      <w:pPr>
        <w:spacing w:after="0" w:line="73" w:lineRule="exact"/>
        <w:rPr>
          <w:sz w:val="20"/>
          <w:szCs w:val="20"/>
          <w:color w:val="auto"/>
        </w:rPr>
      </w:pPr>
    </w:p>
    <w:p>
      <w:pPr>
        <w:ind w:left="660" w:right="60" w:hanging="436"/>
        <w:spacing w:after="0" w:line="264"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73"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data collected from clinical trials of our product candidates may not be sufficient to support FDA or other regulatory approval;</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after reviewing test results, we or any potential collaborators may abandon projects that we previously believed were promising; and</w:t>
      </w:r>
    </w:p>
    <w:p>
      <w:pPr>
        <w:spacing w:after="0" w:line="117"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Forecasts about the effects of the use of drugs, including AFRESA, over terms longer than the clinical trials or in much larger populations may not be consistent with the clinical results. If use of AFRESA results in adverse health effects or reduced efficacy or both, the FDA or other regulatory agencies may terminate our ability to market and sell AFRESA, may narrow the approved indications for use or otherwise require restrictive product labeling or marketing, or may require further clinical trials, which may be time-consuming and expensive and may not produce favorable results.</w:t>
      </w:r>
    </w:p>
    <w:p>
      <w:pPr>
        <w:spacing w:after="0" w:line="6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AFRESA at any time. Any suspension or termination of our clinical trials or marketing activities may harm our business and results of operations and the market price of our common stock may decline.</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transition successfully from a development company to a company that commercializes therapeutics, our business would suffer.*</w:t>
      </w:r>
    </w:p>
    <w:p>
      <w:pPr>
        <w:spacing w:after="0" w:line="14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require a well-structured plan to make the transition from the development-stage to being a company with commercial operations. We have a number of executive personnel, particularly in clinical development, regulatory and manufacturing production, including personnel with significant Phase 3-to-commercialization experience. In order to implement our commercialization strategy, we will need to:</w:t>
      </w:r>
    </w:p>
    <w:p>
      <w:pPr>
        <w:spacing w:after="0" w:line="73"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align our management structure to accommodate the increasing complexity of our operations;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we are unable to accomplish these measures in a timely manner, we would be at considerable risk of failing to develop the manufacturing capabilities necessary for FDA inspection and commercial operations.</w:t>
      </w:r>
    </w:p>
    <w:p>
      <w:pPr>
        <w:spacing w:after="0" w:line="62"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AFRESA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AFRESA to be commercially viable, we need access to sufficient, reliable and affordable supplies of insulin, our AFRESA inhaler, the related cartridges and other materials. We have a long-term agreement with N.V. Organon for the supply of insulin. Recently, we purchased from Pfizer, Inc. a portion of its inventory of bulk insulin and acquired an option to purchase the remainder of Pfizer’s insulin inventory, in whole or in part, at a specified price to the extent that Pfizer has not otherwise disposed of or used the retained insulin.</w:t>
      </w:r>
    </w:p>
    <w:p>
      <w:pPr>
        <w:spacing w:after="0" w:line="7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We have obtained FDKP, the precursor raw material for AFRESA, from two sources, both of which are major chemical manufacturers with facilities in Europe and North America. We have completed a successful validation campaign of FDKP at commercial scale. We can also utilize our in-house chemical manufacturing plant for supplemental capacity. We believe both manufacturers have the capacity to supply our current clinical and future commercial requirements. We have obtained our AFRESA inhaler and cartridges from two large plastic molding companies.</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must rely on our suppliers to comply with relevant regulatory and other legal requirements, including the production of insulin in accordance with the FDA’s current good manufacturing practice, or cGMP, for drug products, and the production of AFRESA inhaler and related cartridges in accordance with the FDA’s cGMP for medical devices, known as the Quality System Regulation, or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AFRESA may be delayed. Any such events could delay market introduction and subsequent sales of AFRESA and, if so, our business and results of operations will be harmed and the market price of our common stock may decline.</w:t>
      </w:r>
    </w:p>
    <w:p>
      <w:pPr>
        <w:spacing w:after="0" w:line="70"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We have never manufactured AFRESA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use our Danbury, Connecticut facility to formulate AFRESA, fill plastic cartridges with AFRESA and blister package the cartridges for our clinical trials. This facility is still undergoing the rigorous testing and regulatory inspection processes that are expected to result in approval to manufacture commercially.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commercial quantities of AFRESA at our Danbury facility, it would have to undergo an acceptable pre-approval inspection by the FDA.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Additionally, when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 We are in the process of compiling documentation to show correlation to the clinical-scale production materials.</w:t>
      </w:r>
    </w:p>
    <w:p>
      <w:pPr>
        <w:spacing w:after="0" w:line="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research and development work involves the controlled storage and use of hazardous materials, including chemical, radioactive and biological materials. In addition, our manufacturing operations involve the use of a chemical that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When we purchased the facilities located in Danbury, Connecticut in 2001, there was a soil cleanup plan in process. As part of the purchase, we obtained an indemnification from the seller related to the remediation of the soil for all known environmental conditions that existed at the time the seller acquired the property. The seller is, in turn, indemnified for these known environmental conditions by the previous owner. We completed the final stages of the soil cleanup plan in the third quarter of 2008 which cost approximately $2.25 million. We have also received an indemnification from the seller for environmental conditions created during its ownership of the property and for environmental problems unknown at the time that the seller acquired the property. These additional indemnities are limited to the purchase price that we paid for the Danbury facilities. We are currently pursuing collection of the clean-up costs and expenses from the seller or the party responsible for the contamination. If we are unable to collect the full amount of these costs and expenses, our business and results of operations may be harmed.</w:t>
      </w:r>
    </w:p>
    <w:p>
      <w:pPr>
        <w:spacing w:after="0" w:line="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products are intended to be used by a large number of healthcare professionals who will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AFRESA and to provide adequate support for them. Therefore, we plan to enter into collaborations with one or more pharmaceutical companies to market, distribute and sell AFRESA,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able to field a sales force as large as our competitors or provide the same degree of market research or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AFRESA and our other product candidates are new and unproven. Even if any of our product candidates obtains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AFRESA and our other product candidates will depend on many factors, including the:</w:t>
      </w:r>
    </w:p>
    <w:p>
      <w:pPr>
        <w:spacing w:after="0" w:line="117"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660" w:right="700" w:hanging="436"/>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other treatment therapeutics and methods;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 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8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consumers for our products, our products might not be used or purchased, which would adversely affect our revenues.</w:t>
      </w:r>
    </w:p>
    <w:p>
      <w:pPr>
        <w:spacing w:after="0" w:line="6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AFRESA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8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testing, manufacturing, marketing and sale of AFRESA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AFRESA. In addition, we carry local policies per trial in each country in which we conduct clinical trials that require us to carry coverage based on local statutory requirements. We intend to obtain product liability coverage for commercial sales in the future if AFRESA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6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AFRESA,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73"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Clinical testing can be costly and take many years, and the outcome is uncertain and susceptible to varying interpretations. Based on our discussions with the FDA at a pre-NDA meeting, we conducted a study, prior to submitting our NDA for AFRESA, that assessed the bioequivalency of the inhaler used in our clinical trials to date with the modified version of the same inhaler that we intend to use for commercial purposes. The FDA did not request any other trials prior to NDA submission. However, we cannot be certain if or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AFRESA.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6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requirements governing the conduct of clinical trials and manufacturing and marketing of our product candidates, including AFRESA, outside the United States vary widely from country to country. Foreign approvals may take longer to obtain than FDA approvals and can require, among other things, additional testing and different clinical trial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5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AFRESA in different ways. For example, Exubera may be used as a reference for safety and efficacy evaluations of AFRESA, and the approval standards set for Exubera may be applied to other products that follow including AFRESA.</w:t>
      </w:r>
    </w:p>
    <w:p>
      <w:pPr>
        <w:spacing w:after="0" w:line="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March 16, 2009, we submitted an NDA for AFRESA, which the FDA accepted for review on May 16, 2009. The FDA has advised us that it will regulate AFRESA as a “combination product” because of the complex nature of the system that includes the combination of a new drug (AFRESA) and a new medical device (the AFRESA inhaler used to administer the insulin). The FDA indicated that the review of our drug marketing application for AFRESA will involve several separate review groups of the FDA including: (1) the Metabolic and Endocrine Drug Products Division; (2) the Pulmonary Drug Products Division; and (3) the Center for Devices and Radiological Health, which reviews medical devices. We currently understand that the Metabolic and Endocrine Drug Products Division will be the lead group and will obtain consulting reviews from the other two FDA groups. We can make no assurances at this time about what impact FDA review by multiple groups will have on the timeliness of the FDA’s review or the approvability of our product or whether we are correct in our understanding of how AFRESA will be reviewed and approved.</w:t>
      </w:r>
    </w:p>
    <w:p>
      <w:pPr>
        <w:spacing w:after="0" w:line="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AFRESA as a combination product therapy may lengthen the product development and regulatory approval process, increase our development costs and delay or prevent the commercialization of AFRESA.</w:t>
      </w:r>
    </w:p>
    <w:p>
      <w:pPr>
        <w:spacing w:after="0" w:line="8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developing AFRESA as a new treatment for diabetes utilizing unique, proprietary components. As a combination product, any changes to either the AFRESA inhaler, or AFRESA, including new suppliers, could possibly result in FDA requirements to repeat certain clinical studies. This means, for example, that switching to an alternate delivery system, such as our next generation inhaler,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could require us to undertake additional clinical trials and other studies, which could significantly delay the development and commercialization of AFRESA.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that are currently in development for the treatment of cancer also face similar obstacles and costs.</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also must obtain approval from the FDA for the trade name of our product. The FDA has informed us that the name AFRESA may be too similar to other drugs on the market and that we may have to propose another trade name for our product.</w:t>
      </w:r>
    </w:p>
    <w:p>
      <w:pPr>
        <w:spacing w:after="0" w:line="6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Our first generation inhaler is being reviewed for approval as part of the NDA for AFRESA. No assurances exist that we will not be required to obtain separate device clearances or approval for use of our inhaler with AFRESA. This may result in our being subject to medical device review user fees and to other device requirements to market our inhaler and may result in significant delays in commercialization. Even if the device component is approved as part of our NDA for AFRESA, numerous device regulatory requirements still apply to the device part of the drug-device combination.</w:t>
      </w:r>
    </w:p>
    <w:p>
      <w:pPr>
        <w:spacing w:after="0" w:line="6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We will not be able to commercialize AFRESA or any other product candidates until we have obtained regulatory approval. Until we prepared and filed our NDA for AFRESA, we had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3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AFRESA or limit the target population for our other product candidates. Based on currently available clinical studies, we believe that AFRESA may have certain advantages over currently approved insulin products including its approximation of the natural early insulin secretion normally seen in healthy individuals following the beginning of a meal. Nonetheless, there are no assurances that these or any other advantages of AFRESA will be agreed to by the FDA or otherwise included in product labeling or advertising and, as a result, AFRESA may not have our expected competitive advantages when compared to other insulin products.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insulin supplier does not yet supply human recombinant insulin for an FDA-approved product and will be subject to an FDA preapproval inspection before the agency will approve a future marketing application for AFRESA.*</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insulin supplier for purposes of the NDA filing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AFRESA. We also depend on suppliers for other materials that comprise AFRESA, including our AFRESA inhaler and cartridges. All of our device suppliers must comply with relevant regulatory requirements including QSR. It also is likely that major suppliers will be subject to FDA preapproval inspections before the agency will approve a future marketing application for AFRESA.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At present, there are a number of clinical trials being conducted by us and other pharmaceutical companies involving insulin delivery systems. If we discover that AFRESA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AFRESA. As well, the public perception of AFRESA might be adversely affected, which could harm our business and results of operations and cause the market price of our common stock to decline, even if the concern relates to another company’s products or product candidates.</w:t>
      </w:r>
    </w:p>
    <w:p>
      <w:pPr>
        <w:spacing w:after="0" w:line="5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6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Moreover, certain components of AFRESA and/or our DNA-based cancer vaccines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Although we own a number of domestic and foreign patents and patent applications relating to AFRESA and cancer vaccine products under development, we have identified certain third-party patents having claims relating to pulmonary insulin delivery that may trigger an allegation of infringement upon the commercial manufacture and sale of AFRESA. We have also identified third-party patents disclosing methods of use and compositions of matter related to DNA-based cancer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7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80"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AFRESA or other product candidates;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sales of large blocks of our common stock, including sales by our executive officers, directors and significant stockholders; and</w:t>
      </w:r>
    </w:p>
    <w:p>
      <w:pPr>
        <w:spacing w:after="0" w:line="130" w:lineRule="exact"/>
        <w:rPr>
          <w:rFonts w:ascii="Arial" w:cs="Arial" w:eastAsia="Arial" w:hAnsi="Arial"/>
          <w:sz w:val="18"/>
          <w:szCs w:val="18"/>
          <w:b w:val="1"/>
          <w:bCs w:val="1"/>
          <w:color w:val="auto"/>
        </w:rPr>
      </w:pPr>
    </w:p>
    <w:p>
      <w:pPr>
        <w:ind w:left="660" w:right="180" w:hanging="436"/>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discussion of AFRESA,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At October 23, 2009, Mr. Mann beneficially owned approximately 44.9% of our outstanding shares of capital stock. We believe members of Mr. Mann’s family beneficially owned approximately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8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future sale of our common stock or the conversion of our senior convertible notes into common stock could negatively affect our stock price.</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0"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6" w:lineRule="exact"/>
        <w:rPr>
          <w:sz w:val="20"/>
          <w:szCs w:val="20"/>
          <w:color w:val="auto"/>
        </w:rPr>
      </w:pPr>
    </w:p>
    <w:p>
      <w:pPr>
        <w:ind w:right="10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expect to pay dividends in the foreseeable future, you must rely on stock appreciation for any return on your investment.</w:t>
      </w:r>
    </w:p>
    <w:p>
      <w:pPr>
        <w:spacing w:after="0" w:line="1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There were no sales of equity securities by us that were not registered under the Securities Act of 1933, as amended, during the third quarter of 2009.</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right="5140"/>
        <w:spacing w:after="0" w:line="407" w:lineRule="auto"/>
        <w:rPr>
          <w:sz w:val="20"/>
          <w:szCs w:val="20"/>
          <w:color w:val="auto"/>
        </w:rPr>
      </w:pPr>
      <w:r>
        <w:rPr>
          <w:rFonts w:ascii="Arial" w:cs="Arial" w:eastAsia="Arial" w:hAnsi="Arial"/>
          <w:sz w:val="18"/>
          <w:szCs w:val="18"/>
          <w:b w:val="1"/>
          <w:bCs w:val="1"/>
          <w:color w:val="auto"/>
        </w:rPr>
        <w:t xml:space="preserve">ITEM 4. SUBMISSION OF MATTERS TO A VOTE OF SECURITY HOLDERS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5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84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320"/>
              <w:spacing w:after="0"/>
              <w:rPr>
                <w:sz w:val="20"/>
                <w:szCs w:val="20"/>
                <w:color w:val="auto"/>
              </w:rPr>
            </w:pPr>
            <w:r>
              <w:rPr>
                <w:rFonts w:ascii="Arial" w:cs="Arial" w:eastAsia="Arial" w:hAnsi="Arial"/>
                <w:sz w:val="18"/>
                <w:szCs w:val="18"/>
                <w:color w:val="auto"/>
              </w:rPr>
              <w:t>Restated Certificate of Incorporation.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580" w:type="dxa"/>
            <w:vAlign w:val="bottom"/>
          </w:tcPr>
          <w:p>
            <w:pPr>
              <w:ind w:left="32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3.3(3)</w:t>
            </w:r>
          </w:p>
        </w:tc>
        <w:tc>
          <w:tcPr>
            <w:tcW w:w="10580" w:type="dxa"/>
            <w:vAlign w:val="bottom"/>
          </w:tcPr>
          <w:p>
            <w:pPr>
              <w:ind w:left="32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4.1(4)</w:t>
            </w:r>
          </w:p>
        </w:tc>
        <w:tc>
          <w:tcPr>
            <w:tcW w:w="10580" w:type="dxa"/>
            <w:vAlign w:val="bottom"/>
          </w:tcPr>
          <w:p>
            <w:pPr>
              <w:ind w:left="32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4.2(5)</w:t>
            </w:r>
          </w:p>
        </w:tc>
        <w:tc>
          <w:tcPr>
            <w:tcW w:w="10580" w:type="dxa"/>
            <w:vAlign w:val="bottom"/>
          </w:tcPr>
          <w:p>
            <w:pPr>
              <w:ind w:left="32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4.3(5)</w:t>
            </w:r>
          </w:p>
        </w:tc>
        <w:tc>
          <w:tcPr>
            <w:tcW w:w="10580" w:type="dxa"/>
            <w:vAlign w:val="bottom"/>
          </w:tcPr>
          <w:p>
            <w:pPr>
              <w:ind w:left="32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4.4(1)</w:t>
            </w:r>
          </w:p>
        </w:tc>
        <w:tc>
          <w:tcPr>
            <w:tcW w:w="10580" w:type="dxa"/>
            <w:vAlign w:val="bottom"/>
          </w:tcPr>
          <w:p>
            <w:pPr>
              <w:ind w:left="32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4.5(1)</w:t>
            </w:r>
          </w:p>
        </w:tc>
        <w:tc>
          <w:tcPr>
            <w:tcW w:w="10580" w:type="dxa"/>
            <w:vAlign w:val="bottom"/>
          </w:tcPr>
          <w:p>
            <w:pPr>
              <w:ind w:left="320"/>
              <w:spacing w:after="0"/>
              <w:rPr>
                <w:sz w:val="20"/>
                <w:szCs w:val="20"/>
                <w:color w:val="auto"/>
              </w:rPr>
            </w:pPr>
            <w:r>
              <w:rPr>
                <w:rFonts w:ascii="Arial" w:cs="Arial" w:eastAsia="Arial" w:hAnsi="Arial"/>
                <w:sz w:val="18"/>
                <w:szCs w:val="18"/>
                <w:color w:val="auto"/>
                <w:w w:val="96"/>
              </w:rPr>
              <w:t>Registration Rights Agreement, dated October 15, 1998 by and among CTL ImmunoTherapies Corp., Medical Research Group, LLC,</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McLean Watson Advisory Inc. and Alfred E. Mann, as amended.</w:t>
            </w:r>
          </w:p>
        </w:tc>
        <w:tc>
          <w:tcPr>
            <w:tcW w:w="0" w:type="dxa"/>
            <w:vAlign w:val="bottom"/>
          </w:tcPr>
          <w:p>
            <w:pPr>
              <w:spacing w:after="0"/>
              <w:rPr>
                <w:sz w:val="1"/>
                <w:szCs w:val="1"/>
                <w:color w:val="auto"/>
              </w:rPr>
            </w:pPr>
          </w:p>
        </w:tc>
      </w:tr>
      <w:tr>
        <w:trPr>
          <w:trHeight w:val="405"/>
        </w:trPr>
        <w:tc>
          <w:tcPr>
            <w:tcW w:w="840" w:type="dxa"/>
            <w:vAlign w:val="bottom"/>
          </w:tcPr>
          <w:p>
            <w:pPr>
              <w:spacing w:after="0"/>
              <w:rPr>
                <w:sz w:val="24"/>
                <w:szCs w:val="24"/>
                <w:color w:val="auto"/>
              </w:rPr>
            </w:pPr>
          </w:p>
        </w:tc>
        <w:tc>
          <w:tcPr>
            <w:tcW w:w="10580" w:type="dxa"/>
            <w:vAlign w:val="bottom"/>
          </w:tcPr>
          <w:p>
            <w:pPr>
              <w:ind w:left="47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840" w:type="dxa"/>
            <w:vAlign w:val="bottom"/>
            <w:tcBorders>
              <w:bottom w:val="single" w:sz="8" w:color="808080"/>
            </w:tcBorders>
          </w:tcPr>
          <w:p>
            <w:pPr>
              <w:spacing w:after="0"/>
              <w:rPr>
                <w:sz w:val="19"/>
                <w:szCs w:val="19"/>
                <w:color w:val="auto"/>
              </w:rPr>
            </w:pPr>
          </w:p>
        </w:tc>
        <w:tc>
          <w:tcPr>
            <w:tcW w:w="105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3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7"/>
        </w:trPr>
        <w:tc>
          <w:tcPr>
            <w:tcW w:w="840" w:type="dxa"/>
            <w:vAlign w:val="bottom"/>
          </w:tcPr>
          <w:p>
            <w:pPr>
              <w:spacing w:after="0" w:line="157" w:lineRule="exact"/>
              <w:rPr>
                <w:sz w:val="20"/>
                <w:szCs w:val="20"/>
                <w:color w:val="auto"/>
              </w:rPr>
            </w:pPr>
            <w:r>
              <w:rPr>
                <w:rFonts w:ascii="Arial" w:cs="Arial" w:eastAsia="Arial" w:hAnsi="Arial"/>
                <w:sz w:val="14"/>
                <w:szCs w:val="14"/>
                <w:b w:val="1"/>
                <w:bCs w:val="1"/>
                <w:color w:val="auto"/>
              </w:rPr>
              <w:t>Number</w:t>
            </w:r>
          </w:p>
        </w:tc>
        <w:tc>
          <w:tcPr>
            <w:tcW w:w="10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320" w:type="dxa"/>
            <w:vAlign w:val="bottom"/>
          </w:tcPr>
          <w:p>
            <w:pPr>
              <w:ind w:left="320"/>
              <w:spacing w:after="0"/>
              <w:rPr>
                <w:sz w:val="20"/>
                <w:szCs w:val="20"/>
                <w:color w:val="auto"/>
              </w:rPr>
            </w:pPr>
            <w:r>
              <w:rPr>
                <w:rFonts w:ascii="Arial" w:cs="Arial" w:eastAsia="Arial" w:hAnsi="Arial"/>
                <w:sz w:val="18"/>
                <w:szCs w:val="18"/>
                <w:color w:val="auto"/>
                <w:w w:val="90"/>
              </w:rPr>
              <w:t>Certification of the Chief Executive Officer Pursuant to Rules 13a-14(a) or 15d-14(a) of the Securities Exchange Act of 1934, as amended.</w:t>
            </w:r>
          </w:p>
        </w:tc>
        <w:tc>
          <w:tcPr>
            <w:tcW w:w="0" w:type="dxa"/>
            <w:vAlign w:val="bottom"/>
          </w:tcPr>
          <w:p>
            <w:pPr>
              <w:spacing w:after="0"/>
              <w:rPr>
                <w:sz w:val="1"/>
                <w:szCs w:val="1"/>
                <w:color w:val="auto"/>
              </w:rPr>
            </w:pP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320" w:type="dxa"/>
            <w:vAlign w:val="bottom"/>
          </w:tcPr>
          <w:p>
            <w:pPr>
              <w:ind w:left="320"/>
              <w:spacing w:after="0"/>
              <w:rPr>
                <w:sz w:val="20"/>
                <w:szCs w:val="20"/>
                <w:color w:val="auto"/>
              </w:rPr>
            </w:pPr>
            <w:r>
              <w:rPr>
                <w:rFonts w:ascii="Arial" w:cs="Arial" w:eastAsia="Arial" w:hAnsi="Arial"/>
                <w:sz w:val="18"/>
                <w:szCs w:val="18"/>
                <w:color w:val="auto"/>
                <w:w w:val="91"/>
              </w:rPr>
              <w:t>Certification of the Chief Financial Officer Pursuant to Rules 13a-14(a) or 15d-14(a) of the Securities Exchange Act of 1934, as amended.</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1152"/>
        <w:spacing w:after="0" w:line="308" w:lineRule="auto"/>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or 15d-14(b) of the Securities Exchange Act of 1934, as amended and Section 1350 of Chapter 63 of Title 18 of the United States Code (18 U.S.C. §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8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Incorporated by reference to MannKind’s registration statement on Form S-1 (File No. 333-115020), filed with the SEC on April 30, 2004, as amended.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Incorporated by reference to MannKind’s registration statement on Form S-3 (File No. 333-138373) filed with the SEC on November 2, 2006.</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12, 2006.</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color w:val="auto"/>
        </w:rPr>
        <w:t>Dated: November 2, 2009</w:t>
      </w:r>
      <w:r>
        <w:rPr>
          <w:sz w:val="20"/>
          <w:szCs w:val="20"/>
          <w:color w:val="auto"/>
        </w:rPr>
        <w:tab/>
      </w:r>
      <w:r>
        <w:rPr>
          <w:rFonts w:ascii="Arial" w:cs="Arial" w:eastAsia="Arial" w:hAnsi="Arial"/>
          <w:sz w:val="17"/>
          <w:szCs w:val="17"/>
          <w:color w:val="auto"/>
        </w:rPr>
        <w:t>MANNKIND CORPORATION</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Matthew J. Pfeffer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Corporate Vice President 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4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19" w:right="4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ind w:right="2760"/>
        <w:spacing w:after="0" w:line="375" w:lineRule="auto"/>
        <w:rPr>
          <w:sz w:val="20"/>
          <w:szCs w:val="20"/>
          <w:color w:val="auto"/>
        </w:rPr>
      </w:pPr>
      <w:r>
        <w:rPr>
          <w:rFonts w:ascii="Arial" w:cs="Arial" w:eastAsia="Arial" w:hAnsi="Arial"/>
          <w:sz w:val="18"/>
          <w:szCs w:val="18"/>
          <w:color w:val="auto"/>
        </w:rPr>
        <w:t>PURSUANT TO RULE 13a-14(a) OR 15d-14(a) OF THE SECURITIES EXCHANGE ACT OF 1934, AS AMENDED I, Alfred E. Mann, certify that:</w:t>
      </w:r>
    </w:p>
    <w:p>
      <w:pPr>
        <w:spacing w:after="0" w:line="1"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nine months ended September 30, 2009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200" w:firstLine="221"/>
        <w:spacing w:after="0" w:line="264"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2,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Alfred E. Mann</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ind w:right="2760"/>
        <w:spacing w:after="0" w:line="375" w:lineRule="auto"/>
        <w:rPr>
          <w:sz w:val="20"/>
          <w:szCs w:val="20"/>
          <w:color w:val="auto"/>
        </w:rPr>
      </w:pPr>
      <w:r>
        <w:rPr>
          <w:rFonts w:ascii="Arial" w:cs="Arial" w:eastAsia="Arial" w:hAnsi="Arial"/>
          <w:sz w:val="18"/>
          <w:szCs w:val="18"/>
          <w:color w:val="auto"/>
        </w:rPr>
        <w:t>PURSUANT TO RULE 13a-14(a) OR 15d-14(a) OF THE SECURITIES EXCHANGE ACT OF 1934, AS AMENDED I, Matthew J. Pfeffer, certify that:</w:t>
      </w:r>
    </w:p>
    <w:p>
      <w:pPr>
        <w:spacing w:after="0" w:line="1"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nine months ended September 30, 2009 of MannKind Corporation;</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140" w:firstLine="221"/>
        <w:spacing w:after="0" w:line="264"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264"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400" w:firstLine="221"/>
        <w:spacing w:after="0" w:line="277" w:lineRule="auto"/>
        <w:tabs>
          <w:tab w:leader="none" w:pos="71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November 2,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Matthew J. Pfeffer</w:t>
            </w:r>
          </w:p>
        </w:tc>
      </w:tr>
      <w:tr>
        <w:trPr>
          <w:trHeight w:val="216"/>
        </w:trPr>
        <w:tc>
          <w:tcPr>
            <w:tcW w:w="550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557"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103"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connection with the filing of the quarterly report of MannKind Corporation (the “Company”) on Form 10-Q for the quarterly period ended September 30, 2009,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64" w:lineRule="exact"/>
        <w:rPr>
          <w:sz w:val="20"/>
          <w:szCs w:val="20"/>
          <w:color w:val="auto"/>
        </w:rPr>
      </w:pPr>
    </w:p>
    <w:p>
      <w:pPr>
        <w:ind w:left="400" w:hanging="167"/>
        <w:spacing w:after="0"/>
        <w:tabs>
          <w:tab w:leader="none" w:pos="4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400" w:hanging="167"/>
        <w:spacing w:after="0"/>
        <w:tabs>
          <w:tab w:leader="none" w:pos="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have set their hands hereto as of the 2nd day of November, 2009.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56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720" w:type="dxa"/>
            <w:vAlign w:val="bottom"/>
          </w:tcPr>
          <w:p>
            <w:pPr>
              <w:spacing w:after="0"/>
              <w:rPr>
                <w:sz w:val="20"/>
                <w:szCs w:val="20"/>
                <w:color w:val="auto"/>
              </w:rPr>
            </w:pPr>
            <w:r>
              <w:rPr>
                <w:rFonts w:ascii="Arial" w:cs="Arial" w:eastAsia="Arial" w:hAnsi="Arial"/>
                <w:sz w:val="18"/>
                <w:szCs w:val="18"/>
                <w:color w:val="auto"/>
              </w:rPr>
              <w:t>Alfred E. Mann</w:t>
            </w: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shall not be deemed filed for purposes of Section 18 of the Securities Exchange Act of 1934, as amended or the Securities Act of 1933, as amended, into any filing of the Company, whether made before or after the date hereof, regardless of any general incorporation language contained in such filing.</w:t>
      </w: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1"/>
      <w:numFmt w:val="decimal"/>
      <w:start w:val="32"/>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2019-12-10T11:36:06Z</dcterms:created>
  <dcterms:modified xsi:type="dcterms:W3CDTF">2019-12-10T11:36:06Z</dcterms:modified>
</cp:coreProperties>
</file>