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220" w:val="left"/>
          <w:tab w:leader="none" w:pos="4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ind w:right="1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20" w:space="720"/>
            <w:col w:w="1500" w:space="720"/>
            <w:col w:w="3400" w:space="720"/>
            <w:col w:w="2300"/>
          </w:cols>
          <w:pgMar w:left="240" w:top="122" w:right="2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July 23, 2009, there were 103,747,874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160" w:type="dxa"/>
            <w:vAlign w:val="bottom"/>
            <w:gridSpan w:val="9"/>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June 30, 2009 and December 31, 2008</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7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six months ended June 30, 2009 and 2008 and the period from inception</w:t>
              </w:r>
            </w:hyperlink>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(February 14, 1991) to June 30, 2009</w:t>
              </w:r>
            </w:hyperlink>
          </w:p>
        </w:tc>
        <w:tc>
          <w:tcPr>
            <w:tcW w:w="71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0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Six months ended June 30, 2009 and 2008 and the period from inception (February 14,</w:t>
              </w:r>
            </w:hyperlink>
          </w:p>
        </w:tc>
        <w:tc>
          <w:tcPr>
            <w:tcW w:w="9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1991) to June 30, 2009</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0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774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50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848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16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 Submission of Matters to a Vote of Security Holders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9"/>
          </w:tcPr>
          <w:p>
            <w:pPr>
              <w:spacing w:after="0"/>
              <w:rPr>
                <w:sz w:val="17"/>
                <w:szCs w:val="17"/>
                <w:color w:val="auto"/>
              </w:rPr>
            </w:pPr>
          </w:p>
        </w:tc>
        <w:tc>
          <w:tcPr>
            <w:tcW w:w="576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8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SIGNATURES</w:t>
              </w:r>
            </w:hyperlink>
          </w:p>
        </w:tc>
        <w:tc>
          <w:tcPr>
            <w:tcW w:w="892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58"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June 30, 2009</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31,328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16"/>
        </w:trPr>
        <w:tc>
          <w:tcPr>
            <w:tcW w:w="86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2,639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research and development credit exchange — current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226,221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226,436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267,126</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282,459</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11,171</w:t>
            </w:r>
          </w:p>
        </w:tc>
        <w:tc>
          <w:tcPr>
            <w:tcW w:w="320" w:type="dxa"/>
            <w:vAlign w:val="bottom"/>
          </w:tcPr>
          <w:p>
            <w:pPr>
              <w:spacing w:after="0"/>
              <w:rPr>
                <w:sz w:val="18"/>
                <w:szCs w:val="18"/>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r>
        <w:trPr>
          <w:trHeight w:val="223"/>
        </w:trPr>
        <w:tc>
          <w:tcPr>
            <w:tcW w:w="8620" w:type="dxa"/>
            <w:vAlign w:val="bottom"/>
          </w:tcPr>
          <w:p>
            <w:pPr>
              <w:ind w:left="6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286,395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6"/>
              </w:rPr>
              <w:t>Undesignated preferred stock, $0.01 par value - 10,000,000 shares authorized; no shares issued or outstanding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at June 30, 2009 and December 31, 2008</w:t>
            </w:r>
          </w:p>
        </w:tc>
        <w:tc>
          <w:tcPr>
            <w:tcW w:w="1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$0.01 par value - 150,000,000 shares authorized; 103,646,376 and 102,008,096 shares issued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at June 30, 2009 and December 31, 2008, respectively</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1,478,908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1,469,497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(1,499,094)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(1,384,078)</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86,734</w:t>
            </w:r>
          </w:p>
        </w:tc>
        <w:tc>
          <w:tcPr>
            <w:tcW w:w="0" w:type="dxa"/>
            <w:vAlign w:val="bottom"/>
          </w:tcPr>
          <w:p>
            <w:pPr>
              <w:spacing w:after="0"/>
              <w:rPr>
                <w:sz w:val="1"/>
                <w:szCs w:val="1"/>
                <w:color w:val="auto"/>
              </w:rPr>
            </w:pPr>
          </w:p>
        </w:tc>
      </w:tr>
      <w:tr>
        <w:trPr>
          <w:trHeight w:val="223"/>
        </w:trPr>
        <w:tc>
          <w:tcPr>
            <w:tcW w:w="8620" w:type="dxa"/>
            <w:vAlign w:val="bottom"/>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restart"/>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39,849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82,738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126,019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48"/>
              <w:spacing w:after="0"/>
              <w:rPr>
                <w:sz w:val="20"/>
                <w:szCs w:val="20"/>
                <w:color w:val="auto"/>
              </w:rPr>
            </w:pPr>
            <w:r>
              <w:rPr>
                <w:rFonts w:ascii="Arial" w:cs="Arial" w:eastAsia="Arial" w:hAnsi="Arial"/>
                <w:sz w:val="18"/>
                <w:szCs w:val="18"/>
                <w:color w:val="auto"/>
              </w:rPr>
              <w:t>13,537</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13,290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28,930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w w:val="98"/>
              </w:rPr>
              <w:t>111,192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154,949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1,525,670</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(53,386)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(80,864)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(111,192)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(154,929)</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88"/>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4"/>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(55,604)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(79,826)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0"/>
              </w:rPr>
              <w:t>(115,016)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(151,247)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w w:val="95"/>
              </w:rPr>
              <w:t>(55,604)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(79,826)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0"/>
              </w:rPr>
              <w:t>(115,016)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(151,247)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6"/>
              </w:rPr>
              <w:t>Deemed dividend related to beneficial conversion feature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(55,604</w:t>
            </w:r>
          </w:p>
        </w:tc>
        <w:tc>
          <w:tcPr>
            <w:tcW w:w="620" w:type="dxa"/>
            <w:vAlign w:val="bottom"/>
            <w:gridSpan w:val="2"/>
          </w:tcPr>
          <w:p>
            <w:pPr>
              <w:jc w:val="right"/>
              <w:ind w:right="48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(79,826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(115,016</w:t>
            </w:r>
          </w:p>
        </w:tc>
        <w:tc>
          <w:tcPr>
            <w:tcW w:w="640" w:type="dxa"/>
            <w:vAlign w:val="bottom"/>
          </w:tcPr>
          <w:p>
            <w:pPr>
              <w:jc w:val="right"/>
              <w:ind w:right="50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(151,247</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loss per share applicable to common stockholders —</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share applicable to common stockholders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102,322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101,427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4"/>
              <w:spacing w:after="0"/>
              <w:rPr>
                <w:sz w:val="20"/>
                <w:szCs w:val="20"/>
                <w:color w:val="auto"/>
              </w:rPr>
            </w:pPr>
            <w:r>
              <w:rPr>
                <w:rFonts w:ascii="Arial" w:cs="Arial" w:eastAsia="Arial" w:hAnsi="Arial"/>
                <w:sz w:val="18"/>
                <w:szCs w:val="18"/>
                <w:color w:val="auto"/>
                <w:w w:val="98"/>
              </w:rPr>
              <w:t>102,177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101,418</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 (A Development Stage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40" w:type="dxa"/>
            <w:vAlign w:val="bottom"/>
            <w:gridSpan w:val="5"/>
            <w:vMerge w:val="restart"/>
          </w:tcPr>
          <w:p>
            <w:pPr>
              <w:jc w:val="right"/>
              <w:ind w:right="120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40" w:type="dxa"/>
            <w:vAlign w:val="bottom"/>
            <w:gridSpan w:val="5"/>
            <w:vMerge w:val="continue"/>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40" w:type="dxa"/>
            <w:vAlign w:val="bottom"/>
            <w:gridSpan w:val="2"/>
            <w:vMerge w:val="restart"/>
          </w:tcPr>
          <w:p>
            <w:pPr>
              <w:jc w:val="right"/>
              <w:ind w:right="151"/>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020" w:type="dxa"/>
            <w:vAlign w:val="bottom"/>
            <w:gridSpan w:val="3"/>
          </w:tcPr>
          <w:p>
            <w:pPr>
              <w:jc w:val="right"/>
              <w:ind w:right="1500"/>
              <w:spacing w:after="0" w:line="149" w:lineRule="exact"/>
              <w:rPr>
                <w:sz w:val="20"/>
                <w:szCs w:val="20"/>
                <w:color w:val="auto"/>
              </w:rPr>
            </w:pPr>
            <w:r>
              <w:rPr>
                <w:rFonts w:ascii="Arial" w:cs="Arial" w:eastAsia="Arial" w:hAnsi="Arial"/>
                <w:sz w:val="14"/>
                <w:szCs w:val="14"/>
                <w:b w:val="1"/>
                <w:bCs w:val="1"/>
                <w:color w:val="auto"/>
                <w:w w:val="89"/>
              </w:rPr>
              <w:t>June 30,</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 (115,016)</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 (151,247)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7"/>
              </w:rPr>
              <w:t>$ (1,499,094)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9,233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3,804</w:t>
            </w:r>
          </w:p>
        </w:tc>
        <w:tc>
          <w:tcPr>
            <w:tcW w:w="6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12,889</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12,068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State research and development credit exchange receivable</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1,150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Other assets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(5,982)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(11,453)</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(1,174)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(105,022)</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(140,011)</w:t>
            </w:r>
          </w:p>
        </w:tc>
        <w:tc>
          <w:tcPr>
            <w:tcW w:w="6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(1,124,849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of marketable securities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(12,548)</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(48,255)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7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(48,185)</w:t>
            </w:r>
          </w:p>
        </w:tc>
        <w:tc>
          <w:tcPr>
            <w:tcW w:w="6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668</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424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105,000</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105,450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800" w:type="dxa"/>
            <w:vAlign w:val="bottom"/>
            <w:gridSpan w:val="2"/>
          </w:tcPr>
          <w:p>
            <w:pPr>
              <w:jc w:val="right"/>
              <w:ind w:right="95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vMerge w:val="restart"/>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June 30,</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(187,831)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27,648</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368,285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31,328</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180,454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2,761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14,775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MANNKIND CORPORATION AND SUBSIDIARIES (A Development Stage Company)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2008 are included in the Company’s annual report on Form 10-K for the fiscal year ended December 31, 2008 filed with the SEC on February 27, 2009 (the “Annual Report”).</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months ended June 30, 2009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4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 biopharmaceutical company focused on the discovery, development and commercialization of therapeutic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such as diabetes and cancer. The Company’s lead product candidate, AFRESA®, is an ultra rapid-acting insulin. In March 2009, the Company submitted a new drug application (“NDA”) to the U.S. Food and Drug Administration (“FDA”) requesting approval of AFRESA for the treatment of adults with type 1 or type 2 diabetes for the control of hyperglycemia. The FDA accepted the Company’s NDA for filing in May 2009. AFRESA consists of the Company’s proprietary Technosphere particles onto which insulin molecules are loaded. These loaded particles are then aerosolized and inhaled deep into the lung using the Company’s AFRESA inhaler.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June 30, 2009, the Company has reported accumulated net losses of $1.5 billion and accumulated deficit in stockholders’ equity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$19.3 million, which include a goodwill impairment charge of $151.4 million, and cumulative negative cash flow from operations of $1.1 billion. It is costly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 develop therapeutic products and conduct clinical trials for these products. At June 30, 2009 the Company’s capital resources consisted of cash,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equivalents, and marketable securities of $34.0 million (including a $2.0 million certificate of deposit held as collateral for foreign exchange hedging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and $215.0 million of available borrowings under the loan agreement with an entity controlled by the Company’s principal shareholder (see Note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Based upon the Company’s current expectations, management believes the Company’s existing capital resources will enable it to continue planned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through the second quarter of 2010. However, the Company cannot provide assurances that its plans will not change or that changed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result in the depletion of its capital resources more rapidly than it currently anticipates. Accordingly, the Company expects that it will need to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either through the sale of equity and/or debt securities, a strategic business collaboration with a pharmaceutical company 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establishment of other funding facilities, in order to continue the development and commercialization of AFRESA and other product candidates and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support its other ongoing activities.</w:t>
      </w:r>
    </w:p>
    <w:p>
      <w:pPr>
        <w:spacing w:after="0" w:line="9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carrying amounts of financial instruments, which include cash equivalents, marketable securities and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approximate their fair values due to their relatively short maturities. The fair value of the note payable to an entity controlled by the Company’s principal shareholder cannot be reasonably estimated as the Company would not be able to obtain a similar credit arrangement in the current economic environment. The senior convertible notes had a carrying value of $112.5 million and $112.3 million and an estimated fair value of $71.9 million and $53.9 million as of June 30, 2009 and December 31, 2008,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Subsequent Events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evaluated subsequent events through the date the financial statements were issued, August 3, 2009.</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On April 9, 2009, the Financial Accounting Standards Board (“FASB”) issued three FASB Staff Positions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(“FSP”): FSP No. FAS 157-4 </w:t>
      </w:r>
      <w:r>
        <w:rPr>
          <w:rFonts w:ascii="Arial" w:cs="Arial" w:eastAsia="Arial" w:hAnsi="Arial"/>
          <w:sz w:val="16"/>
          <w:szCs w:val="16"/>
          <w:i w:val="1"/>
          <w:iCs w:val="1"/>
          <w:color w:val="auto"/>
        </w:rPr>
        <w:t>“Determining Fair Value When the Volume and Level of Activity for the Asset or Liability Have Significantly Decreased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Identifying Transactions That Are Not Orderly” </w:t>
      </w:r>
      <w:r>
        <w:rPr>
          <w:rFonts w:ascii="Arial" w:cs="Arial" w:eastAsia="Arial" w:hAnsi="Arial"/>
          <w:sz w:val="16"/>
          <w:szCs w:val="16"/>
          <w:color w:val="auto"/>
        </w:rPr>
        <w:t>(“FSP No. FAS 157-4”); FSP No. FAS 115-2 and FAS 124-2</w:t>
      </w:r>
      <w:r>
        <w:rPr>
          <w:rFonts w:ascii="Arial" w:cs="Arial" w:eastAsia="Arial" w:hAnsi="Arial"/>
          <w:sz w:val="16"/>
          <w:szCs w:val="16"/>
          <w:i w:val="1"/>
          <w:iCs w:val="1"/>
          <w:color w:val="auto"/>
        </w:rPr>
        <w:t xml:space="preserve"> “Recognition and Presentation of Other-Than-Temporary Impairments” </w:t>
      </w:r>
      <w:r>
        <w:rPr>
          <w:rFonts w:ascii="Arial" w:cs="Arial" w:eastAsia="Arial" w:hAnsi="Arial"/>
          <w:sz w:val="16"/>
          <w:szCs w:val="16"/>
          <w:color w:val="auto"/>
        </w:rPr>
        <w:t>(“FSP No. FAS 115-2 and FAS 124-2”); and FSP No. FAS 107-1 and APB 28-1</w:t>
      </w:r>
      <w:r>
        <w:rPr>
          <w:rFonts w:ascii="Arial" w:cs="Arial" w:eastAsia="Arial" w:hAnsi="Arial"/>
          <w:sz w:val="16"/>
          <w:szCs w:val="16"/>
          <w:i w:val="1"/>
          <w:iCs w:val="1"/>
          <w:color w:val="auto"/>
        </w:rPr>
        <w:t xml:space="preserve"> “Interim Disclosures About Fair Value of Financial Instruments” </w:t>
      </w:r>
      <w:r>
        <w:rPr>
          <w:rFonts w:ascii="Arial" w:cs="Arial" w:eastAsia="Arial" w:hAnsi="Arial"/>
          <w:sz w:val="16"/>
          <w:szCs w:val="16"/>
          <w:color w:val="auto"/>
        </w:rPr>
        <w:t>(“FSP No. FAS 107-1 and APB 28-1”). FSP No. FAS 157-4 provides application guidance on measuring fair value when the volume</w:t>
      </w:r>
      <w:r>
        <w:rPr>
          <w:rFonts w:ascii="Arial" w:cs="Arial" w:eastAsia="Arial" w:hAnsi="Arial"/>
          <w:sz w:val="16"/>
          <w:szCs w:val="16"/>
          <w:i w:val="1"/>
          <w:iCs w:val="1"/>
          <w:color w:val="auto"/>
        </w:rPr>
        <w:t xml:space="preserve"> </w:t>
      </w:r>
      <w:r>
        <w:rPr>
          <w:rFonts w:ascii="Arial" w:cs="Arial" w:eastAsia="Arial" w:hAnsi="Arial"/>
          <w:sz w:val="16"/>
          <w:szCs w:val="16"/>
          <w:color w:val="auto"/>
        </w:rPr>
        <w:t>and level of activity has significantly decreased and identifying transactions that are not orderly. FSP No. FAS 115-2 and FAS 124-2 provides a new other-than-temporary impairment model for debt securities only which shifts the focus from an entity’s intent to hold until recovery to its intent to sell. FSP No. FAS 107-1 and APB 28-4 expands the fair value disclosures required for all financial instruments within the scope of FASB Statement No. 107</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to interim periods. All three FSPs are effective for interim and annual periods ending after June 15, 2009, with early adoption permitted for periods ending after March 15, 2009. The adoption of these FSPs did not have a material impact on the Company’s results of operations, financial position or cash flows.</w:t>
      </w:r>
    </w:p>
    <w:p>
      <w:pPr>
        <w:spacing w:after="0" w:line="8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On May 28, 2009, the FASB issued Statement of Financial Accounting Standards (“FASB Statement”)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Statement No. 165”), which provides guidance on management’s assessment of subsequent events. Historically, management had relied on auditing literature for guidance on assessing and disclosing subsequent events. FASB Statement No. 165 is not expected to significantly change practice because its guidance is similar to that contained in auditing guidance. The statement is effective prospectively for interim and annual periods ending after June 15, 2009. The adoption of this statement did not have a material impact on the Company’s results of operations, financial position, cash flows or financial statement disclosures.</w:t>
      </w:r>
    </w:p>
    <w:p>
      <w:pPr>
        <w:spacing w:after="0" w:line="8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On June 29, 2009, the FASB issued FASB Statement No. 168, </w:t>
      </w:r>
      <w:r>
        <w:rPr>
          <w:rFonts w:ascii="Arial" w:cs="Arial" w:eastAsia="Arial" w:hAnsi="Arial"/>
          <w:sz w:val="18"/>
          <w:szCs w:val="18"/>
          <w:i w:val="1"/>
          <w:iCs w:val="1"/>
          <w:color w:val="auto"/>
        </w:rPr>
        <w:t>“FASB Accounting Statement on Codification and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a replacement of FASB Statement No. 162” </w:t>
      </w:r>
      <w:r>
        <w:rPr>
          <w:rFonts w:ascii="Arial" w:cs="Arial" w:eastAsia="Arial" w:hAnsi="Arial"/>
          <w:sz w:val="18"/>
          <w:szCs w:val="18"/>
          <w:color w:val="auto"/>
        </w:rPr>
        <w:t>(“FASB Statement No. 168”), which will become the source of authoritative GAAP</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by the FASB to be applied by all nongovernmental agencies. The statement is effective for financial statements issued for interim and annual periods ending after September 15, 2009 and is not expected to have a material impact on the Company’s results of operations, financial position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4"/>
                <w:szCs w:val="14"/>
                <w:b w:val="1"/>
                <w:bCs w:val="1"/>
                <w:color w:val="auto"/>
                <w:w w:val="96"/>
              </w:rPr>
              <w:t>2009</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Cost</w:t>
            </w:r>
          </w:p>
        </w:tc>
        <w:tc>
          <w:tcPr>
            <w:tcW w:w="4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4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Basis</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4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2,761</w:t>
            </w:r>
          </w:p>
        </w:tc>
        <w:tc>
          <w:tcPr>
            <w:tcW w:w="440" w:type="dxa"/>
            <w:vAlign w:val="bottom"/>
          </w:tcPr>
          <w:p>
            <w:pPr>
              <w:spacing w:after="0"/>
              <w:rPr>
                <w:sz w:val="19"/>
                <w:szCs w:val="19"/>
                <w:color w:val="auto"/>
              </w:rPr>
            </w:pPr>
          </w:p>
        </w:tc>
        <w:tc>
          <w:tcPr>
            <w:tcW w:w="980" w:type="dxa"/>
            <w:vAlign w:val="bottom"/>
          </w:tcPr>
          <w:p>
            <w:pPr>
              <w:jc w:val="right"/>
              <w:ind w:right="185"/>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9"/>
                <w:szCs w:val="19"/>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2,639</w:t>
            </w:r>
          </w:p>
        </w:tc>
        <w:tc>
          <w:tcPr>
            <w:tcW w:w="4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18,549</w:t>
            </w:r>
          </w:p>
        </w:tc>
        <w:tc>
          <w:tcPr>
            <w:tcW w:w="46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18,844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Company’s available-for-sale securities at June 30, 2009 consist principally of a $2.0 million certificate of deposit with a maturity greater than 90 days,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held as collateral for foreign exchange hedging instruments, and a common stock investment, which is stated at fair value based on quoted prices in an active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(Level 1 in the fair value hierarchy). The Company’s available-for-sale securities at December 31, 2008 consist principally of US agency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stated at fair value based on quoted prices for similar securities in active markets (Level 2 in the fair value hierarchy). The Company’s policy is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 a highly liquid short-term investment portfolio. Proceeds from the sales and maturities of available-for-sale securities amounted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 million for the six months ended June 30, 2009. Gross realized gains and losses for available-for-sale securities were insignificant and recorded as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(expense). Gross unrealized gains and losses are included in other comprehensive income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13,022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13,438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27,718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2008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7,053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6,634</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$ 12,889</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June 30, 2009, there were $9.1 million and $22.3 million of unrecognized compensation costs related to options and restricted stock units, respectively, which are expected to be recognized over the remaining weighted average vesting period of 1.9 years.</w:t>
      </w:r>
    </w:p>
    <w:p>
      <w:pPr>
        <w:spacing w:after="0" w:line="6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On May 21, 2009, the Company’s stockholders approved an amendment to the 2004 Equity Incentive Plan to increase the number of shares of common stock available for issuance under the plan by 5,000,000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FASB Statement No. 130, “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(“FASB Statement No. 130”), requires reporting and displaying comprehensive income (loss) and its components, which, for the Company, includes net loss and unrealized gains and losses on investments and cumulative translation gains and losses. In accordance with FASB Statement No. 130, the accumulated balance of other comprehensive income (loss) is disclosed as a separate component of stockholders’ equity. For the three and six months ended June 30, 2009 and 2008, comprehensive loss consisted of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(55,604)</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(79,826)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(115,016)</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investments</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Cumulative translation gain</w:t>
            </w:r>
          </w:p>
        </w:tc>
        <w:tc>
          <w:tcPr>
            <w:tcW w:w="1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(56,077)</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(79,286)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(115,430)</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(151,247)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17,072,136 shares and 17,985,754 shares as of June 30, 2009 and 2008,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2009, the estimated amount receivable under the program was $1.9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60" w:type="dxa"/>
            <w:vAlign w:val="bottom"/>
          </w:tcPr>
          <w:p>
            <w:pPr>
              <w:jc w:val="center"/>
              <w:ind w:left="488"/>
              <w:spacing w:after="0"/>
              <w:rPr>
                <w:sz w:val="20"/>
                <w:szCs w:val="20"/>
                <w:color w:val="auto"/>
              </w:rPr>
            </w:pPr>
            <w:r>
              <w:rPr>
                <w:rFonts w:ascii="Arial" w:cs="Arial" w:eastAsia="Arial" w:hAnsi="Arial"/>
                <w:sz w:val="14"/>
                <w:szCs w:val="14"/>
                <w:b w:val="1"/>
                <w:bCs w:val="1"/>
                <w:color w:val="auto"/>
                <w:w w:val="92"/>
              </w:rPr>
              <w:t>Estimated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8"/>
              </w:rPr>
              <w:t>Useful</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rPr>
              <w:t>Life</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2"/>
              </w:rPr>
              <w:t>(Years)</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54,927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112,829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78,676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15,887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286,592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(60,371)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226,221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2009 and 2008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4,590</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1,807</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8,980</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Capitalized interest added to property and equipment during the three and six months ended June 30, 2009 and 2008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1,076</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six months ended June 30, 2009, no warrants were exercised. As of June 30, 2009, warrants to purchase 2,882,873 shares of common stock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June 30, 2009, the Company had a binding annual commitment for insulin purchases with Organon N.V. (“Organon”)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aggregating approximately $101.6 million over the period from 2009 through 2012. If the Company terminates the supply agreement following failure to obtain or maintain regulatory approval of AFRESA or either party terminates the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loan arrangement</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This new licensing also eliminated the need for draw restrictions under the previous loan arrangement which enabled the Company to borrow up to a total of $350.0 million from time to time through and including December 31, 2011 with appropriate notice to the lender. Interest will accrue on each outstanding advance at a fixed rate equal to the one-year LIBOR rate as reported by the </w:t>
      </w:r>
      <w:r>
        <w:rPr>
          <w:rFonts w:ascii="Arial" w:cs="Arial" w:eastAsia="Arial" w:hAnsi="Arial"/>
          <w:sz w:val="16"/>
          <w:szCs w:val="16"/>
          <w:i w:val="1"/>
          <w:iCs w:val="1"/>
          <w:color w:val="auto"/>
        </w:rPr>
        <w:t>Wall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Street Journal </w:t>
      </w:r>
      <w:r>
        <w:rPr>
          <w:rFonts w:ascii="Arial" w:cs="Arial" w:eastAsia="Arial" w:hAnsi="Arial"/>
          <w:sz w:val="16"/>
          <w:szCs w:val="16"/>
          <w:color w:val="auto"/>
        </w:rPr>
        <w:t>on the date of such advance plus 3% per annum and will be payable quarterly in arrears. Principal repayment is due on December 31, 2011.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after January 1, 2010, the lender can require the Company to prepay up to $200.0 million in advances that have been outstanding for at least</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12 months. If the lender exercises this right, the Company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amount outstanding under the arrangement was $135.0 million and $30.0 million at June 30, 2009 and December 31, 2008, respectively. As of June 30, 2009, the Company had accrued interest of $1.4 million related to the amount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June 30, 2009 and December 31, 2008, the Company had accrued interest of $0.2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w:t>
      </w:r>
    </w:p>
    <w:p>
      <w:pPr>
        <w:ind w:right="40"/>
        <w:spacing w:after="0" w:line="261" w:lineRule="auto"/>
        <w:rPr>
          <w:sz w:val="20"/>
          <w:szCs w:val="20"/>
          <w:color w:val="auto"/>
        </w:rPr>
      </w:pPr>
      <w:r>
        <w:rPr>
          <w:rFonts w:ascii="Arial" w:cs="Arial" w:eastAsia="Arial" w:hAnsi="Arial"/>
          <w:sz w:val="18"/>
          <w:szCs w:val="18"/>
          <w:color w:val="auto"/>
        </w:rPr>
        <w:t>$3.7 million in issuance costs which are recorded as an offset to the Notes in the accompanying condensed consolidated balance sheets. These costs are being amortized to interest expense using the effective interest method over the term of the Notes.</w:t>
      </w:r>
    </w:p>
    <w:p>
      <w:pPr>
        <w:spacing w:after="0" w:line="76"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color w:val="auto"/>
        </w:rPr>
        <w:t>Amortization of debt issuance expense in connection with the Notes during the three and six months ended June 30, 2009 and 2008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Pfizer asset purchase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19 , 2009, the Company completed its acquisition from Pfizer Inc. (“Pfizer”) and its wholly owned subsidiary, Pfizer Manufacturing Frankfurt GmbH (the “Seller”), of a portion of the Seller’s inventory of bulk insulin and the Seller’s and Pfizer’s rights under a license to manufacture insulin for pulmonary delivery pursuant to that certain Insulin Sale and Purchase Agreement between the Company, Pfizer and the Seller dated March 6, 2009 (the “Insulin Agreement”). In accordance with the terms of the Insulin Agreement, on June 19 , 2009, the Company, Pfizer and the Seller also entered into an Insulin Maintenance and Call-Option Agreement (the “Option Agreement”) pursuant to which the Company agreed to maintain and store the remainder of the Seller’s bulk insulin inventory (the “ Retained Insulin ” ) and acquired an option to purchase the Retained Insulin, in whole or in part, at a specified price, to the extent that the Seller has not otherwise disposed of or used the Retained Insulin. The total purchase price for this transaction including consideration payable to the Company for the storage and maintenance of the Retained Insulin was $3.0 million. The Company allocated the entire purchase price of $3.0 million to the bulk insulin purchased which has been charged to research and development expense for the period ended June 30, 2009.</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consolidated financial statements and this Management’s Discussion and Analysis of Financial Condition and Results of Operations should be read in conjunction with the financial statements and notes for the year ended December 31, 2008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AFRESA, is an ultra rapid-acting insulin. In March 2009, the Company submitted an NDA to the FDA requesting approval of AFRESA for the treatment of adults with type 1 or type 2 diabetes for the control of hyperglycemia. The FDA accepted our NDA for filing in May 2009. We believe that the performance characteristics, unique kinetics, convenience and ease of use of AFRESA may have the potential to change the way diabetes is treated.</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 development stage enterprise and have incurred significant losses since our inception in 1991. As of June 30, 2009, we have incurred a cumulative net loss of $1.5 billion and accumulated deficit in stockholders’ equity of $19.3 million. To date, we have not generated any product revenues and have funded our operations primarily through the sale of equity securities and convertible debt securities. As discussed below in “Liquidity and Capital Resources”, if we are unable to obtain additional funding, there will be substantial doubt about our ability to continue as a going concern.</w:t>
      </w:r>
    </w:p>
    <w:p>
      <w:pPr>
        <w:spacing w:after="0" w:line="6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AFRESA.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AFRESA and new inhalation systems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AFRESA in the United States and other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increase our manufacturing capacity for AFRESA to meet our currently anticipated commercial production needs;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quarter ended June 30, 2009 were purchases of insulin totaling $5.4 million.</w:t>
      </w:r>
    </w:p>
    <w:p>
      <w:pPr>
        <w:spacing w:after="0" w:line="79"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our research and development costs as we incur them.</w:t>
      </w:r>
    </w:p>
    <w:p>
      <w:pPr>
        <w:spacing w:after="0" w:line="7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AFRESA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AFRESA, we are unable to estimate with any certainty the costs that we will incur in the continued development of our product candidates for commercialization. The costs required to complete the development of AFRESA will be largely dependent on the cost and efficiency of our manufacturing process and discussions with the FDA on its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2009 and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months ended June 30, 2009 and 2008, we did not recognize any revenue. We recognized no revenue during the six months ended June 30, 2009. During the six months ended June 30, 2008, we recognized $20,000 in revenue under a license agreement. We do not anticipate sales of any product prior to regulatory approval and commercialization of AFRESA.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2009 and 2008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10,619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33,874</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(23,255)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19,890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20,875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(985)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(611)</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436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39,849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67,574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(27,725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27,377</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61,164</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(33,787)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37,355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41,685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(4,330)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10,281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17,372</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(7,091)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(1,096)</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746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82,738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126,019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(43,281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research and development expenses for the three and six months ended June 30, 2009, as compared to the three and six months ended</w:t>
      </w:r>
    </w:p>
    <w:p>
      <w:pPr>
        <w:spacing w:after="0" w:line="4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June 30, 2008, was primarily due to decreased costs associated with the clinical development of AFRESA as we completed our pivotal AFRESA trials during 2008, as well as decreases in manufacturing costs associated with raw material purchases. We anticipate that our research and development expenses will continue to decrease in 2009 compared to the prior year since we have completed our pivotal AFRESA clinical trials and the expansion of our commercial manufacturing facilities during 2008, as well as due to decreased salary-related costs associated with the reduction in force in April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2009 and 2008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11,065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10,347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2,472</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13,537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13,290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Six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23,640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23,757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4,814</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28,454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28,930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General and administrative expenses for the three months ended June 30, 2009 increased as compared to the same period in the prior year primarily due to increased professional fees related to the recently completed transaction with Pfizer (See Note 14 — Pfizer asset purchase, of the Notes to the accompanying financial statements). We expect general and administrative expenses to increase slightly in 2009 as a result of increased professional fees.</w:t>
      </w:r>
    </w:p>
    <w:p>
      <w:pPr>
        <w:spacing w:after="0" w:line="3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General and administrative expenses for the six months ended June 30, 2009 decreased as compared to the same period in the prior year primarily due to the purchase of patents from Emisphere Technologies, Inc. during the first quarter of 2008, offset by increased professional fees related to the recently completed transaction with Pfizer (See Note 14 — Pfizer asset purchase, of the Notes to the accompanying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Interest income for the three and six months ended June 30, 2009 decreased by $1.2 million and $4.1 million, respectively, as compared to the same period in the prior year primarily due to lower market interest rates and a lower investment balance.</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for the three and six months ended June 30, 2009 increased by $2.4 million and $3.8 million as compared to the same period in the prior year primarily due to a decrease in capitalized interest related to the Danbury, Connecticut plant expansion and the interest expense related to amounts outstanding under the borrowing arrangement with an entity controlled by our principal stockholder (See Note 11 — Related-party loan arrangement, of the Notes to the accompanying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funded our operations primarily through the sale of equity securities and convertible debt securities.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October 2007, we entered into a loan arrangement with our principal stockholder allowing us to borrow up to a total of $350.0 million On February 26,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This new license also eliminated the need for draw restrictions under the previous loan arrangement which enabled us to borrow up to a total of $350.0 million from time to time through and including December 31, 2011 with appropriate notice to the lender.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lender can require us to prepay up to $200.0 million in advances that have been outstanding for at least 12 months. If the lender exercises this right, we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June 30, 2009, the amount borrowed and outstanding under the arrangement was $135.0 million.</w:t>
      </w:r>
    </w:p>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six months ended June 30, 2009, we used $105.0 million of cash for our operations compared to using $140.0 million for our operations in the six months ended June 30, 2008. We had a net loss of $115.0 million for the six months ended June 30, 2009, of which $22.1 million consisted of non-cash charges such as depreciation and amortization, and stock-based compensation. We expect our negative operating cash flow to continue at least until we obtain regulatory approval and achieve commercialization of AFRESA.</w:t>
      </w:r>
    </w:p>
    <w:p>
      <w:pPr>
        <w:spacing w:after="0" w:line="7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generated $3.3 million of cash from investing activities during the six months ended June 30, 2009, compared to spending $48.2 million of cash for investing activities for the six months ended June 30, 2008. For the six months ended June 30, 2009 and 2008, $12.5 million and $48.3 million, respectively, were used to purchase machinery and equipment to expand our manufacturing operations and our quality systems that support clinical trials for AFRESA.</w:t>
      </w:r>
    </w:p>
    <w:p>
      <w:pPr>
        <w:spacing w:after="0" w:line="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financing activities generated $105.5 million of cash for the six months ended June 30, 2009, compared to $0.4 million for the same period in 2008. For the six months ended June 30, 2009, cash from financing activities was primarily from the related party borrowings received, as well as the exercise of stock options.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June 30, 2009, we had $34.0 million in cash, cash equivalents and marketable securities. Although we believe our existing cash resources, including the $215.0 million remaining available under our loan arrangement with an entity controlled by our principal stockholder, will be sufficient to fund our anticipated cash requirements through the second quarter of 2010,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AFRESA and other product candidates and to support our other ongoing activities.</w:t>
      </w:r>
    </w:p>
    <w:p>
      <w:pPr>
        <w:spacing w:after="0" w:line="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intend to use our capital resources to continue the development and commercialization of AFRESA,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AFRESA. To date, we have not reached agreement with any of these companies on a collaboration and we cannot predict when, if ever, we could conclude such an agreement with a partner. There can be no assurance that any such collaboration will be available to us on a timely basis or on acceptable terms, if at all.</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AFRESA development activities, or further reduction of costs for facilities and administration, and there will be substantial doubt about our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$105.0 million from an entity controlled by our principal stockholder during the six months ended June 30, 2009. (See Note 11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On April 9, 2009, the Financial Accounting Standards Board (“FASB”) issued three FASB Staff Positions (“FSP”): FSP No. FAS 157-4 </w:t>
      </w:r>
      <w:r>
        <w:rPr>
          <w:rFonts w:ascii="Arial" w:cs="Arial" w:eastAsia="Arial" w:hAnsi="Arial"/>
          <w:sz w:val="16"/>
          <w:szCs w:val="16"/>
          <w:i w:val="1"/>
          <w:iCs w:val="1"/>
          <w:color w:val="auto"/>
        </w:rPr>
        <w:t>“Determining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When the Volume and Level of Activity for the Asset or Liability Have Significantly Decreased and Identifying Transactions That Are Not Orderly” </w:t>
      </w:r>
      <w:r>
        <w:rPr>
          <w:rFonts w:ascii="Arial" w:cs="Arial" w:eastAsia="Arial" w:hAnsi="Arial"/>
          <w:sz w:val="16"/>
          <w:szCs w:val="16"/>
          <w:color w:val="auto"/>
        </w:rPr>
        <w:t xml:space="preserve">(“FSP No. FAS 157-4”); FSP No.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(“FSP No. FAS 115-2 and FAS 124-2”); and FSP No. FAS 107-1 and APB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xml:space="preserve"> (“FSP No. FAS 107-1 and APB 28-1”). FSP No. FAS 157-4 provides application guidance on measuring fair value when the volume and level of activity has significantly decreased and identifying transactions that are not orderly. FSP No. FAS 115-2 and FAS 124-2 provides a new other-than-temporary impairment model for debt securities only which shifts the focus from an entity’s intent to hold until recovery to its intent to sell. FSP No. FAS 107-1 and APB 28-4 expands the fair value disclosures required for all financial instruments within the scope of FASB Statement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to interim periods. All three FSPs are effective for interim and annual periods ending after June 15, 2009, with early adoption permitted for periods ending after March 15, 2009. The adoption of these FSPs did not have a material impact on our results of operations, financial position or cash flows.</w:t>
      </w:r>
    </w:p>
    <w:p>
      <w:pPr>
        <w:spacing w:after="0" w:line="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May 28, 2009, the FASB issued Statement of Financial Accounting Standards (“FASB Statement”)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(“FASB Statement No. 165”), which provides guidance on management’s assessment of subsequent events. Historically, management had relied on auditing literature for guidance on assessing and disclosing subsequent events. FASB Statement No. 165 includes the guidance in accounting literature and is not expected to significantly change practice because its guidance is similar to that in auditing guidance. The statement is effective prospectively for interim and annual periods ending after June 15, 2009. The adoption of this statement did not have a material impact on our results of operations, financial position or cash flows.</w:t>
      </w:r>
    </w:p>
    <w:p>
      <w:pPr>
        <w:spacing w:after="0" w:line="50"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 xml:space="preserve">On June 29, 2009, the FASB issued FASB Statement No. 168, </w:t>
      </w:r>
      <w:r>
        <w:rPr>
          <w:rFonts w:ascii="Arial" w:cs="Arial" w:eastAsia="Arial" w:hAnsi="Arial"/>
          <w:sz w:val="16"/>
          <w:szCs w:val="16"/>
          <w:i w:val="1"/>
          <w:iCs w:val="1"/>
          <w:color w:val="auto"/>
        </w:rPr>
        <w:t>“FASB Accounting Statement on Codification and Hierarchy of Generally Accepted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Principles- a replacement of FASB Statement No. 162” </w:t>
      </w:r>
      <w:r>
        <w:rPr>
          <w:rFonts w:ascii="Arial" w:cs="Arial" w:eastAsia="Arial" w:hAnsi="Arial"/>
          <w:sz w:val="16"/>
          <w:szCs w:val="16"/>
          <w:color w:val="auto"/>
        </w:rPr>
        <w:t>(“FASB Statement No. 168”), which will become the source of authoritative GAAP</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by the FASB to be applied by all nongovernmental agencies. The statement is effective for financial statements issued for interim and annual periods ending after September 15, 2009 and is not expected to have a material impact on our results of operations, financial position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an entity controlled by our principal stockholder is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June 30, 2009 are comprised mainly of a certificate of deposit and a common stock investment. We have entered into a foreign exchange derivative hedging transaction as part of our risk management program. We continue to utilize our $350.0 million credit facility to fund operations. The interest rate is fixed at the time of the draw. If interest rates were to increase from levels at June 30, 2009 we could experience a higher level of interest expense than assumed in our current operating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Rules 13a-15(e) and 15d-15(e) of the Securities Exchange Act) as of June 30, 2009. Based on that evaluation, our chief executive officer and chief financial officer concluded that our disclosure controls and procedures were effective at the reasonable assurance level.</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2009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AFRESA, which is not yet approved, and our other product candidates, which are in early clinical or preclinical development.*</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date, we have not commercialized any product candidates. In March 2009, we submitted an NDA to the FDA requesting approval of AFRESA for the treatment of adults with type 1 or type 2 diabetes for the control of hyperglycemia. The FDA accepted our NDA for filing in May 2009, meaning the FDA has determined that our submission is sufficiently complete to permit a substantive review.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other product candidates are generally in early clinical or preclinical development. We anticipate that in the near term, our ability to generate revenues will depend solely on the successful development and commercialization of AFRESA.</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AFRESA, which has not yet received regulatory approval and which may not be approved by the FDA in a timely manner, or at all. We must receive the necessary approvals from the FDA and similar foreign regulatory agencies before AFRESA can be marketed and sold in the United States or elsewhere. Even if we were to receive regulatory approval, we ultimately may be unable to gain market acceptance of AFRESA for a variety of reasons, including the treatment and dosage regimen, potential adverse effects, the availability of alternative treatments and cost effectiveness. If we fail to commercialize AFRESA, our business, financial condition and results of operations will be materially and adversely affected.</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AFRESA,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AFRESA or develop or expand our other product candidates, or are significantly delayed in doing so, our business and results of operations will be harmed and the value of our stock could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AFRESA are still in the early stages of development. Our product candidates will require significant additional development, clinical trials, regulatory clearances and additional investment before they can be commercialized. We anticipate that AFRESA may not be approved for as long as a year or more, or at all.</w:t>
      </w:r>
    </w:p>
    <w:p>
      <w:pPr>
        <w:spacing w:after="0" w:line="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never been profitable and, as of June 30, 2009, we had an accumulated deficit of $1.5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AFRESA. This accumulated deficit may increase significantly as we continue development and clinical trial efforts.</w:t>
      </w:r>
    </w:p>
    <w:p>
      <w:pPr>
        <w:spacing w:after="0" w:line="8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As of June 30, 2009, we had an accumulated deficit in stockholders’ equity of $19.3 million. Our ability to achieve and sustain profitability depends upon obtaining regulatory approvals for and successfully commercializing AFRESA,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AFRESA as our lead product candidate, we have begun to conduct clinical trials for additional product candidates. Our existing capital resources will not be sufficient to support the expense of fully commercializing AFRESA or developing any of our product candidates.</w:t>
      </w:r>
    </w:p>
    <w:p>
      <w:pPr>
        <w:spacing w:after="0" w:line="7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Based upon our current expectations, we believe that our existing capital resources, including the loan arrangement with an entity controlled by our principal stockholder, will enable us to continue planned operations through the second quarter of 2010.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of AFRESA and other product candidates and to support our other ongoing activities. However, it may be difficult for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raise additional capital through the sale of equity and/or debt securities. As of June 30, 2009, we had an accumulated deficit in stockholders’ equity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 million which may affect our ability to raise additional capital. The amount of additional funds we need will depend on a number of factors, including:</w:t>
      </w:r>
    </w:p>
    <w:p>
      <w:pPr>
        <w:spacing w:after="0" w:line="126" w:lineRule="exact"/>
        <w:rPr>
          <w:sz w:val="20"/>
          <w:szCs w:val="20"/>
          <w:color w:val="auto"/>
        </w:rPr>
      </w:pPr>
    </w:p>
    <w:p>
      <w:pPr>
        <w:ind w:left="660" w:right="5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62"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AFRESA;</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17"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17"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raised capital in the past primarily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AFRESA commercialization, or further reduction of costs for facilities and administration. Moreover, if we do not obtain such additional funds, there will be substantial doubt about our ability to continue as a going concern.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current financial crisis and deteriorating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widely reported, economic conditions in the United States and globally have been deteriorating.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principal stockholder. If we are unable to draw on this financial resource, our business and financial condition will be adversely affected.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AFRESA;</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AFRESA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AFRESA.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AFRESA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aware of the commercial value of their findings and are more active in seeking patent and other proprietary rights as well as licensing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AFRESA, we may not be able to execute on our business model.*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AFRESA. To date, we have not reached agreement with any of these companies on a collaboration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AFRESA.</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93"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AFRESA and if our third-party collaborators do not perform satisfactorily or if our collaborations fail, development or commercialization of AFRESA may be delayed and our business could be harmed.</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rely on clinical research organizations and hospitals to conduct, supervise or monitor some or all aspects of clinical trials involving AFRESA. Further, we may also enter into license agreements, partnerships or other collaborative arrangements to support the financing, development and marketing of AFRESA.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AFRESA and our other product candidates. We cannot offer assurances that we will be able to enter into satisfactory arrangements with third parties as contemplated or that any of our existing or future collaborations will be successful.</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Continued testing of AFRESA or another product candidate may not yield successful results, and even if it does, we may still be unable to commercialize that product candidate.*</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AFRESA and our other product candidates through extensive nonclinical and clinical testing. We may experience numerous unforeseen events during, or as a result of, the testing process that could delay or prevent commercialization of AFRESA or any of our other product candidates, including the following:</w:t>
      </w:r>
    </w:p>
    <w:p>
      <w:pPr>
        <w:spacing w:after="0" w:line="73" w:lineRule="exact"/>
        <w:rPr>
          <w:sz w:val="20"/>
          <w:szCs w:val="20"/>
          <w:color w:val="auto"/>
        </w:rPr>
      </w:pPr>
    </w:p>
    <w:p>
      <w:pPr>
        <w:ind w:left="660" w:right="1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17"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conducted a pivotal Phase 3 safety study of AFRESA to evaluate pulmonary function, with multiple uses per day, over a period of two years. Forecasts about the effects of the use of drugs, including AFRESA, over terms longer than the clinical trials or in much larger populations may not be consistent with the clinical results. If use of AFRESA results in adverse health effects or reduced efficacy or both, the FDA or other regulatory agencies may terminate our ability to market and sell AFRESA, may narrow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approved indications for use or otherwise require restrictive product labeling or marketing, or may require further clinical trials, which may be time-consuming and expensive and may not produce favorable results.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AFRESA at any time. Any suspension or termination of our clinical trials or marketing activities may harm our business and results of operations and the market price of our common stock may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transition successfully from a development company to a company that commercializes therapeutics, our business would suffer.*</w:t>
      </w:r>
    </w:p>
    <w:p>
      <w:pPr>
        <w:spacing w:after="0" w:line="1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require a well-structured plan to make the transition from the development-stage to being a company with commercial operations. We have a number of executive personnel, particularly in clinical development, regulatory and manufacturing production, including personnel with significant Phase 3-to-commercialization experience. In order to implement our commercialization strategy, we will need to:</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unable to accomplish these measures in a timely manner, we would be at considerable risk of failing to develop the manufacturing capabilities necessary for FDA inspection and commercial operations.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AFRESA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AFRESA to be commercially viable, we need access to sufficient, reliable and affordable supplies of insulin, our AFRESA inhaler, the related cartridges and other materials. In November 2007, we entered into a long-term supply agreement with N.V. Organon. In June 2009, we purchased from Pfizer, Inc.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have obtained FDKP, the precursor raw material for AFRESA, from two sources, both of which are major chemical manufacturers with facilities in Europe and North America. We have recently completed a successful validation campaign of FDKP at commercial scale. We can also utilize our in-house chemical manufacturing plant for supplemental capacity. We believe both manufacturers have the capacity to supply our current clinical and future commercial requirements. We have obtained our AFRESA inhaler and cartridges from two large plastic molding companies.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must rely on our suppliers to comply with relevant regulatory and other legal requirements, including the production of insulin in accordance with the FDA’s current good manufacturing practice, or cGMP, for drug products, and the production of AFRESA inhaler and related cartridges in accordance with the FDA’s cGMP for medical devices, known as the Quality System Regulation,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AFRESA may be delayed. Any such events would delay market introduction and subsequent sales of AFRESA and, if so, our business and results of operations will be harmed and the market price of our common stock may decline.</w:t>
      </w:r>
    </w:p>
    <w:p>
      <w:pPr>
        <w:spacing w:after="0" w:line="178"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have never manufactured AFRESA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use our Danbury, Connecticut facility to formulate AFRESA, fill plastic cartridges with AFRESA and blister package the cartridges for our clinical trials.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facility is still undergoing the rigorous testing and regulatory inspection processes that are expected to result in approval to manufacture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manufacture of pharmaceutical products requires significant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AFRESA at our Danbury facility, it would have to undergo an acceptable pre-approval inspection by the FDA.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when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 We are in the process of compiling documentation to show correlation to the clinical-scale production materials.</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completed the final stages of the soil cleanup plan in the third quarter of 2008 which cost approximately $2.25 million. We have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We are currently pursuing collection of the clean-up costs and expenses from the seller or the party responsible for the contamination. If we are unable to collect the full amount of these costs and expenses, our business and results of operations may be harmed.</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products will be used by a large number of healthcare professionals who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AFRESA and to provide adequate support for them. Therefore, we plan to enter into collaborations with one or more pharmaceutical companies to market, distribute and sell AFRESA,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AFRESA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AFRESA and our other product candidates will depend on many factors, including the:</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17"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other treatment therapeutics and methods;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AFRESA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testing, manufacturing, marketing and sale of AFRESA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AFRESA. In addition, we carry local policies per trial in each country in which we conduct clinical trials that require us to carry coverage based on local statutory requirements. We intend to obtain product liability coverage for commercial sales in the future if AFRESA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AFRESA,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Based on our discussions with the FDA at a pre-NDA meeting, we conducted a study, prior to submitting our NDA, that assessed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bioequivalency of the inhaler used in our clinical trials to date with the modified version of the same inhaler that we intend to use for commercial purposes. The FDA did not request any other trials prior to NDA submission. However,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AFRESA.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AFRESA,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AFRESA in different ways. For example, Exubera may be used as a reference for safety and efficacy evaluations of AFRESA, and the approval standards set for Exubera may be applied to other products that follow including AFRESA.</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16, 2009, we submitted an NDA for AFRESA, which the FDA accepted for review on May 16, 2009. The FDA has advised us that it will regulate AFRESA as a “combination product” because of the complex nature of the system that includes the combination of a new drug (AFRESA) and a new medical device (the AFRESA inhaler used to administer the insulin). The FDA indicated that the review of our drug marketing application for AFRESA will involve three separate review groups of the FDA: (1) the Metabolic and Endocrine Drug Products Division; (2) the Pulmonary Drug Products Division; and (3) the Center for Devices and Radiological Health, which reviews medical devices. We currently understand that the Metabolic and Endocrine Drug Products Division will be the lead group and will obtain consulting reviews from the other two FDA groups. We can make no assurances at this time about what impact FDA review by multiple groups will have on the timeliness of the FDA’s review or the approvability of our product or whether we are correct in our understanding of how AFRESA will be reviewed and approved.</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AFRESA as a combination product therapy may lengthen the product development and regulatory approval process, increase our development costs and delay or prevent the commercialization of AFRESA.</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developing AFRESA as a new treatment for diabetes utilizing unique, proprietary components. As a combination product, any changes to either the AFRESA inhaler, or AFRESA, including new suppliers, could possibly result in FDA requirements to repeat certain clinical studies. This means, for example, that switching to an alternate delivery system, such as our next generation inhaler, could require us to undertake additional clinical trials and other studies, which could significantly delay the development and commercialization of AFRESA. Our product candidates that are currently in development for the treatment of cancer also face similar obstacles and costs.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must obtain approval from the FDA for the trade name of our product. The FDA has informed us that the name AFRESA may be too similar to other drugs on the market and that we may want to propose another trade name for our product.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first generation inhaler is being reviewed for approval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will not be able to commercialize AFRESA or any other product candidates until we have obtained regulatory approval. Until we prepared and filed our NDA for AFRESA,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AFRESA or limit the target population for our other product candidates. Based on currently available clinical studies, we believe that AFRESA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AFRESA will be agreed to by the FDA or otherwise included in product labeling or advertising and, as a result, AFRESA may not have our expected competitive advantages when compared to other insulin products.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AFRESA.*</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insulin supplier for purposes of the NDA filing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AFRESA. We also depend on suppliers for other materials that comprise AFRESA, including our AFRESA inhaler and cartridges. All of our device suppliers must comply with relevant regulatory requirements including QSR. It also is likely that major suppliers will be subject to FDA preapproval inspections before the agency will approve a future marketing application for AFRESA.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AFRESA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AFRESA. As well, the public perception of AFRESA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certain components of AFRESA and/or our DNA-based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AFRESA and cancer vaccine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of use and compositions of matter related to DNA-based cancer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AFRESA or other product candidates;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17"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discussion of AFRESA,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July 23, 2009, Mr. Mann beneficially owned approximately 47.3%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24"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equity securities by us that were not registered under the Securities Act of 1933, as amended, during the second quarter of 2009.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2009 Annual Meeting of Stockholders was held on May 21,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matters were voted on at our 2009 Annual Meeting of Stockholders:</w:t>
      </w:r>
    </w:p>
    <w:p>
      <w:pPr>
        <w:spacing w:after="0" w:line="117" w:lineRule="exact"/>
        <w:rPr>
          <w:sz w:val="20"/>
          <w:szCs w:val="20"/>
          <w:color w:val="auto"/>
        </w:rPr>
      </w:pPr>
    </w:p>
    <w:p>
      <w:pPr>
        <w:ind w:right="140" w:firstLine="233"/>
        <w:spacing w:after="0" w:line="277"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eight nominees to serve on our board of directors until the 2010 Annual Meeting of Stockholders. The following eight individuals were elected to our board of directors by the votes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Affirmative</w:t>
            </w:r>
          </w:p>
        </w:tc>
        <w:tc>
          <w:tcPr>
            <w:tcW w:w="5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Votes</w:t>
            </w:r>
          </w:p>
        </w:tc>
        <w:tc>
          <w:tcPr>
            <w:tcW w:w="5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Votes</w:t>
            </w:r>
          </w:p>
        </w:tc>
      </w:tr>
      <w:tr>
        <w:trPr>
          <w:trHeight w:val="171"/>
        </w:trPr>
        <w:tc>
          <w:tcPr>
            <w:tcW w:w="7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w:t>
            </w:r>
          </w:p>
        </w:tc>
        <w:tc>
          <w:tcPr>
            <w:tcW w:w="5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Withheld</w:t>
            </w:r>
          </w:p>
        </w:tc>
        <w:tc>
          <w:tcPr>
            <w:tcW w:w="5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Abstaining</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63,320,958</w:t>
            </w:r>
          </w:p>
        </w:tc>
        <w:tc>
          <w:tcPr>
            <w:tcW w:w="15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5,823,899</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2,824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Hakan S. Edstrom</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63,320,958</w:t>
            </w:r>
          </w:p>
        </w:tc>
        <w:tc>
          <w:tcPr>
            <w:tcW w:w="15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5,823,899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2,824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Abraham E. Cohen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62,722,001</w:t>
            </w:r>
          </w:p>
        </w:tc>
        <w:tc>
          <w:tcPr>
            <w:tcW w:w="15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6,421,706</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3,974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Ronald Consiglio</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63,320,458</w:t>
            </w:r>
          </w:p>
        </w:tc>
        <w:tc>
          <w:tcPr>
            <w:tcW w:w="15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5,824,399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2,824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 M.D.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62,722,001</w:t>
            </w:r>
          </w:p>
        </w:tc>
        <w:tc>
          <w:tcPr>
            <w:tcW w:w="15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6,421,706</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3,974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Kent Kresa</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62,722,501</w:t>
            </w:r>
          </w:p>
        </w:tc>
        <w:tc>
          <w:tcPr>
            <w:tcW w:w="15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6,421,206</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3,974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David H. MacCallum</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63,320,458</w:t>
            </w:r>
          </w:p>
        </w:tc>
        <w:tc>
          <w:tcPr>
            <w:tcW w:w="15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5,824,399</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2,824</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Henry L. Nordhoff</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63,320,458</w:t>
            </w:r>
          </w:p>
        </w:tc>
        <w:tc>
          <w:tcPr>
            <w:tcW w:w="15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5,824,399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2,824</w:t>
            </w:r>
          </w:p>
        </w:tc>
      </w:tr>
    </w:tbl>
    <w:p>
      <w:pPr>
        <w:spacing w:after="0" w:line="79" w:lineRule="exact"/>
        <w:rPr>
          <w:sz w:val="20"/>
          <w:szCs w:val="20"/>
          <w:color w:val="auto"/>
        </w:rPr>
      </w:pPr>
    </w:p>
    <w:p>
      <w:pPr>
        <w:ind w:right="20" w:firstLine="233"/>
        <w:spacing w:after="0" w:line="264"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an increase in the maximum number of shares of common stock that may be issued under MannKind’s 2004 Equity Incentive Plan from 14,000,000 shares to 19,000,000 shares. The increase in the maximum number of shares of common stock under MannKind’s 2004 Equity Incentive Plan was approved by the following vote: 61,011,192 votes for and 8,131,245 votes against, with 5,244 votes abstaining.</w:t>
      </w:r>
    </w:p>
    <w:p>
      <w:pPr>
        <w:spacing w:after="0" w:line="73" w:lineRule="exact"/>
        <w:rPr>
          <w:rFonts w:ascii="Arial" w:cs="Arial" w:eastAsia="Arial" w:hAnsi="Arial"/>
          <w:sz w:val="18"/>
          <w:szCs w:val="18"/>
          <w:color w:val="auto"/>
        </w:rPr>
      </w:pPr>
    </w:p>
    <w:p>
      <w:pPr>
        <w:ind w:right="300" w:firstLine="233"/>
        <w:spacing w:after="0" w:line="277"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ratification of Deloitte &amp; Touche LLP as independent auditor for the fiscal year ending December 31, 2009 was approved by the following vote: 54,877,014 votes for and 14,259,622 votes against, with 11,045 votes abstaining.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22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82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60"/>
              <w:spacing w:after="0"/>
              <w:rPr>
                <w:sz w:val="20"/>
                <w:szCs w:val="20"/>
                <w:color w:val="auto"/>
              </w:rPr>
            </w:pPr>
            <w:r>
              <w:rPr>
                <w:rFonts w:ascii="Arial" w:cs="Arial" w:eastAsia="Arial" w:hAnsi="Arial"/>
                <w:sz w:val="18"/>
                <w:szCs w:val="18"/>
                <w:color w:val="auto"/>
              </w:rPr>
              <w:t>3.1(1)</w:t>
            </w:r>
          </w:p>
        </w:tc>
        <w:tc>
          <w:tcPr>
            <w:tcW w:w="10220" w:type="dxa"/>
            <w:vAlign w:val="bottom"/>
          </w:tcPr>
          <w:p>
            <w:pPr>
              <w:ind w:left="22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3.2(2)</w:t>
            </w:r>
          </w:p>
        </w:tc>
        <w:tc>
          <w:tcPr>
            <w:tcW w:w="10220" w:type="dxa"/>
            <w:vAlign w:val="bottom"/>
          </w:tcPr>
          <w:p>
            <w:pPr>
              <w:ind w:left="22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3.3(3)</w:t>
            </w:r>
          </w:p>
        </w:tc>
        <w:tc>
          <w:tcPr>
            <w:tcW w:w="10220" w:type="dxa"/>
            <w:vAlign w:val="bottom"/>
          </w:tcPr>
          <w:p>
            <w:pPr>
              <w:ind w:left="2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4.1(4)</w:t>
            </w:r>
          </w:p>
        </w:tc>
        <w:tc>
          <w:tcPr>
            <w:tcW w:w="10220" w:type="dxa"/>
            <w:vAlign w:val="bottom"/>
          </w:tcPr>
          <w:p>
            <w:pPr>
              <w:ind w:left="2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4.2(5)</w:t>
            </w:r>
          </w:p>
        </w:tc>
        <w:tc>
          <w:tcPr>
            <w:tcW w:w="10220" w:type="dxa"/>
            <w:vAlign w:val="bottom"/>
          </w:tcPr>
          <w:p>
            <w:pPr>
              <w:ind w:left="2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4.3(5)</w:t>
            </w:r>
          </w:p>
        </w:tc>
        <w:tc>
          <w:tcPr>
            <w:tcW w:w="10220" w:type="dxa"/>
            <w:vAlign w:val="bottom"/>
          </w:tcPr>
          <w:p>
            <w:pPr>
              <w:ind w:left="22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4.4(1)</w:t>
            </w:r>
          </w:p>
        </w:tc>
        <w:tc>
          <w:tcPr>
            <w:tcW w:w="10220" w:type="dxa"/>
            <w:vAlign w:val="bottom"/>
          </w:tcPr>
          <w:p>
            <w:pPr>
              <w:ind w:left="2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820" w:type="dxa"/>
            <w:vAlign w:val="bottom"/>
          </w:tcPr>
          <w:p>
            <w:pPr>
              <w:ind w:left="60"/>
              <w:spacing w:after="0"/>
              <w:rPr>
                <w:sz w:val="20"/>
                <w:szCs w:val="20"/>
                <w:color w:val="auto"/>
              </w:rPr>
            </w:pPr>
            <w:r>
              <w:rPr>
                <w:rFonts w:ascii="Arial" w:cs="Arial" w:eastAsia="Arial" w:hAnsi="Arial"/>
                <w:sz w:val="18"/>
                <w:szCs w:val="18"/>
                <w:color w:val="auto"/>
              </w:rPr>
              <w:t>4.5(1)</w:t>
            </w:r>
          </w:p>
        </w:tc>
        <w:tc>
          <w:tcPr>
            <w:tcW w:w="10220" w:type="dxa"/>
            <w:vAlign w:val="bottom"/>
          </w:tcPr>
          <w:p>
            <w:pPr>
              <w:ind w:left="220"/>
              <w:spacing w:after="0"/>
              <w:rPr>
                <w:sz w:val="20"/>
                <w:szCs w:val="20"/>
                <w:color w:val="auto"/>
              </w:rPr>
            </w:pPr>
            <w:r>
              <w:rPr>
                <w:rFonts w:ascii="Arial" w:cs="Arial" w:eastAsia="Arial" w:hAnsi="Arial"/>
                <w:sz w:val="18"/>
                <w:szCs w:val="18"/>
                <w:color w:val="auto"/>
                <w:w w:val="94"/>
              </w:rPr>
              <w:t>Registration Rights Agreement, dated October 15, 1998 by and among CTL ImmunoTherapies Corp., Medical Research Group, LLC,</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McLean Watson Advisory Inc. and Alfred E. Mann, as amended.</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10.1(6)</w:t>
            </w:r>
          </w:p>
        </w:tc>
        <w:tc>
          <w:tcPr>
            <w:tcW w:w="10220" w:type="dxa"/>
            <w:vAlign w:val="bottom"/>
          </w:tcPr>
          <w:p>
            <w:pPr>
              <w:ind w:left="22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418"/>
        </w:trPr>
        <w:tc>
          <w:tcPr>
            <w:tcW w:w="820" w:type="dxa"/>
            <w:vAlign w:val="bottom"/>
          </w:tcPr>
          <w:p>
            <w:pPr>
              <w:ind w:left="60"/>
              <w:spacing w:after="0"/>
              <w:rPr>
                <w:sz w:val="20"/>
                <w:szCs w:val="20"/>
                <w:color w:val="auto"/>
              </w:rPr>
            </w:pPr>
            <w:r>
              <w:rPr>
                <w:rFonts w:ascii="Arial" w:cs="Arial" w:eastAsia="Arial" w:hAnsi="Arial"/>
                <w:sz w:val="18"/>
                <w:szCs w:val="18"/>
                <w:color w:val="auto"/>
              </w:rPr>
              <w:t>10.2(7)</w:t>
            </w:r>
          </w:p>
        </w:tc>
        <w:tc>
          <w:tcPr>
            <w:tcW w:w="10220" w:type="dxa"/>
            <w:vAlign w:val="bottom"/>
          </w:tcPr>
          <w:p>
            <w:pPr>
              <w:ind w:left="220"/>
              <w:spacing w:after="0"/>
              <w:rPr>
                <w:sz w:val="20"/>
                <w:szCs w:val="20"/>
                <w:color w:val="auto"/>
              </w:rPr>
            </w:pPr>
            <w:r>
              <w:rPr>
                <w:rFonts w:ascii="Arial" w:cs="Arial" w:eastAsia="Arial" w:hAnsi="Arial"/>
                <w:sz w:val="18"/>
                <w:szCs w:val="18"/>
                <w:color w:val="auto"/>
                <w:w w:val="92"/>
              </w:rPr>
              <w:t>Insulin Maintenance and Call-Option Agreement, by and among Pfizer Manufacturing Frankfurt GmbH, Pfizer Inc. and MannKind, 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220" w:type="dxa"/>
            <w:vAlign w:val="bottom"/>
          </w:tcPr>
          <w:p>
            <w:pPr>
              <w:ind w:left="220"/>
              <w:spacing w:after="0"/>
              <w:rPr>
                <w:sz w:val="20"/>
                <w:szCs w:val="20"/>
                <w:color w:val="auto"/>
              </w:rPr>
            </w:pPr>
            <w:r>
              <w:rPr>
                <w:rFonts w:ascii="Arial" w:cs="Arial" w:eastAsia="Arial" w:hAnsi="Arial"/>
                <w:sz w:val="18"/>
                <w:szCs w:val="18"/>
                <w:color w:val="auto"/>
              </w:rPr>
              <w:t>June 19, 2009.</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31.1</w:t>
            </w:r>
          </w:p>
        </w:tc>
        <w:tc>
          <w:tcPr>
            <w:tcW w:w="10220" w:type="dxa"/>
            <w:vAlign w:val="bottom"/>
          </w:tcPr>
          <w:p>
            <w:pPr>
              <w:ind w:left="22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820" w:type="dxa"/>
            <w:vAlign w:val="bottom"/>
          </w:tcPr>
          <w:p>
            <w:pPr>
              <w:ind w:left="60"/>
              <w:spacing w:after="0"/>
              <w:rPr>
                <w:sz w:val="20"/>
                <w:szCs w:val="20"/>
                <w:color w:val="auto"/>
              </w:rPr>
            </w:pPr>
            <w:r>
              <w:rPr>
                <w:rFonts w:ascii="Arial" w:cs="Arial" w:eastAsia="Arial" w:hAnsi="Arial"/>
                <w:sz w:val="18"/>
                <w:szCs w:val="18"/>
                <w:color w:val="auto"/>
              </w:rPr>
              <w:t>31.2</w:t>
            </w:r>
          </w:p>
        </w:tc>
        <w:tc>
          <w:tcPr>
            <w:tcW w:w="10220" w:type="dxa"/>
            <w:vAlign w:val="bottom"/>
          </w:tcPr>
          <w:p>
            <w:pPr>
              <w:ind w:left="22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right="680" w:hanging="982"/>
        <w:spacing w:after="0" w:line="342" w:lineRule="auto"/>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85"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MannKind’s registration statement on Form S-3 (File No. 333-138373) filed with the SEC on November 2, 2006.</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June 9, 2009.</w:t>
      </w:r>
    </w:p>
    <w:p>
      <w:pPr>
        <w:spacing w:after="0" w:line="76"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of this agreement was included as part of Exhibit 2.2 to MannKind’s quarterly report on Form 10-Q filed with the SEC on May 4, 2009 and is incorporated herein by reference. Confidential treatment has been granted with respect to certain portions of this agreement.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-1555750</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August 3, 2009</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19"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six months ended June 30, 2009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six months ended June 30, 2009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June 30, 2009,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2009</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3rd day of August,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 Alfred E. Mann</w:t>
            </w:r>
          </w:p>
        </w:tc>
        <w:tc>
          <w:tcPr>
            <w:tcW w:w="6480" w:type="dxa"/>
            <w:vAlign w:val="bottom"/>
            <w:gridSpan w:val="2"/>
          </w:tcPr>
          <w:p>
            <w:pPr>
              <w:ind w:left="1540"/>
              <w:spacing w:after="0"/>
              <w:rPr>
                <w:sz w:val="20"/>
                <w:szCs w:val="20"/>
                <w:color w:val="auto"/>
              </w:rPr>
            </w:pPr>
            <w:r>
              <w:rPr>
                <w:rFonts w:ascii="Arial" w:cs="Arial" w:eastAsia="Arial" w:hAnsi="Arial"/>
                <w:sz w:val="18"/>
                <w:szCs w:val="18"/>
                <w:color w:val="auto"/>
              </w:rPr>
              <w:t>/s/ Matthew J. Pfeffer</w:t>
            </w:r>
          </w:p>
        </w:tc>
      </w:tr>
      <w:tr>
        <w:trPr>
          <w:trHeight w:val="209"/>
        </w:trPr>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54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480" w:type="dxa"/>
            <w:vAlign w:val="bottom"/>
            <w:gridSpan w:val="2"/>
          </w:tcPr>
          <w:p>
            <w:pPr>
              <w:ind w:left="154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1"/>
    </w:lvl>
    <w:lvl w:ilvl="1">
      <w:lvlJc w:val="left"/>
      <w:lvlText w:val="%2"/>
      <w:numFmt w:val="decimal"/>
      <w:start w:val="32"/>
    </w:lvl>
  </w:abstractNum>
  <w:abstractNum w:abstractNumId="14">
    <w:nsid w:val="4E6AFB66"/>
    <w:multiLevelType w:val="hybridMultilevel"/>
    <w:lvl w:ilvl="0">
      <w:lvlJc w:val="left"/>
      <w:lvlText w:val="(%1)"/>
      <w:numFmt w:val="decimal"/>
      <w:start w:val="1"/>
    </w:lvl>
    <w:lvl w:ilvl="1">
      <w:lvlJc w:val="left"/>
      <w:lvlText w:val="%2"/>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2019-12-10T11:27:31Z</dcterms:created>
  <dcterms:modified xsi:type="dcterms:W3CDTF">2019-12-10T11:27:31Z</dcterms:modified>
</cp:coreProperties>
</file>