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73025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80645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77" w:lineRule="exact"/>
        <w:rPr>
          <w:rFonts w:ascii="MS PGothic" w:cs="MS PGothic" w:eastAsia="MS PGothic" w:hAnsi="MS PGothic"/>
          <w:sz w:val="14"/>
          <w:szCs w:val="14"/>
          <w:color w:val="auto"/>
          <w:highlight w:val="black"/>
        </w:rPr>
      </w:pPr>
    </w:p>
    <w:p>
      <w:pPr>
        <w:ind w:left="4180"/>
        <w:spacing w:after="0"/>
        <w:rPr>
          <w:rFonts w:ascii="MS PGothic" w:cs="MS PGothic" w:eastAsia="MS PGothic" w:hAnsi="MS PGothic"/>
          <w:sz w:val="14"/>
          <w:szCs w:val="14"/>
          <w:color w:val="auto"/>
          <w:highlight w:val="black"/>
        </w:rPr>
      </w:pPr>
      <w:r>
        <w:rPr>
          <w:rFonts w:ascii="Arial" w:cs="Arial" w:eastAsia="Arial" w:hAnsi="Arial"/>
          <w:sz w:val="16"/>
          <w:szCs w:val="16"/>
          <w:b w:val="1"/>
          <w:bCs w:val="1"/>
          <w:color w:val="auto"/>
        </w:rPr>
        <w:t>For the fiscal year ended December 31, 2019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6"/>
                <w:szCs w:val="16"/>
                <w:b w:val="1"/>
                <w:bCs w:val="1"/>
                <w:color w:val="auto"/>
                <w:w w:val="96"/>
              </w:rPr>
              <w:t>For the transition period from</w:t>
            </w:r>
          </w:p>
        </w:tc>
        <w:tc>
          <w:tcPr>
            <w:tcW w:w="8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820" w:type="dxa"/>
            <w:vAlign w:val="bottom"/>
            <w:tcBorders>
              <w:bottom w:val="single" w:sz="8" w:color="auto"/>
            </w:tcBorders>
            <w:gridSpan w:val="3"/>
          </w:tcPr>
          <w:p>
            <w:pPr>
              <w:spacing w:after="0"/>
              <w:rPr>
                <w:sz w:val="16"/>
                <w:szCs w:val="16"/>
                <w:color w:val="auto"/>
              </w:rPr>
            </w:pPr>
          </w:p>
        </w:tc>
        <w:tc>
          <w:tcPr>
            <w:tcW w:w="3700" w:type="dxa"/>
            <w:vAlign w:val="bottom"/>
            <w:gridSpan w:val="2"/>
          </w:tcPr>
          <w:p>
            <w:pPr>
              <w:spacing w:after="0"/>
              <w:rPr>
                <w:sz w:val="16"/>
                <w:szCs w:val="16"/>
                <w:color w:val="auto"/>
              </w:rPr>
            </w:pPr>
          </w:p>
        </w:tc>
      </w:tr>
      <w:tr>
        <w:trPr>
          <w:trHeight w:val="271"/>
        </w:trPr>
        <w:tc>
          <w:tcPr>
            <w:tcW w:w="3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140" w:type="dxa"/>
            <w:vAlign w:val="bottom"/>
            <w:gridSpan w:val="8"/>
          </w:tcPr>
          <w:p>
            <w:pPr>
              <w:jc w:val="center"/>
              <w:ind w:right="4211"/>
              <w:spacing w:after="0"/>
              <w:rPr>
                <w:sz w:val="20"/>
                <w:szCs w:val="20"/>
                <w:color w:val="auto"/>
              </w:rPr>
            </w:pPr>
            <w:r>
              <w:rPr>
                <w:rFonts w:ascii="Arial" w:cs="Arial" w:eastAsia="Arial" w:hAnsi="Arial"/>
                <w:sz w:val="16"/>
                <w:szCs w:val="16"/>
                <w:b w:val="1"/>
                <w:bCs w:val="1"/>
                <w:color w:val="auto"/>
                <w:w w:val="91"/>
              </w:rPr>
              <w:t>Commission file number: 000-50865</w:t>
            </w:r>
          </w:p>
        </w:tc>
      </w:tr>
      <w:tr>
        <w:trPr>
          <w:trHeight w:val="114"/>
        </w:trPr>
        <w:tc>
          <w:tcPr>
            <w:tcW w:w="3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40" w:type="dxa"/>
            <w:vAlign w:val="bottom"/>
          </w:tcPr>
          <w:p>
            <w:pPr>
              <w:spacing w:after="0"/>
              <w:rPr>
                <w:sz w:val="9"/>
                <w:szCs w:val="9"/>
                <w:color w:val="auto"/>
              </w:rPr>
            </w:pPr>
          </w:p>
        </w:tc>
      </w:tr>
      <w:tr>
        <w:trPr>
          <w:trHeight w:val="344"/>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40" w:type="dxa"/>
            <w:vAlign w:val="bottom"/>
            <w:gridSpan w:val="8"/>
          </w:tcPr>
          <w:p>
            <w:pPr>
              <w:jc w:val="center"/>
              <w:ind w:right="4211"/>
              <w:spacing w:after="0"/>
              <w:rPr>
                <w:sz w:val="20"/>
                <w:szCs w:val="20"/>
                <w:color w:val="auto"/>
              </w:rPr>
            </w:pPr>
            <w:r>
              <w:rPr>
                <w:rFonts w:ascii="Arial" w:cs="Arial" w:eastAsia="Arial" w:hAnsi="Arial"/>
                <w:sz w:val="27"/>
                <w:szCs w:val="27"/>
                <w:b w:val="1"/>
                <w:bCs w:val="1"/>
                <w:color w:val="auto"/>
                <w:w w:val="95"/>
              </w:rPr>
              <w:t>MannKind Corporation</w:t>
            </w:r>
          </w:p>
        </w:tc>
      </w:tr>
      <w:tr>
        <w:trPr>
          <w:trHeight w:val="210"/>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20" w:type="dxa"/>
            <w:vAlign w:val="bottom"/>
            <w:gridSpan w:val="10"/>
          </w:tcPr>
          <w:p>
            <w:pPr>
              <w:jc w:val="center"/>
              <w:ind w:right="383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14"/>
        </w:trPr>
        <w:tc>
          <w:tcPr>
            <w:tcW w:w="3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40" w:type="dxa"/>
            <w:vAlign w:val="bottom"/>
          </w:tcPr>
          <w:p>
            <w:pPr>
              <w:spacing w:after="0"/>
              <w:rPr>
                <w:sz w:val="9"/>
                <w:szCs w:val="9"/>
                <w:color w:val="auto"/>
              </w:rPr>
            </w:pPr>
          </w:p>
        </w:tc>
      </w:tr>
      <w:tr>
        <w:trPr>
          <w:trHeight w:val="237"/>
        </w:trPr>
        <w:tc>
          <w:tcPr>
            <w:tcW w:w="3700" w:type="dxa"/>
            <w:vAlign w:val="bottom"/>
          </w:tcPr>
          <w:p>
            <w:pPr>
              <w:jc w:val="center"/>
              <w:ind w:left="1950"/>
              <w:spacing w:after="0"/>
              <w:rPr>
                <w:sz w:val="20"/>
                <w:szCs w:val="20"/>
                <w:color w:val="auto"/>
              </w:rPr>
            </w:pPr>
            <w:r>
              <w:rPr>
                <w:rFonts w:ascii="Arial" w:cs="Arial" w:eastAsia="Arial" w:hAnsi="Arial"/>
                <w:sz w:val="16"/>
                <w:szCs w:val="16"/>
                <w:b w:val="1"/>
                <w:bCs w:val="1"/>
                <w:color w:val="auto"/>
                <w:w w:val="91"/>
              </w:rPr>
              <w:t>Delaware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720" w:type="dxa"/>
            <w:vAlign w:val="bottom"/>
            <w:gridSpan w:val="6"/>
          </w:tcPr>
          <w:p>
            <w:pPr>
              <w:jc w:val="right"/>
              <w:ind w:right="2271"/>
              <w:spacing w:after="0"/>
              <w:rPr>
                <w:sz w:val="20"/>
                <w:szCs w:val="20"/>
                <w:color w:val="auto"/>
              </w:rPr>
            </w:pPr>
            <w:r>
              <w:rPr>
                <w:rFonts w:ascii="Arial" w:cs="Arial" w:eastAsia="Arial" w:hAnsi="Arial"/>
                <w:sz w:val="16"/>
                <w:szCs w:val="16"/>
                <w:b w:val="1"/>
                <w:bCs w:val="1"/>
                <w:color w:val="auto"/>
              </w:rPr>
              <w:t>13-3607736</w:t>
            </w:r>
          </w:p>
        </w:tc>
      </w:tr>
      <w:tr>
        <w:trPr>
          <w:trHeight w:val="149"/>
        </w:trPr>
        <w:tc>
          <w:tcPr>
            <w:tcW w:w="3700" w:type="dxa"/>
            <w:vAlign w:val="bottom"/>
          </w:tcPr>
          <w:p>
            <w:pPr>
              <w:jc w:val="center"/>
              <w:ind w:left="195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40" w:type="dxa"/>
            <w:vAlign w:val="bottom"/>
          </w:tcPr>
          <w:p>
            <w:pPr>
              <w:jc w:val="center"/>
              <w:ind w:right="175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0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w w:val="88"/>
              </w:rPr>
              <w:t>incorporation or organization)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40" w:type="dxa"/>
            <w:vAlign w:val="bottom"/>
          </w:tcPr>
          <w:p>
            <w:pPr>
              <w:jc w:val="center"/>
              <w:ind w:right="1751"/>
              <w:spacing w:after="0"/>
              <w:rPr>
                <w:sz w:val="20"/>
                <w:szCs w:val="20"/>
                <w:color w:val="auto"/>
              </w:rPr>
            </w:pPr>
            <w:r>
              <w:rPr>
                <w:rFonts w:ascii="Arial" w:cs="Arial" w:eastAsia="Arial" w:hAnsi="Arial"/>
                <w:sz w:val="14"/>
                <w:szCs w:val="14"/>
                <w:b w:val="1"/>
                <w:bCs w:val="1"/>
                <w:color w:val="auto"/>
                <w:w w:val="89"/>
              </w:rPr>
              <w:t>Identification No.)</w:t>
            </w:r>
          </w:p>
        </w:tc>
      </w:tr>
      <w:tr>
        <w:trPr>
          <w:trHeight w:val="190"/>
        </w:trPr>
        <w:tc>
          <w:tcPr>
            <w:tcW w:w="670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w w:val="85"/>
              </w:rPr>
              <w:t>30930 Russell Ranch Road, Suite 300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149"/>
        </w:trPr>
        <w:tc>
          <w:tcPr>
            <w:tcW w:w="3700" w:type="dxa"/>
            <w:vAlign w:val="bottom"/>
          </w:tcPr>
          <w:p>
            <w:pPr>
              <w:jc w:val="center"/>
              <w:ind w:left="1930"/>
              <w:spacing w:after="0" w:line="149" w:lineRule="exact"/>
              <w:rPr>
                <w:sz w:val="20"/>
                <w:szCs w:val="20"/>
                <w:color w:val="auto"/>
              </w:rPr>
            </w:pPr>
            <w:r>
              <w:rPr>
                <w:rFonts w:ascii="Arial" w:cs="Arial" w:eastAsia="Arial" w:hAnsi="Arial"/>
                <w:sz w:val="14"/>
                <w:szCs w:val="14"/>
                <w:b w:val="1"/>
                <w:bCs w:val="1"/>
                <w:color w:val="auto"/>
                <w:w w:val="88"/>
              </w:rPr>
              <w:t>Westlake Village, California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20" w:type="dxa"/>
            <w:vAlign w:val="bottom"/>
            <w:gridSpan w:val="6"/>
          </w:tcPr>
          <w:p>
            <w:pPr>
              <w:jc w:val="right"/>
              <w:ind w:right="2491"/>
              <w:spacing w:after="0" w:line="149" w:lineRule="exact"/>
              <w:rPr>
                <w:sz w:val="20"/>
                <w:szCs w:val="20"/>
                <w:color w:val="auto"/>
              </w:rPr>
            </w:pPr>
            <w:r>
              <w:rPr>
                <w:rFonts w:ascii="Arial" w:cs="Arial" w:eastAsia="Arial" w:hAnsi="Arial"/>
                <w:sz w:val="14"/>
                <w:szCs w:val="14"/>
                <w:b w:val="1"/>
                <w:bCs w:val="1"/>
                <w:color w:val="auto"/>
              </w:rPr>
              <w:t>91362</w:t>
            </w:r>
          </w:p>
        </w:tc>
      </w:tr>
      <w:tr>
        <w:trPr>
          <w:trHeight w:val="174"/>
        </w:trPr>
        <w:tc>
          <w:tcPr>
            <w:tcW w:w="670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40" w:type="dxa"/>
            <w:vAlign w:val="bottom"/>
          </w:tcPr>
          <w:p>
            <w:pPr>
              <w:jc w:val="center"/>
              <w:ind w:right="1751"/>
              <w:spacing w:after="0"/>
              <w:rPr>
                <w:sz w:val="20"/>
                <w:szCs w:val="20"/>
                <w:color w:val="auto"/>
              </w:rPr>
            </w:pPr>
            <w:r>
              <w:rPr>
                <w:rFonts w:ascii="Arial" w:cs="Arial" w:eastAsia="Arial" w:hAnsi="Arial"/>
                <w:sz w:val="14"/>
                <w:szCs w:val="14"/>
                <w:b w:val="1"/>
                <w:bCs w:val="1"/>
                <w:color w:val="auto"/>
                <w:w w:val="89"/>
              </w:rPr>
              <w:t>(Zip Code)</w:t>
            </w:r>
          </w:p>
        </w:tc>
      </w:tr>
      <w:tr>
        <w:trPr>
          <w:trHeight w:val="243"/>
        </w:trPr>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20" w:type="dxa"/>
            <w:vAlign w:val="bottom"/>
            <w:gridSpan w:val="10"/>
          </w:tcPr>
          <w:p>
            <w:pPr>
              <w:jc w:val="center"/>
              <w:ind w:right="3831"/>
              <w:spacing w:after="0"/>
              <w:rPr>
                <w:sz w:val="20"/>
                <w:szCs w:val="20"/>
                <w:color w:val="auto"/>
              </w:rPr>
            </w:pPr>
            <w:r>
              <w:rPr>
                <w:rFonts w:ascii="Arial" w:cs="Arial" w:eastAsia="Arial" w:hAnsi="Arial"/>
                <w:sz w:val="16"/>
                <w:szCs w:val="16"/>
                <w:b w:val="1"/>
                <w:bCs w:val="1"/>
                <w:color w:val="auto"/>
                <w:w w:val="89"/>
              </w:rPr>
              <w:t>Registrant’s telephone number, including area code</w:t>
            </w:r>
          </w:p>
        </w:tc>
      </w:tr>
      <w:tr>
        <w:trPr>
          <w:trHeight w:val="203"/>
        </w:trPr>
        <w:tc>
          <w:tcPr>
            <w:tcW w:w="3700" w:type="dxa"/>
            <w:vAlign w:val="bottom"/>
          </w:tcPr>
          <w:p>
            <w:pPr>
              <w:spacing w:after="0"/>
              <w:rPr>
                <w:sz w:val="17"/>
                <w:szCs w:val="17"/>
                <w:color w:val="auto"/>
              </w:rPr>
            </w:pPr>
          </w:p>
        </w:tc>
        <w:tc>
          <w:tcPr>
            <w:tcW w:w="3000" w:type="dxa"/>
            <w:vAlign w:val="bottom"/>
            <w:gridSpan w:val="5"/>
          </w:tcPr>
          <w:p>
            <w:pPr>
              <w:jc w:val="center"/>
              <w:ind w:left="939"/>
              <w:spacing w:after="0"/>
              <w:rPr>
                <w:sz w:val="20"/>
                <w:szCs w:val="20"/>
                <w:color w:val="auto"/>
              </w:rPr>
            </w:pPr>
            <w:r>
              <w:rPr>
                <w:rFonts w:ascii="Arial" w:cs="Arial" w:eastAsia="Arial" w:hAnsi="Arial"/>
                <w:sz w:val="16"/>
                <w:szCs w:val="16"/>
                <w:b w:val="1"/>
                <w:bCs w:val="1"/>
                <w:color w:val="auto"/>
                <w:w w:val="93"/>
              </w:rPr>
              <w:t>(818) 661-5000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10"/>
        </w:trPr>
        <w:tc>
          <w:tcPr>
            <w:tcW w:w="3700" w:type="dxa"/>
            <w:vAlign w:val="bottom"/>
          </w:tcPr>
          <w:p>
            <w:pPr>
              <w:spacing w:after="0"/>
              <w:rPr>
                <w:sz w:val="18"/>
                <w:szCs w:val="18"/>
                <w:color w:val="auto"/>
              </w:rPr>
            </w:pPr>
          </w:p>
        </w:tc>
        <w:tc>
          <w:tcPr>
            <w:tcW w:w="7720" w:type="dxa"/>
            <w:vAlign w:val="bottom"/>
            <w:gridSpan w:val="11"/>
          </w:tcPr>
          <w:p>
            <w:pPr>
              <w:jc w:val="center"/>
              <w:ind w:right="361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22"/>
        </w:trPr>
        <w:tc>
          <w:tcPr>
            <w:tcW w:w="3700" w:type="dxa"/>
            <w:vAlign w:val="bottom"/>
            <w:tcBorders>
              <w:bottom w:val="single" w:sz="8" w:color="auto"/>
            </w:tcBorders>
          </w:tcPr>
          <w:p>
            <w:pPr>
              <w:jc w:val="center"/>
              <w:ind w:left="130"/>
              <w:spacing w:after="0"/>
              <w:rPr>
                <w:sz w:val="20"/>
                <w:szCs w:val="20"/>
                <w:color w:val="auto"/>
              </w:rPr>
            </w:pPr>
            <w:r>
              <w:rPr>
                <w:rFonts w:ascii="Arial" w:cs="Arial" w:eastAsia="Arial" w:hAnsi="Arial"/>
                <w:sz w:val="14"/>
                <w:szCs w:val="14"/>
                <w:b w:val="1"/>
                <w:bCs w:val="1"/>
                <w:color w:val="auto"/>
                <w:w w:val="91"/>
              </w:rPr>
              <w:t>Title of Each Class</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4"/>
                <w:szCs w:val="14"/>
                <w:b w:val="1"/>
                <w:bCs w:val="1"/>
                <w:color w:val="auto"/>
                <w:w w:val="94"/>
              </w:rPr>
              <w:t>Trading Symbol(s)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0"/>
        </w:trPr>
        <w:tc>
          <w:tcPr>
            <w:tcW w:w="3700" w:type="dxa"/>
            <w:vAlign w:val="bottom"/>
          </w:tcPr>
          <w:p>
            <w:pPr>
              <w:jc w:val="center"/>
              <w:ind w:left="13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2"/>
          </w:tcPr>
          <w:p>
            <w:pPr>
              <w:jc w:val="center"/>
              <w:ind w:left="630"/>
              <w:spacing w:after="0"/>
              <w:rPr>
                <w:sz w:val="20"/>
                <w:szCs w:val="20"/>
                <w:color w:val="auto"/>
              </w:rPr>
            </w:pPr>
            <w:r>
              <w:rPr>
                <w:rFonts w:ascii="Arial" w:cs="Arial" w:eastAsia="Arial" w:hAnsi="Arial"/>
                <w:sz w:val="14"/>
                <w:szCs w:val="14"/>
                <w:b w:val="1"/>
                <w:bCs w:val="1"/>
                <w:color w:val="auto"/>
              </w:rPr>
              <w:t>MNKD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64770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3" w:lineRule="exact"/>
        <w:rPr>
          <w:sz w:val="24"/>
          <w:szCs w:val="24"/>
          <w:color w:val="auto"/>
        </w:rPr>
      </w:pPr>
    </w:p>
    <w:p>
      <w:pPr>
        <w:spacing w:after="0" w:line="207" w:lineRule="exact"/>
        <w:tabs>
          <w:tab w:leader="none" w:pos="8620" w:val="left"/>
          <w:tab w:leader="none" w:pos="93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2" w:lineRule="exact"/>
        <w:rPr>
          <w:sz w:val="24"/>
          <w:szCs w:val="24"/>
          <w:color w:val="auto"/>
        </w:rPr>
      </w:pPr>
    </w:p>
    <w:p>
      <w:pPr>
        <w:ind w:right="1720"/>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200" w:type="dxa"/>
            <w:vAlign w:val="bottom"/>
          </w:tcPr>
          <w:p>
            <w:pPr>
              <w:ind w:left="30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right="280" w:firstLine="485"/>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00"/>
        <w:spacing w:after="0" w:line="184" w:lineRule="exact"/>
        <w:tabs>
          <w:tab w:leader="none" w:pos="7320" w:val="left"/>
          <w:tab w:leader="none" w:pos="7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80" w:firstLine="485"/>
        <w:spacing w:after="0" w:line="293" w:lineRule="auto"/>
        <w:rPr>
          <w:sz w:val="20"/>
          <w:szCs w:val="20"/>
          <w:color w:val="auto"/>
        </w:rPr>
      </w:pPr>
      <w:r>
        <w:rPr>
          <w:rFonts w:ascii="Arial" w:cs="Arial" w:eastAsia="Arial" w:hAnsi="Arial"/>
          <w:sz w:val="16"/>
          <w:szCs w:val="16"/>
          <w:color w:val="auto"/>
        </w:rPr>
        <w:t>As of June 28, 2019, the aggregate market value of the voting stock held by non-affiliates of the registrant, computed by reference to the last sale price of such stock as of such date on the Nasdaq Global Market, was approximately $194,244,712.</w:t>
      </w:r>
    </w:p>
    <w:p>
      <w:pPr>
        <w:spacing w:after="0" w:line="10" w:lineRule="exact"/>
        <w:rPr>
          <w:sz w:val="24"/>
          <w:szCs w:val="24"/>
          <w:color w:val="auto"/>
        </w:rPr>
      </w:pPr>
    </w:p>
    <w:p>
      <w:pPr>
        <w:ind w:left="500"/>
        <w:spacing w:after="0"/>
        <w:rPr>
          <w:sz w:val="20"/>
          <w:szCs w:val="20"/>
          <w:color w:val="auto"/>
        </w:rPr>
      </w:pPr>
      <w:r>
        <w:rPr>
          <w:rFonts w:ascii="Arial" w:cs="Arial" w:eastAsia="Arial" w:hAnsi="Arial"/>
          <w:sz w:val="16"/>
          <w:szCs w:val="16"/>
          <w:color w:val="auto"/>
        </w:rPr>
        <w:t>As of February 13, 2020, there were 212,295,318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86360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620" w:firstLine="485"/>
        <w:spacing w:after="0" w:line="329" w:lineRule="auto"/>
        <w:rPr>
          <w:sz w:val="20"/>
          <w:szCs w:val="20"/>
          <w:color w:val="auto"/>
        </w:rPr>
      </w:pPr>
      <w:r>
        <w:rPr>
          <w:rFonts w:ascii="Arial" w:cs="Arial" w:eastAsia="Arial" w:hAnsi="Arial"/>
          <w:sz w:val="15"/>
          <w:szCs w:val="15"/>
          <w:color w:val="auto"/>
        </w:rPr>
        <w:t>Portions of the registrant’s definitive Proxy Statement (the “Proxy Statement”) for the 2020 Annual Meeting of Stockholders to be filed with the Securities and Exchange Commission pursuant to Regulation 14A not later than April 29, 2020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379095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40" w:type="dxa"/>
            <w:vAlign w:val="bottom"/>
            <w:gridSpan w:val="18"/>
          </w:tcPr>
          <w:p>
            <w:pPr>
              <w:jc w:val="center"/>
              <w:ind w:right="2880"/>
              <w:spacing w:after="0"/>
              <w:rPr>
                <w:sz w:val="20"/>
                <w:szCs w:val="20"/>
                <w:color w:val="auto"/>
              </w:rPr>
            </w:pPr>
            <w:r>
              <w:rPr>
                <w:rFonts w:ascii="Arial" w:cs="Arial" w:eastAsia="Arial" w:hAnsi="Arial"/>
                <w:sz w:val="18"/>
                <w:szCs w:val="18"/>
                <w:b w:val="1"/>
                <w:bCs w:val="1"/>
                <w:color w:val="auto"/>
              </w:rPr>
              <w:t>MANNKIND CORPORATION</w:t>
            </w:r>
          </w:p>
        </w:tc>
        <w:tc>
          <w:tcPr>
            <w:tcW w:w="820" w:type="dxa"/>
            <w:vAlign w:val="bottom"/>
          </w:tcPr>
          <w:p>
            <w:pPr>
              <w:spacing w:after="0"/>
              <w:rPr>
                <w:sz w:val="20"/>
                <w:szCs w:val="20"/>
                <w:color w:val="auto"/>
              </w:rPr>
            </w:pPr>
          </w:p>
        </w:tc>
      </w:tr>
      <w:tr>
        <w:trPr>
          <w:trHeight w:val="414"/>
        </w:trPr>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16"/>
          </w:tcPr>
          <w:p>
            <w:pPr>
              <w:jc w:val="center"/>
              <w:ind w:right="3740"/>
              <w:spacing w:after="0"/>
              <w:rPr>
                <w:sz w:val="20"/>
                <w:szCs w:val="20"/>
                <w:color w:val="auto"/>
              </w:rPr>
            </w:pPr>
            <w:r>
              <w:rPr>
                <w:rFonts w:ascii="Arial" w:cs="Arial" w:eastAsia="Arial" w:hAnsi="Arial"/>
                <w:sz w:val="18"/>
                <w:szCs w:val="18"/>
                <w:b w:val="1"/>
                <w:bCs w:val="1"/>
                <w:color w:val="auto"/>
                <w:w w:val="93"/>
              </w:rPr>
              <w:t>Annual Report on Form 10-K</w:t>
            </w:r>
          </w:p>
        </w:tc>
        <w:tc>
          <w:tcPr>
            <w:tcW w:w="82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40" w:type="dxa"/>
            <w:vAlign w:val="bottom"/>
            <w:gridSpan w:val="18"/>
          </w:tcPr>
          <w:p>
            <w:pPr>
              <w:jc w:val="center"/>
              <w:ind w:right="2880"/>
              <w:spacing w:after="0"/>
              <w:rPr>
                <w:sz w:val="20"/>
                <w:szCs w:val="20"/>
                <w:color w:val="auto"/>
              </w:rPr>
            </w:pPr>
            <w:r>
              <w:rPr>
                <w:rFonts w:ascii="Arial" w:cs="Arial" w:eastAsia="Arial" w:hAnsi="Arial"/>
                <w:sz w:val="18"/>
                <w:szCs w:val="18"/>
                <w:b w:val="1"/>
                <w:bCs w:val="1"/>
                <w:color w:val="auto"/>
                <w:w w:val="90"/>
              </w:rPr>
              <w:t>For the Fiscal Year Ended December 31, 2019</w:t>
            </w:r>
          </w:p>
        </w:tc>
        <w:tc>
          <w:tcPr>
            <w:tcW w:w="8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gridSpan w:val="15"/>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24"/>
                <w:szCs w:val="24"/>
                <w:color w:val="auto"/>
              </w:rPr>
            </w:pPr>
          </w:p>
        </w:tc>
      </w:tr>
      <w:tr>
        <w:trPr>
          <w:trHeight w:val="445"/>
        </w:trPr>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gridSpan w:val="14"/>
          </w:tcPr>
          <w:p>
            <w:pPr>
              <w:jc w:val="center"/>
              <w:ind w:right="4180"/>
              <w:spacing w:after="0"/>
              <w:rPr>
                <w:sz w:val="20"/>
                <w:szCs w:val="20"/>
                <w:color w:val="auto"/>
              </w:rPr>
            </w:pPr>
            <w:r>
              <w:rPr>
                <w:rFonts w:ascii="Arial" w:cs="Arial" w:eastAsia="Arial" w:hAnsi="Arial"/>
                <w:sz w:val="18"/>
                <w:szCs w:val="18"/>
                <w:b w:val="1"/>
                <w:bCs w:val="1"/>
                <w:color w:val="auto"/>
                <w:w w:val="98"/>
              </w:rPr>
              <w:t>PART I</w:t>
            </w:r>
          </w:p>
        </w:tc>
        <w:tc>
          <w:tcPr>
            <w:tcW w:w="820" w:type="dxa"/>
            <w:vAlign w:val="bottom"/>
          </w:tcPr>
          <w:p>
            <w:pPr>
              <w:spacing w:after="0"/>
              <w:rPr>
                <w:sz w:val="24"/>
                <w:szCs w:val="24"/>
                <w:color w:val="auto"/>
              </w:rPr>
            </w:pPr>
          </w:p>
        </w:tc>
      </w:tr>
      <w:tr>
        <w:trPr>
          <w:trHeight w:val="190"/>
        </w:trPr>
        <w:tc>
          <w:tcPr>
            <w:tcW w:w="164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Item 1.</w:t>
            </w:r>
          </w:p>
        </w:tc>
        <w:tc>
          <w:tcPr>
            <w:tcW w:w="8980" w:type="dxa"/>
            <w:vAlign w:val="bottom"/>
            <w:gridSpan w:val="28"/>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1A.</w:t>
            </w:r>
          </w:p>
        </w:tc>
        <w:tc>
          <w:tcPr>
            <w:tcW w:w="8980" w:type="dxa"/>
            <w:vAlign w:val="bottom"/>
            <w:gridSpan w:val="2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1B.</w:t>
            </w:r>
          </w:p>
        </w:tc>
        <w:tc>
          <w:tcPr>
            <w:tcW w:w="8980" w:type="dxa"/>
            <w:vAlign w:val="bottom"/>
            <w:gridSpan w:val="2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6940" w:type="dxa"/>
            <w:vAlign w:val="bottom"/>
            <w:gridSpan w:val="1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7640" w:type="dxa"/>
            <w:vAlign w:val="bottom"/>
            <w:gridSpan w:val="2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4.</w:t>
            </w:r>
          </w:p>
        </w:tc>
        <w:tc>
          <w:tcPr>
            <w:tcW w:w="8980" w:type="dxa"/>
            <w:vAlign w:val="bottom"/>
            <w:gridSpan w:val="2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22"/>
        </w:trPr>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gridSpan w:val="14"/>
          </w:tcPr>
          <w:p>
            <w:pPr>
              <w:jc w:val="center"/>
              <w:ind w:right="4180"/>
              <w:spacing w:after="0"/>
              <w:rPr>
                <w:sz w:val="20"/>
                <w:szCs w:val="20"/>
                <w:color w:val="auto"/>
              </w:rPr>
            </w:pPr>
            <w:r>
              <w:rPr>
                <w:rFonts w:ascii="Arial" w:cs="Arial" w:eastAsia="Arial" w:hAnsi="Arial"/>
                <w:sz w:val="18"/>
                <w:szCs w:val="18"/>
                <w:b w:val="1"/>
                <w:bCs w:val="1"/>
                <w:color w:val="auto"/>
              </w:rPr>
              <w:t>PART II</w:t>
            </w:r>
          </w:p>
        </w:tc>
        <w:tc>
          <w:tcPr>
            <w:tcW w:w="820" w:type="dxa"/>
            <w:vAlign w:val="bottom"/>
          </w:tcPr>
          <w:p>
            <w:pPr>
              <w:spacing w:after="0"/>
              <w:rPr>
                <w:sz w:val="19"/>
                <w:szCs w:val="19"/>
                <w:color w:val="auto"/>
              </w:rPr>
            </w:pPr>
          </w:p>
        </w:tc>
      </w:tr>
      <w:tr>
        <w:trPr>
          <w:trHeight w:val="190"/>
        </w:trPr>
        <w:tc>
          <w:tcPr>
            <w:tcW w:w="164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Item 5.</w:t>
            </w:r>
          </w:p>
        </w:tc>
        <w:tc>
          <w:tcPr>
            <w:tcW w:w="8980" w:type="dxa"/>
            <w:vAlign w:val="bottom"/>
            <w:gridSpan w:val="28"/>
          </w:tcPr>
          <w:p>
            <w:pPr>
              <w:spacing w:after="0" w:line="190"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Market for the Registrant’s Common Equity, Related Stockholder Matters and Issuer Purchases of Equity Securities</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Selected Financial Data</w:t>
              </w:r>
            </w:hyperlink>
          </w:p>
        </w:tc>
        <w:tc>
          <w:tcPr>
            <w:tcW w:w="6620" w:type="dxa"/>
            <w:vAlign w:val="bottom"/>
            <w:tcBorders>
              <w:top w:val="single" w:sz="8" w:color="0000EE"/>
            </w:tcBorders>
            <w:gridSpan w:val="20"/>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7.</w:t>
            </w:r>
          </w:p>
        </w:tc>
        <w:tc>
          <w:tcPr>
            <w:tcW w:w="8980" w:type="dxa"/>
            <w:vAlign w:val="bottom"/>
            <w:gridSpan w:val="2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252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4"/>
          </w:tcPr>
          <w:p>
            <w:pPr>
              <w:spacing w:after="0"/>
              <w:rPr>
                <w:sz w:val="17"/>
                <w:szCs w:val="17"/>
                <w:color w:val="auto"/>
              </w:rPr>
            </w:pPr>
          </w:p>
        </w:tc>
        <w:tc>
          <w:tcPr>
            <w:tcW w:w="462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80" w:type="dxa"/>
            <w:vAlign w:val="bottom"/>
            <w:gridSpan w:val="2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CONSOLIDATED BALANCE SHEETS</w:t>
              </w:r>
            </w:hyperlink>
          </w:p>
        </w:tc>
        <w:tc>
          <w:tcPr>
            <w:tcW w:w="2820" w:type="dxa"/>
            <w:vAlign w:val="bottom"/>
            <w:tcBorders>
              <w:top w:val="single" w:sz="8" w:color="0000EE"/>
            </w:tcBorders>
            <w:gridSpan w:val="10"/>
          </w:tcPr>
          <w:p>
            <w:pPr>
              <w:spacing w:after="0"/>
              <w:rPr>
                <w:sz w:val="17"/>
                <w:szCs w:val="17"/>
                <w:color w:val="auto"/>
              </w:rPr>
            </w:pPr>
          </w:p>
        </w:tc>
        <w:tc>
          <w:tcPr>
            <w:tcW w:w="31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CONSOLIDATED STATEMENTS OF OPERATIONS</w:t>
              </w:r>
            </w:hyperlink>
          </w:p>
        </w:tc>
        <w:tc>
          <w:tcPr>
            <w:tcW w:w="5000" w:type="dxa"/>
            <w:vAlign w:val="bottom"/>
            <w:gridSpan w:val="1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80" w:type="dxa"/>
            <w:vAlign w:val="bottom"/>
            <w:gridSpan w:val="2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COMPREHENSIVE LOSS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80" w:type="dxa"/>
            <w:vAlign w:val="bottom"/>
            <w:gridSpan w:val="2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STOCKHOLDERS’ DEFICIT</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w:t>
              </w:r>
            </w:hyperlink>
          </w:p>
        </w:tc>
        <w:tc>
          <w:tcPr>
            <w:tcW w:w="390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NOTES TO CONSOLIDATED FINANCIAL STATEMENTS</w:t>
              </w:r>
            </w:hyperlink>
          </w:p>
        </w:tc>
        <w:tc>
          <w:tcPr>
            <w:tcW w:w="450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Changes in and Disagreements With Accountants on Accounting and Financial Disclosure</w:t>
              </w:r>
            </w:hyperlink>
          </w:p>
        </w:tc>
        <w:tc>
          <w:tcPr>
            <w:tcW w:w="246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Controls and Procedures</w:t>
              </w:r>
            </w:hyperlink>
          </w:p>
        </w:tc>
        <w:tc>
          <w:tcPr>
            <w:tcW w:w="720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9B.</w:t>
            </w:r>
          </w:p>
        </w:tc>
        <w:tc>
          <w:tcPr>
            <w:tcW w:w="8980" w:type="dxa"/>
            <w:vAlign w:val="bottom"/>
            <w:gridSpan w:val="2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22"/>
        </w:trPr>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gridSpan w:val="14"/>
          </w:tcPr>
          <w:p>
            <w:pPr>
              <w:jc w:val="center"/>
              <w:ind w:right="4160"/>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19"/>
                <w:szCs w:val="19"/>
                <w:color w:val="auto"/>
              </w:rPr>
            </w:pPr>
          </w:p>
        </w:tc>
      </w:tr>
      <w:tr>
        <w:trPr>
          <w:trHeight w:val="190"/>
        </w:trPr>
        <w:tc>
          <w:tcPr>
            <w:tcW w:w="164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7"/>
          </w:tcPr>
          <w:p>
            <w:pPr>
              <w:spacing w:after="0" w:line="190"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Directors, Executive Officers and Corporate Governance</w:t>
              </w:r>
            </w:hyperlink>
          </w:p>
        </w:tc>
        <w:tc>
          <w:tcPr>
            <w:tcW w:w="4880" w:type="dxa"/>
            <w:vAlign w:val="bottom"/>
            <w:gridSpan w:val="11"/>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45</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11.</w:t>
            </w:r>
          </w:p>
        </w:tc>
        <w:tc>
          <w:tcPr>
            <w:tcW w:w="8980" w:type="dxa"/>
            <w:vAlign w:val="bottom"/>
            <w:gridSpan w:val="2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Executive Compensation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10"/>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Security Ownership of Certain Beneficial Owners and Management and Related Stockholder Matters</w:t>
              </w:r>
            </w:hyperlink>
          </w:p>
        </w:tc>
        <w:tc>
          <w:tcPr>
            <w:tcW w:w="168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Certain Relationships and Related Transactions, and Director Independence</w:t>
              </w:r>
            </w:hyperlink>
          </w:p>
        </w:tc>
        <w:tc>
          <w:tcPr>
            <w:tcW w:w="352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14.</w:t>
            </w:r>
          </w:p>
        </w:tc>
        <w:tc>
          <w:tcPr>
            <w:tcW w:w="8980" w:type="dxa"/>
            <w:vAlign w:val="bottom"/>
            <w:gridSpan w:val="2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Principal Accounting Fees and Services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22"/>
        </w:trPr>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gridSpan w:val="14"/>
          </w:tcPr>
          <w:p>
            <w:pPr>
              <w:jc w:val="center"/>
              <w:ind w:right="4160"/>
              <w:spacing w:after="0"/>
              <w:rPr>
                <w:sz w:val="20"/>
                <w:szCs w:val="20"/>
                <w:color w:val="auto"/>
              </w:rPr>
            </w:pPr>
            <w:r>
              <w:rPr>
                <w:rFonts w:ascii="Arial" w:cs="Arial" w:eastAsia="Arial" w:hAnsi="Arial"/>
                <w:sz w:val="18"/>
                <w:szCs w:val="18"/>
                <w:b w:val="1"/>
                <w:bCs w:val="1"/>
                <w:color w:val="auto"/>
              </w:rPr>
              <w:t>PART IV</w:t>
            </w:r>
          </w:p>
        </w:tc>
        <w:tc>
          <w:tcPr>
            <w:tcW w:w="820" w:type="dxa"/>
            <w:vAlign w:val="bottom"/>
          </w:tcPr>
          <w:p>
            <w:pPr>
              <w:spacing w:after="0"/>
              <w:rPr>
                <w:sz w:val="19"/>
                <w:szCs w:val="19"/>
                <w:color w:val="auto"/>
              </w:rPr>
            </w:pPr>
          </w:p>
        </w:tc>
      </w:tr>
      <w:tr>
        <w:trPr>
          <w:trHeight w:val="190"/>
        </w:trPr>
        <w:tc>
          <w:tcPr>
            <w:tcW w:w="164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Item 15.</w:t>
            </w:r>
          </w:p>
        </w:tc>
        <w:tc>
          <w:tcPr>
            <w:tcW w:w="8980" w:type="dxa"/>
            <w:vAlign w:val="bottom"/>
            <w:gridSpan w:val="28"/>
          </w:tcPr>
          <w:p>
            <w:pPr>
              <w:spacing w:after="0" w:line="190" w:lineRule="exact"/>
              <w:rPr>
                <w:rFonts w:ascii="Arial" w:cs="Arial" w:eastAsia="Arial" w:hAnsi="Arial"/>
                <w:sz w:val="18"/>
                <w:szCs w:val="18"/>
                <w:color w:val="0000EE"/>
              </w:rPr>
            </w:pPr>
            <w:hyperlink w:anchor="page48">
              <w:r>
                <w:rPr>
                  <w:rFonts w:ascii="Arial" w:cs="Arial" w:eastAsia="Arial" w:hAnsi="Arial"/>
                  <w:sz w:val="18"/>
                  <w:szCs w:val="18"/>
                  <w:color w:val="0000EE"/>
                </w:rPr>
                <w:t>Exhibits. Financial Statement Schedules</w:t>
              </w:r>
            </w:hyperlink>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46</w:t>
            </w:r>
          </w:p>
        </w:tc>
      </w:tr>
      <w:tr>
        <w:trPr>
          <w:trHeight w:val="196"/>
        </w:trPr>
        <w:tc>
          <w:tcPr>
            <w:tcW w:w="1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Form 10-K Summary</w:t>
              </w:r>
            </w:hyperlink>
          </w:p>
        </w:tc>
        <w:tc>
          <w:tcPr>
            <w:tcW w:w="6080" w:type="dxa"/>
            <w:vAlign w:val="bottom"/>
            <w:gridSpan w:val="1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640" w:type="dxa"/>
            <w:vAlign w:val="bottom"/>
            <w:gridSpan w:val="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446"/>
        </w:trPr>
        <w:tc>
          <w:tcPr>
            <w:tcW w:w="760" w:type="dxa"/>
            <w:vAlign w:val="bottom"/>
            <w:tcBorders>
              <w:top w:val="single" w:sz="8" w:color="0000EE"/>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5"/>
        <w:spacing w:after="0" w:line="267" w:lineRule="auto"/>
        <w:rPr>
          <w:sz w:val="20"/>
          <w:szCs w:val="20"/>
          <w:color w:val="auto"/>
        </w:rPr>
      </w:pPr>
      <w:r>
        <w:rPr>
          <w:rFonts w:ascii="Arial" w:cs="Arial" w:eastAsia="Arial" w:hAnsi="Arial"/>
          <w:sz w:val="17"/>
          <w:szCs w:val="17"/>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or any other product candidates or therapies that we may develop; our ability to manufacture sufficient quantities of Afrezza and obtain insulin supply as needed; our ability to successfully commercialize our Technosphere drug delivery platform; our estimates for future performance; our estimates regarding anticipated operating losses, future revenues, capital requirements and our needs for additional financing;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like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w:t>
      </w:r>
    </w:p>
    <w:p>
      <w:pPr>
        <w:spacing w:after="0" w:line="190" w:lineRule="exact"/>
        <w:rPr>
          <w:sz w:val="20"/>
          <w:szCs w:val="20"/>
          <w:color w:val="auto"/>
        </w:rPr>
      </w:pPr>
    </w:p>
    <w:p>
      <w:pPr>
        <w:ind w:right="120" w:firstLine="485"/>
        <w:spacing w:after="0" w:line="342" w:lineRule="auto"/>
        <w:rPr>
          <w:sz w:val="20"/>
          <w:szCs w:val="20"/>
          <w:color w:val="auto"/>
        </w:rPr>
      </w:pPr>
      <w:r>
        <w:rPr>
          <w:rFonts w:ascii="Arial" w:cs="Arial" w:eastAsia="Arial" w:hAnsi="Arial"/>
          <w:sz w:val="16"/>
          <w:szCs w:val="16"/>
          <w:color w:val="auto"/>
        </w:rPr>
        <w:t>Afrezza®, Technosphere® and BluHale® are our trademarks in the United States. We have also applied for or have registered company trademarks in other jurisdictions. This document also contains trademarks and service marks of other companies that are the property of their respective owners.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the context requires otherwise, the words “MannKind,” “we,” “Company,” “us” and “our” refer to MannKind Corporation and its subsidiaries.</w:t>
      </w:r>
    </w:p>
    <w:p>
      <w:pPr>
        <w:spacing w:after="0" w:line="248"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patients with diseases such as diabetes and pulmonary arterial hypertension. Our only approved product, Afrezza (insulin human) Inhalation Powder, is an ultra rapid-acting inhaled insulin that was approved by the U.S. Food and Drug Administration (“FDA”) in June 2014. Afrezza became available by prescription in U.S. retail pharmacies in February 2015. According to the Centers for Disease Control and Prevention, 30.3 million people in the United States had diabetes in 2015. Globally, the International Diabetes Federation has estimated that approximately 463 million adults had diabetes in 2019 and approximately 700 million will have diabetes by 2045.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Afrezza</w:t>
      </w:r>
    </w:p>
    <w:p>
      <w:pPr>
        <w:spacing w:after="0" w:line="121" w:lineRule="exact"/>
        <w:rPr>
          <w:sz w:val="20"/>
          <w:szCs w:val="20"/>
          <w:color w:val="auto"/>
        </w:rPr>
      </w:pPr>
    </w:p>
    <w:p>
      <w:pPr>
        <w:ind w:right="200" w:firstLine="485"/>
        <w:spacing w:after="0" w:line="312" w:lineRule="auto"/>
        <w:rPr>
          <w:sz w:val="20"/>
          <w:szCs w:val="20"/>
          <w:color w:val="auto"/>
        </w:rPr>
      </w:pPr>
      <w:r>
        <w:rPr>
          <w:rFonts w:ascii="Arial" w:cs="Arial" w:eastAsia="Arial" w:hAnsi="Arial"/>
          <w:sz w:val="16"/>
          <w:szCs w:val="16"/>
          <w:color w:val="auto"/>
        </w:rPr>
        <w:t>Afrezza is an ultra rapid-acting inhaled insulin used to improve glycemic control in adults with diabetes. The product consists of a dry powder formulation of human insulin delivered from a small portable inhaler. Administered at the beginning of a meal, Afrezza dissolves rapidly upon inhalation to the lung and delivers insulin quickly to the bloodstream. The first measurable effects of Afrezza occur approximately 12 minutes after administration.</w:t>
      </w:r>
    </w:p>
    <w:p>
      <w:pPr>
        <w:spacing w:after="0" w:line="147" w:lineRule="exact"/>
        <w:rPr>
          <w:sz w:val="20"/>
          <w:szCs w:val="20"/>
          <w:color w:val="auto"/>
        </w:rPr>
      </w:pPr>
    </w:p>
    <w:p>
      <w:pPr>
        <w:ind w:right="60" w:firstLine="485"/>
        <w:spacing w:after="0" w:line="257" w:lineRule="auto"/>
        <w:rPr>
          <w:sz w:val="20"/>
          <w:szCs w:val="20"/>
          <w:color w:val="auto"/>
        </w:rPr>
      </w:pPr>
      <w:r>
        <w:rPr>
          <w:rFonts w:ascii="Arial" w:cs="Arial" w:eastAsia="Arial" w:hAnsi="Arial"/>
          <w:sz w:val="18"/>
          <w:szCs w:val="18"/>
          <w:color w:val="auto"/>
        </w:rPr>
        <w:t>Currently, we promote Afrezza to endocrinologists and certain high-prescribing primary care physicians through our specialty sales force. To support our sales efforts, we have implemented several patient and physician support programs, including a co-pay assistance and product savings card, a direct purchase program and our MannKind Cares program that supports providers and patients who have questions about insurance coverage, prescription cost and product use. We have also entered into a number of rebate or other agreements with various payors and pharmacy benefit managers that are intended to facilitate more favorable insurance coverage for Afrezza.</w:t>
      </w:r>
    </w:p>
    <w:p>
      <w:pPr>
        <w:spacing w:after="0" w:line="188"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In the future, we may seek to supplement our sales force through a co-promotion arrangement with a third party that can be used to promote Afrezza to a greater number of primary care physicians in the United States. Internationally, our strategy is to establish regional partnerships in foreign jurisdictions where there are commercial opportunities, subject to the receipt of necessary foreign regulatory approvals. Our partner in Brazil, Biomm S.A. (“Biomm”), commenced commercialization of Afrezza in January 2020. Our partners in India and Australia are preparing for regulatory submissions and have not yet commenced commercialization in their respective territories.</w:t>
      </w:r>
    </w:p>
    <w:p>
      <w:pPr>
        <w:spacing w:after="0" w:line="188" w:lineRule="exact"/>
        <w:rPr>
          <w:sz w:val="20"/>
          <w:szCs w:val="20"/>
          <w:color w:val="auto"/>
        </w:rPr>
      </w:pPr>
    </w:p>
    <w:p>
      <w:pPr>
        <w:ind w:firstLine="485"/>
        <w:spacing w:after="0" w:line="291" w:lineRule="auto"/>
        <w:rPr>
          <w:sz w:val="20"/>
          <w:szCs w:val="20"/>
          <w:color w:val="auto"/>
        </w:rPr>
      </w:pPr>
      <w:r>
        <w:rPr>
          <w:rFonts w:ascii="Arial" w:cs="Arial" w:eastAsia="Arial" w:hAnsi="Arial"/>
          <w:sz w:val="16"/>
          <w:szCs w:val="16"/>
          <w:color w:val="auto"/>
        </w:rPr>
        <w:t>We have continued to conduct clinical studies of Afrezza, including an open-label, multiple-dose, safety, titration and pharmacokinetics study in two cohorts of pediatric patients with type 1 diabetes (patients aged 13-17 and patients aged 8-12) that completed in 2019. We are currently finalizing with the FDA the study design for a Phase 3 clinical trial to evaluate the safety and efficacy of Afrezza in 8-17 year-old children and adolescents. The pediatric Phase 3 trial is a post-marketing requirement. As part of the approval of Afrezza, the FDA also required us to conduct a five-year, randomized, controlled trial in 8,000-10,000 patients with type 2 diabetes to assess the potential risk of pulmonary malignancy with Afrezza use. We have an ongoing dialogue with the FDA regarding the endpoints and goals for this long-term trial and have not yet commenced this trial. In addition to studies sponsored and conducted by us, we expect to participate in collaborative clinical studies of Afrezza that are sponsored and conducted by independent investigators.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Technosphere Platform</w:t>
      </w:r>
    </w:p>
    <w:p>
      <w:pPr>
        <w:spacing w:after="0" w:line="121" w:lineRule="exact"/>
        <w:rPr>
          <w:sz w:val="20"/>
          <w:szCs w:val="20"/>
          <w:color w:val="auto"/>
        </w:rPr>
      </w:pPr>
    </w:p>
    <w:p>
      <w:pPr>
        <w:jc w:val="both"/>
        <w:ind w:firstLine="485"/>
        <w:spacing w:after="0" w:line="285" w:lineRule="auto"/>
        <w:rPr>
          <w:sz w:val="20"/>
          <w:szCs w:val="20"/>
          <w:color w:val="auto"/>
        </w:rPr>
      </w:pPr>
      <w:r>
        <w:rPr>
          <w:rFonts w:ascii="Arial" w:cs="Arial" w:eastAsia="Arial" w:hAnsi="Arial"/>
          <w:sz w:val="16"/>
          <w:szCs w:val="16"/>
          <w:color w:val="auto"/>
        </w:rPr>
        <w:t>We believe that our proprietary Technosphere formulation technology represents a versatile drug delivery platform that may allow the oral inhalation of a wide range of active pharmaceutical ingredients. We have successfully prepared Technosphere formulations of anionic and cationic drugs, hydrophobic and hydrophilic drugs, proteins, peptides and small molecules. Technosphere powders are based on our proprietary excipient, fumaryl diketopiperazine (“FDKP”), which is a pH-sensitive organic molecule that self-assembles into small particles under acidic conditions. Certain drugs, such as insulin or treprostinil, can be loaded onto these particles by combining a solution of the drug with a solution or suspension of Technosphere material, which is then dried to powder form.</w:t>
      </w:r>
    </w:p>
    <w:p>
      <w:pPr>
        <w:spacing w:after="0" w:line="2"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resulting powder has a consistent and narrow range of particle sizes with good aerodynamic properties that enable efficient delivery deep into the lungs. Technosphere powders dissolve quickly when the particles contact the moist lung surface with its neutral pH, releasing the drug molecules to diffuse across a thin layer of cells into the arterial circulation, bypassing the liver to provide excellent systemic exposure.</w:t>
      </w:r>
    </w:p>
    <w:p>
      <w:pPr>
        <w:spacing w:after="0" w:line="190" w:lineRule="exact"/>
        <w:rPr>
          <w:sz w:val="20"/>
          <w:szCs w:val="20"/>
          <w:color w:val="auto"/>
        </w:rPr>
      </w:pPr>
    </w:p>
    <w:p>
      <w:pPr>
        <w:ind w:right="20" w:firstLine="485"/>
        <w:spacing w:after="0" w:line="291" w:lineRule="auto"/>
        <w:rPr>
          <w:sz w:val="20"/>
          <w:szCs w:val="20"/>
          <w:color w:val="auto"/>
        </w:rPr>
      </w:pPr>
      <w:r>
        <w:rPr>
          <w:rFonts w:ascii="Arial" w:cs="Arial" w:eastAsia="Arial" w:hAnsi="Arial"/>
          <w:sz w:val="16"/>
          <w:szCs w:val="16"/>
          <w:color w:val="auto"/>
        </w:rPr>
        <w:t>We have also created an innovative line of breath-powered, dry powder inhalers. Our inhalers are easy to use, cost-effective and can be produced in both a reusable (chronic treatment) and a single-use (acute treatment) format. Both the reusable and single-use inhaler formats use the same internal air-flow design. Being breath-powered, our inhalers require only the patient’s inhalation effort to deliver the powder. To administer the inhalation powder, a patient loads a cartridge into our inhaler and inhales through the mouthpiece. Upon inhalation, the dry powder is lifted out of the cartridge and broken (or de-agglomerated) into small particles. The inhalers are engineered to produce an aggressive airstream that de-agglomerates the powder while keeping the powder moving relatively slowly. This slow-moving powder effectively navigates the patient’s airways to reach the deep lung with minimal deposition at the back of the throat. Our inhalers show very little change in performance (i.e., efficient cartridge emptying) over a wide range of inhalation efforts.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20" w:firstLine="485"/>
        <w:spacing w:after="0" w:line="253" w:lineRule="auto"/>
        <w:rPr>
          <w:sz w:val="20"/>
          <w:szCs w:val="20"/>
          <w:color w:val="auto"/>
        </w:rPr>
      </w:pPr>
      <w:r>
        <w:rPr>
          <w:rFonts w:ascii="Arial" w:cs="Arial" w:eastAsia="Arial" w:hAnsi="Arial"/>
          <w:sz w:val="18"/>
          <w:szCs w:val="18"/>
          <w:color w:val="auto"/>
        </w:rPr>
        <w:t>We advanced an inhaled formulation of treprostinil (internally designated “TreT”) into clinical development, completing a Phase 1 dose-escalation trial in June 2018. In September 2018, we announced a license and collaboration agreement with United Therapeutics Corporation (“United Therapeutics” or “UT”), pursuant to which UT became responsible for global development, regulatory and commercial activities with respect to TreT (the “UT License Agreement”) while we retained responsibility for manufacturing clinical and commercial supplies of TreT. In January 2016, we entered into a collaboration and license agreement with Receptor Life Sciences (“Receptor”), pursuant to which Receptor is responsible for the development, manufacture and commercialization of inhaled formulations of certain cannabinoid compounds utilizing our technology. We have been informed by Receptor that it has evaluated safety, tolerability and pharmacokinetics of prototype powders in initial clinical trials; however, data from these clinical trials has not yet been published or made available to us. In addition to our collaborations, we intend to advance our own pipeline of dry-powder formulations of drugs into feasibility and preclinical studies during the next 12-18 months.</w:t>
      </w:r>
    </w:p>
    <w:p>
      <w:pPr>
        <w:spacing w:after="0" w:line="197" w:lineRule="exact"/>
        <w:rPr>
          <w:sz w:val="20"/>
          <w:szCs w:val="20"/>
          <w:color w:val="auto"/>
        </w:rPr>
      </w:pPr>
    </w:p>
    <w:p>
      <w:pPr>
        <w:ind w:right="260" w:firstLine="485"/>
        <w:spacing w:after="0" w:line="302" w:lineRule="auto"/>
        <w:rPr>
          <w:sz w:val="20"/>
          <w:szCs w:val="20"/>
          <w:color w:val="auto"/>
        </w:rPr>
      </w:pPr>
      <w:r>
        <w:rPr>
          <w:rFonts w:ascii="Arial" w:cs="Arial" w:eastAsia="Arial" w:hAnsi="Arial"/>
          <w:sz w:val="16"/>
          <w:szCs w:val="16"/>
          <w:color w:val="auto"/>
        </w:rPr>
        <w:t>To aid in the development of our oral inhalation products, we have created a number of innovative tools, including a novel inhalation profiling apparatus, known as BluHale, which uses miniature sensors to assess the drug delivery process at the level of an individual inhaler. The BluHale apparatus provides real-time data regarding patient usage and delivery system performance that is transmitted to a user interface, such as a smartphone application. During 2020, we plan to release a BluHale Professional version of the apparatus for use as a training tool in physician’s offices.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jc w:val="both"/>
        <w:ind w:right="100" w:firstLine="485"/>
        <w:spacing w:after="0" w:line="312" w:lineRule="auto"/>
        <w:rPr>
          <w:sz w:val="20"/>
          <w:szCs w:val="20"/>
          <w:color w:val="auto"/>
        </w:rPr>
      </w:pPr>
      <w:r>
        <w:rPr>
          <w:rFonts w:ascii="Arial" w:cs="Arial" w:eastAsia="Arial" w:hAnsi="Arial"/>
          <w:sz w:val="16"/>
          <w:szCs w:val="16"/>
          <w:color w:val="auto"/>
        </w:rPr>
        <w:t>We use our Danbury, Connecticut facility to formulate both the Afrezza and TreT inhalation powders, fill plastic cartridges with the powders, package the cartridges in blister packs, and place the blister packs into foil pouches. We utilize a contract packager to assemble the final kits of Afrezza foil-pouched blister packs along with inhalers and the package inserts. The final responsibility for TreT packaging has not yet been determined.</w:t>
      </w:r>
    </w:p>
    <w:p>
      <w:pPr>
        <w:spacing w:after="0" w:line="147" w:lineRule="exact"/>
        <w:rPr>
          <w:sz w:val="20"/>
          <w:szCs w:val="20"/>
          <w:color w:val="auto"/>
        </w:rPr>
      </w:pPr>
    </w:p>
    <w:p>
      <w:pPr>
        <w:ind w:right="20" w:firstLine="485"/>
        <w:spacing w:after="0" w:line="279" w:lineRule="auto"/>
        <w:rPr>
          <w:sz w:val="20"/>
          <w:szCs w:val="20"/>
          <w:color w:val="auto"/>
        </w:rPr>
      </w:pPr>
      <w:r>
        <w:rPr>
          <w:rFonts w:ascii="Arial" w:cs="Arial" w:eastAsia="Arial" w:hAnsi="Arial"/>
          <w:sz w:val="17"/>
          <w:szCs w:val="17"/>
          <w:color w:val="auto"/>
        </w:rPr>
        <w:t>The quality management systems of our Connecticut facility have been certified to be in conformance with the ISO 13485 and ISO 9001 standards. Our facility is inspected on a regular basis by the FDA, most recently in June 2018. We were also inspected by ANVISA (Brazil National Health Surveillance Agency) in May 2018. Neither of the regulatory inspections in 2018 gave rise to any inspectional observations (known as “483s” in the United States). The FDA and other foreign jurisdictions are expected to conduct additional inspections of our facility from time to time.</w:t>
      </w:r>
    </w:p>
    <w:p>
      <w:pPr>
        <w:spacing w:after="0" w:line="171" w:lineRule="exact"/>
        <w:rPr>
          <w:sz w:val="20"/>
          <w:szCs w:val="20"/>
          <w:color w:val="auto"/>
        </w:rPr>
      </w:pPr>
    </w:p>
    <w:p>
      <w:pPr>
        <w:ind w:right="460" w:firstLine="485"/>
        <w:spacing w:after="0" w:line="264" w:lineRule="auto"/>
        <w:rPr>
          <w:sz w:val="20"/>
          <w:szCs w:val="20"/>
          <w:color w:val="auto"/>
        </w:rPr>
      </w:pPr>
      <w:r>
        <w:rPr>
          <w:rFonts w:ascii="Arial" w:cs="Arial" w:eastAsia="Arial" w:hAnsi="Arial"/>
          <w:sz w:val="18"/>
          <w:szCs w:val="18"/>
          <w:color w:val="auto"/>
        </w:rPr>
        <w:t>We believe that our Connecticut facility has enough capacity to satisfy the current demand for Afrezza and TreT. In addition, the facility includes expansion space to accommodate additional filling lines and other equipment, allowing production capacity to be increased based on the reasonably foreseeable demand for Afrezza, TreT and other potential products over the next several years.</w:t>
      </w:r>
    </w:p>
    <w:p>
      <w:pPr>
        <w:spacing w:after="0" w:line="181" w:lineRule="exact"/>
        <w:rPr>
          <w:sz w:val="20"/>
          <w:szCs w:val="20"/>
          <w:color w:val="auto"/>
        </w:rPr>
      </w:pPr>
    </w:p>
    <w:p>
      <w:pPr>
        <w:ind w:right="120" w:firstLine="485"/>
        <w:spacing w:after="0" w:line="276" w:lineRule="auto"/>
        <w:rPr>
          <w:sz w:val="20"/>
          <w:szCs w:val="20"/>
          <w:color w:val="auto"/>
        </w:rPr>
      </w:pPr>
      <w:r>
        <w:rPr>
          <w:rFonts w:ascii="Arial" w:cs="Arial" w:eastAsia="Arial" w:hAnsi="Arial"/>
          <w:sz w:val="17"/>
          <w:szCs w:val="17"/>
          <w:color w:val="auto"/>
        </w:rPr>
        <w:t>Currently, the only source of insulin that we have qualified for Afrezza is manufactured by Amphastar France Pharmaceuticals S.A.S. (“Amphastar”). In April 2014, we entered into a supply agreement with Amphastar (as amended, the “Insulin Supply Agreement”) to purchase certain annual minimum quantities with an aggregate purchase commitment of €120.1 million over a term that currently extends through December 31, 2026. As of December 31, 2019, there was €82.0 million remaining in aggregate purchase commitments under this agreement. See additional information in Note 13 – Commitments and Contingencies to the consolidated financial statements for further information related to the Insulin Supply Agreement.</w:t>
      </w:r>
    </w:p>
    <w:p>
      <w:pPr>
        <w:spacing w:after="0" w:line="173" w:lineRule="exact"/>
        <w:rPr>
          <w:sz w:val="20"/>
          <w:szCs w:val="20"/>
          <w:color w:val="auto"/>
        </w:rPr>
      </w:pPr>
    </w:p>
    <w:p>
      <w:pPr>
        <w:jc w:val="both"/>
        <w:ind w:firstLine="485"/>
        <w:spacing w:after="0" w:line="277" w:lineRule="auto"/>
        <w:rPr>
          <w:sz w:val="20"/>
          <w:szCs w:val="20"/>
          <w:color w:val="auto"/>
        </w:rPr>
      </w:pPr>
      <w:r>
        <w:rPr>
          <w:rFonts w:ascii="Arial" w:cs="Arial" w:eastAsia="Arial" w:hAnsi="Arial"/>
          <w:sz w:val="18"/>
          <w:szCs w:val="18"/>
          <w:color w:val="auto"/>
        </w:rPr>
        <w:t>Currently, we purchase FDKP, the primary component of our Technosphere powders, from a major chemical manufacturer with facilities in Europe and North America.</w:t>
      </w:r>
    </w:p>
    <w:p>
      <w:pPr>
        <w:spacing w:after="0" w:line="170"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8"/>
          <w:szCs w:val="18"/>
          <w:color w:val="auto"/>
        </w:rPr>
        <w:t>We have a supply agreement with the contract manufacturer that produces the plastic-molded parts for our inhaler and the corresponding cartridges. We expect to be able to qualify an additional vendor of plastic-molding contract manufacturing services, if warranted by demand. We assemble the inhalers at our Connecticut facility.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also have an agreement with the contractor that performs the final packaging of Afrezza overwraps, inhalers and printed material into patient kits.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be able to qualify an additional vendor of packaging services, if warranted by demand.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85"/>
        <w:spacing w:after="0" w:line="297" w:lineRule="auto"/>
        <w:rPr>
          <w:sz w:val="20"/>
          <w:szCs w:val="20"/>
          <w:color w:val="auto"/>
        </w:rPr>
      </w:pPr>
      <w:r>
        <w:rPr>
          <w:rFonts w:ascii="Arial" w:cs="Arial" w:eastAsia="Arial" w:hAnsi="Arial"/>
          <w:sz w:val="16"/>
          <w:szCs w:val="16"/>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for all inventions in the United States, Europe, Japan and, depending on the nature of the invention, selected other jurisdictions. We have obtained, are seeking, and will continue to seek patent protection on the compositions of matter, methods and devices flowing from our research and development efforts.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 w:name="page6"/>
    <w:bookmarkEnd w:id="5"/>
    <w:p>
      <w:pPr>
        <w:ind w:right="160" w:firstLine="485"/>
        <w:spacing w:after="0" w:line="291" w:lineRule="auto"/>
        <w:rPr>
          <w:sz w:val="20"/>
          <w:szCs w:val="20"/>
          <w:color w:val="auto"/>
        </w:rPr>
      </w:pPr>
      <w:r>
        <w:rPr>
          <w:rFonts w:ascii="Arial" w:cs="Arial" w:eastAsia="Arial" w:hAnsi="Arial"/>
          <w:sz w:val="16"/>
          <w:szCs w:val="16"/>
          <w:color w:val="auto"/>
        </w:rPr>
        <w:t>Our Technosphere drug delivery platform, including Afrezza, enjoys patent protection relating to the powder, its manufacture, and its use for pulmonary delivery of drugs. We have additional patent coverage relating to the treatment of diabetes using Afrezza. We have also been granted patent coverage for our inhalers and associated cartridges. Overall, Afrezza is protected by approximately 600 issued patents in the United States and selected jurisdictions around the world, the longest-lived of which will expire in 2032. We also have over 125 applications pending that may provide additional protection for Afrezza if and when they are allowed. Our entire portfolio consists of approximately 1015 issued patents and approximately 240 patent applications that provide protection for our drug delivery platform, Technosphere-based products, the inhalation-profiling apparatus and development tools. Currently, our longest-lived issued patent will expire in 2035. We expect to file further patent applications as our research and development efforts continue.</w:t>
      </w:r>
    </w:p>
    <w:p>
      <w:pPr>
        <w:spacing w:after="0" w:line="167" w:lineRule="exact"/>
        <w:rPr>
          <w:sz w:val="20"/>
          <w:szCs w:val="20"/>
          <w:color w:val="auto"/>
        </w:rPr>
      </w:pPr>
    </w:p>
    <w:p>
      <w:pPr>
        <w:ind w:right="180" w:firstLine="485"/>
        <w:spacing w:after="0" w:line="259" w:lineRule="auto"/>
        <w:rPr>
          <w:sz w:val="20"/>
          <w:szCs w:val="20"/>
          <w:color w:val="auto"/>
        </w:rPr>
      </w:pPr>
      <w:r>
        <w:rPr>
          <w:rFonts w:ascii="Arial" w:cs="Arial" w:eastAsia="Arial" w:hAnsi="Arial"/>
          <w:sz w:val="18"/>
          <w:szCs w:val="18"/>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187" w:lineRule="exact"/>
        <w:rPr>
          <w:sz w:val="20"/>
          <w:szCs w:val="20"/>
          <w:color w:val="auto"/>
        </w:rPr>
      </w:pPr>
    </w:p>
    <w:p>
      <w:pPr>
        <w:ind w:right="40" w:firstLine="485"/>
        <w:spacing w:after="0" w:line="270" w:lineRule="auto"/>
        <w:rPr>
          <w:sz w:val="20"/>
          <w:szCs w:val="20"/>
          <w:color w:val="auto"/>
        </w:rPr>
      </w:pPr>
      <w:r>
        <w:rPr>
          <w:rFonts w:ascii="Arial" w:cs="Arial" w:eastAsia="Arial" w:hAnsi="Arial"/>
          <w:sz w:val="17"/>
          <w:szCs w:val="17"/>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178" w:lineRule="exact"/>
        <w:rPr>
          <w:sz w:val="20"/>
          <w:szCs w:val="20"/>
          <w:color w:val="auto"/>
        </w:rPr>
      </w:pPr>
    </w:p>
    <w:p>
      <w:pPr>
        <w:ind w:firstLine="485"/>
        <w:spacing w:after="0" w:line="289" w:lineRule="auto"/>
        <w:rPr>
          <w:sz w:val="20"/>
          <w:szCs w:val="20"/>
          <w:color w:val="auto"/>
        </w:rPr>
      </w:pPr>
      <w:r>
        <w:rPr>
          <w:rFonts w:ascii="Arial" w:cs="Arial" w:eastAsia="Arial" w:hAnsi="Arial"/>
          <w:sz w:val="16"/>
          <w:szCs w:val="16"/>
          <w:color w:val="auto"/>
        </w:rPr>
        <w:t>If third parties file patent applications, or are issued patents claiming technology also claimed by us in pending applications, we may be required to participate in interference proceedings in the United States Patent and Trademark Office (“USPTO”) to determine priority of invention. We may also be required to participate in interference proceedings involving our issued patents. 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167" w:lineRule="exact"/>
        <w:rPr>
          <w:sz w:val="20"/>
          <w:szCs w:val="20"/>
          <w:color w:val="auto"/>
        </w:rPr>
      </w:pPr>
    </w:p>
    <w:p>
      <w:pPr>
        <w:ind w:right="120" w:firstLine="485"/>
        <w:spacing w:after="0" w:line="255" w:lineRule="auto"/>
        <w:rPr>
          <w:sz w:val="20"/>
          <w:szCs w:val="20"/>
          <w:color w:val="auto"/>
        </w:rPr>
      </w:pPr>
      <w:r>
        <w:rPr>
          <w:rFonts w:ascii="Arial" w:cs="Arial" w:eastAsia="Arial" w:hAnsi="Arial"/>
          <w:sz w:val="18"/>
          <w:szCs w:val="18"/>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485"/>
        <w:spacing w:after="0" w:line="276" w:lineRule="auto"/>
        <w:rPr>
          <w:sz w:val="20"/>
          <w:szCs w:val="20"/>
          <w:color w:val="auto"/>
        </w:rPr>
      </w:pPr>
      <w:r>
        <w:rPr>
          <w:rFonts w:ascii="Arial" w:cs="Arial" w:eastAsia="Arial" w:hAnsi="Arial"/>
          <w:sz w:val="17"/>
          <w:szCs w:val="17"/>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Treatments</w:t>
      </w:r>
    </w:p>
    <w:p>
      <w:pPr>
        <w:spacing w:after="0" w:line="117" w:lineRule="exact"/>
        <w:rPr>
          <w:sz w:val="20"/>
          <w:szCs w:val="20"/>
          <w:color w:val="auto"/>
        </w:rPr>
      </w:pPr>
    </w:p>
    <w:p>
      <w:pPr>
        <w:ind w:right="40" w:firstLine="485"/>
        <w:spacing w:after="0" w:line="270"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a lower cost, than Afrezza. There can be no assurance that existing or new competitors will not introduce products or processes competitive with or superior to our product candidates.</w:t>
      </w:r>
    </w:p>
    <w:p>
      <w:pPr>
        <w:spacing w:after="0" w:line="176"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We have set forth below more detailed information about certain of our competitors. The following is based on information currently available to us.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Rapid-acting (Injected) Insulin</w:t>
      </w:r>
    </w:p>
    <w:p>
      <w:pPr>
        <w:spacing w:after="0" w:line="117"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Currently, we believe that Afrezza has a unique “ultra rapid-acting” pharmacokinetic profile, i.e., entering the bloodstream in less than one minute, with the first measurable effects occurring approximately 12 minutes after administration, and peak glucose-lowering effects within 35 or 45 minutes after administration of a 4 or 12 unit dose, respectively. There are several formulations of “rapid-acting” insulin analogs that reach their maximum glucose-lowering effect within one to three hours after injection. The principal products in this category are insulin lispro, which is marketed by Eli Lilly &amp; Company as Humalog® and by Sanofi S.A. as Admelog®; insulin aspart, which is marketed by Novo Nordisk A/S as Novolog® and as Fiasp®; and insulin glulisine, which is marketed by Sanofi S.A. as Apidra®.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Inhaled Insulin Delivery Systems</w:t>
      </w:r>
    </w:p>
    <w:p>
      <w:pPr>
        <w:spacing w:after="0" w:line="117" w:lineRule="exact"/>
        <w:rPr>
          <w:sz w:val="20"/>
          <w:szCs w:val="20"/>
          <w:color w:val="auto"/>
        </w:rPr>
      </w:pPr>
    </w:p>
    <w:p>
      <w:pPr>
        <w:ind w:right="140" w:firstLine="485"/>
        <w:spacing w:after="0" w:line="264" w:lineRule="auto"/>
        <w:rPr>
          <w:sz w:val="20"/>
          <w:szCs w:val="20"/>
          <w:color w:val="auto"/>
        </w:rPr>
      </w:pPr>
      <w:r>
        <w:rPr>
          <w:rFonts w:ascii="Arial" w:cs="Arial" w:eastAsia="Arial" w:hAnsi="Arial"/>
          <w:sz w:val="18"/>
          <w:szCs w:val="18"/>
          <w:color w:val="auto"/>
        </w:rPr>
        <w:t>Our drug delivery platform competes with other inhaled delivery systems, including the Dance-501 being developed by Aerami Therapeutics. Dance-501 is a liquid formulation of recombinant human insulin, administered with a small handheld electronic inhaler. Dance-501 has been studied in Phase 2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60" w:firstLine="485"/>
        <w:spacing w:after="0" w:line="270" w:lineRule="auto"/>
        <w:rPr>
          <w:sz w:val="20"/>
          <w:szCs w:val="20"/>
          <w:color w:val="auto"/>
        </w:rPr>
      </w:pPr>
      <w:r>
        <w:rPr>
          <w:rFonts w:ascii="Arial" w:cs="Arial" w:eastAsia="Arial" w:hAnsi="Arial"/>
          <w:sz w:val="17"/>
          <w:szCs w:val="17"/>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(“FDCA”), and other regulations, regulate research and development activities and the development, testing, manufacture, labeling, storage, shipping, approval, recordkeeping, advertising, promotion, sale and distribution of such products. In addition, if any of our products are marketed abroad, they will also be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steps typically required before an unapproved new drug or biologic product for use in humans may be marketed in the United States include:</w:t>
      </w:r>
    </w:p>
    <w:p>
      <w:pPr>
        <w:spacing w:after="0" w:line="129" w:lineRule="exact"/>
        <w:rPr>
          <w:sz w:val="20"/>
          <w:szCs w:val="20"/>
          <w:color w:val="auto"/>
        </w:rPr>
      </w:pPr>
    </w:p>
    <w:p>
      <w:pPr>
        <w:ind w:left="960" w:right="340" w:hanging="479"/>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78" w:lineRule="exact"/>
        <w:rPr>
          <w:rFonts w:ascii="Arial" w:cs="Arial" w:eastAsia="Arial" w:hAnsi="Arial"/>
          <w:sz w:val="18"/>
          <w:szCs w:val="18"/>
          <w:color w:val="auto"/>
        </w:rPr>
      </w:pPr>
    </w:p>
    <w:p>
      <w:pPr>
        <w:ind w:left="960" w:right="40" w:hanging="479"/>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to the FDA of IND (Investigational New Drug Application), which must become effective before human clinical trials may commence. The results of the preclinical studies are submitted to the FDA as part of the IND. Unless the FDA objects and places a clinical hold, the IND becomes effective 30 days following receipt by the FDA, although the FDA may place trials on hold at any time if it believes the risks to subjects outweigh the potential benefits.</w:t>
      </w:r>
    </w:p>
    <w:p>
      <w:pPr>
        <w:spacing w:after="0" w:line="78" w:lineRule="exact"/>
        <w:rPr>
          <w:rFonts w:ascii="Arial" w:cs="Arial" w:eastAsia="Arial" w:hAnsi="Arial"/>
          <w:sz w:val="18"/>
          <w:szCs w:val="18"/>
          <w:color w:val="auto"/>
        </w:rPr>
      </w:pPr>
    </w:p>
    <w:p>
      <w:pPr>
        <w:ind w:left="960" w:hanging="479"/>
        <w:spacing w:after="0" w:line="264"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clinical protocols by independent institutional review boards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73" w:lineRule="exact"/>
        <w:rPr>
          <w:rFonts w:ascii="Arial" w:cs="Arial" w:eastAsia="Arial" w:hAnsi="Arial"/>
          <w:sz w:val="18"/>
          <w:szCs w:val="18"/>
          <w:color w:val="auto"/>
        </w:rPr>
      </w:pPr>
    </w:p>
    <w:p>
      <w:pPr>
        <w:ind w:left="960" w:right="20" w:hanging="479"/>
        <w:spacing w:after="0" w:line="27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64" w:lineRule="exact"/>
        <w:rPr>
          <w:rFonts w:ascii="Arial" w:cs="Arial" w:eastAsia="Arial" w:hAnsi="Arial"/>
          <w:sz w:val="17"/>
          <w:szCs w:val="17"/>
          <w:color w:val="auto"/>
        </w:rPr>
      </w:pPr>
    </w:p>
    <w:p>
      <w:pPr>
        <w:ind w:left="1440" w:right="240" w:hanging="473"/>
        <w:spacing w:after="0" w:line="291" w:lineRule="auto"/>
        <w:tabs>
          <w:tab w:leader="none" w:pos="144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59" w:lineRule="exact"/>
        <w:rPr>
          <w:rFonts w:ascii="Arial" w:cs="Arial" w:eastAsia="Arial" w:hAnsi="Arial"/>
          <w:sz w:val="16"/>
          <w:szCs w:val="16"/>
          <w:color w:val="auto"/>
        </w:rPr>
      </w:pPr>
    </w:p>
    <w:p>
      <w:pPr>
        <w:ind w:left="1440" w:right="20" w:hanging="473"/>
        <w:spacing w:after="0" w:line="308" w:lineRule="auto"/>
        <w:tabs>
          <w:tab w:leader="none" w:pos="14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38" w:lineRule="exact"/>
        <w:rPr>
          <w:rFonts w:ascii="Arial" w:cs="Arial" w:eastAsia="Arial" w:hAnsi="Arial"/>
          <w:sz w:val="17"/>
          <w:szCs w:val="17"/>
          <w:color w:val="auto"/>
        </w:rPr>
      </w:pPr>
    </w:p>
    <w:p>
      <w:pPr>
        <w:jc w:val="both"/>
        <w:ind w:left="1440" w:right="440" w:hanging="473"/>
        <w:spacing w:after="0" w:line="279" w:lineRule="auto"/>
        <w:tabs>
          <w:tab w:leader="none" w:pos="14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 w:name="page8"/>
    <w:bookmarkEnd w:id="7"/>
    <w:p>
      <w:pPr>
        <w:ind w:left="1440" w:right="460" w:hanging="473"/>
        <w:spacing w:after="0" w:line="259" w:lineRule="auto"/>
        <w:tabs>
          <w:tab w:leader="none" w:pos="1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and can provide important safety information to augment the FDA’s voluntary adverse event reporting system.</w:t>
      </w:r>
    </w:p>
    <w:p>
      <w:pPr>
        <w:spacing w:after="0" w:line="78" w:lineRule="exact"/>
        <w:rPr>
          <w:rFonts w:ascii="Arial" w:cs="Arial" w:eastAsia="Arial" w:hAnsi="Arial"/>
          <w:sz w:val="18"/>
          <w:szCs w:val="18"/>
          <w:color w:val="auto"/>
        </w:rPr>
      </w:pPr>
    </w:p>
    <w:p>
      <w:pPr>
        <w:ind w:left="960" w:hanging="479"/>
        <w:spacing w:after="0" w:line="273"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(“cGMPs”), requirements for drug products as well as the quality system regulation for medical devices, or QSR. The manufacturing process must be capable of consistently producing quality batches of the product and the manufacturer must develop methods for testing the quality, purity and potency of the final products. Additionally, appropriate packaging must be selected and tested and stability studies must be conducted to demonstrate that the product does not undergo unacceptable deterioration over its shelf-life.</w:t>
      </w:r>
    </w:p>
    <w:p>
      <w:pPr>
        <w:spacing w:after="0" w:line="70" w:lineRule="exact"/>
        <w:rPr>
          <w:rFonts w:ascii="Arial" w:cs="Arial" w:eastAsia="Arial" w:hAnsi="Arial"/>
          <w:sz w:val="17"/>
          <w:szCs w:val="17"/>
          <w:color w:val="auto"/>
        </w:rPr>
      </w:pPr>
    </w:p>
    <w:p>
      <w:pPr>
        <w:ind w:left="960" w:hanging="479"/>
        <w:spacing w:after="0" w:line="279"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Submission to the FDA of a new drug application (“NDA”) based on the clinical trials. The results of product development, preclinical studies and clinical trials are submitted to the FDA in the form of an NDA for approval of the marketing and commercial shipment of the product. Under the Pediatric Research Equity Act, NDAs are required to include an assessment, generally based on clinical study data, of the safety and efficacy of drugs for all relevant pediatric populations. The statute provides for waivers or deferrals in certain situations.</w:t>
      </w:r>
    </w:p>
    <w:p>
      <w:pPr>
        <w:spacing w:after="0" w:line="171" w:lineRule="exact"/>
        <w:rPr>
          <w:sz w:val="20"/>
          <w:szCs w:val="20"/>
          <w:color w:val="auto"/>
        </w:rPr>
      </w:pPr>
    </w:p>
    <w:p>
      <w:pPr>
        <w:ind w:right="60" w:firstLine="485"/>
        <w:spacing w:after="0" w:line="254" w:lineRule="auto"/>
        <w:rPr>
          <w:sz w:val="20"/>
          <w:szCs w:val="20"/>
          <w:color w:val="auto"/>
        </w:rPr>
      </w:pPr>
      <w:r>
        <w:rPr>
          <w:rFonts w:ascii="Arial" w:cs="Arial" w:eastAsia="Arial" w:hAnsi="Arial"/>
          <w:sz w:val="18"/>
          <w:szCs w:val="18"/>
          <w:color w:val="auto"/>
        </w:rPr>
        <w:t>In its review of an NDA,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Before approving an NDA, the FDA may inspect the facilities at which the product is manufactured and will not approve the product unless the manufacturing facility complies with cGMPs and will also inspect clinical trial sites for integrity of data supporting safety and efficacy. The FDA will issue either an approval of the NDA or a Complete Response Letter, detailing the deficiencies and information required in order for reconsideration of the NDA. On March 23, 2020, our approved NDA for Afrezza, along with all other approved insulins and certain other “biological products” approved as NDAs, will be deemed to be an approved Biologics License Application, or BLA, pursuant to the Biologics Price Competition and Innovation Act of 2009.</w:t>
      </w:r>
    </w:p>
    <w:p>
      <w:pPr>
        <w:spacing w:after="0" w:line="192" w:lineRule="exact"/>
        <w:rPr>
          <w:sz w:val="20"/>
          <w:szCs w:val="20"/>
          <w:color w:val="auto"/>
        </w:rPr>
      </w:pPr>
    </w:p>
    <w:p>
      <w:pPr>
        <w:ind w:right="40" w:firstLine="485"/>
        <w:spacing w:after="0" w:line="287" w:lineRule="auto"/>
        <w:rPr>
          <w:sz w:val="20"/>
          <w:szCs w:val="20"/>
          <w:color w:val="auto"/>
        </w:rPr>
      </w:pPr>
      <w:r>
        <w:rPr>
          <w:rFonts w:ascii="Arial" w:cs="Arial" w:eastAsia="Arial" w:hAnsi="Arial"/>
          <w:sz w:val="16"/>
          <w:szCs w:val="16"/>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investigational products will be granted on a timely basis, if at all. For an approved product such as Afrezza, we are subject to continuing regulation by the FDA, including post marketing study commitments or requirements,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In addition, our drug-manufacturing facilities located in Connecticut and the facilities of our insulin supplier, the supplier(s) of FDKP and the supplier(s) of our cartridges are subject to federal registration and listing requirements and, if applicable, to state licensing requirements. A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Numerous device regulatory requirements apply to the device part of a drug-device combination. These include:</w:t>
      </w:r>
    </w:p>
    <w:p>
      <w:pPr>
        <w:spacing w:after="0" w:line="68" w:lineRule="exact"/>
        <w:rPr>
          <w:sz w:val="20"/>
          <w:szCs w:val="20"/>
          <w:color w:val="auto"/>
        </w:rPr>
      </w:pPr>
    </w:p>
    <w:p>
      <w:pPr>
        <w:ind w:left="960" w:hanging="479"/>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labeling regulations;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prohibition against promoting products for unapproved or “off-label” uses;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corrections and removals (</w:t>
      </w:r>
      <w:r>
        <w:rPr>
          <w:rFonts w:ascii="Arial" w:cs="Arial" w:eastAsia="Arial" w:hAnsi="Arial"/>
          <w:sz w:val="18"/>
          <w:szCs w:val="18"/>
          <w:i w:val="1"/>
          <w:iCs w:val="1"/>
          <w:color w:val="auto"/>
        </w:rPr>
        <w:t>e.g</w:t>
      </w:r>
      <w:r>
        <w:rPr>
          <w:rFonts w:ascii="Arial" w:cs="Arial" w:eastAsia="Arial" w:hAnsi="Arial"/>
          <w:sz w:val="18"/>
          <w:szCs w:val="18"/>
          <w:color w:val="auto"/>
        </w:rPr>
        <w:t>., recalls);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117" w:lineRule="exact"/>
        <w:rPr>
          <w:rFonts w:ascii="Arial" w:cs="Arial" w:eastAsia="Arial" w:hAnsi="Arial"/>
          <w:sz w:val="18"/>
          <w:szCs w:val="18"/>
          <w:color w:val="auto"/>
        </w:rPr>
      </w:pPr>
    </w:p>
    <w:p>
      <w:pPr>
        <w:ind w:left="960" w:right="80" w:hanging="479"/>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124" w:lineRule="exact"/>
        <w:rPr>
          <w:sz w:val="20"/>
          <w:szCs w:val="20"/>
          <w:color w:val="auto"/>
        </w:rPr>
      </w:pPr>
    </w:p>
    <w:p>
      <w:pPr>
        <w:ind w:right="200" w:firstLine="485"/>
        <w:spacing w:after="0" w:line="264" w:lineRule="auto"/>
        <w:rPr>
          <w:sz w:val="20"/>
          <w:szCs w:val="20"/>
          <w:color w:val="auto"/>
        </w:rPr>
      </w:pPr>
      <w:r>
        <w:rPr>
          <w:rFonts w:ascii="Arial" w:cs="Arial" w:eastAsia="Arial" w:hAnsi="Arial"/>
          <w:sz w:val="18"/>
          <w:szCs w:val="18"/>
          <w:color w:val="auto"/>
        </w:rPr>
        <w:t>Further, the supplier we contract with to manufacture our inhaler and cartridges is subject to QSRs, which requires manufacturers to follow elaborate design, testing, control, documentation and other quality assurance procedures during the manufacturing process of medical devices, among other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right="20" w:firstLine="485"/>
        <w:spacing w:after="0" w:line="271" w:lineRule="auto"/>
        <w:rPr>
          <w:sz w:val="20"/>
          <w:szCs w:val="20"/>
          <w:color w:val="auto"/>
        </w:rPr>
      </w:pPr>
      <w:r>
        <w:rPr>
          <w:rFonts w:ascii="Arial" w:cs="Arial" w:eastAsia="Arial" w:hAnsi="Arial"/>
          <w:sz w:val="17"/>
          <w:szCs w:val="17"/>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179" w:lineRule="exact"/>
        <w:rPr>
          <w:sz w:val="20"/>
          <w:szCs w:val="20"/>
          <w:color w:val="auto"/>
        </w:rPr>
      </w:pPr>
    </w:p>
    <w:p>
      <w:pPr>
        <w:ind w:firstLine="485"/>
        <w:spacing w:after="0" w:line="297" w:lineRule="auto"/>
        <w:rPr>
          <w:sz w:val="20"/>
          <w:szCs w:val="20"/>
          <w:color w:val="auto"/>
        </w:rPr>
      </w:pPr>
      <w:r>
        <w:rPr>
          <w:rFonts w:ascii="Arial" w:cs="Arial" w:eastAsia="Arial" w:hAnsi="Arial"/>
          <w:sz w:val="16"/>
          <w:szCs w:val="16"/>
          <w:color w:val="auto"/>
        </w:rPr>
        <w:t>In addition, the FDA imposes a number of complex regulations on entities that advertise and promote drugs, which include, among other requirements, standards for and regulations of direct-to-consumer advertising, industry sponsored scientific and educational activities, and promotional activities involving the Internet, and restrictions on off-label promotion. The FDA has very broad enforcement authority under the FDCA,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58" w:lineRule="exact"/>
        <w:rPr>
          <w:sz w:val="20"/>
          <w:szCs w:val="20"/>
          <w:color w:val="auto"/>
        </w:rPr>
      </w:pPr>
    </w:p>
    <w:p>
      <w:pPr>
        <w:ind w:right="100" w:firstLine="485"/>
        <w:spacing w:after="0" w:line="276" w:lineRule="auto"/>
        <w:rPr>
          <w:sz w:val="20"/>
          <w:szCs w:val="20"/>
          <w:color w:val="auto"/>
        </w:rPr>
      </w:pPr>
      <w:r>
        <w:rPr>
          <w:rFonts w:ascii="Arial" w:cs="Arial" w:eastAsia="Arial" w:hAnsi="Arial"/>
          <w:sz w:val="17"/>
          <w:szCs w:val="17"/>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173" w:lineRule="exact"/>
        <w:rPr>
          <w:sz w:val="20"/>
          <w:szCs w:val="20"/>
          <w:color w:val="auto"/>
        </w:rPr>
      </w:pPr>
    </w:p>
    <w:p>
      <w:pPr>
        <w:ind w:right="120" w:firstLine="485"/>
        <w:spacing w:after="0" w:line="297" w:lineRule="auto"/>
        <w:rPr>
          <w:sz w:val="20"/>
          <w:szCs w:val="20"/>
          <w:color w:val="auto"/>
        </w:rPr>
      </w:pPr>
      <w:r>
        <w:rPr>
          <w:rFonts w:ascii="Arial" w:cs="Arial" w:eastAsia="Arial" w:hAnsi="Arial"/>
          <w:sz w:val="16"/>
          <w:szCs w:val="16"/>
          <w:color w:val="auto"/>
        </w:rPr>
        <w:t>There can be no assurance that the current regulatory framework will not change or that additional regulation will not arise at any stage of our product development or marketing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158" w:lineRule="exact"/>
        <w:rPr>
          <w:sz w:val="20"/>
          <w:szCs w:val="20"/>
          <w:color w:val="auto"/>
        </w:rPr>
      </w:pPr>
    </w:p>
    <w:p>
      <w:pPr>
        <w:ind w:right="160" w:firstLine="485"/>
        <w:spacing w:after="0" w:line="286" w:lineRule="auto"/>
        <w:rPr>
          <w:sz w:val="20"/>
          <w:szCs w:val="20"/>
          <w:color w:val="auto"/>
        </w:rPr>
      </w:pPr>
      <w:r>
        <w:rPr>
          <w:rFonts w:ascii="Arial" w:cs="Arial" w:eastAsia="Arial" w:hAnsi="Arial"/>
          <w:sz w:val="17"/>
          <w:szCs w:val="17"/>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Healthcare Regulatory and Pharmaceutical Pricing</w:t>
      </w:r>
    </w:p>
    <w:p>
      <w:pPr>
        <w:spacing w:after="0" w:line="117" w:lineRule="exact"/>
        <w:rPr>
          <w:sz w:val="20"/>
          <w:szCs w:val="20"/>
          <w:color w:val="auto"/>
        </w:rPr>
      </w:pPr>
    </w:p>
    <w:p>
      <w:pPr>
        <w:ind w:firstLine="485"/>
        <w:spacing w:after="0" w:line="287" w:lineRule="auto"/>
        <w:rPr>
          <w:sz w:val="20"/>
          <w:szCs w:val="20"/>
          <w:color w:val="auto"/>
        </w:rPr>
      </w:pPr>
      <w:r>
        <w:rPr>
          <w:rFonts w:ascii="Arial" w:cs="Arial" w:eastAsia="Arial" w:hAnsi="Arial"/>
          <w:sz w:val="16"/>
          <w:szCs w:val="16"/>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payors, like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payors often provide reimbursement for products and services based on the level at which the government (through the Medicare or Medicaid programs) provides reimbursement for such products and services. In the United States, the European Union and other potentially significant markets for our product candidates, government authorities and other third-party payors are increasingly attempting to limit or regulate the price of medical products and services, particularly for new and innovative products and therapies, which has resulted in lower average selling prices. Further, the increased emphasis on managed healthcare in the United States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Pricing pressures can arise from rules and practices of managed care organizations, judicial decisions and governmental laws and regulations related to Medicare, Medicaid, healthcare reform, pharmaceutical reimbursement policies and pricing in general.</w:t>
      </w:r>
    </w:p>
    <w:p>
      <w:pPr>
        <w:spacing w:after="0" w:line="169" w:lineRule="exact"/>
        <w:rPr>
          <w:sz w:val="20"/>
          <w:szCs w:val="20"/>
          <w:color w:val="auto"/>
        </w:rPr>
      </w:pPr>
    </w:p>
    <w:p>
      <w:pPr>
        <w:ind w:right="60" w:firstLine="485"/>
        <w:spacing w:after="0" w:line="262" w:lineRule="auto"/>
        <w:rPr>
          <w:sz w:val="20"/>
          <w:szCs w:val="20"/>
          <w:color w:val="auto"/>
        </w:rPr>
      </w:pPr>
      <w:r>
        <w:rPr>
          <w:rFonts w:ascii="Arial" w:cs="Arial" w:eastAsia="Arial" w:hAnsi="Arial"/>
          <w:sz w:val="18"/>
          <w:szCs w:val="18"/>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Reconciliation Act (collectively, “PPACA”), enacted in March 2010.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ind w:firstLine="485"/>
        <w:spacing w:after="0" w:line="284" w:lineRule="auto"/>
        <w:rPr>
          <w:sz w:val="20"/>
          <w:szCs w:val="20"/>
          <w:color w:val="auto"/>
        </w:rPr>
      </w:pPr>
      <w:r>
        <w:rPr>
          <w:rFonts w:ascii="Arial" w:cs="Arial" w:eastAsia="Arial" w:hAnsi="Arial"/>
          <w:sz w:val="16"/>
          <w:szCs w:val="16"/>
          <w:color w:val="auto"/>
        </w:rPr>
        <w:t>The PPACA substantially changed the way healthcare is financed by both governmental and private insurers. Among other cost containment measures, PPACA established: an annual, nondeductible fee on any entity that manufactures or imports certain branded prescription drugs and biologic agents; a new Medicare Part D coverage gap discount program; and a new formula that increased the rebates a manufacturer must pay under the Medicaid Drug Rebate Program. There have been judicial and congressional challenges to certain aspects of PPACA, as well as efforts by the Trump administration to repeal or replace certain aspects of the PPACA. President Trump has signed two Executive Orders and other directives designed to eliminate the implementation of certain provisions of the PPACA or otherwise circumvent some of the requirements for health insurance mandated by the PPACA. Concurrently, Congress has considered legislation that would repeal portions or repeal and replace all or part of the PPACA. While Congress has not passed comprehensive repeal legislation, two bills affecting the implementation of certain taxes under the PPACA have been signed into law. Legislation enacted in 2017, informally titled the Tax Cuts and Jobs Act of 2017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eliminated, effective January 1, 2020, the PPACA-mandated “Cadillac” tax on high-cost employer-sponsored health coverage and medical device tax and, effective January 1, 2021, also eliminates the health insurer tax. The Bipartisan Budget Act of 2018, or the BBA, among other things, amends the PPACA, effective January 1, 2019, to increase from 50% to 70% the point-of-sale discount that is owed by pharmaceutical manufacturers who participate in Medicare Part D and to close the coverage gap in most Medicare drug plans, commonly referred to as the “donut hole”. In December 2018, CMS published a new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It is unclear how this decision, future decisions, subsequent appeals, and other efforts to repeal and replace the PPACA will impact the PPACA.</w:t>
      </w:r>
    </w:p>
    <w:p>
      <w:pPr>
        <w:spacing w:after="0" w:line="182" w:lineRule="exact"/>
        <w:rPr>
          <w:sz w:val="20"/>
          <w:szCs w:val="20"/>
          <w:color w:val="auto"/>
        </w:rPr>
      </w:pPr>
    </w:p>
    <w:p>
      <w:pPr>
        <w:ind w:right="120" w:firstLine="485"/>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PPACA. For example, through the process created by the Budget Control Act of 2011, there are automatic reductions of Medicare payments to providers up to 2% per fiscal year, which went into effect in April 2013 and, following passage of the BBA, will remain in effect through 2029 unless additional Congressional action is taken. In January 2013, President Obama signed into law the American Taxpayer Relief Act of 2012, which, among other things, further reduced Medicare payments to several providers.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79" w:lineRule="exact"/>
        <w:rPr>
          <w:sz w:val="20"/>
          <w:szCs w:val="20"/>
          <w:color w:val="auto"/>
        </w:rPr>
      </w:pPr>
    </w:p>
    <w:p>
      <w:pPr>
        <w:ind w:right="20" w:firstLine="485"/>
        <w:spacing w:after="0" w:line="268" w:lineRule="auto"/>
        <w:rPr>
          <w:sz w:val="20"/>
          <w:szCs w:val="20"/>
          <w:color w:val="auto"/>
        </w:rPr>
      </w:pPr>
      <w:r>
        <w:rPr>
          <w:rFonts w:ascii="Arial" w:cs="Arial" w:eastAsia="Arial" w:hAnsi="Arial"/>
          <w:sz w:val="17"/>
          <w:szCs w:val="17"/>
          <w:color w:val="auto"/>
        </w:rPr>
        <w:t>Moreover,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at the same,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In addition, the Trump administration’s budget proposal for fiscal year 2020 contains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Although a number of these and other measures may require additional authorization to become effective, Congress and the Trump administration have stated that they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1" w:lineRule="exact"/>
        <w:rPr>
          <w:sz w:val="20"/>
          <w:szCs w:val="20"/>
          <w:color w:val="auto"/>
        </w:rPr>
      </w:pPr>
    </w:p>
    <w:p>
      <w:pPr>
        <w:ind w:right="120" w:firstLine="485"/>
        <w:spacing w:after="0" w:line="257" w:lineRule="auto"/>
        <w:rPr>
          <w:sz w:val="20"/>
          <w:szCs w:val="20"/>
          <w:color w:val="auto"/>
        </w:rPr>
      </w:pPr>
      <w:r>
        <w:rPr>
          <w:rFonts w:ascii="Arial" w:cs="Arial" w:eastAsia="Arial" w:hAnsi="Arial"/>
          <w:sz w:val="18"/>
          <w:szCs w:val="18"/>
          <w:color w:val="auto"/>
        </w:rPr>
        <w:t>Further, 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Similarly,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spacing w:after="0" w:line="188" w:lineRule="exact"/>
        <w:rPr>
          <w:sz w:val="20"/>
          <w:szCs w:val="20"/>
          <w:color w:val="auto"/>
        </w:rPr>
      </w:pPr>
    </w:p>
    <w:p>
      <w:pPr>
        <w:ind w:right="120" w:firstLine="485"/>
        <w:spacing w:after="0" w:line="257" w:lineRule="auto"/>
        <w:rPr>
          <w:sz w:val="20"/>
          <w:szCs w:val="20"/>
          <w:color w:val="auto"/>
        </w:rPr>
      </w:pPr>
      <w:r>
        <w:rPr>
          <w:rFonts w:ascii="Arial" w:cs="Arial" w:eastAsia="Arial" w:hAnsi="Arial"/>
          <w:sz w:val="18"/>
          <w:szCs w:val="18"/>
          <w:color w:val="auto"/>
        </w:rPr>
        <w:t>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(i) report information related to certain payments or other transfers of value made or distributed to physicians, as defined by such law, and teaching hospitals, or to entities or individuals at the request of, or designated on behalf of, the physicians and teaching hospitals and (ii) report annually certain ownership and investment interests held by physicians and their immediate family members.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ind w:firstLine="485"/>
        <w:spacing w:after="0" w:line="286"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The federal Health Insurance Portability and Accountability Act of 1996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which include certain healthcare providers, health plans, and healthcare clearinghouses,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State laws also govern the privacy and security of health information in certain circumstances, many of which differ from each other in significant ways and may not have the same effect, thus complicating compliance efforts. The recently adopted European General Data Protection Regulation, or GDPR, contains new provisions specifically directed at the processing of health information, higher sanctions and extra-territoriality measures that are intended to bring non-EU companies under the data security and privacy legal framework specified in the regulation. We anticipate that over time we may expand our business operations to include operations in the EU, including potentially conducting preclinical and clinical trials. With such expansion, we would be subject to increased governmental regulation in the EU countries in which we might operate, including the GDPR</w:t>
      </w:r>
    </w:p>
    <w:p>
      <w:pPr>
        <w:spacing w:after="0" w:line="172" w:lineRule="exact"/>
        <w:rPr>
          <w:sz w:val="20"/>
          <w:szCs w:val="20"/>
          <w:color w:val="auto"/>
        </w:rPr>
      </w:pPr>
    </w:p>
    <w:p>
      <w:pPr>
        <w:ind w:right="80" w:firstLine="485"/>
        <w:spacing w:after="0" w:line="255" w:lineRule="auto"/>
        <w:rPr>
          <w:sz w:val="20"/>
          <w:szCs w:val="20"/>
          <w:color w:val="auto"/>
        </w:rPr>
      </w:pPr>
      <w:r>
        <w:rPr>
          <w:rFonts w:ascii="Arial" w:cs="Arial" w:eastAsia="Arial" w:hAnsi="Arial"/>
          <w:sz w:val="18"/>
          <w:szCs w:val="18"/>
          <w:color w:val="auto"/>
        </w:rPr>
        <w:t>Additionally, effective January 1, 2020, the California Consumer Privacy Act (“CCPA”) created individual privacy rights for California consumers (as that word is broadly defined in the law) and placed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allows for a new cause of action for data breaches.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193" w:lineRule="exact"/>
        <w:rPr>
          <w:sz w:val="20"/>
          <w:szCs w:val="20"/>
          <w:color w:val="auto"/>
        </w:rPr>
      </w:pPr>
    </w:p>
    <w:p>
      <w:pPr>
        <w:ind w:right="100" w:firstLine="485"/>
        <w:spacing w:after="0" w:line="273"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comply with industry’s compliance guidelines and relevant compliance guidance promulgated by the federal government and register pharmaceutical sales representatives and limit expenditure for, or payments to, individual medical or health professionals. In addition, certain state laws require pharmaceutical companies to report expenses relating to the marketing and promotion of pharmaceutical products and to report gifts and payments to individual physicians in the states; and report pricing with respect to certain drug products.</w:t>
      </w:r>
    </w:p>
    <w:p>
      <w:pPr>
        <w:spacing w:after="0" w:line="178" w:lineRule="exact"/>
        <w:rPr>
          <w:sz w:val="20"/>
          <w:szCs w:val="20"/>
          <w:color w:val="auto"/>
        </w:rPr>
      </w:pPr>
    </w:p>
    <w:p>
      <w:pPr>
        <w:ind w:right="100" w:firstLine="485"/>
        <w:spacing w:after="0" w:line="255" w:lineRule="auto"/>
        <w:rPr>
          <w:sz w:val="20"/>
          <w:szCs w:val="20"/>
          <w:color w:val="auto"/>
        </w:rPr>
      </w:pPr>
      <w:r>
        <w:rPr>
          <w:rFonts w:ascii="Arial" w:cs="Arial" w:eastAsia="Arial" w:hAnsi="Arial"/>
          <w:sz w:val="18"/>
          <w:szCs w:val="18"/>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significant criminal, civil and administrative penalties, damages, fines, imprisonment, disgorgement, exclusion from government healthcare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Ethical Business Practices and Sustainability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of Clinical Trial Participants</w:t>
      </w:r>
    </w:p>
    <w:p>
      <w:pPr>
        <w:spacing w:after="0" w:line="117" w:lineRule="exact"/>
        <w:rPr>
          <w:sz w:val="20"/>
          <w:szCs w:val="20"/>
          <w:color w:val="auto"/>
        </w:rPr>
      </w:pPr>
    </w:p>
    <w:p>
      <w:pPr>
        <w:ind w:right="460" w:firstLine="485"/>
        <w:spacing w:after="0" w:line="277" w:lineRule="auto"/>
        <w:rPr>
          <w:sz w:val="20"/>
          <w:szCs w:val="20"/>
          <w:color w:val="auto"/>
        </w:rPr>
      </w:pPr>
      <w:r>
        <w:rPr>
          <w:rFonts w:ascii="Arial" w:cs="Arial" w:eastAsia="Arial" w:hAnsi="Arial"/>
          <w:sz w:val="18"/>
          <w:szCs w:val="18"/>
          <w:color w:val="auto"/>
        </w:rPr>
        <w:t>Safe clinical trials play a crucial role in the development of new products and our continuing prosperity. We take numerous steps to maximize the safety of our clinical trial participants.</w:t>
      </w:r>
    </w:p>
    <w:p>
      <w:pPr>
        <w:spacing w:after="0" w:line="170" w:lineRule="exact"/>
        <w:rPr>
          <w:sz w:val="20"/>
          <w:szCs w:val="20"/>
          <w:color w:val="auto"/>
        </w:rPr>
      </w:pPr>
    </w:p>
    <w:p>
      <w:pPr>
        <w:ind w:right="80" w:firstLine="485"/>
        <w:spacing w:after="0" w:line="302" w:lineRule="auto"/>
        <w:rPr>
          <w:sz w:val="20"/>
          <w:szCs w:val="20"/>
          <w:color w:val="auto"/>
        </w:rPr>
      </w:pPr>
      <w:r>
        <w:rPr>
          <w:rFonts w:ascii="Arial" w:cs="Arial" w:eastAsia="Arial" w:hAnsi="Arial"/>
          <w:sz w:val="16"/>
          <w:szCs w:val="16"/>
          <w:color w:val="auto"/>
        </w:rPr>
        <w:t>The health of subjects in clinical trials is a priority for us and we are committed to conducting clinical trials according to uniformly high ethical standards. We apply those standards to trials that we sponsor and conduct directly as well as those conducted on our behalf by clinical research organizations. We conduct trials in accordance with all applicable laws, the standards of International Conference on Harmonisation of Technical Requirements for Registration of Pharmaceuticals for Human Use (ICH) Guidelines and following the ethical principles that have their origin in the Declaration of Helsinki.</w:t>
      </w:r>
    </w:p>
    <w:p>
      <w:pPr>
        <w:spacing w:after="0" w:line="154" w:lineRule="exact"/>
        <w:rPr>
          <w:sz w:val="20"/>
          <w:szCs w:val="20"/>
          <w:color w:val="auto"/>
        </w:rPr>
      </w:pPr>
    </w:p>
    <w:p>
      <w:pPr>
        <w:ind w:right="200" w:firstLine="485"/>
        <w:spacing w:after="0" w:line="264" w:lineRule="auto"/>
        <w:rPr>
          <w:sz w:val="20"/>
          <w:szCs w:val="20"/>
          <w:color w:val="auto"/>
        </w:rPr>
      </w:pPr>
      <w:r>
        <w:rPr>
          <w:rFonts w:ascii="Arial" w:cs="Arial" w:eastAsia="Arial" w:hAnsi="Arial"/>
          <w:sz w:val="18"/>
          <w:szCs w:val="18"/>
          <w:color w:val="auto"/>
        </w:rPr>
        <w:t>We require that a three-stage informed consent process be implemented in all trials to ensure that participants understand the risks and benefits of the procedures, how personal medical data is collected and used, and that participation in the trial is voluntary, among other information. We retain documentation that all participants in our trials have provided informed consent.</w:t>
      </w:r>
    </w:p>
    <w:p>
      <w:pPr>
        <w:spacing w:after="0" w:line="181" w:lineRule="exact"/>
        <w:rPr>
          <w:sz w:val="20"/>
          <w:szCs w:val="20"/>
          <w:color w:val="auto"/>
        </w:rPr>
      </w:pPr>
    </w:p>
    <w:p>
      <w:pPr>
        <w:ind w:right="120" w:firstLine="485"/>
        <w:spacing w:after="0" w:line="277" w:lineRule="auto"/>
        <w:rPr>
          <w:sz w:val="20"/>
          <w:szCs w:val="20"/>
          <w:color w:val="auto"/>
        </w:rPr>
      </w:pPr>
      <w:r>
        <w:rPr>
          <w:rFonts w:ascii="Arial" w:cs="Arial" w:eastAsia="Arial" w:hAnsi="Arial"/>
          <w:sz w:val="18"/>
          <w:szCs w:val="18"/>
          <w:color w:val="auto"/>
        </w:rPr>
        <w:t>We monitor clinical trials through audits and inspections conducted by us and by third parties. These inspections verify that our policies, good clinical practices and applicable laws are being adhered to.</w:t>
      </w:r>
    </w:p>
    <w:p>
      <w:pPr>
        <w:spacing w:after="0" w:line="170" w:lineRule="exact"/>
        <w:rPr>
          <w:sz w:val="20"/>
          <w:szCs w:val="20"/>
          <w:color w:val="auto"/>
        </w:rPr>
      </w:pPr>
    </w:p>
    <w:p>
      <w:pPr>
        <w:jc w:val="both"/>
        <w:ind w:right="360" w:firstLine="485"/>
        <w:spacing w:after="0" w:line="264" w:lineRule="auto"/>
        <w:rPr>
          <w:sz w:val="20"/>
          <w:szCs w:val="20"/>
          <w:color w:val="auto"/>
        </w:rPr>
      </w:pPr>
      <w:r>
        <w:rPr>
          <w:rFonts w:ascii="Arial" w:cs="Arial" w:eastAsia="Arial" w:hAnsi="Arial"/>
          <w:sz w:val="18"/>
          <w:szCs w:val="18"/>
          <w:color w:val="auto"/>
        </w:rPr>
        <w:t>Our ability to ensure the safety of clinical trial participants is critical to securing regulatory approval and continued product development success. Moreover, our inability to conduct safe and effective clinical trials could increase our development costs over time. We will continue to hold ourselves to high standards in our oversight and management of clinical trials.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Ethical Marketing</w:t>
      </w:r>
    </w:p>
    <w:p>
      <w:pPr>
        <w:spacing w:after="0" w:line="117" w:lineRule="exact"/>
        <w:rPr>
          <w:sz w:val="20"/>
          <w:szCs w:val="20"/>
          <w:color w:val="auto"/>
        </w:rPr>
      </w:pPr>
    </w:p>
    <w:p>
      <w:pPr>
        <w:ind w:right="200" w:firstLine="485"/>
        <w:spacing w:after="0" w:line="259" w:lineRule="auto"/>
        <w:rPr>
          <w:sz w:val="20"/>
          <w:szCs w:val="20"/>
          <w:color w:val="auto"/>
        </w:rPr>
      </w:pPr>
      <w:r>
        <w:rPr>
          <w:rFonts w:ascii="Arial" w:cs="Arial" w:eastAsia="Arial" w:hAnsi="Arial"/>
          <w:sz w:val="18"/>
          <w:szCs w:val="18"/>
          <w:color w:val="auto"/>
        </w:rPr>
        <w:t>We require that our employees abide by our Code of Business Conduct and Ethics, our policy on interactions with healthcare professionals and patients, U.S. federal and state laws and applicable foreign laws. We are committed to protecting the health and well-being of patients by ensuring that medically sound knowledge of the benefits and risks of our products is understood and communicated thoroughly and accurately to patients, physicians and global health authorities.</w:t>
      </w:r>
    </w:p>
    <w:p>
      <w:pPr>
        <w:spacing w:after="0" w:line="187" w:lineRule="exact"/>
        <w:rPr>
          <w:sz w:val="20"/>
          <w:szCs w:val="20"/>
          <w:color w:val="auto"/>
        </w:rPr>
      </w:pPr>
    </w:p>
    <w:p>
      <w:pPr>
        <w:ind w:right="60" w:firstLine="485"/>
        <w:spacing w:after="0" w:line="302" w:lineRule="auto"/>
        <w:rPr>
          <w:sz w:val="20"/>
          <w:szCs w:val="20"/>
          <w:color w:val="auto"/>
        </w:rPr>
      </w:pPr>
      <w:r>
        <w:rPr>
          <w:rFonts w:ascii="Arial" w:cs="Arial" w:eastAsia="Arial" w:hAnsi="Arial"/>
          <w:sz w:val="16"/>
          <w:szCs w:val="16"/>
          <w:color w:val="auto"/>
        </w:rPr>
        <w:t>Our policy on interactions with healthcare professionals and patients prohibits off-label promotion of our products. All sales staff received compliance training upon hire and on an annual basis. We also routinely monitor sales calls. Any case where we promote off-label use of our products has the potential to have a material adverse effect on our reputation, sales and liabilities. We expect that consistent enforcement of, and training on, our Code of Business Conduct and Ethics and our policy on interactions with healthcare professionals and patients will help us to limit the incidence of off-label promotion.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Safety</w:t>
      </w:r>
    </w:p>
    <w:p>
      <w:pPr>
        <w:spacing w:after="0" w:line="117" w:lineRule="exact"/>
        <w:rPr>
          <w:sz w:val="20"/>
          <w:szCs w:val="20"/>
          <w:color w:val="auto"/>
        </w:rPr>
      </w:pPr>
    </w:p>
    <w:p>
      <w:pPr>
        <w:ind w:right="240" w:firstLine="485"/>
        <w:spacing w:after="0" w:line="259" w:lineRule="auto"/>
        <w:rPr>
          <w:sz w:val="20"/>
          <w:szCs w:val="20"/>
          <w:color w:val="auto"/>
        </w:rPr>
      </w:pPr>
      <w:r>
        <w:rPr>
          <w:rFonts w:ascii="Arial" w:cs="Arial" w:eastAsia="Arial" w:hAnsi="Arial"/>
          <w:sz w:val="18"/>
          <w:szCs w:val="18"/>
          <w:color w:val="auto"/>
        </w:rPr>
        <w:t>The safety of our products at all stages – from clinical trials to the administration and use and through to safe disposal – is a key area of attention for us. We acknowledge, however, that there are inherent risks associated with the use of drug products. We attempt to minimize these through stringent adherence to quality control procedures and proactive recall processes whenever a safety concern is identified. To date, we have not issued a recall for any product.</w:t>
      </w:r>
    </w:p>
    <w:p>
      <w:pPr>
        <w:spacing w:after="0" w:line="187" w:lineRule="exact"/>
        <w:rPr>
          <w:sz w:val="20"/>
          <w:szCs w:val="20"/>
          <w:color w:val="auto"/>
        </w:rPr>
      </w:pPr>
    </w:p>
    <w:p>
      <w:pPr>
        <w:jc w:val="both"/>
        <w:ind w:right="60" w:firstLine="485"/>
        <w:spacing w:after="0" w:line="302" w:lineRule="auto"/>
        <w:rPr>
          <w:sz w:val="20"/>
          <w:szCs w:val="20"/>
          <w:color w:val="auto"/>
        </w:rPr>
      </w:pPr>
      <w:r>
        <w:rPr>
          <w:rFonts w:ascii="Arial" w:cs="Arial" w:eastAsia="Arial" w:hAnsi="Arial"/>
          <w:sz w:val="16"/>
          <w:szCs w:val="16"/>
          <w:color w:val="auto"/>
        </w:rPr>
        <w:t>In addition, starting mid-2018, all sales packs of Afrezza that are placed in the distribution chain are serialized in accordance with the requirements of the Drug Quality and Security Act, which requires drug manufacturers to assign a unique identifier to each sales pack (and each aggregate of such sales pack, such as a case or pallet). These identifiers remain on such pack or aggregate through the whole supply chain until its consumption or destruction. This system is intended to improve detection and removal of drugs that may be counterfeit, stolen, contaminated, or otherwise harmful from the drug supply chain.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Corruption and Bribery</w:t>
      </w:r>
    </w:p>
    <w:p>
      <w:pPr>
        <w:spacing w:after="0" w:line="117"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Our Code of Business Conduct and Ethics includes clear guidelines on anti-bribery and anti-corruption practices. Currently, we have very limited operations outside the United States; however, as we expand our global reach through collaborations or through our own growth, we acknowledge that certain regions may pose a higher risk for corrupt practices. We intend to continue our internal training programs and oversight over collaborators on anti-bribery, anti-corruption and other unethical practices in order to reduce these risks.</w:t>
      </w:r>
    </w:p>
    <w:p>
      <w:pPr>
        <w:spacing w:after="0" w:line="187" w:lineRule="exact"/>
        <w:rPr>
          <w:sz w:val="20"/>
          <w:szCs w:val="20"/>
          <w:color w:val="auto"/>
        </w:rPr>
      </w:pPr>
    </w:p>
    <w:p>
      <w:pPr>
        <w:ind w:right="60" w:firstLine="485"/>
        <w:spacing w:after="0" w:line="259" w:lineRule="auto"/>
        <w:rPr>
          <w:sz w:val="20"/>
          <w:szCs w:val="20"/>
          <w:color w:val="auto"/>
        </w:rPr>
      </w:pPr>
      <w:r>
        <w:rPr>
          <w:rFonts w:ascii="Arial" w:cs="Arial" w:eastAsia="Arial" w:hAnsi="Arial"/>
          <w:sz w:val="18"/>
          <w:szCs w:val="18"/>
          <w:color w:val="auto"/>
        </w:rPr>
        <w:t>Bribing healthcare professionals to use or recommend our products can create adverse publicity and damage our ability to use a critical channel of influence. We have adopted and implement PhRMA’s Code on Interactions with Healthcare Professionals as part of our policy on interactions with healthcare professionals and patients. We believe that training on, and enforcement of, these codes will limit the incidence of unethical interactions between our personnel and healthcare professionals.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long-lived assets are located in the United States and totaled $26.8 million and $25.6 million as of December 31, 2019 and 2018,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color w:val="auto"/>
        </w:rPr>
        <w:t>Our human capital helps us develop and commercialize new products, conduct clinical trials and navigate government regulations. Our ability to recruit, develop and retain highly skilled talent is a significant determinant of our success. Our Code of Business Conduct and Ethics codifies our commitment to diversity and to providing equal opportunity and a positive working environment in all aspects of employment. We also have policies setting forth our expectations for nondiscrimination and a harassment-free work environment.</w:t>
      </w:r>
    </w:p>
    <w:p>
      <w:pPr>
        <w:spacing w:after="0" w:line="187" w:lineRule="exact"/>
        <w:rPr>
          <w:sz w:val="20"/>
          <w:szCs w:val="20"/>
          <w:color w:val="auto"/>
        </w:rPr>
      </w:pPr>
    </w:p>
    <w:p>
      <w:pPr>
        <w:ind w:right="180" w:firstLine="485"/>
        <w:spacing w:after="0" w:line="312" w:lineRule="auto"/>
        <w:rPr>
          <w:sz w:val="20"/>
          <w:szCs w:val="20"/>
          <w:color w:val="auto"/>
        </w:rPr>
      </w:pPr>
      <w:r>
        <w:rPr>
          <w:rFonts w:ascii="Arial" w:cs="Arial" w:eastAsia="Arial" w:hAnsi="Arial"/>
          <w:sz w:val="16"/>
          <w:szCs w:val="16"/>
          <w:color w:val="auto"/>
        </w:rPr>
        <w:t>As of December 31, 2019, we had 233 total employees, of which 232 were full-time. Of our full-time employees, 75 were engaged in manufacturing, 17 in research and development, 43 in general and administrative and 97 in selling and marketing. Thirteen of these employees had a Ph.D. degree and/or M.D. degree and were engaged in activities relating to research and development, manufacturing, quality assurance or business development.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 of our employees are subject to a collective bargaining agreement. We believe relations with our employees are good.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Occupational Health and Safety</w:t>
      </w:r>
    </w:p>
    <w:p>
      <w:pPr>
        <w:spacing w:after="0" w:line="117"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color w:val="auto"/>
        </w:rPr>
        <w:t>Hazardous materials are inherent in our operations, and it is not possible to eliminate completely the risk of accidental exposure from our operations. We have established procedures to comply with governmental regulations regarding workplace safety, including training employees to enable them to recognize risks and empower them to learn, discover, work safely, and to minimize injuries, illnesses, environmental impact and regulatory risks. In 2019, our total illness and injury incidence rate was 2.0 per 100 employees compared to the 2018 industry average of 1.6, as reported by the U.S. Department of Labor, and our DART (days away/restricted or job transfer) incident rate was 1.0 per 100 employees compared to the 2018 industry average of 0.9. We will continue our efforts to ensure a high level of workplace safety.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0" w:firstLine="485"/>
        <w:spacing w:after="0" w:line="277" w:lineRule="auto"/>
        <w:rPr>
          <w:sz w:val="20"/>
          <w:szCs w:val="20"/>
          <w:color w:val="auto"/>
        </w:rPr>
      </w:pPr>
      <w:r>
        <w:rPr>
          <w:rFonts w:ascii="Arial" w:cs="Arial" w:eastAsia="Arial" w:hAnsi="Arial"/>
          <w:sz w:val="17"/>
          <w:szCs w:val="17"/>
          <w:color w:val="auto"/>
        </w:rPr>
        <w:t>We were incorporated in the State of Delaware on February 14, 1991. Our principal executive offices are located at 30930 Russell Ranch Road, Suite 300, Westlake Village, California 91362, and our telephone number at that address is (818) 661-5000. MannKind Corporation and the MannKind Corporation logo are our service marks and trademarks.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our websites are not incorporated into this Annual Report. Further, our references to the URLs for these websites are intended to be inactive textual reference only.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121" w:lineRule="exact"/>
        <w:rPr>
          <w:sz w:val="20"/>
          <w:szCs w:val="20"/>
          <w:color w:val="auto"/>
        </w:rPr>
      </w:pPr>
    </w:p>
    <w:p>
      <w:pPr>
        <w:ind w:right="60" w:firstLine="485"/>
        <w:spacing w:after="0" w:line="342" w:lineRule="auto"/>
        <w:rPr>
          <w:sz w:val="20"/>
          <w:szCs w:val="20"/>
          <w:color w:val="auto"/>
        </w:rPr>
      </w:pPr>
      <w:r>
        <w:rPr>
          <w:rFonts w:ascii="Arial" w:cs="Arial" w:eastAsia="Arial" w:hAnsi="Arial"/>
          <w:sz w:val="16"/>
          <w:szCs w:val="16"/>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16" w:lineRule="exact"/>
        <w:rPr>
          <w:sz w:val="20"/>
          <w:szCs w:val="20"/>
          <w:color w:val="auto"/>
        </w:rPr>
      </w:pPr>
    </w:p>
    <w:p>
      <w:pPr>
        <w:ind w:left="960" w:hanging="479"/>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current listing of our scientific advisors is maintained on our corporate website at www.mannkindcorp.com.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current executive officers and their 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648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E. Castagna, Pharm.D.</w:t>
            </w:r>
          </w:p>
        </w:tc>
        <w:tc>
          <w:tcPr>
            <w:tcW w:w="24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43</w:t>
            </w:r>
          </w:p>
        </w:tc>
        <w:tc>
          <w:tcPr>
            <w:tcW w:w="240" w:type="dxa"/>
            <w:vAlign w:val="bottom"/>
          </w:tcPr>
          <w:p>
            <w:pPr>
              <w:spacing w:after="0"/>
              <w:rPr>
                <w:sz w:val="16"/>
                <w:szCs w:val="16"/>
                <w:color w:val="auto"/>
              </w:rPr>
            </w:pPr>
          </w:p>
        </w:tc>
        <w:tc>
          <w:tcPr>
            <w:tcW w:w="6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Steven B. Binder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David M. Kendall, M.D</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Joseph Kocinsky</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James P. McCauley, Jr.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Stuart A. Tross, Ph.D.</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People and Workplace Officer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David B. Thomson, Ph.D., J.D.</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Rosabel R. Alinaya</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Vice President, Investor Relations and Treasury</w:t>
            </w:r>
          </w:p>
        </w:tc>
      </w:tr>
    </w:tbl>
    <w:p>
      <w:pPr>
        <w:spacing w:after="0" w:line="202" w:lineRule="exact"/>
        <w:rPr>
          <w:sz w:val="20"/>
          <w:szCs w:val="20"/>
          <w:color w:val="auto"/>
        </w:rPr>
      </w:pPr>
    </w:p>
    <w:p>
      <w:pPr>
        <w:ind w:right="80" w:firstLine="485"/>
        <w:spacing w:after="0" w:line="254" w:lineRule="auto"/>
        <w:rPr>
          <w:sz w:val="20"/>
          <w:szCs w:val="20"/>
          <w:color w:val="auto"/>
        </w:rPr>
      </w:pPr>
      <w:r>
        <w:rPr>
          <w:rFonts w:ascii="Arial" w:cs="Arial" w:eastAsia="Arial" w:hAnsi="Arial"/>
          <w:sz w:val="18"/>
          <w:szCs w:val="18"/>
          <w:i w:val="1"/>
          <w:iCs w:val="1"/>
          <w:color w:val="auto"/>
        </w:rPr>
        <w:t xml:space="preserve">Michael E. Castagna, Pharm.D. </w:t>
      </w:r>
      <w:r>
        <w:rPr>
          <w:rFonts w:ascii="Arial" w:cs="Arial" w:eastAsia="Arial" w:hAnsi="Arial"/>
          <w:sz w:val="18"/>
          <w:szCs w:val="18"/>
          <w:color w:val="auto"/>
        </w:rPr>
        <w:t>has been our Chief Executive Officer since May 2017 and was our Chief Commercial Officer from March 2016 until</w:t>
      </w:r>
      <w:r>
        <w:rPr>
          <w:rFonts w:ascii="Arial" w:cs="Arial" w:eastAsia="Arial" w:hAnsi="Arial"/>
          <w:sz w:val="18"/>
          <w:szCs w:val="18"/>
          <w:i w:val="1"/>
          <w:iCs w:val="1"/>
          <w:color w:val="auto"/>
        </w:rPr>
        <w:t xml:space="preserve"> </w:t>
      </w:r>
      <w:r>
        <w:rPr>
          <w:rFonts w:ascii="Arial" w:cs="Arial" w:eastAsia="Arial" w:hAnsi="Arial"/>
          <w:sz w:val="18"/>
          <w:szCs w:val="18"/>
          <w:color w:val="auto"/>
        </w:rPr>
        <w:t>May 2017. From November 2012 until he joined us, Dr.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Pharma D. from Massachusetts College of Pharmacy &amp; Sciences and an MBA from The Wharton School of Business at the University of Pennsylvania.</w:t>
      </w:r>
    </w:p>
    <w:p>
      <w:pPr>
        <w:spacing w:after="0" w:line="192" w:lineRule="exact"/>
        <w:rPr>
          <w:sz w:val="20"/>
          <w:szCs w:val="20"/>
          <w:color w:val="auto"/>
        </w:rPr>
      </w:pPr>
    </w:p>
    <w:p>
      <w:pPr>
        <w:ind w:right="60" w:firstLine="485"/>
        <w:spacing w:after="0" w:line="289" w:lineRule="auto"/>
        <w:rPr>
          <w:sz w:val="20"/>
          <w:szCs w:val="20"/>
          <w:color w:val="auto"/>
        </w:rPr>
      </w:pPr>
      <w:r>
        <w:rPr>
          <w:rFonts w:ascii="Arial" w:cs="Arial" w:eastAsia="Arial" w:hAnsi="Arial"/>
          <w:sz w:val="16"/>
          <w:szCs w:val="16"/>
          <w:i w:val="1"/>
          <w:iCs w:val="1"/>
          <w:color w:val="auto"/>
        </w:rPr>
        <w:t xml:space="preserve">Steven B. Binder </w:t>
      </w:r>
      <w:r>
        <w:rPr>
          <w:rFonts w:ascii="Arial" w:cs="Arial" w:eastAsia="Arial" w:hAnsi="Arial"/>
          <w:sz w:val="16"/>
          <w:szCs w:val="16"/>
          <w:color w:val="auto"/>
        </w:rPr>
        <w:t>has been our Chief Financial Officer since July 2017. Before joining us, since 2013 Mr. Binder served as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 year period beginning in 1984. Mr. Binder received a B.S. degree in Accounting and Business Administration from Muhlenberg College and is a Certified Public Accountant.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firstLine="485"/>
        <w:spacing w:after="0" w:line="253" w:lineRule="auto"/>
        <w:rPr>
          <w:sz w:val="20"/>
          <w:szCs w:val="20"/>
          <w:color w:val="auto"/>
        </w:rPr>
      </w:pPr>
      <w:r>
        <w:rPr>
          <w:rFonts w:ascii="Arial" w:cs="Arial" w:eastAsia="Arial" w:hAnsi="Arial"/>
          <w:sz w:val="18"/>
          <w:szCs w:val="18"/>
          <w:i w:val="1"/>
          <w:iCs w:val="1"/>
          <w:color w:val="auto"/>
        </w:rPr>
        <w:t xml:space="preserve">David M. Kendall, M.D. </w:t>
      </w:r>
      <w:r>
        <w:rPr>
          <w:rFonts w:ascii="Arial" w:cs="Arial" w:eastAsia="Arial" w:hAnsi="Arial"/>
          <w:sz w:val="18"/>
          <w:szCs w:val="18"/>
          <w:color w:val="auto"/>
        </w:rPr>
        <w:t>has been our Chief Medical Officer since February 2018. His career includes over 30 years of experience in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metabolism research, clinical management, research, and policy advocacy. Most recently, he served as Research Physician and Vice President of Global Medical Affairs for Lilly Diabetes from 2011 to 2018, and during that time was responsible for all medical affairs activities and guided research and development strategy across multiple geographies. In this role, he worked to re-establish Lilly Diabetes as a world class medical organization and added to his extensive experience with both injected and mealtime insulins, as well as devices and continuous glucose monitors. Prior to joining Eli Lilly, Dr. Kendall served as Chief Scientific and Medical Officer at the American Diabetes Association, where he was responsible for all medical affairs, medical education, research, outcomes, and medical policy activities. Earlier in his career, Dr. Kendall served as Medical Director at the International Diabetes Center (1997-2009), Executive Director of Medical Affairs at Amylin Pharmaceuticals from 2005 to 2008, and as a consultant in endocrinology at the Park Nicollet Clinic (1994-1997). He received his M.D. and completed his Post Graduate Medical Training at the University of Minnesota, and earned a B.A. in Biology from St. Olaf College.</w:t>
      </w:r>
    </w:p>
    <w:p>
      <w:pPr>
        <w:spacing w:after="0" w:line="195" w:lineRule="exact"/>
        <w:rPr>
          <w:sz w:val="20"/>
          <w:szCs w:val="20"/>
          <w:color w:val="auto"/>
        </w:rPr>
      </w:pPr>
    </w:p>
    <w:p>
      <w:pPr>
        <w:ind w:right="40" w:firstLine="485"/>
        <w:spacing w:after="0" w:line="302" w:lineRule="auto"/>
        <w:rPr>
          <w:sz w:val="20"/>
          <w:szCs w:val="20"/>
          <w:color w:val="auto"/>
        </w:rPr>
      </w:pPr>
      <w:r>
        <w:rPr>
          <w:rFonts w:ascii="Arial" w:cs="Arial" w:eastAsia="Arial" w:hAnsi="Arial"/>
          <w:sz w:val="16"/>
          <w:szCs w:val="16"/>
          <w:i w:val="1"/>
          <w:iCs w:val="1"/>
          <w:color w:val="auto"/>
        </w:rPr>
        <w:t xml:space="preserve">Joseph Kocinsky </w:t>
      </w:r>
      <w:r>
        <w:rPr>
          <w:rFonts w:ascii="Arial" w:cs="Arial" w:eastAsia="Arial" w:hAnsi="Arial"/>
          <w:sz w:val="16"/>
          <w:szCs w:val="16"/>
          <w:color w:val="auto"/>
        </w:rPr>
        <w:t>has been our Chief Technology Officer since October 2015. Mr. Kocinsky has over 30 years of experience in the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in technical operations and product development. Prior to joining us in 2003, he held a variety of technical and management positions with increased responsibility at Schering-Plough Corp. Mr. Kocinsky holds a bachelor’s degree in chemical engineering and a master’s degree in Biomedical Engineering from New Jersey Institute of Technology and a master’s degree in Business Administration from Seton Hall University.</w:t>
      </w:r>
    </w:p>
    <w:p>
      <w:pPr>
        <w:spacing w:after="0" w:line="154" w:lineRule="exact"/>
        <w:rPr>
          <w:sz w:val="20"/>
          <w:szCs w:val="20"/>
          <w:color w:val="auto"/>
        </w:rPr>
      </w:pPr>
    </w:p>
    <w:p>
      <w:pPr>
        <w:ind w:firstLine="485"/>
        <w:spacing w:after="0" w:line="254" w:lineRule="auto"/>
        <w:rPr>
          <w:sz w:val="20"/>
          <w:szCs w:val="20"/>
          <w:color w:val="auto"/>
        </w:rPr>
      </w:pPr>
      <w:r>
        <w:rPr>
          <w:rFonts w:ascii="Arial" w:cs="Arial" w:eastAsia="Arial" w:hAnsi="Arial"/>
          <w:sz w:val="18"/>
          <w:szCs w:val="18"/>
          <w:i w:val="1"/>
          <w:iCs w:val="1"/>
          <w:color w:val="auto"/>
        </w:rPr>
        <w:t xml:space="preserve">James P. McCauley, Jr. </w:t>
      </w:r>
      <w:r>
        <w:rPr>
          <w:rFonts w:ascii="Arial" w:cs="Arial" w:eastAsia="Arial" w:hAnsi="Arial"/>
          <w:sz w:val="18"/>
          <w:szCs w:val="18"/>
          <w:color w:val="auto"/>
        </w:rPr>
        <w:t>has been our Chief Commercial Officer since July 2017. Prior to joining us, he spent twelve years at Astellas Pharma in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senior sales and compliance leadership roles of increasing responsibility. Prior to Astellas, Mr. McCauley was a member of the U.S. commercialization team and held a sales leadership role with Yamanouchi Pharma before the merger of Yamanouchi and Fujisawa Pharma to create Astellas in 2005. Before that, Mr. McCauley spent thirteen years with DuPont Pharmaceuticals and one year with BMS which acquired DuPont Pharmaceuticals in 2001. At DuPont and BMS, Mr. McCauley held a series of leadership roles across the sales, contracting and pricing, and clinical areas. Throughout his various career moves, Mr. McCauley has developed deep commercial expertise serving both specialty and primary care healthcare providers. He received an MBA from the Kellogg School of Management at Northwestern University, a J.D. from the South Texas College of Law, and a B.A. in Economics from the University of Notre Dame.</w:t>
      </w:r>
    </w:p>
    <w:p>
      <w:pPr>
        <w:spacing w:after="0" w:line="233" w:lineRule="exact"/>
        <w:rPr>
          <w:sz w:val="20"/>
          <w:szCs w:val="20"/>
          <w:color w:val="auto"/>
        </w:rPr>
      </w:pPr>
    </w:p>
    <w:p>
      <w:pPr>
        <w:ind w:right="100" w:firstLine="485"/>
        <w:spacing w:after="0" w:line="262" w:lineRule="auto"/>
        <w:rPr>
          <w:sz w:val="20"/>
          <w:szCs w:val="20"/>
          <w:color w:val="auto"/>
        </w:rPr>
      </w:pPr>
      <w:r>
        <w:rPr>
          <w:rFonts w:ascii="Arial" w:cs="Arial" w:eastAsia="Arial" w:hAnsi="Arial"/>
          <w:sz w:val="18"/>
          <w:szCs w:val="18"/>
          <w:i w:val="1"/>
          <w:iCs w:val="1"/>
          <w:color w:val="auto"/>
        </w:rPr>
        <w:t xml:space="preserve">Stuart A. Tross, Ph.D. </w:t>
      </w:r>
      <w:r>
        <w:rPr>
          <w:rFonts w:ascii="Arial" w:cs="Arial" w:eastAsia="Arial" w:hAnsi="Arial"/>
          <w:sz w:val="18"/>
          <w:szCs w:val="18"/>
          <w:color w:val="auto"/>
        </w:rPr>
        <w:t>has been our Chief People and Workplace Officer since December 2016, with responsibilities for human resources,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Stuart received a B.S. degree from Cornell University and M.Sc. and Ph.D. degrees in Industrial-Organizational Psychology from the Georgia Institute of Technology.</w:t>
      </w:r>
    </w:p>
    <w:p>
      <w:pPr>
        <w:spacing w:after="0" w:line="211" w:lineRule="exact"/>
        <w:rPr>
          <w:sz w:val="20"/>
          <w:szCs w:val="20"/>
          <w:color w:val="auto"/>
        </w:rPr>
      </w:pPr>
    </w:p>
    <w:p>
      <w:pPr>
        <w:ind w:right="380" w:firstLine="485"/>
        <w:spacing w:after="0" w:line="312" w:lineRule="auto"/>
        <w:rPr>
          <w:sz w:val="20"/>
          <w:szCs w:val="20"/>
          <w:color w:val="auto"/>
        </w:rPr>
      </w:pPr>
      <w:r>
        <w:rPr>
          <w:rFonts w:ascii="Arial" w:cs="Arial" w:eastAsia="Arial" w:hAnsi="Arial"/>
          <w:sz w:val="16"/>
          <w:szCs w:val="16"/>
          <w:i w:val="1"/>
          <w:iCs w:val="1"/>
          <w:color w:val="auto"/>
        </w:rPr>
        <w:t xml:space="preserve">David B. Thomson, Ph.D., J.D. </w:t>
      </w:r>
      <w:r>
        <w:rPr>
          <w:rFonts w:ascii="Arial" w:cs="Arial" w:eastAsia="Arial" w:hAnsi="Arial"/>
          <w:sz w:val="16"/>
          <w:szCs w:val="16"/>
          <w:color w:val="auto"/>
        </w:rPr>
        <w:t>has been our General Counsel and Corporate Secretary since January 2002. Prior to joining us, he practiced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corporate/commercial and securities law at a major Toronto law firm. Earlier in his career, Dr. Thomson was a post-doctoral fellow at the Rockefeller University. Dr. Thomson obtained his B.S degree, M Sc. degree and Ph.D. from Queens University and obtained his J.D. from the University of Toronto.</w:t>
      </w:r>
    </w:p>
    <w:p>
      <w:pPr>
        <w:spacing w:after="0" w:line="187" w:lineRule="exact"/>
        <w:rPr>
          <w:sz w:val="20"/>
          <w:szCs w:val="20"/>
          <w:color w:val="auto"/>
        </w:rPr>
      </w:pPr>
    </w:p>
    <w:p>
      <w:pPr>
        <w:ind w:right="40" w:firstLine="485"/>
        <w:spacing w:after="0" w:line="279" w:lineRule="auto"/>
        <w:rPr>
          <w:sz w:val="20"/>
          <w:szCs w:val="20"/>
          <w:color w:val="auto"/>
        </w:rPr>
      </w:pPr>
      <w:r>
        <w:rPr>
          <w:rFonts w:ascii="Arial" w:cs="Arial" w:eastAsia="Arial" w:hAnsi="Arial"/>
          <w:sz w:val="17"/>
          <w:szCs w:val="17"/>
          <w:i w:val="1"/>
          <w:iCs w:val="1"/>
          <w:color w:val="auto"/>
        </w:rPr>
        <w:t xml:space="preserve">Rosabel R. Alinaya </w:t>
      </w:r>
      <w:r>
        <w:rPr>
          <w:rFonts w:ascii="Arial" w:cs="Arial" w:eastAsia="Arial" w:hAnsi="Arial"/>
          <w:sz w:val="17"/>
          <w:szCs w:val="17"/>
          <w:color w:val="auto"/>
        </w:rPr>
        <w:t>has been our Vice President, Investor Relations and Treasury since July 2017. Ms. Alinaya also served as Principal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January 2016 to July 2017 with responsibility for finance, accounting, tax, treasury, investor relations and risk management. Previously, she was our Vice President, Finance since March 2011 after serving as our Corporate Controller since June 2003. Ms. Alinaya began her career at Deloitte &amp; Touche LLP, graduating from California State University, Northridge with a B.S. in Accounting Information Systems.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to fund our operations, and there is substantial doubt about our ability to continue as a going concern.</w:t>
      </w:r>
    </w:p>
    <w:p>
      <w:pPr>
        <w:spacing w:after="0" w:line="140" w:lineRule="exact"/>
        <w:rPr>
          <w:sz w:val="20"/>
          <w:szCs w:val="20"/>
          <w:color w:val="auto"/>
        </w:rPr>
      </w:pPr>
    </w:p>
    <w:p>
      <w:pPr>
        <w:ind w:right="100" w:firstLine="485"/>
        <w:spacing w:after="0" w:line="293" w:lineRule="auto"/>
        <w:rPr>
          <w:sz w:val="20"/>
          <w:szCs w:val="20"/>
          <w:color w:val="auto"/>
        </w:rPr>
      </w:pPr>
      <w:r>
        <w:rPr>
          <w:rFonts w:ascii="Arial" w:cs="Arial" w:eastAsia="Arial" w:hAnsi="Arial"/>
          <w:sz w:val="16"/>
          <w:szCs w:val="16"/>
          <w:color w:val="auto"/>
        </w:rPr>
        <w:t>This report includes disclosures stating that our existing cash resources and our accumulated stockholder’s deficit raise substantial doubt about our ability to continue as a going concern. As of December 31, 2019, we had cash and cash equivalents of $29.9 million, short-term investment of $20.0 million and a stockholders’ deficit of $190.5 million.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43" w:lineRule="exact"/>
        <w:rPr>
          <w:sz w:val="20"/>
          <w:szCs w:val="20"/>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90"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degree to which we are able to generate revenue from our Technosphere drug delivery platform, including through our collaborations;</w:t>
      </w:r>
    </w:p>
    <w:p>
      <w:pPr>
        <w:spacing w:after="0" w:line="101" w:lineRule="exact"/>
        <w:rPr>
          <w:rFonts w:ascii="Arial" w:cs="Arial" w:eastAsia="Arial" w:hAnsi="Arial"/>
          <w:sz w:val="17"/>
          <w:szCs w:val="17"/>
          <w:color w:val="auto"/>
        </w:rPr>
      </w:pPr>
    </w:p>
    <w:p>
      <w:pPr>
        <w:ind w:left="960" w:right="140" w:hanging="479"/>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1"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13" w:lineRule="exact"/>
        <w:rPr>
          <w:rFonts w:ascii="Arial" w:cs="Arial" w:eastAsia="Arial" w:hAnsi="Arial"/>
          <w:sz w:val="16"/>
          <w:szCs w:val="16"/>
          <w:color w:val="auto"/>
        </w:rPr>
      </w:pPr>
    </w:p>
    <w:p>
      <w:pPr>
        <w:ind w:left="960" w:right="160" w:hanging="479"/>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1"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90"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90"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 to make milestone payments;</w:t>
      </w:r>
    </w:p>
    <w:p>
      <w:pPr>
        <w:spacing w:after="0" w:line="90" w:lineRule="exact"/>
        <w:rPr>
          <w:rFonts w:ascii="Arial" w:cs="Arial" w:eastAsia="Arial" w:hAnsi="Arial"/>
          <w:sz w:val="18"/>
          <w:szCs w:val="18"/>
          <w:color w:val="auto"/>
        </w:rPr>
      </w:pPr>
    </w:p>
    <w:p>
      <w:pPr>
        <w:ind w:left="960" w:right="280" w:hanging="479"/>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1"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90"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90" w:lineRule="exact"/>
        <w:rPr>
          <w:rFonts w:ascii="Arial" w:cs="Arial" w:eastAsia="Arial" w:hAnsi="Arial"/>
          <w:sz w:val="18"/>
          <w:szCs w:val="18"/>
          <w:color w:val="auto"/>
        </w:rPr>
      </w:pPr>
    </w:p>
    <w:p>
      <w:pPr>
        <w:ind w:left="960" w:right="260" w:hanging="479"/>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1"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90" w:lineRule="exact"/>
        <w:rPr>
          <w:rFonts w:ascii="Arial" w:cs="Arial" w:eastAsia="Arial" w:hAnsi="Arial"/>
          <w:sz w:val="18"/>
          <w:szCs w:val="18"/>
          <w:color w:val="auto"/>
        </w:rPr>
      </w:pPr>
    </w:p>
    <w:p>
      <w:pPr>
        <w:ind w:left="960" w:hanging="479"/>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12" w:lineRule="exact"/>
        <w:rPr>
          <w:sz w:val="20"/>
          <w:szCs w:val="20"/>
          <w:color w:val="auto"/>
        </w:rPr>
      </w:pPr>
    </w:p>
    <w:p>
      <w:pPr>
        <w:ind w:firstLine="485"/>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15" w:name="page16"/>
    <w:bookmarkEnd w:id="15"/>
    <w:p>
      <w:pPr>
        <w:ind w:right="140" w:firstLine="485"/>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may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8" w:lineRule="exact"/>
        <w:rPr>
          <w:sz w:val="20"/>
          <w:szCs w:val="20"/>
          <w:color w:val="auto"/>
        </w:rPr>
      </w:pPr>
    </w:p>
    <w:p>
      <w:pPr>
        <w:ind w:right="100" w:firstLine="485"/>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260" w:firstLine="485"/>
        <w:spacing w:after="0" w:line="302"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54" w:lineRule="exact"/>
        <w:rPr>
          <w:sz w:val="20"/>
          <w:szCs w:val="20"/>
          <w:color w:val="auto"/>
        </w:rPr>
      </w:pPr>
    </w:p>
    <w:p>
      <w:pPr>
        <w:ind w:right="20" w:firstLine="485"/>
        <w:spacing w:after="0" w:line="268" w:lineRule="auto"/>
        <w:rPr>
          <w:sz w:val="20"/>
          <w:szCs w:val="20"/>
          <w:color w:val="auto"/>
        </w:rPr>
      </w:pPr>
      <w:r>
        <w:rPr>
          <w:rFonts w:ascii="Arial" w:cs="Arial" w:eastAsia="Arial" w:hAnsi="Arial"/>
          <w:sz w:val="17"/>
          <w:szCs w:val="17"/>
          <w:color w:val="auto"/>
        </w:rPr>
        <w:t>Successful commercialization of Afrezza is subject to many risks, including some that are outside our control. There are numerous examples of unsuccessful product launches, second launches that underperform original expectations and other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relative to alternative products, the availability of alternative treatments and lack of coverage or adequate reimbursement. We will need to maintain and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8"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8"/>
          <w:szCs w:val="18"/>
          <w:color w:val="auto"/>
        </w:rPr>
        <w:t>If we are unable to maintain payor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jc w:val="both"/>
        <w:ind w:right="120" w:firstLine="485"/>
        <w:spacing w:after="0" w:line="264" w:lineRule="auto"/>
        <w:rPr>
          <w:sz w:val="20"/>
          <w:szCs w:val="20"/>
          <w:color w:val="auto"/>
        </w:rPr>
      </w:pPr>
      <w:r>
        <w:rPr>
          <w:rFonts w:ascii="Arial" w:cs="Arial" w:eastAsia="Arial" w:hAnsi="Arial"/>
          <w:sz w:val="18"/>
          <w:szCs w:val="18"/>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1" w:lineRule="exact"/>
        <w:rPr>
          <w:sz w:val="20"/>
          <w:szCs w:val="20"/>
          <w:color w:val="auto"/>
        </w:rPr>
      </w:pPr>
    </w:p>
    <w:p>
      <w:pPr>
        <w:ind w:right="560" w:firstLine="485"/>
        <w:spacing w:after="0" w:line="277" w:lineRule="auto"/>
        <w:rPr>
          <w:sz w:val="20"/>
          <w:szCs w:val="20"/>
          <w:color w:val="auto"/>
        </w:rPr>
      </w:pPr>
      <w:r>
        <w:rPr>
          <w:rFonts w:ascii="Arial" w:cs="Arial" w:eastAsia="Arial" w:hAnsi="Arial"/>
          <w:sz w:val="18"/>
          <w:szCs w:val="18"/>
          <w:color w:val="auto"/>
        </w:rPr>
        <w:t>If we fail to achieve commercialize success with Afrezza in the United States, our business, financial condition and results of operations will be materially and adversely affected.</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60" w:firstLine="485"/>
        <w:spacing w:after="0" w:line="286" w:lineRule="auto"/>
        <w:rPr>
          <w:sz w:val="20"/>
          <w:szCs w:val="20"/>
          <w:color w:val="auto"/>
        </w:rPr>
      </w:pPr>
      <w:r>
        <w:rPr>
          <w:rFonts w:ascii="Arial" w:cs="Arial" w:eastAsia="Arial" w:hAnsi="Arial"/>
          <w:sz w:val="17"/>
          <w:szCs w:val="17"/>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and there is substantial doubt about our ability to continue as a going concern.”</w:t>
      </w:r>
    </w:p>
    <w:p>
      <w:pPr>
        <w:spacing w:after="0" w:line="166" w:lineRule="exact"/>
        <w:rPr>
          <w:sz w:val="20"/>
          <w:szCs w:val="20"/>
          <w:color w:val="auto"/>
        </w:rPr>
      </w:pPr>
    </w:p>
    <w:p>
      <w:pPr>
        <w:ind w:right="120" w:firstLine="485"/>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continue to be successful in establishing or maintaining regional partnerships or other arrangements with third parties for the commercialization of Afrezza outside of the United States.</w:t>
      </w:r>
    </w:p>
    <w:p>
      <w:pPr>
        <w:spacing w:after="0" w:line="73" w:lineRule="exact"/>
        <w:rPr>
          <w:sz w:val="20"/>
          <w:szCs w:val="20"/>
          <w:color w:val="auto"/>
        </w:rPr>
      </w:pPr>
    </w:p>
    <w:p>
      <w:pPr>
        <w:ind w:firstLine="485"/>
        <w:spacing w:after="0" w:line="254" w:lineRule="auto"/>
        <w:rPr>
          <w:sz w:val="20"/>
          <w:szCs w:val="20"/>
          <w:color w:val="auto"/>
        </w:rPr>
      </w:pPr>
      <w:r>
        <w:rPr>
          <w:rFonts w:ascii="Arial" w:cs="Arial" w:eastAsia="Arial" w:hAnsi="Arial"/>
          <w:sz w:val="18"/>
          <w:szCs w:val="18"/>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192" w:lineRule="exact"/>
        <w:rPr>
          <w:sz w:val="20"/>
          <w:szCs w:val="20"/>
          <w:color w:val="auto"/>
        </w:rPr>
      </w:pPr>
    </w:p>
    <w:p>
      <w:pPr>
        <w:ind w:right="20" w:firstLine="485"/>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the development and commercialization of Afrezza, we will likely not be able to advance these programs into clinical development unless we are able to obtain specific funding for these programs or enter into collaborations with third parties.</w:t>
      </w:r>
    </w:p>
    <w:p>
      <w:pPr>
        <w:spacing w:after="0" w:line="193" w:lineRule="exact"/>
        <w:rPr>
          <w:sz w:val="20"/>
          <w:szCs w:val="20"/>
          <w:color w:val="auto"/>
        </w:rPr>
      </w:pPr>
    </w:p>
    <w:p>
      <w:pPr>
        <w:ind w:right="60" w:firstLine="485"/>
        <w:spacing w:after="0" w:line="276" w:lineRule="auto"/>
        <w:rPr>
          <w:sz w:val="20"/>
          <w:szCs w:val="20"/>
          <w:color w:val="auto"/>
        </w:rPr>
      </w:pPr>
      <w:r>
        <w:rPr>
          <w:rFonts w:ascii="Arial" w:cs="Arial" w:eastAsia="Arial" w:hAnsi="Arial"/>
          <w:sz w:val="17"/>
          <w:szCs w:val="17"/>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120" w:firstLine="485"/>
        <w:spacing w:after="0" w:line="293" w:lineRule="auto"/>
        <w:rPr>
          <w:sz w:val="20"/>
          <w:szCs w:val="20"/>
          <w:color w:val="auto"/>
        </w:rPr>
      </w:pPr>
      <w:r>
        <w:rPr>
          <w:rFonts w:ascii="Arial" w:cs="Arial" w:eastAsia="Arial" w:hAnsi="Arial"/>
          <w:sz w:val="16"/>
          <w:szCs w:val="16"/>
          <w:color w:val="auto"/>
        </w:rPr>
        <w:t>We are not currently profitable and have rarely generated positive net cash flow from operations. As of December 31, 2019, we had an accumulated deficit of $3.0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In addition, under our Insulin Supply Agreement with Amphastar, we agreed to purchase certain annual minimum quantities of insulin through 2026. As of December 31, 2019, there was €82.0 million remaining in aggregate purchase commitments under this agreement. We may not have the necessary capital resources to service this contractual commitment.</w:t>
      </w:r>
    </w:p>
    <w:p>
      <w:pPr>
        <w:spacing w:after="0" w:line="165" w:lineRule="exact"/>
        <w:rPr>
          <w:sz w:val="20"/>
          <w:szCs w:val="20"/>
          <w:color w:val="auto"/>
        </w:rPr>
      </w:pPr>
    </w:p>
    <w:p>
      <w:pPr>
        <w:ind w:right="140" w:firstLine="485"/>
        <w:spacing w:after="0" w:line="26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notes to our consolidated financial statements in this Annual Report on Form 10-K provide details about our various debt obligations.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we had $120.3 million principal amount of outstanding debt, consisting of:</w:t>
      </w:r>
    </w:p>
    <w:p>
      <w:pPr>
        <w:spacing w:after="0" w:line="103" w:lineRule="exact"/>
        <w:rPr>
          <w:sz w:val="20"/>
          <w:szCs w:val="20"/>
          <w:color w:val="auto"/>
        </w:rPr>
      </w:pPr>
    </w:p>
    <w:p>
      <w:pPr>
        <w:ind w:left="960" w:right="20" w:hanging="479"/>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$40.0 million principal amount under a credit and security agreement with MidCap Financial Trust (as amended, the “MidCap Credit Facility”), bearing interest at an annual rate equal to one-month LIBOR plus 6.75%, subject to a one-month LIBOR floor of 2.00%, and maturing in August 2024;</w:t>
      </w:r>
    </w:p>
    <w:p>
      <w:pPr>
        <w:spacing w:after="0" w:line="73" w:lineRule="exact"/>
        <w:rPr>
          <w:rFonts w:ascii="Arial" w:cs="Arial" w:eastAsia="Arial" w:hAnsi="Arial"/>
          <w:sz w:val="18"/>
          <w:szCs w:val="18"/>
          <w:color w:val="auto"/>
        </w:rPr>
      </w:pPr>
    </w:p>
    <w:p>
      <w:pPr>
        <w:ind w:left="960" w:right="80" w:hanging="479"/>
        <w:spacing w:after="0" w:line="31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$5.0 million principal amount of Convertible Senior Subordinated Exchange Notes due 2024 (the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ind w:left="960" w:right="140" w:hanging="479"/>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$5.2 million in respect of two non-interest bearing promissory notes, each in the amount of $2.6 million, one of which will mature on June 30, 2020 (the “June 2020 note”) and the other of which will mature on December 31, 2020 (the “December 2020 note”, and together with the June 2020 note, the “2020 notes”); and</w:t>
      </w:r>
    </w:p>
    <w:p>
      <w:pPr>
        <w:spacing w:after="0" w:line="73" w:lineRule="exact"/>
        <w:rPr>
          <w:rFonts w:ascii="Arial" w:cs="Arial" w:eastAsia="Arial" w:hAnsi="Arial"/>
          <w:sz w:val="18"/>
          <w:szCs w:val="18"/>
          <w:color w:val="auto"/>
        </w:rPr>
      </w:pPr>
    </w:p>
    <w:p>
      <w:pPr>
        <w:ind w:left="960" w:hanging="479"/>
        <w:spacing w:after="0" w:line="25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two promissory notes (the “Mann Group promissory notes”) issued to The Mann Group LLC (“The Mann Group”), each bearing interest at a fixed rate of 7.00% per annum compounded quarterly and maturing in November 2024. The Mann Group promissory notes consist of a $35.0 million note that is convertible into shares of our common stock at the option of The Mann Group at a conversion price of $2.50 per share (the “Mann Group convertible note”) and a $35.1 million non-convertible note (the “Mann Group non-convertible note”). Interest is paid-in-kind from August 2019 until the end of 2020, after which we have the option to either pay interest-in-kind or in shares.</w:t>
      </w:r>
    </w:p>
    <w:p>
      <w:pPr>
        <w:spacing w:after="0" w:line="193" w:lineRule="exact"/>
        <w:rPr>
          <w:sz w:val="20"/>
          <w:szCs w:val="20"/>
          <w:color w:val="auto"/>
        </w:rPr>
      </w:pPr>
    </w:p>
    <w:p>
      <w:pPr>
        <w:ind w:right="20" w:firstLine="485"/>
        <w:spacing w:after="0" w:line="273" w:lineRule="auto"/>
        <w:rPr>
          <w:sz w:val="20"/>
          <w:szCs w:val="20"/>
          <w:color w:val="auto"/>
        </w:rPr>
      </w:pPr>
      <w:r>
        <w:rPr>
          <w:rFonts w:ascii="Arial" w:cs="Arial" w:eastAsia="Arial" w:hAnsi="Arial"/>
          <w:sz w:val="17"/>
          <w:szCs w:val="17"/>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and is currently scheduled to be phased out in 2021. Before one-month LIBOR is phased out, we may need to renegotiate the MidCap Credit Facility to replace one-month LIBOR with a new standard, which has yet to be established. The consequences of these developments cannot entirely be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78" w:lineRule="exact"/>
        <w:rPr>
          <w:sz w:val="20"/>
          <w:szCs w:val="20"/>
          <w:color w:val="auto"/>
        </w:rPr>
      </w:pPr>
    </w:p>
    <w:p>
      <w:pPr>
        <w:jc w:val="both"/>
        <w:ind w:firstLine="485"/>
        <w:spacing w:after="0" w:line="255" w:lineRule="auto"/>
        <w:rPr>
          <w:sz w:val="20"/>
          <w:szCs w:val="20"/>
          <w:color w:val="auto"/>
        </w:rPr>
      </w:pPr>
      <w:r>
        <w:rPr>
          <w:rFonts w:ascii="Arial" w:cs="Arial" w:eastAsia="Arial" w:hAnsi="Arial"/>
          <w:sz w:val="18"/>
          <w:szCs w:val="18"/>
          <w:color w:val="auto"/>
        </w:rPr>
        <w:t>Under the MidCap Credit Facility, we may borrow an additional $10.0 million (“Tranche 2”) until April 15, 2020, subject to our satisfaction of certain conditions, including achieving Afrezza net revenue of at least $30.0 million on a trailing twelve month basis. Under the terms of the MidCap Credit Facility, a third advance of $25.0 million (“Tranche 3”) will be available to us until June 30, 2021, subject to the satisfaction of certain milestone conditions associated with Afrezza net revenue and certain milestone conditions related to our collaboration with United Therapeutics. We must also comply with a minimum cash covenant of $15.0 million at all times prior to our borrowing of the Tranche 2 advance, and $20.0 million at all times following the funding of Tranche 2 and Tranche 3.</w:t>
      </w:r>
    </w:p>
    <w:p>
      <w:pPr>
        <w:spacing w:after="0" w:line="193" w:lineRule="exact"/>
        <w:rPr>
          <w:sz w:val="20"/>
          <w:szCs w:val="20"/>
          <w:color w:val="auto"/>
        </w:rPr>
      </w:pPr>
    </w:p>
    <w:p>
      <w:pPr>
        <w:ind w:right="340" w:firstLine="485"/>
        <w:spacing w:after="0" w:line="277" w:lineRule="auto"/>
        <w:rPr>
          <w:sz w:val="20"/>
          <w:szCs w:val="20"/>
          <w:color w:val="auto"/>
        </w:rPr>
      </w:pPr>
      <w:r>
        <w:rPr>
          <w:rFonts w:ascii="Arial" w:cs="Arial" w:eastAsia="Arial" w:hAnsi="Arial"/>
          <w:sz w:val="18"/>
          <w:szCs w:val="18"/>
          <w:color w:val="auto"/>
        </w:rPr>
        <w:t>Further, the MidCap Credit Facility requires us, and any debt arrangements we may enter into in the future may require us, to comply with various covenants that limit our ability to, among other things:</w:t>
      </w:r>
    </w:p>
    <w:p>
      <w:pPr>
        <w:spacing w:after="0" w:line="62" w:lineRule="exact"/>
        <w:rPr>
          <w:sz w:val="20"/>
          <w:szCs w:val="20"/>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25" w:lineRule="exact"/>
        <w:rPr>
          <w:sz w:val="20"/>
          <w:szCs w:val="20"/>
          <w:color w:val="auto"/>
        </w:rPr>
      </w:pPr>
    </w:p>
    <w:p>
      <w:pPr>
        <w:ind w:right="580" w:firstLine="485"/>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20" w:firstLine="485"/>
        <w:spacing w:after="0" w:line="264" w:lineRule="auto"/>
        <w:rPr>
          <w:sz w:val="20"/>
          <w:szCs w:val="20"/>
          <w:color w:val="auto"/>
        </w:rPr>
      </w:pPr>
      <w:r>
        <w:rPr>
          <w:rFonts w:ascii="Arial" w:cs="Arial" w:eastAsia="Arial" w:hAnsi="Arial"/>
          <w:sz w:val="18"/>
          <w:szCs w:val="18"/>
          <w:color w:val="auto"/>
        </w:rPr>
        <w:t>The MidCap Credit Facility also contains a covenant relating to trailing twelve-month minimum Afrezza net revenue, tested on a monthly basis, which are set forth in the MidCap Credit Facility Agreement, as amended. If we fail to meet this covenant, any outstanding borrowings, together with accrued interest, under the MidCap Credit Facility could be declared immediately due and payable.</w:t>
      </w:r>
    </w:p>
    <w:p>
      <w:pPr>
        <w:spacing w:after="0" w:line="181"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8" w:name="page19"/>
    <w:bookmarkEnd w:id="18"/>
    <w:p>
      <w:pPr>
        <w:ind w:firstLine="485"/>
        <w:spacing w:after="0" w:line="270"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2020 notes, MidCap Term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40" w:lineRule="exact"/>
        <w:rPr>
          <w:rFonts w:ascii="Arial" w:cs="Arial" w:eastAsia="Arial" w:hAnsi="Arial"/>
          <w:sz w:val="16"/>
          <w:szCs w:val="16"/>
          <w:color w:val="auto"/>
        </w:rPr>
      </w:pPr>
    </w:p>
    <w:p>
      <w:pPr>
        <w:ind w:left="960" w:hanging="479"/>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ind w:right="120" w:firstLine="485"/>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ind w:right="80" w:firstLine="485"/>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160" w:firstLine="485"/>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60" w:firstLine="485"/>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9" w:name="page20"/>
    <w:bookmarkEnd w:id="19"/>
    <w:p>
      <w:pPr>
        <w:ind w:right="120" w:firstLine="485"/>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3" w:lineRule="exact"/>
        <w:rPr>
          <w:sz w:val="20"/>
          <w:szCs w:val="20"/>
          <w:color w:val="auto"/>
        </w:rPr>
      </w:pPr>
    </w:p>
    <w:p>
      <w:pPr>
        <w:jc w:val="both"/>
        <w:ind w:left="960" w:right="140" w:hanging="479"/>
        <w:spacing w:after="0" w:line="264"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73" w:lineRule="exact"/>
        <w:rPr>
          <w:rFonts w:ascii="Arial" w:cs="Arial" w:eastAsia="Arial" w:hAnsi="Arial"/>
          <w:sz w:val="18"/>
          <w:szCs w:val="18"/>
          <w:color w:val="auto"/>
        </w:rPr>
      </w:pPr>
    </w:p>
    <w:p>
      <w:pPr>
        <w:ind w:left="960" w:right="100" w:hanging="479"/>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17" w:lineRule="exact"/>
        <w:rPr>
          <w:rFonts w:ascii="Arial" w:cs="Arial" w:eastAsia="Arial" w:hAnsi="Arial"/>
          <w:sz w:val="18"/>
          <w:szCs w:val="18"/>
          <w:color w:val="auto"/>
        </w:rPr>
      </w:pPr>
    </w:p>
    <w:p>
      <w:pPr>
        <w:ind w:left="960" w:right="780" w:hanging="479"/>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ind w:right="280" w:firstLine="485"/>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ind w:right="20" w:firstLine="485"/>
        <w:spacing w:after="0" w:line="287"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FDKP, our Afrezza inhaler, the related cartridges and other materials. Currently, the only source of insulin that we have qualified for Afrezza is manufactured by Amphastar. We must rely on our suppliers to comply with relevant regulatory and other legal requirements, including the production of insulin and FDKP in accordance with the FDA’s cGMP for drug products, and the production of the Afrezza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260" w:firstLine="485"/>
        <w:spacing w:after="0" w:line="312" w:lineRule="auto"/>
        <w:rPr>
          <w:sz w:val="20"/>
          <w:szCs w:val="20"/>
          <w:color w:val="auto"/>
        </w:rPr>
      </w:pPr>
      <w:r>
        <w:rPr>
          <w:rFonts w:ascii="Arial" w:cs="Arial" w:eastAsia="Arial" w:hAnsi="Arial"/>
          <w:sz w:val="16"/>
          <w:szCs w:val="16"/>
          <w:color w:val="auto"/>
        </w:rPr>
        <w:t>We use our Danbury, Connecticut facility to formulate both the Afrezza and TreT inhalation powders, fill plastic cartridges with the powders, package the cartridges in blister packs, and place the blister packs into foil pouches. We utilize a contract packager to assemble the final kits of Afrezza foil-pouched blister packs along with inhalers and the package inserts. The final responsibility for TreT packaging has not yet been determined.</w:t>
      </w:r>
    </w:p>
    <w:p>
      <w:pPr>
        <w:spacing w:after="0" w:line="147"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93" w:lineRule="exact"/>
        <w:rPr>
          <w:sz w:val="20"/>
          <w:szCs w:val="20"/>
          <w:color w:val="auto"/>
        </w:rPr>
      </w:pPr>
    </w:p>
    <w:p>
      <w:pPr>
        <w:ind w:firstLine="485"/>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88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jc w:val="both"/>
        <w:ind w:right="500" w:firstLine="485"/>
        <w:spacing w:after="0" w:line="381" w:lineRule="auto"/>
        <w:rPr>
          <w:sz w:val="20"/>
          <w:szCs w:val="20"/>
          <w:color w:val="auto"/>
        </w:rPr>
      </w:pPr>
      <w:r>
        <w:rPr>
          <w:rFonts w:ascii="Arial" w:cs="Arial" w:eastAsia="Arial" w:hAnsi="Arial"/>
          <w:sz w:val="15"/>
          <w:szCs w:val="15"/>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w:t>
      </w:r>
    </w:p>
    <w:p>
      <w:pPr>
        <w:spacing w:after="0" w:line="129" w:lineRule="exact"/>
        <w:rPr>
          <w:sz w:val="20"/>
          <w:szCs w:val="20"/>
          <w:color w:val="auto"/>
        </w:rPr>
      </w:pPr>
    </w:p>
    <w:p>
      <w:pPr>
        <w:ind w:left="960" w:hanging="47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17" w:lineRule="exact"/>
        <w:rPr>
          <w:rFonts w:ascii="Arial" w:cs="Arial" w:eastAsia="Arial" w:hAnsi="Arial"/>
          <w:sz w:val="18"/>
          <w:szCs w:val="18"/>
          <w:color w:val="auto"/>
        </w:rPr>
      </w:pPr>
    </w:p>
    <w:p>
      <w:pPr>
        <w:ind w:left="960" w:right="100" w:hanging="479"/>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17" w:lineRule="exact"/>
        <w:rPr>
          <w:rFonts w:ascii="Arial" w:cs="Arial" w:eastAsia="Arial" w:hAnsi="Arial"/>
          <w:sz w:val="18"/>
          <w:szCs w:val="18"/>
          <w:color w:val="auto"/>
        </w:rPr>
      </w:pPr>
    </w:p>
    <w:p>
      <w:pPr>
        <w:ind w:left="960" w:right="540" w:hanging="479"/>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140" w:firstLine="485"/>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firstLine="485"/>
        <w:spacing w:after="0" w:line="284"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payors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(“HHS”) has solicited feedback on some of these measures and, at the same, has implemented others under its existing authority. For example, in May 2019, the Centers for Medicare &amp; Medicaid Services (“CMS”) issued a final rule to allow Medicare Advantage Plans the option of using step therapy for Part B drugs beginning January 1, 2020. This final rule codified CMS’s policy change that was effective January 1, 2019. In addition, the Trump administration’s budget proposal for fiscal year 2020 contains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Although a number of these and other measures may require additional authorization to become effective, Congress and the Trump administration have stated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payors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395" w:lineRule="exact"/>
        <w:rPr>
          <w:sz w:val="20"/>
          <w:szCs w:val="20"/>
          <w:color w:val="auto"/>
        </w:rPr>
      </w:pPr>
    </w:p>
    <w:p>
      <w:pPr>
        <w:ind w:right="60" w:firstLine="485"/>
        <w:spacing w:after="0" w:line="270"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 health administration authorities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which are the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right="100"/>
        <w:spacing w:after="0" w:line="302" w:lineRule="auto"/>
        <w:rPr>
          <w:sz w:val="20"/>
          <w:szCs w:val="20"/>
          <w:color w:val="auto"/>
        </w:rPr>
      </w:pPr>
      <w:r>
        <w:rPr>
          <w:rFonts w:ascii="Arial" w:cs="Arial" w:eastAsia="Arial" w:hAnsi="Arial"/>
          <w:sz w:val="16"/>
          <w:szCs w:val="16"/>
          <w:color w:val="auto"/>
        </w:rPr>
        <w:t>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54" w:lineRule="exact"/>
        <w:rPr>
          <w:sz w:val="20"/>
          <w:szCs w:val="20"/>
          <w:color w:val="auto"/>
        </w:rPr>
      </w:pPr>
    </w:p>
    <w:p>
      <w:pPr>
        <w:ind w:firstLine="485"/>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8" w:lineRule="exact"/>
        <w:rPr>
          <w:sz w:val="20"/>
          <w:szCs w:val="20"/>
          <w:color w:val="auto"/>
        </w:rPr>
      </w:pPr>
    </w:p>
    <w:p>
      <w:pPr>
        <w:ind w:right="120" w:firstLine="485"/>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reimbursement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20" w:firstLine="485"/>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240" w:firstLine="485"/>
        <w:spacing w:after="0" w:line="276" w:lineRule="auto"/>
        <w:rPr>
          <w:sz w:val="20"/>
          <w:szCs w:val="20"/>
          <w:color w:val="auto"/>
        </w:rPr>
      </w:pPr>
      <w:r>
        <w:rPr>
          <w:rFonts w:ascii="Arial" w:cs="Arial" w:eastAsia="Arial" w:hAnsi="Arial"/>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73"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40" w:firstLine="485"/>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117" w:lineRule="exact"/>
        <w:rPr>
          <w:sz w:val="20"/>
          <w:szCs w:val="20"/>
          <w:color w:val="auto"/>
        </w:rPr>
      </w:pPr>
    </w:p>
    <w:p>
      <w:pPr>
        <w:ind w:right="80" w:firstLine="485"/>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76" w:lineRule="exact"/>
        <w:rPr>
          <w:sz w:val="20"/>
          <w:szCs w:val="20"/>
          <w:color w:val="auto"/>
        </w:rPr>
      </w:pPr>
    </w:p>
    <w:p>
      <w:pPr>
        <w:ind w:right="60" w:firstLine="485"/>
        <w:spacing w:after="0" w:line="271"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titled the Tax Cuts and Jobs Act of 2017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and could increase our future U.S. tax expense.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ind w:firstLine="485"/>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of $2.1 billion and $1.3 billion, respectively, which we assess annually. A portion of the federal and state net operating loss carryforwards have begun to expire. Net operating loss carryforwards that expire unused will be unavailable to offset future income tax liabilities. Under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to the end of the previous tax year regarding whether additional limitations may be placed on the net operating loss carryforwards and other tax attributes, and no additional changes in ownership that met Section 382 study ownership change threshold has been identified through December 31, 2019. There is a risk that changes in ownership may occur in tax years after December 31, 2019.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20" w:firstLine="485"/>
        <w:spacing w:after="0" w:line="271"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00" w:firstLine="485"/>
        <w:spacing w:after="0" w:line="272"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firstLine="485"/>
        <w:spacing w:after="0" w:line="287" w:lineRule="auto"/>
        <w:rPr>
          <w:sz w:val="20"/>
          <w:szCs w:val="20"/>
          <w:color w:val="auto"/>
        </w:rPr>
      </w:pPr>
      <w:r>
        <w:rPr>
          <w:rFonts w:ascii="Arial" w:cs="Arial" w:eastAsia="Arial" w:hAnsi="Arial"/>
          <w:sz w:val="16"/>
          <w:szCs w:val="16"/>
          <w:color w:val="auto"/>
        </w:rPr>
        <w:t>Following the public announcement of sanofi-aventis U.S. LLC’s (“Sanofi”)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40" w:firstLine="485"/>
        <w:spacing w:after="0" w:line="289" w:lineRule="auto"/>
        <w:rPr>
          <w:sz w:val="20"/>
          <w:szCs w:val="20"/>
          <w:color w:val="auto"/>
        </w:rPr>
      </w:pPr>
      <w:r>
        <w:rPr>
          <w:rFonts w:ascii="Arial" w:cs="Arial" w:eastAsia="Arial" w:hAnsi="Arial"/>
          <w:sz w:val="16"/>
          <w:szCs w:val="16"/>
          <w:color w:val="auto"/>
        </w:rPr>
        <w:t>At least for the foreseeable future, we expect that our manufacturing facility in Danbury, Connecticut will be the sole location for the manufacturing of Afrezza and TreT.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firstLine="485"/>
        <w:spacing w:after="0" w:line="273"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4" w:name="page25"/>
    <w:bookmarkEnd w:id="24"/>
    <w:p>
      <w:pPr>
        <w:ind w:right="20"/>
        <w:spacing w:after="0" w:line="255" w:lineRule="auto"/>
        <w:rPr>
          <w:sz w:val="20"/>
          <w:szCs w:val="20"/>
          <w:color w:val="auto"/>
        </w:rPr>
      </w:pPr>
      <w:r>
        <w:rPr>
          <w:rFonts w:ascii="Arial" w:cs="Arial" w:eastAsia="Arial" w:hAnsi="Arial"/>
          <w:sz w:val="18"/>
          <w:szCs w:val="18"/>
          <w:color w:val="auto"/>
        </w:rPr>
        <w:t>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3" w:lineRule="exact"/>
        <w:rPr>
          <w:sz w:val="20"/>
          <w:szCs w:val="20"/>
          <w:color w:val="auto"/>
        </w:rPr>
      </w:pPr>
    </w:p>
    <w:p>
      <w:pPr>
        <w:ind w:right="40" w:firstLine="485"/>
        <w:spacing w:after="0" w:line="276"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ind w:firstLine="485"/>
        <w:spacing w:after="0" w:line="26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93"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39" w:lineRule="exact"/>
        <w:rPr>
          <w:sz w:val="20"/>
          <w:szCs w:val="20"/>
          <w:color w:val="auto"/>
        </w:rPr>
      </w:pPr>
    </w:p>
    <w:p>
      <w:pPr>
        <w:ind w:right="240" w:firstLine="485"/>
        <w:spacing w:after="0" w:line="302"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4" w:lineRule="exact"/>
        <w:rPr>
          <w:sz w:val="20"/>
          <w:szCs w:val="20"/>
          <w:color w:val="auto"/>
        </w:rPr>
      </w:pPr>
    </w:p>
    <w:p>
      <w:pPr>
        <w:jc w:val="both"/>
        <w:ind w:right="120" w:firstLine="485"/>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European Union may be a source of instability in international markets, create significant currency fluctuations and pose additional risks to our business.</w:t>
      </w:r>
    </w:p>
    <w:p>
      <w:pPr>
        <w:spacing w:after="0" w:line="62" w:lineRule="exact"/>
        <w:rPr>
          <w:sz w:val="20"/>
          <w:szCs w:val="20"/>
          <w:color w:val="auto"/>
        </w:rPr>
      </w:pPr>
    </w:p>
    <w:p>
      <w:pPr>
        <w:ind w:right="160" w:firstLine="485"/>
        <w:spacing w:after="0" w:line="279" w:lineRule="auto"/>
        <w:rPr>
          <w:sz w:val="20"/>
          <w:szCs w:val="20"/>
          <w:color w:val="auto"/>
        </w:rPr>
      </w:pPr>
      <w:r>
        <w:rPr>
          <w:rFonts w:ascii="Arial" w:cs="Arial" w:eastAsia="Arial" w:hAnsi="Arial"/>
          <w:sz w:val="17"/>
          <w:szCs w:val="17"/>
          <w:color w:val="auto"/>
        </w:rPr>
        <w:t>Following the result of a referendum in 2016, the U.K. left the EU on January 31, 2020. This event is commonly referred to as Brexit. Pursuant to the formal withdrawal arrangements agreed to between the U.K. and the EU, the U.K. will be subject to a transition period until December 31, 2020, (the “Transition Period”), during which EU rules will continue to apply. Negotiations between the U.K. and the EU are expected to continue in relation to the customs and trading relationship between the U.K. and the EU following the expiry of the Transition Period.</w:t>
      </w:r>
    </w:p>
    <w:p>
      <w:pPr>
        <w:spacing w:after="0" w:line="171" w:lineRule="exact"/>
        <w:rPr>
          <w:sz w:val="20"/>
          <w:szCs w:val="20"/>
          <w:color w:val="auto"/>
        </w:rPr>
      </w:pPr>
    </w:p>
    <w:p>
      <w:pPr>
        <w:ind w:firstLine="485"/>
        <w:spacing w:after="0" w:line="272" w:lineRule="auto"/>
        <w:rPr>
          <w:sz w:val="20"/>
          <w:szCs w:val="20"/>
          <w:color w:val="auto"/>
        </w:rPr>
      </w:pPr>
      <w:r>
        <w:rPr>
          <w:rFonts w:ascii="Arial" w:cs="Arial" w:eastAsia="Arial" w:hAnsi="Arial"/>
          <w:sz w:val="17"/>
          <w:szCs w:val="17"/>
          <w:color w:val="auto"/>
        </w:rPr>
        <w:t>The uncertainty concerning the U.K’s legal, political and economic relationship with the EU after the Transition Period may be a source of instability in the international markets, create significant currency fluctuations, and/or otherwise adversely affect trading agreements or similar cross-border co-operation arrangements (whether economic, tax, fiscal, legal, regulatory or otherwise). 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right="40" w:firstLine="485"/>
        <w:spacing w:after="0" w:line="308" w:lineRule="auto"/>
        <w:rPr>
          <w:sz w:val="20"/>
          <w:szCs w:val="20"/>
          <w:color w:val="auto"/>
        </w:rPr>
      </w:pPr>
      <w:r>
        <w:rPr>
          <w:rFonts w:ascii="Arial" w:cs="Arial" w:eastAsia="Arial" w:hAnsi="Arial"/>
          <w:sz w:val="17"/>
          <w:szCs w:val="17"/>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jc w:val="both"/>
        <w:ind w:right="100" w:firstLine="485"/>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3" w:lineRule="exact"/>
        <w:rPr>
          <w:sz w:val="20"/>
          <w:szCs w:val="20"/>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20" w:firstLine="485"/>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160" w:firstLine="485"/>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380" w:firstLine="485"/>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 For example, with the approval of Afrezza, the FDA has required that we conduct a five-year, randomized, controlled trial in patients with type 2 diabetes, the primary objective of which is to compare the incidence of pulmonary malignancy observed with Afrezza to that observed in a standard of care control group. We have an ongoing dialogue with the FDA regarding the endpoints and goals for this long-term trial and have not yet commenced this trial.</w:t>
      </w:r>
    </w:p>
    <w:p>
      <w:pPr>
        <w:spacing w:after="0" w:line="188" w:lineRule="exact"/>
        <w:rPr>
          <w:sz w:val="20"/>
          <w:szCs w:val="20"/>
          <w:color w:val="auto"/>
        </w:rPr>
      </w:pPr>
    </w:p>
    <w:p>
      <w:pPr>
        <w:ind w:right="200" w:firstLine="485"/>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60" w:firstLine="485"/>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20" w:firstLine="485"/>
        <w:spacing w:after="0" w:line="269"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83" w:lineRule="exact"/>
        <w:rPr>
          <w:sz w:val="20"/>
          <w:szCs w:val="20"/>
          <w:color w:val="auto"/>
        </w:rPr>
      </w:pPr>
    </w:p>
    <w:p>
      <w:pPr>
        <w:ind w:right="140" w:firstLine="485"/>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960" w:right="80" w:hanging="479"/>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960" w:right="740" w:hanging="479"/>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320" w:firstLine="485"/>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1" w:lineRule="exact"/>
        <w:rPr>
          <w:sz w:val="20"/>
          <w:szCs w:val="20"/>
          <w:color w:val="auto"/>
        </w:rPr>
      </w:pPr>
    </w:p>
    <w:p>
      <w:pPr>
        <w:ind w:right="20" w:firstLine="485"/>
        <w:spacing w:after="0" w:line="297"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58"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80" w:firstLine="485"/>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 Among the provisions of PPACA of importance to us are the following:</w:t>
      </w:r>
    </w:p>
    <w:p>
      <w:pPr>
        <w:spacing w:after="0" w:line="80" w:lineRule="exact"/>
        <w:rPr>
          <w:sz w:val="20"/>
          <w:szCs w:val="20"/>
          <w:color w:val="auto"/>
        </w:rPr>
      </w:pPr>
    </w:p>
    <w:p>
      <w:pPr>
        <w:ind w:left="960" w:right="340" w:hanging="47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960" w:right="460" w:hanging="47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960" w:right="780" w:hanging="47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jc w:val="both"/>
        <w:ind w:left="960" w:right="80" w:hanging="479"/>
        <w:spacing w:after="0" w:line="26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960" w:right="360" w:hanging="47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960" w:right="80" w:hanging="479"/>
        <w:spacing w:after="0" w:line="342"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15" w:lineRule="exact"/>
        <w:rPr>
          <w:rFonts w:ascii="Arial" w:cs="Arial" w:eastAsia="Arial" w:hAnsi="Arial"/>
          <w:sz w:val="16"/>
          <w:szCs w:val="16"/>
          <w:color w:val="auto"/>
        </w:rPr>
      </w:pPr>
    </w:p>
    <w:p>
      <w:pPr>
        <w:ind w:left="960" w:hanging="47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960" w:right="60" w:hanging="479"/>
        <w:spacing w:after="0" w:line="279"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Requirements to report annually to CMS certain financial arrangements with physicians, as defined by such law,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63" w:lineRule="exact"/>
        <w:rPr>
          <w:rFonts w:ascii="Arial" w:cs="Arial" w:eastAsia="Arial" w:hAnsi="Arial"/>
          <w:sz w:val="17"/>
          <w:szCs w:val="17"/>
          <w:color w:val="auto"/>
        </w:rPr>
      </w:pPr>
    </w:p>
    <w:p>
      <w:pPr>
        <w:ind w:left="960" w:hanging="47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17" w:lineRule="exact"/>
        <w:rPr>
          <w:rFonts w:ascii="Arial" w:cs="Arial" w:eastAsia="Arial" w:hAnsi="Arial"/>
          <w:sz w:val="18"/>
          <w:szCs w:val="18"/>
          <w:color w:val="auto"/>
        </w:rPr>
      </w:pPr>
    </w:p>
    <w:p>
      <w:pPr>
        <w:ind w:left="960" w:right="60" w:hanging="479"/>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485"/>
        <w:spacing w:after="0" w:line="285" w:lineRule="auto"/>
        <w:rPr>
          <w:sz w:val="20"/>
          <w:szCs w:val="20"/>
          <w:color w:val="auto"/>
        </w:rPr>
      </w:pPr>
      <w:r>
        <w:rPr>
          <w:rFonts w:ascii="Arial" w:cs="Arial" w:eastAsia="Arial" w:hAnsi="Arial"/>
          <w:sz w:val="16"/>
          <w:szCs w:val="16"/>
          <w:color w:val="auto"/>
        </w:rPr>
        <w:t>There remain judicial and congressional challenges to certain provisions of the PPACA, as well as efforts by the Trump administration to repeal or replace certain aspects of the PPACA. President Trump has signed two Executive Orders and other directives designed to eliminate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Act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eliminates, effective January 1, 2020, the PPACA-mandated “Cadillac” tax on high-cost employer-sponsored health coverage and medical device tax and, effective January 1, 2021, also eliminates the health insurer tax. The Bipartisan Budget Act of 2018, or the BBA, among other things, amended the PPACA, effective January 1, 2019, to close the coverage gap in most Medicare drug plans. In December 2018, CMS published a new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It is unclear how this decision, future decisions, subsequent appeals, and other efforts to repeal and replace the PPACA will impact the PPACA and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right="60" w:firstLine="485"/>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2029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ind w:right="160" w:firstLine="485"/>
        <w:spacing w:after="0" w:line="276"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3" w:lineRule="exact"/>
        <w:rPr>
          <w:sz w:val="20"/>
          <w:szCs w:val="20"/>
          <w:color w:val="auto"/>
        </w:rPr>
      </w:pPr>
    </w:p>
    <w:p>
      <w:pPr>
        <w:ind w:right="200" w:firstLine="485"/>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3" w:lineRule="exact"/>
        <w:rPr>
          <w:sz w:val="20"/>
          <w:szCs w:val="20"/>
          <w:color w:val="auto"/>
        </w:rPr>
      </w:pPr>
    </w:p>
    <w:p>
      <w:pPr>
        <w:ind w:right="140" w:firstLine="485"/>
        <w:spacing w:after="0" w:line="302"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46" w:lineRule="exact"/>
        <w:rPr>
          <w:sz w:val="20"/>
          <w:szCs w:val="20"/>
          <w:color w:val="auto"/>
        </w:rPr>
      </w:pPr>
    </w:p>
    <w:p>
      <w:pPr>
        <w:ind w:left="960" w:right="40" w:hanging="479"/>
        <w:spacing w:after="0" w:line="273"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0" w:lineRule="exact"/>
        <w:rPr>
          <w:rFonts w:ascii="Arial" w:cs="Arial" w:eastAsia="Arial" w:hAnsi="Arial"/>
          <w:sz w:val="17"/>
          <w:szCs w:val="17"/>
          <w:color w:val="auto"/>
        </w:rPr>
      </w:pPr>
    </w:p>
    <w:p>
      <w:pPr>
        <w:ind w:left="960" w:right="140" w:hanging="479"/>
        <w:spacing w:after="0" w:line="273"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0" w:lineRule="exact"/>
        <w:rPr>
          <w:rFonts w:ascii="Arial" w:cs="Arial" w:eastAsia="Arial" w:hAnsi="Arial"/>
          <w:sz w:val="17"/>
          <w:szCs w:val="17"/>
          <w:color w:val="auto"/>
        </w:rPr>
      </w:pPr>
    </w:p>
    <w:p>
      <w:pPr>
        <w:ind w:left="960" w:right="140" w:hanging="479"/>
        <w:spacing w:after="0" w:line="264"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3" w:lineRule="exact"/>
        <w:rPr>
          <w:rFonts w:ascii="Arial" w:cs="Arial" w:eastAsia="Arial" w:hAnsi="Arial"/>
          <w:sz w:val="18"/>
          <w:szCs w:val="18"/>
          <w:color w:val="auto"/>
        </w:rPr>
      </w:pPr>
    </w:p>
    <w:p>
      <w:pPr>
        <w:ind w:left="960" w:hanging="479"/>
        <w:spacing w:after="0" w:line="286"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In addition, in May 2018, the European Union, or EU,</w:t>
      </w:r>
    </w:p>
    <w:p>
      <w:pPr>
        <w:spacing w:after="0" w:line="1" w:lineRule="exact"/>
        <w:rPr>
          <w:rFonts w:ascii="Arial" w:cs="Arial" w:eastAsia="Arial" w:hAnsi="Arial"/>
          <w:sz w:val="16"/>
          <w:szCs w:val="16"/>
          <w:color w:val="auto"/>
        </w:rPr>
      </w:pPr>
    </w:p>
    <w:p>
      <w:pPr>
        <w:jc w:val="both"/>
        <w:ind w:left="960" w:right="20"/>
        <w:spacing w:after="0" w:line="253" w:lineRule="auto"/>
        <w:rPr>
          <w:rFonts w:ascii="Arial" w:cs="Arial" w:eastAsia="Arial" w:hAnsi="Arial"/>
          <w:sz w:val="16"/>
          <w:szCs w:val="16"/>
          <w:color w:val="auto"/>
        </w:rPr>
      </w:pPr>
      <w:r>
        <w:rPr>
          <w:rFonts w:ascii="Arial" w:cs="Arial" w:eastAsia="Arial" w:hAnsi="Arial"/>
          <w:sz w:val="18"/>
          <w:szCs w:val="18"/>
          <w:color w:val="auto"/>
        </w:rPr>
        <w:t>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CCPA, which has been dubbed the first “GDPR-like” law in the United States;</w:t>
      </w:r>
    </w:p>
    <w:p>
      <w:pPr>
        <w:spacing w:after="0" w:line="117" w:lineRule="exact"/>
        <w:rPr>
          <w:rFonts w:ascii="Arial" w:cs="Arial" w:eastAsia="Arial" w:hAnsi="Arial"/>
          <w:sz w:val="18"/>
          <w:szCs w:val="18"/>
          <w:color w:val="auto"/>
        </w:rPr>
      </w:pPr>
    </w:p>
    <w:p>
      <w:pPr>
        <w:ind w:left="960" w:right="340" w:hanging="479"/>
        <w:spacing w:after="0" w:line="259"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as defined by such law, and teaching hospitals, and ownership and investment interests held by physicians and other healthcare providers and their immediate family members; and</w:t>
      </w:r>
    </w:p>
    <w:p>
      <w:pPr>
        <w:spacing w:after="0" w:line="78" w:lineRule="exact"/>
        <w:rPr>
          <w:rFonts w:ascii="Arial" w:cs="Arial" w:eastAsia="Arial" w:hAnsi="Arial"/>
          <w:sz w:val="18"/>
          <w:szCs w:val="18"/>
          <w:color w:val="auto"/>
        </w:rPr>
      </w:pPr>
    </w:p>
    <w:p>
      <w:pPr>
        <w:ind w:left="960" w:right="20" w:hanging="479"/>
        <w:spacing w:after="0" w:line="271"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9" w:lineRule="exact"/>
        <w:rPr>
          <w:sz w:val="20"/>
          <w:szCs w:val="20"/>
          <w:color w:val="auto"/>
        </w:rPr>
      </w:pPr>
    </w:p>
    <w:p>
      <w:pPr>
        <w:ind w:firstLine="485"/>
        <w:spacing w:after="0" w:line="269" w:lineRule="auto"/>
        <w:rPr>
          <w:sz w:val="20"/>
          <w:szCs w:val="20"/>
          <w:color w:val="auto"/>
        </w:rPr>
      </w:pPr>
      <w:r>
        <w:rPr>
          <w:rFonts w:ascii="Arial" w:cs="Arial" w:eastAsia="Arial" w:hAnsi="Arial"/>
          <w:sz w:val="17"/>
          <w:szCs w:val="17"/>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73" w:lineRule="exact"/>
        <w:rPr>
          <w:sz w:val="20"/>
          <w:szCs w:val="20"/>
          <w:color w:val="auto"/>
        </w:rPr>
      </w:pPr>
    </w:p>
    <w:p>
      <w:pPr>
        <w:ind w:right="60" w:firstLine="485"/>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9" w:lineRule="exact"/>
        <w:rPr>
          <w:sz w:val="20"/>
          <w:szCs w:val="20"/>
          <w:color w:val="auto"/>
        </w:rPr>
      </w:pPr>
    </w:p>
    <w:p>
      <w:pPr>
        <w:ind w:firstLine="485"/>
        <w:spacing w:after="0" w:line="270" w:lineRule="auto"/>
        <w:rPr>
          <w:sz w:val="20"/>
          <w:szCs w:val="20"/>
          <w:color w:val="auto"/>
        </w:rPr>
      </w:pPr>
      <w:r>
        <w:rPr>
          <w:rFonts w:ascii="Arial" w:cs="Arial" w:eastAsia="Arial" w:hAnsi="Arial"/>
          <w:sz w:val="17"/>
          <w:szCs w:val="17"/>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right="40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80" w:firstLine="485"/>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ind w:right="80" w:firstLine="485"/>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80" w:firstLine="485"/>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firstLine="485"/>
        <w:spacing w:after="0" w:line="273" w:lineRule="auto"/>
        <w:rPr>
          <w:sz w:val="20"/>
          <w:szCs w:val="20"/>
          <w:color w:val="auto"/>
        </w:rPr>
      </w:pPr>
      <w:r>
        <w:rPr>
          <w:rFonts w:ascii="Arial" w:cs="Arial" w:eastAsia="Arial" w:hAnsi="Arial"/>
          <w:sz w:val="17"/>
          <w:szCs w:val="17"/>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78"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9"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100" w:firstLine="485"/>
        <w:spacing w:after="0" w:line="270"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78"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jc w:val="both"/>
        <w:ind w:right="200" w:firstLine="485"/>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60" w:firstLine="485"/>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100" w:firstLine="485"/>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60" w:firstLine="485"/>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ind w:firstLine="485"/>
        <w:spacing w:after="0" w:line="253" w:lineRule="auto"/>
        <w:rPr>
          <w:sz w:val="20"/>
          <w:szCs w:val="20"/>
          <w:color w:val="auto"/>
        </w:rPr>
      </w:pPr>
      <w:r>
        <w:rPr>
          <w:rFonts w:ascii="Arial" w:cs="Arial" w:eastAsia="Arial" w:hAnsi="Arial"/>
          <w:sz w:val="18"/>
          <w:szCs w:val="18"/>
          <w:color w:val="auto"/>
        </w:rPr>
        <w:t>Although we do not believe that Afrezza infringes any third-party patents, we have identified certain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right="20" w:firstLine="485"/>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firstLine="485"/>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80" w:firstLine="485"/>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60" w:firstLine="485"/>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20" w:firstLine="485"/>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jc w:val="both"/>
        <w:ind w:right="200" w:firstLine="485"/>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80" w:firstLine="485"/>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w:t>
      </w:r>
    </w:p>
    <w:p>
      <w:pPr>
        <w:spacing w:after="0" w:line="170" w:lineRule="exact"/>
        <w:rPr>
          <w:sz w:val="20"/>
          <w:szCs w:val="20"/>
          <w:color w:val="auto"/>
        </w:rPr>
      </w:pPr>
    </w:p>
    <w:p>
      <w:pPr>
        <w:ind w:right="460" w:firstLine="485"/>
        <w:spacing w:after="0" w:line="308" w:lineRule="auto"/>
        <w:rPr>
          <w:sz w:val="20"/>
          <w:szCs w:val="20"/>
          <w:color w:val="auto"/>
        </w:rPr>
      </w:pPr>
      <w:r>
        <w:rPr>
          <w:rFonts w:ascii="Arial" w:cs="Arial" w:eastAsia="Arial" w:hAnsi="Arial"/>
          <w:sz w:val="17"/>
          <w:szCs w:val="17"/>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8" w:lineRule="exact"/>
        <w:rPr>
          <w:sz w:val="20"/>
          <w:szCs w:val="20"/>
          <w:color w:val="auto"/>
        </w:rPr>
      </w:pPr>
    </w:p>
    <w:p>
      <w:pPr>
        <w:ind w:left="960" w:right="140" w:hanging="479"/>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commercialize other products (in addition to Afrezza) based on our Technosphere drug delivery platform;</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28" w:lineRule="exact"/>
        <w:rPr>
          <w:rFonts w:ascii="Arial" w:cs="Arial" w:eastAsia="Arial" w:hAnsi="Arial"/>
          <w:sz w:val="17"/>
          <w:szCs w:val="17"/>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17" w:lineRule="exact"/>
        <w:rPr>
          <w:rFonts w:ascii="Arial" w:cs="Arial" w:eastAsia="Arial" w:hAnsi="Arial"/>
          <w:sz w:val="18"/>
          <w:szCs w:val="18"/>
          <w:color w:val="auto"/>
        </w:rPr>
      </w:pPr>
    </w:p>
    <w:p>
      <w:pPr>
        <w:ind w:left="960" w:right="420" w:hanging="479"/>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960" w:hanging="479"/>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62"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17" w:lineRule="exact"/>
        <w:rPr>
          <w:rFonts w:ascii="Arial" w:cs="Arial" w:eastAsia="Arial" w:hAnsi="Arial"/>
          <w:sz w:val="18"/>
          <w:szCs w:val="18"/>
          <w:color w:val="auto"/>
        </w:rPr>
      </w:pPr>
    </w:p>
    <w:p>
      <w:pPr>
        <w:ind w:left="960" w:hanging="479"/>
        <w:spacing w:after="0" w:line="25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20" w:firstLine="485"/>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jc w:val="both"/>
        <w:ind w:right="340" w:firstLine="485"/>
        <w:spacing w:after="0" w:line="286" w:lineRule="auto"/>
        <w:rPr>
          <w:sz w:val="20"/>
          <w:szCs w:val="20"/>
          <w:color w:val="auto"/>
        </w:rPr>
      </w:pPr>
      <w:r>
        <w:rPr>
          <w:rFonts w:ascii="Arial" w:cs="Arial" w:eastAsia="Arial" w:hAnsi="Arial"/>
          <w:sz w:val="17"/>
          <w:szCs w:val="17"/>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color w:val="auto"/>
        </w:rPr>
        <w:t>As of February 13, 2020, we had 212,295,318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2024 convertible notes or the Mann Group promissory notes,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89" w:lineRule="exact"/>
        <w:rPr>
          <w:sz w:val="20"/>
          <w:szCs w:val="20"/>
          <w:color w:val="auto"/>
        </w:rPr>
      </w:pPr>
    </w:p>
    <w:p>
      <w:pPr>
        <w:ind w:right="500" w:firstLine="485"/>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firstLine="485"/>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80" w:firstLine="485"/>
        <w:spacing w:after="0" w:line="297"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In 2001, we acquired a facility in Danbury, Connecticut that included two buildings comprising of approximately 190,000 square feet encompassing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for Afrezza. We believe the Connecticut facility has sufficient space to satisfy anticipated commercial demand for Afrezza and TreT. Our obligations under the MidCap Credit Facility are secured by our facility in Danbury, Connecticut and other assets. At the end of December 31, 2019, we leased a total of approximately 24,475 square feet of office space in Westlake Village, California pursuant to a lease that expires in January 2023. This facility contains our principal executive offices.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60" w:firstLine="485"/>
        <w:spacing w:after="0" w:line="253" w:lineRule="auto"/>
        <w:rPr>
          <w:sz w:val="20"/>
          <w:szCs w:val="20"/>
          <w:color w:val="auto"/>
        </w:rPr>
      </w:pPr>
      <w:r>
        <w:rPr>
          <w:rFonts w:ascii="Arial" w:cs="Arial" w:eastAsia="Arial" w:hAnsi="Arial"/>
          <w:sz w:val="18"/>
          <w:szCs w:val="18"/>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We will continue to vigorously defend against the claims advanced.</w:t>
      </w:r>
    </w:p>
    <w:p>
      <w:pPr>
        <w:spacing w:after="0" w:line="197" w:lineRule="exact"/>
        <w:rPr>
          <w:sz w:val="20"/>
          <w:szCs w:val="20"/>
          <w:color w:val="auto"/>
        </w:rPr>
      </w:pPr>
    </w:p>
    <w:p>
      <w:pPr>
        <w:ind w:right="460" w:firstLine="485"/>
        <w:spacing w:after="0" w:line="312" w:lineRule="auto"/>
        <w:rPr>
          <w:sz w:val="20"/>
          <w:szCs w:val="20"/>
          <w:color w:val="auto"/>
        </w:rPr>
      </w:pPr>
      <w:r>
        <w:rPr>
          <w:rFonts w:ascii="Arial" w:cs="Arial" w:eastAsia="Arial" w:hAnsi="Arial"/>
          <w:sz w:val="16"/>
          <w:szCs w:val="16"/>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20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r>
        <w:rPr>
          <w:rFonts w:ascii="Arial" w:cs="Arial" w:eastAsia="Arial" w:hAnsi="Arial"/>
          <w:sz w:val="18"/>
          <w:szCs w:val="18"/>
          <w:b w:val="1"/>
          <w:bCs w:val="1"/>
          <w:color w:val="auto"/>
        </w:rPr>
        <w:t xml:space="preserve"> Common Stock Market</w:t>
      </w:r>
    </w:p>
    <w:p>
      <w:pPr>
        <w:ind w:firstLine="485"/>
        <w:spacing w:after="0" w:line="264" w:lineRule="auto"/>
        <w:rPr>
          <w:sz w:val="20"/>
          <w:szCs w:val="20"/>
          <w:color w:val="auto"/>
        </w:rPr>
      </w:pPr>
      <w:r>
        <w:rPr>
          <w:rFonts w:ascii="Arial" w:cs="Arial" w:eastAsia="Arial" w:hAnsi="Arial"/>
          <w:sz w:val="18"/>
          <w:szCs w:val="18"/>
          <w:color w:val="auto"/>
        </w:rPr>
        <w:t>Our common stock has been traded on The Nasdaq Global Market under the symbol “MNKD” since July 28, 2004. The closing sales price of our common stock on The Nasdaq Global Market was $1.47 on February 13, 2020 and there were 107 registered holders of record of our common stock as of that date.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485"/>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MidCap Credit Facility, we are restricted from declaring and distributing a cash dividend to our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MannKind is a smaller reporting company as defined by Rule 12b-2 of the Exchange Act and is not required to provide information under this item.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0" w:firstLine="485"/>
        <w:spacing w:after="0" w:line="259"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 The Company has elected the presentation requirements under Rule 12b-2 of the Exchange Act as a smaller reporting company and have herein included a two year discussion of our financial condition and results of operations. Please see our Annual Report on Form 10-K filed on February 26, 2019 for similar disclosures on previous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patients with diseases such as diabetes and pulmonary arterial hypertension. Our only approved product, Afrezza, is an ultra rapid-acting inhaled insulin that was approved by the FDA in June 2014 to improve glycemic control in adult patients with diabetes. Afrezza became available by prescription in United States retail pharmacies in February 2015.</w:t>
      </w:r>
    </w:p>
    <w:p>
      <w:pPr>
        <w:spacing w:after="0" w:line="187"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As of December 31, 2019, we had an accumulated deficit of $3.0 billion and a stockholders’ deficit of $190.5 million. We had net loss of $51.9 million and $87.0 million in the years ended December 31, 2019 and 2018, respectively. To date, we have funded our operations through the sale of equity and convertible debt securities, from the receipt of upfront and milestone payments from certain collaborations, and from borrowings under certain loan arrangements. As discussed below in “Liquidity and Capital Resources,” if we are unable to obtain additional funding, there will continue to be substantial doubt about our ability to continue as a going concern.</w:t>
      </w:r>
    </w:p>
    <w:p>
      <w:pPr>
        <w:spacing w:after="0" w:line="188" w:lineRule="exact"/>
        <w:rPr>
          <w:sz w:val="20"/>
          <w:szCs w:val="20"/>
          <w:color w:val="auto"/>
        </w:rPr>
      </w:pPr>
    </w:p>
    <w:p>
      <w:pPr>
        <w:ind w:right="380" w:firstLine="485"/>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need to raise additional capital to fund our operations, our ability to successfully commercialize Afrezza, our ability to manufacture sufficient quantities of Afrezza and competition from other products and technologies. Additional significant risks also include the risks inherent in clinical trials and the regulatory approval process for our product candidates, which in some cases depends upon the efforts of our partners.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85"/>
        <w:spacing w:after="0" w:line="290" w:lineRule="auto"/>
        <w:rPr>
          <w:sz w:val="20"/>
          <w:szCs w:val="20"/>
          <w:color w:val="auto"/>
        </w:rPr>
      </w:pPr>
      <w:r>
        <w:rPr>
          <w:rFonts w:ascii="Arial" w:cs="Arial" w:eastAsia="Arial" w:hAnsi="Arial"/>
          <w:sz w:val="16"/>
          <w:szCs w:val="16"/>
          <w:color w:val="auto"/>
        </w:rPr>
        <w:t>The preparation of our consolidated financial statements is in accordance with accounting principles generally accepted in the United States of America (GAAP).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We consider our critical accounting policies to be those related to revenue recognition and gross-to-net adjustments, inventory costing and recoverability, recognized loss on purchase commitments, impairment of long-lived assets, milestone rights liability, clinical trial expenses, stock-based compensation and accounting for income taxes. These critical accounting policies are also considered significant accounting policies and are more fully described in Note 2 — Summary of Significant Accounting Policies of the Notes to Consolidated Financial Statements included in Part II, Item 8 — Financial Statements and Supplementary Data.</w:t>
      </w:r>
    </w:p>
    <w:p>
      <w:pPr>
        <w:spacing w:after="0" w:line="188" w:lineRule="exact"/>
        <w:rPr>
          <w:sz w:val="20"/>
          <w:szCs w:val="20"/>
          <w:color w:val="auto"/>
        </w:rPr>
      </w:pPr>
    </w:p>
    <w:p>
      <w:pPr>
        <w:ind w:right="120" w:firstLine="485"/>
        <w:spacing w:after="0" w:line="273" w:lineRule="auto"/>
        <w:rPr>
          <w:sz w:val="20"/>
          <w:szCs w:val="20"/>
          <w:color w:val="auto"/>
        </w:rPr>
      </w:pPr>
      <w:r>
        <w:rPr>
          <w:rFonts w:ascii="Arial" w:cs="Arial" w:eastAsia="Arial" w:hAnsi="Arial"/>
          <w:sz w:val="17"/>
          <w:szCs w:val="17"/>
          <w:b w:val="1"/>
          <w:bCs w:val="1"/>
          <w:i w:val="1"/>
          <w:iCs w:val="1"/>
          <w:color w:val="auto"/>
        </w:rPr>
        <w:t xml:space="preserve">Revenue Recognition – Net Revenue – Commercial Product Sales </w:t>
      </w:r>
      <w:r>
        <w:rPr>
          <w:rFonts w:ascii="Arial" w:cs="Arial" w:eastAsia="Arial" w:hAnsi="Arial"/>
          <w:sz w:val="17"/>
          <w:szCs w:val="17"/>
          <w:color w:val="auto"/>
        </w:rPr>
        <w:t>— On January 1, 2018, we adopted Accounting Standards Codification (“ASC”)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Topic 606 - Revenue from Contracts with Customers (“the new revenue guidance”). We recognize revenue on product sales when a customer obtains control of our product, in an amount that reflects the consideration which we expect to be entitled in exchange for those goods or services. Product revenues are recorded net of applicable reserves for variable consideration, including discounts, rebates, allowances and fees. Management estimates related to revenue from commercial products includes estimates for variable consideration, product returns, government and payor rebates, and other incentives. For further detail refer to Note 2 – Summary of Significant Accounting Policies.</w:t>
      </w:r>
    </w:p>
    <w:p>
      <w:pPr>
        <w:spacing w:after="0" w:line="178" w:lineRule="exact"/>
        <w:rPr>
          <w:sz w:val="20"/>
          <w:szCs w:val="20"/>
          <w:color w:val="auto"/>
        </w:rPr>
      </w:pPr>
    </w:p>
    <w:p>
      <w:pPr>
        <w:ind w:right="80" w:firstLine="485"/>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 Collaborations and Services </w:t>
      </w:r>
      <w:r>
        <w:rPr>
          <w:rFonts w:ascii="Arial" w:cs="Arial" w:eastAsia="Arial" w:hAnsi="Arial"/>
          <w:sz w:val="16"/>
          <w:szCs w:val="16"/>
          <w:color w:val="auto"/>
        </w:rPr>
        <w:t>— We enter into licensing or research agreements under which we license certain rights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to third parties or provide research services to third-parties. The terms of these arrangements may include but are not limited to, payment to us of one or more of the following: up-front license fees; development, regulatory, and commercial milestone payments; payments for manufacturing supply services we provide; and royalties on net sales of licensed products and sublicenses of the rights.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development timelines, reimbursement rates for personnel costs, discount rates, and probabilities of technical and regulatory success. Given that significant estimates depend on the development plan, these estimates could change and impact the revenue recognition. Consideration received that does not meet the requirements to satisfy the revenue recognition criteria is recorded as deferred revenue in the accompanying consolidated balance sheets based on our best estimate of when such revenue will be recognized. Current deferred revenue consists of amounts that are expected to be recognized as revenue in the next 12 months. Amounts that we expect will not be recognized within the next 12 months are classified as long-term deferred revenue.</w:t>
      </w:r>
    </w:p>
    <w:p>
      <w:pPr>
        <w:spacing w:after="0" w:line="173"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b w:val="1"/>
          <w:bCs w:val="1"/>
          <w:i w:val="1"/>
          <w:iCs w:val="1"/>
          <w:color w:val="auto"/>
        </w:rPr>
        <w:t xml:space="preserve">Inventory Costing and Recoverability </w:t>
      </w:r>
      <w:r>
        <w:rPr>
          <w:rFonts w:ascii="Arial" w:cs="Arial" w:eastAsia="Arial" w:hAnsi="Arial"/>
          <w:sz w:val="18"/>
          <w:szCs w:val="18"/>
          <w:color w:val="auto"/>
        </w:rPr>
        <w:t>— We determine the cost of inventory using the first-in, first-out or FIFO method. We capitalize inventory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products based on judgement that future economic benefits are expected to be realized. Inventories are stated at the lower of cost or net realizable value. We analyzed our inventory levels to identify inventory that may expire or has a cost basis in excess of its estimated realizable value. We performed an assessment of projected sales to evaluate the lower of cost or net realizable value and the potential excess inventory on hand at December 31, 2019 and 2018. As a result of these assessments, we recorded inventory write-offs of $2.2 million in the year ended December 31, 2018. There were no inventory write-offs in the year ended December 31, 2019.</w:t>
      </w:r>
    </w:p>
    <w:p>
      <w:pPr>
        <w:spacing w:after="0" w:line="193" w:lineRule="exact"/>
        <w:rPr>
          <w:sz w:val="20"/>
          <w:szCs w:val="20"/>
          <w:color w:val="auto"/>
        </w:rPr>
      </w:pPr>
    </w:p>
    <w:p>
      <w:pPr>
        <w:ind w:right="360" w:firstLine="485"/>
        <w:spacing w:after="0" w:line="302" w:lineRule="auto"/>
        <w:rPr>
          <w:sz w:val="20"/>
          <w:szCs w:val="20"/>
          <w:color w:val="auto"/>
        </w:rPr>
      </w:pPr>
      <w:r>
        <w:rPr>
          <w:rFonts w:ascii="Arial" w:cs="Arial" w:eastAsia="Arial" w:hAnsi="Arial"/>
          <w:sz w:val="16"/>
          <w:szCs w:val="16"/>
          <w:b w:val="1"/>
          <w:bCs w:val="1"/>
          <w:i w:val="1"/>
          <w:iCs w:val="1"/>
          <w:color w:val="auto"/>
        </w:rPr>
        <w:t xml:space="preserve">Recognized Loss on Purchase Commitments </w:t>
      </w:r>
      <w:r>
        <w:rPr>
          <w:rFonts w:ascii="Arial" w:cs="Arial" w:eastAsia="Arial" w:hAnsi="Arial"/>
          <w:sz w:val="16"/>
          <w:szCs w:val="16"/>
          <w:color w:val="auto"/>
        </w:rPr>
        <w:t>— We assess whether losses on long term purchase commitments should be accrued. Losses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expected to arise from firm, non-cancellable, commitments for future purchases of inventory items are recognized unless recoverable. The loss on the purchase commitment balance is reduced as material is received. The balance of recognized loss on purchase commitments is primarily associated with insulin purchases. As of December 31, 2019 and 2018 the balance was $92.0 million and $98.3 million, respectively.</w:t>
      </w:r>
    </w:p>
    <w:p>
      <w:pPr>
        <w:spacing w:after="0" w:line="154" w:lineRule="exact"/>
        <w:rPr>
          <w:sz w:val="20"/>
          <w:szCs w:val="20"/>
          <w:color w:val="auto"/>
        </w:rPr>
      </w:pPr>
    </w:p>
    <w:p>
      <w:pPr>
        <w:ind w:right="20" w:firstLine="485"/>
        <w:spacing w:after="0" w:line="259"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 We evaluate long lived assets for impairment at least on a quarterly basis and whenever events or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that the carrying value of an asset may not be recoverable. An impairment loss would be indicated when estimated undiscounted future cash flows from the use and eventual disposition of an asset group, which are identifiable and largely independent of the cash flows of other asset groups, are less than the carrying amount of the asset group.</w:t>
      </w:r>
    </w:p>
    <w:p>
      <w:pPr>
        <w:spacing w:after="0" w:line="187" w:lineRule="exact"/>
        <w:rPr>
          <w:sz w:val="20"/>
          <w:szCs w:val="20"/>
          <w:color w:val="auto"/>
        </w:rPr>
      </w:pPr>
    </w:p>
    <w:p>
      <w:pPr>
        <w:ind w:right="160" w:firstLine="485"/>
        <w:spacing w:after="0" w:line="264" w:lineRule="auto"/>
        <w:rPr>
          <w:sz w:val="20"/>
          <w:szCs w:val="20"/>
          <w:color w:val="auto"/>
        </w:rPr>
      </w:pPr>
      <w:r>
        <w:rPr>
          <w:rFonts w:ascii="Arial" w:cs="Arial" w:eastAsia="Arial" w:hAnsi="Arial"/>
          <w:sz w:val="18"/>
          <w:szCs w:val="18"/>
          <w:color w:val="auto"/>
        </w:rPr>
        <w:t>In connection with our quarterly assessment of impairment indicators, we recorded no impairments for the years ended December 31, 2019 and 2018. For further information see Note 4 — Property and Equipment of the Notes to Consolidated Financial Statements included in “Part II, Item 8 — 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ind w:right="60" w:firstLine="485"/>
        <w:spacing w:after="0" w:line="271" w:lineRule="auto"/>
        <w:rPr>
          <w:sz w:val="20"/>
          <w:szCs w:val="20"/>
          <w:color w:val="auto"/>
        </w:rPr>
      </w:pPr>
      <w:r>
        <w:rPr>
          <w:rFonts w:ascii="Arial" w:cs="Arial" w:eastAsia="Arial" w:hAnsi="Arial"/>
          <w:sz w:val="17"/>
          <w:szCs w:val="17"/>
          <w:b w:val="1"/>
          <w:bCs w:val="1"/>
          <w:i w:val="1"/>
          <w:iCs w:val="1"/>
          <w:color w:val="auto"/>
        </w:rPr>
        <w:t xml:space="preserve">Milestone Rights Liability </w:t>
      </w:r>
      <w:r>
        <w:rPr>
          <w:rFonts w:ascii="Arial" w:cs="Arial" w:eastAsia="Arial" w:hAnsi="Arial"/>
          <w:sz w:val="17"/>
          <w:szCs w:val="17"/>
          <w:color w:val="auto"/>
        </w:rPr>
        <w:t>— In July 2013, in conjunction with the execution of a loan agreement (the “Deerfield Credit Facility”) with Deerfield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Design Fund II, L.P. and Deerfield Private Design International II, L.P. (collectively, “Deerfield”) that expired following our full satisfaction of our repayment obligations, we issued to Deerfield Private Design Fund II, L.P. and Horizon Santé FLML SÀRL, (the “Milestone Purchasers”) certain rights to receive payments of up to $90.0 million upon the occurrence of specified strategic and sales milestones, $70.0 million of which remains payable upon achievement of such milestones (the “Milestone Rights”), pursuant to an agreement (the “Milestone Agreement”) that continues beyond the expiration of the loan agreement. We evaluated the Milestone Rights and determined that such rights do not meet the definition of a freestanding derivative. Since we have elected not to apply the fair value option, we recorded the rights at the initial fair value. Upon the achievement of a milestone event, the milestone payment will be allocated between (i) a reduction of the initial liability and (ii) a return on investment and the gain or loss is recognized at the time the milestone event is achieved.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w:t>
      </w:r>
    </w:p>
    <w:p>
      <w:pPr>
        <w:spacing w:after="0" w:line="179"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b w:val="1"/>
          <w:bCs w:val="1"/>
          <w:i w:val="1"/>
          <w:iCs w:val="1"/>
          <w:color w:val="auto"/>
        </w:rPr>
        <w:t xml:space="preserve">Clinical Trial Expenses </w:t>
      </w:r>
      <w:r>
        <w:rPr>
          <w:rFonts w:ascii="Arial" w:cs="Arial" w:eastAsia="Arial" w:hAnsi="Arial"/>
          <w:sz w:val="17"/>
          <w:szCs w:val="17"/>
          <w:color w:val="auto"/>
        </w:rPr>
        <w:t>— Our clinical trial accrual process seeks to account for expenses resulting from our obligations under contract with vendors,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GAAP.</w:t>
      </w:r>
    </w:p>
    <w:p>
      <w:pPr>
        <w:spacing w:after="0" w:line="179" w:lineRule="exact"/>
        <w:rPr>
          <w:sz w:val="20"/>
          <w:szCs w:val="20"/>
          <w:color w:val="auto"/>
        </w:rPr>
      </w:pPr>
    </w:p>
    <w:p>
      <w:pPr>
        <w:ind w:right="300" w:firstLine="485"/>
        <w:spacing w:after="0" w:line="264"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our reporting amounts that are too high or too low for any particular period.</w:t>
      </w:r>
    </w:p>
    <w:p>
      <w:pPr>
        <w:spacing w:after="0" w:line="181" w:lineRule="exact"/>
        <w:rPr>
          <w:sz w:val="20"/>
          <w:szCs w:val="20"/>
          <w:color w:val="auto"/>
        </w:rPr>
      </w:pPr>
    </w:p>
    <w:p>
      <w:pPr>
        <w:ind w:right="40" w:firstLine="485"/>
        <w:spacing w:after="0" w:line="293"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 Share-based payments to employees, including grants of stock options, restricted stock units,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and the compensatory elements of employee stock purchase plans, are recognized in the consolidated statements of operations based upon the fair value of the awards at the grant date. We use the Black-Scholes option valuation model to estimate the grant date fair value of employee stock options and the compensatory elements of employee stock purchase plans. Restricted stock units are valued based on the market price on the grant date. We evaluate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65"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b w:val="1"/>
          <w:bCs w:val="1"/>
          <w:i w:val="1"/>
          <w:iCs w:val="1"/>
          <w:color w:val="auto"/>
        </w:rPr>
        <w:t xml:space="preserve">Accounting for Income Taxes </w:t>
      </w:r>
      <w:r>
        <w:rPr>
          <w:rFonts w:ascii="Arial" w:cs="Arial" w:eastAsia="Arial" w:hAnsi="Arial"/>
          <w:sz w:val="18"/>
          <w:szCs w:val="18"/>
          <w:color w:val="auto"/>
        </w:rPr>
        <w:t>— Our management must make judgments when determining our provision for income taxes, our deferred tax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liabilities and any valuation allowance recorded against our net deferred tax assets. As of December 31, 2019 and 2018, we had established a valuation allowance of $670.6 million and $665.4 million, respectively, against all of our net deferred tax asset balances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89"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Legislation enacted in 2017, informally titled the Tax Cuts and Jobs Act of 2017 (“Tax Act”), subjects a U.S. shareholder to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We have elected to account for GILTI in the year the tax is incurred.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a comparison of the revenue categories for the years ended December 31, 2019 and 2018 (dollars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 Change</w:t>
            </w:r>
          </w:p>
        </w:tc>
        <w:tc>
          <w:tcPr>
            <w:tcW w:w="116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1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Gross revenue from product sales</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43,492</w:t>
            </w:r>
          </w:p>
        </w:tc>
        <w:tc>
          <w:tcPr>
            <w:tcW w:w="24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30,242</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13,250</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5"/>
        </w:trPr>
        <w:tc>
          <w:tcPr>
            <w:tcW w:w="4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chargebacks, product returns and other</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discounts</w:t>
            </w: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(18,188)</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(12,966)</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w:t>
            </w:r>
          </w:p>
        </w:tc>
        <w:tc>
          <w:tcPr>
            <w:tcW w:w="2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1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17,276</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8,028</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1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27,151</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w:t>
            </w:r>
          </w:p>
        </w:tc>
      </w:tr>
      <w:tr>
        <w:trPr>
          <w:trHeight w:val="223"/>
        </w:trPr>
        <w:tc>
          <w:tcPr>
            <w:tcW w:w="46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1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27,859</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35,179</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r>
      <w:tr>
        <w:trPr>
          <w:trHeight w:val="20"/>
        </w:trPr>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85"/>
        <w:spacing w:after="0" w:line="270" w:lineRule="auto"/>
        <w:rPr>
          <w:sz w:val="20"/>
          <w:szCs w:val="20"/>
          <w:color w:val="auto"/>
        </w:rPr>
      </w:pPr>
      <w:r>
        <w:rPr>
          <w:rFonts w:ascii="Arial" w:cs="Arial" w:eastAsia="Arial" w:hAnsi="Arial"/>
          <w:sz w:val="17"/>
          <w:szCs w:val="17"/>
          <w:color w:val="auto"/>
        </w:rPr>
        <w:t>Gross revenue from the sales of Afrezza increased by $13.3 million, or 44%, for the year ended December 31, 2019 compared to the prior year. The increase was primarily driven by higher product demand and price increases, shipments to Biomm (Brazil) as well as a more favorable mix of Afrezza cartridges. The gross-to-net adjustment was $18.2 million (or 42% of gross revenue) for the year ended December 31, 2019, compared to $13.0 million (or 43% of gross revenue) for the prior year. The increase of $5.2 million was primarily due to a $1.8 million increase in wholesaler’s fee-for-service, a $1.3 million increase in rebates, chargebacks and patient co-pay assistance programs, and $1.8 million increase in product returns. Shipments to Biomm (Brazil) of $0.7 million which began in 2019 were not subject to gross-to-net adjustments. As a result, net revenue from the sales of Afrezza increased by $8.0 million, or 46%, for the year ended December 31, 2019 compared to the prior year.Net revenue from collaborations and services increased by $27.2 million, or 257%, for the year ended December 31, 2019 compared to the prior year. The increase was primarily driven by $24.8 million in revenue from the UT License Agreement and by $2.3 million in revenue from a separate research agreement with UT that we entered into in the fourth quarter of 2018 (the “UT Research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 gross profit</w:t>
      </w:r>
    </w:p>
    <w:p>
      <w:pPr>
        <w:spacing w:after="0" w:line="117" w:lineRule="exact"/>
        <w:rPr>
          <w:sz w:val="20"/>
          <w:szCs w:val="20"/>
          <w:color w:val="auto"/>
        </w:rPr>
      </w:pPr>
    </w:p>
    <w:p>
      <w:pPr>
        <w:ind w:right="80" w:firstLine="485"/>
        <w:spacing w:after="0" w:line="277" w:lineRule="auto"/>
        <w:rPr>
          <w:sz w:val="20"/>
          <w:szCs w:val="20"/>
          <w:color w:val="auto"/>
        </w:rPr>
      </w:pPr>
      <w:r>
        <w:rPr>
          <w:rFonts w:ascii="Arial" w:cs="Arial" w:eastAsia="Arial" w:hAnsi="Arial"/>
          <w:sz w:val="18"/>
          <w:szCs w:val="18"/>
          <w:color w:val="auto"/>
        </w:rPr>
        <w:t>The following table provides a comparison of the commercial product gross profit categories for the years ended December 31, 2019 and 2018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25,304</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17,276</w:t>
            </w:r>
          </w:p>
        </w:tc>
        <w:tc>
          <w:tcPr>
            <w:tcW w:w="3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8,028</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(20,078)</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(19,392)</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63"/>
        </w:trPr>
        <w:tc>
          <w:tcPr>
            <w:tcW w:w="5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3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7,342</w:t>
            </w:r>
          </w:p>
        </w:tc>
        <w:tc>
          <w:tcPr>
            <w:tcW w:w="240" w:type="dxa"/>
            <w:vAlign w:val="bottom"/>
            <w:tcBorders>
              <w:bottom w:val="single" w:sz="8" w:color="CFF0FC"/>
            </w:tcBorders>
          </w:tcPr>
          <w:p>
            <w:pPr>
              <w:spacing w:after="0"/>
              <w:rPr>
                <w:sz w:val="22"/>
                <w:szCs w:val="22"/>
                <w:color w:val="auto"/>
              </w:rPr>
            </w:pPr>
          </w:p>
        </w:tc>
        <w:tc>
          <w:tcPr>
            <w:tcW w:w="13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347%</w:t>
            </w:r>
          </w:p>
        </w:tc>
      </w:tr>
      <w:tr>
        <w:trPr>
          <w:trHeight w:val="210"/>
        </w:trPr>
        <w:tc>
          <w:tcPr>
            <w:tcW w:w="5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320" w:firstLine="485"/>
        <w:spacing w:after="0" w:line="277" w:lineRule="auto"/>
        <w:rPr>
          <w:sz w:val="20"/>
          <w:szCs w:val="20"/>
          <w:color w:val="auto"/>
        </w:rPr>
      </w:pPr>
      <w:r>
        <w:rPr>
          <w:rFonts w:ascii="Arial" w:cs="Arial" w:eastAsia="Arial" w:hAnsi="Arial"/>
          <w:sz w:val="18"/>
          <w:szCs w:val="18"/>
          <w:color w:val="auto"/>
        </w:rPr>
        <w:t>Commercial product gross profit increased by $7.3 million, or 347%, for the year ended December 31, 2019 from a gross loss of $2.1 million in the prior year. The increase was primarily attributable to higher commercial product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17" w:lineRule="exact"/>
        <w:rPr>
          <w:sz w:val="20"/>
          <w:szCs w:val="20"/>
          <w:color w:val="auto"/>
        </w:rPr>
      </w:pPr>
    </w:p>
    <w:p>
      <w:pPr>
        <w:ind w:right="400" w:firstLine="485"/>
        <w:spacing w:after="0" w:line="302" w:lineRule="auto"/>
        <w:rPr>
          <w:sz w:val="20"/>
          <w:szCs w:val="20"/>
          <w:color w:val="auto"/>
        </w:rPr>
      </w:pPr>
      <w:r>
        <w:rPr>
          <w:rFonts w:ascii="Arial" w:cs="Arial" w:eastAsia="Arial" w:hAnsi="Arial"/>
          <w:sz w:val="16"/>
          <w:szCs w:val="16"/>
          <w:color w:val="auto"/>
        </w:rPr>
        <w:t>To supplement our consolidated financial statements presented under GAAP, we are presenting certain non-GAAP financial 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revenue — Afrezza</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8,028</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(20,078)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(19,392)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GAAP gross profit (loss) — Afrezza</w:t>
            </w:r>
          </w:p>
        </w:tc>
        <w:tc>
          <w:tcPr>
            <w:tcW w:w="1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2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Exclude Amphastar amendment fee</w:t>
            </w:r>
          </w:p>
        </w:tc>
        <w:tc>
          <w:tcPr>
            <w:tcW w:w="1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Non-GAAP gross profit (loss) — Afrezza</w:t>
            </w:r>
          </w:p>
        </w:tc>
        <w:tc>
          <w:tcPr>
            <w:tcW w:w="1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8,092</w:t>
            </w:r>
          </w:p>
        </w:tc>
        <w:tc>
          <w:tcPr>
            <w:tcW w:w="2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260"/>
              <w:spacing w:after="0"/>
              <w:rPr>
                <w:sz w:val="20"/>
                <w:szCs w:val="20"/>
                <w:color w:val="auto"/>
              </w:rPr>
            </w:pPr>
            <w:r>
              <w:rPr>
                <w:rFonts w:ascii="Arial" w:cs="Arial" w:eastAsia="Arial" w:hAnsi="Arial"/>
                <w:sz w:val="18"/>
                <w:szCs w:val="18"/>
                <w:color w:val="auto"/>
              </w:rPr>
              <w:t>Non-GAAP gross margin</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460" w:type="dxa"/>
            <w:vAlign w:val="bottom"/>
          </w:tcPr>
          <w:p>
            <w:pPr>
              <w:spacing w:after="0"/>
              <w:rPr>
                <w:sz w:val="24"/>
                <w:szCs w:val="24"/>
                <w:color w:val="auto"/>
              </w:rPr>
            </w:pPr>
          </w:p>
        </w:tc>
        <w:tc>
          <w:tcPr>
            <w:tcW w:w="1540" w:type="dxa"/>
            <w:vAlign w:val="bottom"/>
            <w:gridSpan w:val="2"/>
          </w:tcPr>
          <w:p>
            <w:pPr>
              <w:jc w:val="right"/>
              <w:ind w:right="125"/>
              <w:spacing w:after="0"/>
              <w:rPr>
                <w:sz w:val="20"/>
                <w:szCs w:val="20"/>
                <w:color w:val="auto"/>
              </w:rPr>
            </w:pPr>
            <w:r>
              <w:rPr>
                <w:rFonts w:ascii="Arial" w:cs="Arial" w:eastAsia="Arial" w:hAnsi="Arial"/>
                <w:sz w:val="18"/>
                <w:szCs w:val="18"/>
                <w:color w:val="auto"/>
              </w:rPr>
              <w:t>38</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a comparison of the expense categories for the years ended December 31, 2019 and 2018 (dollars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116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20,078</w:t>
            </w:r>
          </w:p>
        </w:tc>
        <w:tc>
          <w:tcPr>
            <w:tcW w:w="24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19,392</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634%</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8,737</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(1,837)</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(1,034)</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32,309</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(4,013)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foreign currency translation</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(4,468)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r>
      <w:tr>
        <w:trPr>
          <w:trHeight w:val="223"/>
        </w:trPr>
        <w:tc>
          <w:tcPr>
            <w:tcW w:w="46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1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107,635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104,454</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3,181</w:t>
            </w:r>
          </w:p>
        </w:tc>
        <w:tc>
          <w:tcPr>
            <w:tcW w:w="2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85"/>
        <w:spacing w:after="0" w:line="259" w:lineRule="auto"/>
        <w:rPr>
          <w:sz w:val="20"/>
          <w:szCs w:val="20"/>
          <w:color w:val="auto"/>
        </w:rPr>
      </w:pPr>
      <w:r>
        <w:rPr>
          <w:rFonts w:ascii="Arial" w:cs="Arial" w:eastAsia="Arial" w:hAnsi="Arial"/>
          <w:sz w:val="18"/>
          <w:szCs w:val="18"/>
          <w:color w:val="auto"/>
        </w:rPr>
        <w:t>Cost of goods sold increased by $0.7 million, or 4%, for the year ended December 31, 2019 compared to the prior year. The increase was primarily attributable to higher cost of Afrezza sales of $2.1 million corresponding to higher Afrezza gross sales of $13.3 million and an increase of $0.8 million in fees paid for amendments to our Insulin Supply Agreement in 2018 and 2019, partially offset by a $2.2 million decrease in inventory write-offs as there were no inventory write-offs in 2019.</w:t>
      </w:r>
    </w:p>
    <w:p>
      <w:pPr>
        <w:spacing w:after="0" w:line="187" w:lineRule="exact"/>
        <w:rPr>
          <w:sz w:val="20"/>
          <w:szCs w:val="20"/>
          <w:color w:val="auto"/>
        </w:rPr>
      </w:pPr>
    </w:p>
    <w:p>
      <w:pPr>
        <w:ind w:right="100" w:firstLine="485"/>
        <w:spacing w:after="0" w:line="277" w:lineRule="auto"/>
        <w:rPr>
          <w:sz w:val="20"/>
          <w:szCs w:val="20"/>
          <w:color w:val="auto"/>
        </w:rPr>
      </w:pPr>
      <w:r>
        <w:rPr>
          <w:rFonts w:ascii="Arial" w:cs="Arial" w:eastAsia="Arial" w:hAnsi="Arial"/>
          <w:sz w:val="18"/>
          <w:szCs w:val="18"/>
          <w:color w:val="auto"/>
        </w:rPr>
        <w:t>Cost of goods sold includes the fees incurred to amend our Insulin Supply Agreement, which consisted of approximately $2.8 million and $2.0 million for the years ended December 31, 2019 and 2018, respectively.</w:t>
      </w:r>
    </w:p>
    <w:p>
      <w:pPr>
        <w:spacing w:after="0" w:line="170" w:lineRule="exact"/>
        <w:rPr>
          <w:sz w:val="20"/>
          <w:szCs w:val="20"/>
          <w:color w:val="auto"/>
        </w:rPr>
      </w:pPr>
    </w:p>
    <w:p>
      <w:pPr>
        <w:ind w:right="40" w:firstLine="485"/>
        <w:spacing w:after="0" w:line="264" w:lineRule="auto"/>
        <w:rPr>
          <w:sz w:val="20"/>
          <w:szCs w:val="20"/>
          <w:color w:val="auto"/>
        </w:rPr>
      </w:pPr>
      <w:r>
        <w:rPr>
          <w:rFonts w:ascii="Arial" w:cs="Arial" w:eastAsia="Arial" w:hAnsi="Arial"/>
          <w:sz w:val="18"/>
          <w:szCs w:val="18"/>
          <w:color w:val="auto"/>
        </w:rPr>
        <w:t>Cost of revenue - collaborations and services increased by $6.8 million, or 634%, for the year ended December 31, 2019 compared to the prior year. The increase was attributable to resource costs related to conducting activities under the UT License Agreement and UT Research Agreement, which began in the fourth quarter of 2018.</w:t>
      </w:r>
    </w:p>
    <w:p>
      <w:pPr>
        <w:spacing w:after="0" w:line="181" w:lineRule="exact"/>
        <w:rPr>
          <w:sz w:val="20"/>
          <w:szCs w:val="20"/>
          <w:color w:val="auto"/>
        </w:rPr>
      </w:pPr>
    </w:p>
    <w:p>
      <w:pPr>
        <w:ind w:right="180" w:firstLine="485"/>
        <w:spacing w:after="0" w:line="259" w:lineRule="auto"/>
        <w:rPr>
          <w:sz w:val="20"/>
          <w:szCs w:val="20"/>
          <w:color w:val="auto"/>
        </w:rPr>
      </w:pPr>
      <w:r>
        <w:rPr>
          <w:rFonts w:ascii="Arial" w:cs="Arial" w:eastAsia="Arial" w:hAnsi="Arial"/>
          <w:sz w:val="18"/>
          <w:szCs w:val="18"/>
          <w:color w:val="auto"/>
        </w:rPr>
        <w:t>Research and development expenses decreased by $1.8 million, or 21%, for the year ended December 31, 2019 compared to the prior year. The decrease was primarily attributable to a $1.7 million decrease in personnel related costs and a $0.9 million decrease in clinical trial spending, partially offset by increased expenses of $0.2 million related to the development of our BluHale inhalation profiling apparatus and increased facility remediation and equipment repair costs of $0.5 million.</w:t>
      </w:r>
    </w:p>
    <w:p>
      <w:pPr>
        <w:spacing w:after="0" w:line="187" w:lineRule="exact"/>
        <w:rPr>
          <w:sz w:val="20"/>
          <w:szCs w:val="20"/>
          <w:color w:val="auto"/>
        </w:rPr>
      </w:pPr>
    </w:p>
    <w:p>
      <w:pPr>
        <w:jc w:val="both"/>
        <w:ind w:right="360" w:firstLine="485"/>
        <w:spacing w:after="0" w:line="264" w:lineRule="auto"/>
        <w:rPr>
          <w:sz w:val="20"/>
          <w:szCs w:val="20"/>
          <w:color w:val="auto"/>
        </w:rPr>
      </w:pPr>
      <w:r>
        <w:rPr>
          <w:rFonts w:ascii="Arial" w:cs="Arial" w:eastAsia="Arial" w:hAnsi="Arial"/>
          <w:sz w:val="18"/>
          <w:szCs w:val="18"/>
          <w:color w:val="auto"/>
        </w:rPr>
        <w:t>Selling expenses decreased by $1.0 million, or 2%, for the year ended December 31, 2019 compared to the prior year. The decrease was primarily attributable to a $6.0 million decrease in personnel related costs, a $0.3 million decrease in sponsorships and decreased consulting costs of $0.3 million in 2019, partially offset by a $5.6 million increase in costs for television advertising for Afrezza in 2019.</w:t>
      </w:r>
    </w:p>
    <w:p>
      <w:pPr>
        <w:spacing w:after="0" w:line="181" w:lineRule="exact"/>
        <w:rPr>
          <w:sz w:val="20"/>
          <w:szCs w:val="20"/>
          <w:color w:val="auto"/>
        </w:rPr>
      </w:pPr>
    </w:p>
    <w:p>
      <w:pPr>
        <w:ind w:right="560" w:firstLine="485"/>
        <w:spacing w:after="0" w:line="264" w:lineRule="auto"/>
        <w:rPr>
          <w:sz w:val="20"/>
          <w:szCs w:val="20"/>
          <w:color w:val="auto"/>
        </w:rPr>
      </w:pPr>
      <w:r>
        <w:rPr>
          <w:rFonts w:ascii="Arial" w:cs="Arial" w:eastAsia="Arial" w:hAnsi="Arial"/>
          <w:sz w:val="18"/>
          <w:szCs w:val="18"/>
          <w:color w:val="auto"/>
        </w:rPr>
        <w:t>General and administrative expenses decreased by $4.0 million, or 12%, for the year ended December 31, 2019 compared to the prior year. This decrease was primarily attributable to a $0.6 million decrease in personnel and employee related costs, a $2.2 million net decrease in consulting and professional costs and a $1.2 million decrease in stock-based compensation costs.</w:t>
      </w:r>
    </w:p>
    <w:p>
      <w:pPr>
        <w:spacing w:after="0" w:line="181" w:lineRule="exact"/>
        <w:rPr>
          <w:sz w:val="20"/>
          <w:szCs w:val="20"/>
          <w:color w:val="auto"/>
        </w:rPr>
      </w:pPr>
    </w:p>
    <w:p>
      <w:pPr>
        <w:ind w:right="220" w:firstLine="485"/>
        <w:spacing w:after="0" w:line="259" w:lineRule="auto"/>
        <w:rPr>
          <w:sz w:val="20"/>
          <w:szCs w:val="20"/>
          <w:color w:val="auto"/>
        </w:rPr>
      </w:pPr>
      <w:r>
        <w:rPr>
          <w:rFonts w:ascii="Arial" w:cs="Arial" w:eastAsia="Arial" w:hAnsi="Arial"/>
          <w:sz w:val="18"/>
          <w:szCs w:val="18"/>
          <w:color w:val="auto"/>
        </w:rPr>
        <w:t>Under the Insulin Supply Agreement with Amphastar, payment obligations are denominated in Euros. We are required to record the foreign currency translation impact of the U.S. dollar to Euro exchange rate associated with the recognized loss on purchase commitments. The gain on foreign currency translation decreased $2.6 million, or 57%, for the year ended December 31, 2019 due to the translation impact of the U.S. dollar to Euro exchange rates resulting in a lower gain in 2019 when compared to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520" w:firstLine="485"/>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years ended December 31, 2019 and 2018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(6,304)</w:t>
            </w: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1,188</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Mann Group promissory notes</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(4,602)</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(4,323)</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Gain (loss) on extinguishment of debt</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4,294</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(926)</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500"/>
              <w:spacing w:after="0"/>
              <w:rPr>
                <w:sz w:val="20"/>
                <w:szCs w:val="20"/>
                <w:color w:val="auto"/>
              </w:rPr>
            </w:pPr>
            <w:r>
              <w:rPr>
                <w:rFonts w:ascii="Arial" w:cs="Arial" w:eastAsia="Arial" w:hAnsi="Arial"/>
                <w:sz w:val="18"/>
                <w:szCs w:val="18"/>
                <w:color w:val="auto"/>
              </w:rPr>
              <w:t>Total other expense</w:t>
            </w:r>
          </w:p>
        </w:tc>
        <w:tc>
          <w:tcPr>
            <w:tcW w:w="1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(2,834)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6" w:right="219" w:bottom="1440" w:gutter="0" w:footer="0" w:header="0"/>
        </w:sectPr>
      </w:pPr>
    </w:p>
    <w:bookmarkStart w:id="41" w:name="page42"/>
    <w:bookmarkEnd w:id="41"/>
    <w:p>
      <w:pPr>
        <w:ind w:right="420" w:firstLine="485"/>
        <w:spacing w:after="0" w:line="277" w:lineRule="auto"/>
        <w:rPr>
          <w:sz w:val="20"/>
          <w:szCs w:val="20"/>
          <w:color w:val="auto"/>
        </w:rPr>
      </w:pPr>
      <w:r>
        <w:rPr>
          <w:rFonts w:ascii="Arial" w:cs="Arial" w:eastAsia="Arial" w:hAnsi="Arial"/>
          <w:sz w:val="18"/>
          <w:szCs w:val="18"/>
          <w:color w:val="auto"/>
        </w:rPr>
        <w:t>Interest income increased by $0.5 million, or 99%, for the year ended December 31, 2019 compared to the prior year. This increase was primarily attributable to a higher average balance on our money market funds and short-term investments.</w:t>
      </w:r>
    </w:p>
    <w:p>
      <w:pPr>
        <w:spacing w:after="0" w:line="170" w:lineRule="exact"/>
        <w:rPr>
          <w:sz w:val="20"/>
          <w:szCs w:val="20"/>
          <w:color w:val="auto"/>
        </w:rPr>
      </w:pPr>
    </w:p>
    <w:p>
      <w:pPr>
        <w:ind w:right="160" w:firstLine="485"/>
        <w:spacing w:after="0" w:line="276" w:lineRule="auto"/>
        <w:rPr>
          <w:sz w:val="20"/>
          <w:szCs w:val="20"/>
          <w:color w:val="auto"/>
        </w:rPr>
      </w:pPr>
      <w:r>
        <w:rPr>
          <w:rFonts w:ascii="Arial" w:cs="Arial" w:eastAsia="Arial" w:hAnsi="Arial"/>
          <w:sz w:val="17"/>
          <w:szCs w:val="17"/>
          <w:color w:val="auto"/>
        </w:rPr>
        <w:t>Interest expense on notes, which included the MidCap Credit Facility, our previously outstanding $18.7 million aggregate principal amount of 5.75% Convertible Senior Subordinated Exchange Notes due 2021 (the “2021 notes”), our 2024 convertible notes, the Deerfield Credit Facility and the Milestone Rights, increased by $1.2 million, or 23%, for the year ended December 31, 2019 compared to the prior year. The increase was primarily attributable to additional interest of $3.4 million related to our milestone obligation under the Milestone Rights achieved in the third quarter of 2019, partially offset by lower interest as a result of the repayment of the Deerfield Credit Facility, which had an interest rate of 9.75%.</w:t>
      </w:r>
    </w:p>
    <w:p>
      <w:pPr>
        <w:spacing w:after="0" w:line="173" w:lineRule="exact"/>
        <w:rPr>
          <w:sz w:val="20"/>
          <w:szCs w:val="20"/>
          <w:color w:val="auto"/>
        </w:rPr>
      </w:pPr>
    </w:p>
    <w:p>
      <w:pPr>
        <w:ind w:right="160" w:firstLine="485"/>
        <w:spacing w:after="0" w:line="259" w:lineRule="auto"/>
        <w:rPr>
          <w:sz w:val="20"/>
          <w:szCs w:val="20"/>
          <w:color w:val="auto"/>
        </w:rPr>
      </w:pPr>
      <w:r>
        <w:rPr>
          <w:rFonts w:ascii="Arial" w:cs="Arial" w:eastAsia="Arial" w:hAnsi="Arial"/>
          <w:sz w:val="18"/>
          <w:szCs w:val="18"/>
          <w:color w:val="auto"/>
        </w:rPr>
        <w:t>The gain on extinguishment of debt for the year ended December 31, 2019 was primarily due to the cancellation of the 2021 notes in exchange for cash, common stock, 2024 convertible notes and non-interest bearing notes in August 2019 pursuant to an exchange agreement. The loss on extinguishment of debt for the year ended December 31, 2018 was primarily attributable to conversions of convertible debt to common stock under the Deerfield Credit Facility in September 2018.</w:t>
      </w:r>
    </w:p>
    <w:p>
      <w:pPr>
        <w:spacing w:after="0" w:line="187" w:lineRule="exact"/>
        <w:rPr>
          <w:sz w:val="20"/>
          <w:szCs w:val="20"/>
          <w:color w:val="auto"/>
        </w:rPr>
      </w:pPr>
    </w:p>
    <w:p>
      <w:pPr>
        <w:ind w:right="260" w:firstLine="485"/>
        <w:spacing w:after="0" w:line="259" w:lineRule="auto"/>
        <w:rPr>
          <w:sz w:val="20"/>
          <w:szCs w:val="20"/>
          <w:color w:val="auto"/>
        </w:rPr>
      </w:pPr>
      <w:r>
        <w:rPr>
          <w:rFonts w:ascii="Arial" w:cs="Arial" w:eastAsia="Arial" w:hAnsi="Arial"/>
          <w:sz w:val="18"/>
          <w:szCs w:val="18"/>
          <w:color w:val="auto"/>
        </w:rPr>
        <w:t>Other expense increased by $0.5 million, or 112%, for the year ended December 31, 2019 compared to the prior year. Other expense of $0.9 million incurred during 2019 was primarily due to expense recognized for the incremental fair value of warrants issued in December 2018 that were amended in December 2019. Other expense of $0.4 million incurred during 2018 primarily related to a currency loss realized in connection with a foreign exchange contract for purchases under the Insulin Supply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85"/>
        <w:spacing w:after="0" w:line="277"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and from borrowings under certain loan arrangements.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we had $120.3 million principal amount of outstanding debt consisting of:</w:t>
      </w:r>
    </w:p>
    <w:p>
      <w:pPr>
        <w:spacing w:after="0" w:line="117" w:lineRule="exact"/>
        <w:rPr>
          <w:sz w:val="20"/>
          <w:szCs w:val="20"/>
          <w:color w:val="auto"/>
        </w:rPr>
      </w:pPr>
    </w:p>
    <w:p>
      <w:pPr>
        <w:ind w:left="960" w:right="400" w:hanging="466"/>
        <w:spacing w:after="0" w:line="277"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maturing in August 2024;</w:t>
      </w:r>
    </w:p>
    <w:p>
      <w:pPr>
        <w:spacing w:after="0" w:line="62" w:lineRule="exact"/>
        <w:rPr>
          <w:rFonts w:ascii="Arial" w:cs="Arial" w:eastAsia="Arial" w:hAnsi="Arial"/>
          <w:sz w:val="18"/>
          <w:szCs w:val="18"/>
          <w:color w:val="auto"/>
        </w:rPr>
      </w:pPr>
    </w:p>
    <w:p>
      <w:pPr>
        <w:ind w:left="960" w:right="180" w:hanging="479"/>
        <w:spacing w:after="0" w:line="264"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 million principal amount of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73" w:lineRule="exact"/>
        <w:rPr>
          <w:rFonts w:ascii="Arial" w:cs="Arial" w:eastAsia="Arial" w:hAnsi="Arial"/>
          <w:sz w:val="18"/>
          <w:szCs w:val="18"/>
          <w:color w:val="auto"/>
        </w:rPr>
      </w:pPr>
    </w:p>
    <w:p>
      <w:pPr>
        <w:ind w:left="960" w:hanging="47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$5.2 million principal amount of 2020 notes, half of which mature in June 2020 and half of which mature in December 2020; and</w:t>
      </w:r>
    </w:p>
    <w:p>
      <w:pPr>
        <w:spacing w:after="0" w:line="117" w:lineRule="exact"/>
        <w:rPr>
          <w:rFonts w:ascii="Arial" w:cs="Arial" w:eastAsia="Arial" w:hAnsi="Arial"/>
          <w:sz w:val="18"/>
          <w:szCs w:val="18"/>
          <w:color w:val="auto"/>
        </w:rPr>
      </w:pPr>
    </w:p>
    <w:p>
      <w:pPr>
        <w:ind w:left="960" w:right="120" w:hanging="479"/>
        <w:spacing w:after="0" w:line="259"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promissory notes bearing interest at a fixed rate of 7.00% per annum compounded quarterly and maturing in November 2024, $35.0 million of which is convertible into shares of our common stock at the option of The Mann Group at a conversion price of $2.50 per share. Interest is paid-in-kind from August 2019 until the end of 2020, after which we have the option to either pay interest in-kind or in shares.</w:t>
      </w:r>
    </w:p>
    <w:p>
      <w:pPr>
        <w:spacing w:after="0" w:line="187"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There can be no assurance that we will have sufficient resources to make any required repayments of principal under the MidCap Credit Facility, the 2024 convertible notes, the 2020 notes or the Mann Group promissory notes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The 2024 convertible notes and the Mann Group convertible note are fully convertible at any time prior to maturity as further disclosed in Note 7 – Borrowings.</w:t>
      </w:r>
    </w:p>
    <w:p>
      <w:pPr>
        <w:spacing w:after="0" w:line="193"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pay interest on the 2024 convertible notes or under the MidCap Credit Facility, or if we fail to repay or repurchase the 2024 convertible notes, the 2020 notes, Mann Group promissory notes or borrowings under the MidCap Credit Facility,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93" w:lineRule="exact"/>
        <w:rPr>
          <w:sz w:val="20"/>
          <w:szCs w:val="20"/>
          <w:color w:val="auto"/>
        </w:rPr>
      </w:pPr>
    </w:p>
    <w:p>
      <w:pPr>
        <w:jc w:val="both"/>
        <w:ind w:firstLine="485"/>
        <w:spacing w:after="0" w:line="312" w:lineRule="auto"/>
        <w:rPr>
          <w:sz w:val="20"/>
          <w:szCs w:val="20"/>
          <w:color w:val="auto"/>
        </w:rPr>
      </w:pPr>
      <w:r>
        <w:rPr>
          <w:rFonts w:ascii="Arial" w:cs="Arial" w:eastAsia="Arial" w:hAnsi="Arial"/>
          <w:sz w:val="16"/>
          <w:szCs w:val="16"/>
          <w:color w:val="auto"/>
        </w:rPr>
        <w:t>In July 2013, we issued Milestone Rights to the Milestone Purchasers. The Milestone Rights provide the Milestone Purchasers certain rights to receive payments of up to $90.0 million upon the occurrence of specified strategic and sales milestones, $70.0 million of which remains payable upon achievement of such milestones. See Note 13 — Commitments and Contingencies and Note 7 — Borrowings for further information related to the Milestone Rights.</w:t>
      </w:r>
    </w:p>
    <w:p>
      <w:pPr>
        <w:spacing w:after="0" w:line="147" w:lineRule="exact"/>
        <w:rPr>
          <w:sz w:val="20"/>
          <w:szCs w:val="20"/>
          <w:color w:val="auto"/>
        </w:rPr>
      </w:pPr>
    </w:p>
    <w:p>
      <w:pPr>
        <w:ind w:right="440" w:firstLine="485"/>
        <w:spacing w:after="0" w:line="277" w:lineRule="auto"/>
        <w:rPr>
          <w:sz w:val="20"/>
          <w:szCs w:val="20"/>
          <w:color w:val="auto"/>
        </w:rPr>
      </w:pPr>
      <w:r>
        <w:rPr>
          <w:rFonts w:ascii="Arial" w:cs="Arial" w:eastAsia="Arial" w:hAnsi="Arial"/>
          <w:sz w:val="18"/>
          <w:szCs w:val="18"/>
          <w:color w:val="auto"/>
        </w:rPr>
        <w:t>These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70" w:lineRule="exact"/>
        <w:rPr>
          <w:sz w:val="20"/>
          <w:szCs w:val="20"/>
          <w:color w:val="auto"/>
        </w:rPr>
      </w:pPr>
    </w:p>
    <w:p>
      <w:pPr>
        <w:ind w:right="40" w:firstLine="485"/>
        <w:spacing w:after="0" w:line="308" w:lineRule="auto"/>
        <w:rPr>
          <w:sz w:val="20"/>
          <w:szCs w:val="20"/>
          <w:color w:val="auto"/>
        </w:rPr>
      </w:pPr>
      <w:r>
        <w:rPr>
          <w:rFonts w:ascii="Arial" w:cs="Arial" w:eastAsia="Arial" w:hAnsi="Arial"/>
          <w:sz w:val="17"/>
          <w:szCs w:val="17"/>
          <w:color w:val="auto"/>
        </w:rPr>
        <w:t>During the year ended December 31, 2019, we used $88.5 million of cash for our operating activities mainly as a result of our net loss of $51.9 million as well as paid-in-kind interest on the Mann Group promissory notes of $32.8 million and a decrease in deferred revenue of $6.7 million.</w:t>
      </w:r>
    </w:p>
    <w:p>
      <w:pPr>
        <w:spacing w:after="0" w:line="147" w:lineRule="exact"/>
        <w:rPr>
          <w:sz w:val="20"/>
          <w:szCs w:val="20"/>
          <w:color w:val="auto"/>
        </w:rPr>
      </w:pPr>
    </w:p>
    <w:p>
      <w:pPr>
        <w:ind w:firstLine="485"/>
        <w:spacing w:after="0" w:line="277" w:lineRule="auto"/>
        <w:rPr>
          <w:sz w:val="20"/>
          <w:szCs w:val="20"/>
          <w:color w:val="auto"/>
        </w:rPr>
      </w:pPr>
      <w:r>
        <w:rPr>
          <w:rFonts w:ascii="Arial" w:cs="Arial" w:eastAsia="Arial" w:hAnsi="Arial"/>
          <w:sz w:val="18"/>
          <w:szCs w:val="18"/>
          <w:color w:val="auto"/>
        </w:rPr>
        <w:t>During the year ended December 31, 2018, we used $37.7 million of cash for our operating activities mainly as a result of our net loss of $87.0 million, partially offset by a decrease in operating assets and liabilities primarily attributable to our receipt of $57.2 million in cash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collaboration agreements (revenue recognition of $46.8 million was deferred to future periods. See Note 8 — Collaborations and Licensing Arrangements).</w:t>
      </w:r>
    </w:p>
    <w:p>
      <w:pPr>
        <w:spacing w:after="0" w:line="248" w:lineRule="exact"/>
        <w:rPr>
          <w:sz w:val="20"/>
          <w:szCs w:val="20"/>
          <w:color w:val="auto"/>
        </w:rPr>
      </w:pPr>
    </w:p>
    <w:p>
      <w:pPr>
        <w:ind w:right="60" w:firstLine="485"/>
        <w:spacing w:after="0" w:line="286" w:lineRule="auto"/>
        <w:rPr>
          <w:sz w:val="20"/>
          <w:szCs w:val="20"/>
          <w:color w:val="auto"/>
        </w:rPr>
      </w:pPr>
      <w:r>
        <w:rPr>
          <w:rFonts w:ascii="Arial" w:cs="Arial" w:eastAsia="Arial" w:hAnsi="Arial"/>
          <w:sz w:val="17"/>
          <w:szCs w:val="17"/>
          <w:color w:val="auto"/>
        </w:rPr>
        <w:t>Cash used in investing activities was $22.8 million for the year ended December 31, 2019 compared to cash used in investing activities of $0.2 million for the year ended December 31, 2018. The difference was primarily due to a purchase of treasury bills of $45.0 million, partially offset by proceeds from sales of treasury bills of $25.0 million in 2019. There was no investment in treasury bills for the year ended December 31, 2018.</w:t>
      </w:r>
    </w:p>
    <w:p>
      <w:pPr>
        <w:spacing w:after="0" w:line="166"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Cash provided by financing activities was $69.9 million for the year ended December 31, 2019, primarily due to $39.1 million of net proceeds from the Midcap Credit Facility, $31.8 million of net proceeds from the exchange of the Mann Group promissory notes, $9.9 million of net proceeds from the exchange of the senior convertible notes, in addition to proceeds received from the issuance of our common stock associated with the exercise of warrants for $5.9 million and our at-the-market offering for $3.2 million. These net proceeds were partially offset by net payments of $11.1 million for the 2021 notes and $6.9 million for the Deerfield Credit Facility.</w:t>
      </w:r>
    </w:p>
    <w:p>
      <w:pPr>
        <w:spacing w:after="0" w:line="188" w:lineRule="exact"/>
        <w:rPr>
          <w:sz w:val="20"/>
          <w:szCs w:val="20"/>
          <w:color w:val="auto"/>
        </w:rPr>
      </w:pPr>
    </w:p>
    <w:p>
      <w:pPr>
        <w:ind w:right="180" w:firstLine="485"/>
        <w:spacing w:after="0" w:line="312" w:lineRule="auto"/>
        <w:rPr>
          <w:sz w:val="20"/>
          <w:szCs w:val="20"/>
          <w:color w:val="auto"/>
        </w:rPr>
      </w:pPr>
      <w:r>
        <w:rPr>
          <w:rFonts w:ascii="Arial" w:cs="Arial" w:eastAsia="Arial" w:hAnsi="Arial"/>
          <w:sz w:val="16"/>
          <w:szCs w:val="16"/>
          <w:color w:val="auto"/>
        </w:rPr>
        <w:t>Cash provided from financing activities was $61.3 million for the year ended December 31, 2018 primarily related to an aggregate proceeds of $68.0 million in a public offering and a direct placement of common stock and $2.0 million in at-the-market issuance of common stock offset by $5.0 million of principal payment on Facility Financing Obligation and $4.1 million costs associated with the offering and direct placement of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117" w:lineRule="exact"/>
        <w:rPr>
          <w:sz w:val="20"/>
          <w:szCs w:val="20"/>
          <w:color w:val="auto"/>
        </w:rPr>
      </w:pPr>
    </w:p>
    <w:p>
      <w:pPr>
        <w:ind w:right="40" w:firstLine="485"/>
        <w:spacing w:after="0" w:line="276" w:lineRule="auto"/>
        <w:rPr>
          <w:sz w:val="20"/>
          <w:szCs w:val="20"/>
          <w:color w:val="auto"/>
        </w:rPr>
      </w:pPr>
      <w:r>
        <w:rPr>
          <w:rFonts w:ascii="Arial" w:cs="Arial" w:eastAsia="Arial" w:hAnsi="Arial"/>
          <w:sz w:val="17"/>
          <w:szCs w:val="17"/>
          <w:color w:val="auto"/>
        </w:rPr>
        <w:t>We are not currently profitable and have rarely generated positive net cash flows from operations. In addition, we expect to continue to incur significant expenditures for the foreseeable future in support of our manufacturing operations, sales and marketing costs for Afrezza, and collaboration and development costs for product candidates in our pipeline. As of December 31, 2019, we had an accumulated deficit of $3.0 billion and $120.3 million of total principal amount of outstanding borrowings, with limited capital resources of $29.9 million in cash and cash equivalents and $20.0 million in short-term investments. These financial conditions raise substantial doubt about our ability to continue as a going concern.</w:t>
      </w:r>
    </w:p>
    <w:p>
      <w:pPr>
        <w:spacing w:after="0" w:line="173" w:lineRule="exact"/>
        <w:rPr>
          <w:sz w:val="20"/>
          <w:szCs w:val="20"/>
          <w:color w:val="auto"/>
        </w:rPr>
      </w:pPr>
    </w:p>
    <w:p>
      <w:pPr>
        <w:ind w:right="120" w:firstLine="485"/>
        <w:spacing w:after="0" w:line="290" w:lineRule="auto"/>
        <w:rPr>
          <w:sz w:val="20"/>
          <w:szCs w:val="20"/>
          <w:color w:val="auto"/>
        </w:rPr>
      </w:pPr>
      <w:r>
        <w:rPr>
          <w:rFonts w:ascii="Arial" w:cs="Arial" w:eastAsia="Arial" w:hAnsi="Arial"/>
          <w:sz w:val="16"/>
          <w:szCs w:val="16"/>
          <w:color w:val="auto"/>
        </w:rPr>
        <w:t>Our capital resources may not be sufficient to continue to meet our current and anticipated obligations over the next twelve months if we cannot increase our operating cash inflows by growing our prescription and revenue base and/or obtain access to the remaining $35.0 million borrowings that may become available under the MidCap Credit Facility. In the event these capital resources are not sufficient, we may need to raise additional capital by selling equity or debt securities, entering into strategic business collaboration agreements with other companies, seeking other funding facilities or licensing arrangements, selling assets or by other means. However, we cannot provide assurances that additional capital will be available on acceptable terms or at all.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66" w:lineRule="exact"/>
        <w:rPr>
          <w:sz w:val="20"/>
          <w:szCs w:val="20"/>
          <w:color w:val="auto"/>
        </w:rPr>
      </w:pPr>
    </w:p>
    <w:p>
      <w:pPr>
        <w:ind w:right="420" w:firstLine="485"/>
        <w:spacing w:after="0" w:line="259" w:lineRule="auto"/>
        <w:rPr>
          <w:sz w:val="20"/>
          <w:szCs w:val="20"/>
          <w:color w:val="auto"/>
        </w:rPr>
      </w:pPr>
      <w:r>
        <w:rPr>
          <w:rFonts w:ascii="Arial" w:cs="Arial" w:eastAsia="Arial" w:hAnsi="Arial"/>
          <w:sz w:val="18"/>
          <w:szCs w:val="18"/>
          <w:color w:val="auto"/>
        </w:rPr>
        <w:t>If we are unable to meet our current and anticipated obligations over the next twelve months through our existing capital resources, or obtain new sources of capital when needed, we may have to delay or reduce the scope of our manufacturing operations, reduce or eliminate one or more of our development programs, or make significant changes to our operating plan. These factors raise substantial doubt about our ability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2018,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40" w:firstLine="485"/>
        <w:spacing w:after="0" w:line="264" w:lineRule="auto"/>
        <w:rPr>
          <w:sz w:val="20"/>
          <w:szCs w:val="20"/>
          <w:color w:val="auto"/>
        </w:rPr>
      </w:pPr>
      <w:r>
        <w:rPr>
          <w:rFonts w:ascii="Arial" w:cs="Arial" w:eastAsia="Arial" w:hAnsi="Arial"/>
          <w:sz w:val="18"/>
          <w:szCs w:val="18"/>
          <w:color w:val="auto"/>
        </w:rPr>
        <w:t>See Note 2 — Summary of Significant Accounting Policies of the Notes to Consolidated Financial Statements included in Part II, Item 8 — Financial Statements and Supplementary Data,” for information regarding accounting standards we adopted in 2019 and other new accounting standards that have been issued by the FASB but are not effective until after December 31,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485"/>
        <w:spacing w:after="0" w:line="297" w:lineRule="auto"/>
        <w:rPr>
          <w:sz w:val="20"/>
          <w:szCs w:val="20"/>
          <w:color w:val="auto"/>
        </w:rPr>
      </w:pPr>
      <w:r>
        <w:rPr>
          <w:rFonts w:ascii="Arial" w:cs="Arial" w:eastAsia="Arial" w:hAnsi="Arial"/>
          <w:sz w:val="16"/>
          <w:szCs w:val="16"/>
          <w:color w:val="auto"/>
        </w:rPr>
        <w:t>Interest on borrowings under the MidCap Credit Facility is determined, for any one-month period, on the basis of one-month LIBOR in effect at the beginning of such period plus 6.75%, subject to a one-month LIBOR floor of 2.00%. Accordingly, our interest expense under the MidCap Credit Facility is subject to changes in the one-month LIBOR rate. All other debt has fixed interest rates, so the interest expense associated with such debt is not exposed to changes in market interest rates. Specifically, the interest rate on amounts borrowed under the Mann Group promissory notes is fixed at 7.00% and the interest rate under the 2024 convertible notes is fixed at 5.75%. See Note 7 – Borrowings for information about the principal amount of outstanding debt.</w:t>
      </w:r>
    </w:p>
    <w:p>
      <w:pPr>
        <w:spacing w:after="0" w:line="158" w:lineRule="exact"/>
        <w:rPr>
          <w:sz w:val="20"/>
          <w:szCs w:val="20"/>
          <w:color w:val="auto"/>
        </w:rPr>
      </w:pPr>
    </w:p>
    <w:p>
      <w:pPr>
        <w:ind w:right="240" w:firstLine="485"/>
        <w:spacing w:after="0" w:line="277" w:lineRule="auto"/>
        <w:rPr>
          <w:sz w:val="20"/>
          <w:szCs w:val="20"/>
          <w:color w:val="auto"/>
        </w:rPr>
      </w:pPr>
      <w:r>
        <w:rPr>
          <w:rFonts w:ascii="Arial" w:cs="Arial" w:eastAsia="Arial" w:hAnsi="Arial"/>
          <w:sz w:val="18"/>
          <w:szCs w:val="18"/>
          <w:color w:val="auto"/>
        </w:rPr>
        <w:t>If a change in the one-month LIBOR interest rate equal to 10% of the one-month LIBOR interest rate on December 31, 2019 were to have occurred, this change would not have a material effect on our interest payment obligation.</w:t>
      </w:r>
    </w:p>
    <w:p>
      <w:pPr>
        <w:spacing w:after="0" w:line="170" w:lineRule="exact"/>
        <w:rPr>
          <w:sz w:val="20"/>
          <w:szCs w:val="20"/>
          <w:color w:val="auto"/>
        </w:rPr>
      </w:pPr>
    </w:p>
    <w:p>
      <w:pPr>
        <w:ind w:firstLine="485"/>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U.S. Treasury bills or notes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100" w:firstLine="485"/>
        <w:spacing w:after="0" w:line="277" w:lineRule="auto"/>
        <w:rPr>
          <w:sz w:val="20"/>
          <w:szCs w:val="20"/>
          <w:color w:val="auto"/>
        </w:rPr>
      </w:pPr>
      <w:r>
        <w:rPr>
          <w:rFonts w:ascii="Arial" w:cs="Arial" w:eastAsia="Arial" w:hAnsi="Arial"/>
          <w:sz w:val="18"/>
          <w:szCs w:val="18"/>
          <w:color w:val="auto"/>
        </w:rPr>
        <w:t>If a change in interest rates equal to 10% of the interest rates on December 31, 2019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0" w:firstLine="485"/>
        <w:spacing w:after="0" w:line="297" w:lineRule="auto"/>
        <w:rPr>
          <w:sz w:val="20"/>
          <w:szCs w:val="20"/>
          <w:color w:val="auto"/>
        </w:rPr>
      </w:pPr>
      <w:r>
        <w:rPr>
          <w:rFonts w:ascii="Arial" w:cs="Arial" w:eastAsia="Arial" w:hAnsi="Arial"/>
          <w:sz w:val="16"/>
          <w:szCs w:val="16"/>
          <w:color w:val="auto"/>
        </w:rPr>
        <w:t xml:space="preserve">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In 2019, we entered into two 90-day foreign currency hedging transactions to mitigate our exposure to foreign currency exchange risks associated with then-existing insulin purchase commitments. We realized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currency loss for these transactions, which we recorded in other income and expense.</w:t>
      </w:r>
    </w:p>
    <w:p>
      <w:pPr>
        <w:spacing w:after="0" w:line="158" w:lineRule="exact"/>
        <w:rPr>
          <w:sz w:val="20"/>
          <w:szCs w:val="20"/>
          <w:color w:val="auto"/>
        </w:rPr>
      </w:pPr>
    </w:p>
    <w:p>
      <w:pPr>
        <w:jc w:val="both"/>
        <w:ind w:right="60" w:firstLine="485"/>
        <w:spacing w:after="0" w:line="264" w:lineRule="auto"/>
        <w:rPr>
          <w:sz w:val="20"/>
          <w:szCs w:val="20"/>
          <w:color w:val="auto"/>
        </w:rPr>
      </w:pPr>
      <w:r>
        <w:rPr>
          <w:rFonts w:ascii="Arial" w:cs="Arial" w:eastAsia="Arial" w:hAnsi="Arial"/>
          <w:sz w:val="18"/>
          <w:szCs w:val="18"/>
          <w:color w:val="auto"/>
        </w:rPr>
        <w:t>Exchange rate fluctuations may adversely affect our expenses, results of operations, financial position and cash flows. If a change in the U.S. dollar to Euro exchange rate equal to 10% of the U.S. dollar to Euro exchange rate on December 31, 2019 were to have occurred, this change would have resulted in a foreign currency impact to our pre-tax loss of approximately $9.2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included in Items 15(a) (1) and (2) of Part IV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85"/>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Securities and Exchange Commission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spacing w:after="0" w:line="179" w:lineRule="exact"/>
        <w:rPr>
          <w:sz w:val="20"/>
          <w:szCs w:val="20"/>
          <w:color w:val="auto"/>
        </w:rPr>
      </w:pPr>
    </w:p>
    <w:p>
      <w:pPr>
        <w:ind w:right="120" w:firstLine="485"/>
        <w:spacing w:after="0" w:line="264" w:lineRule="auto"/>
        <w:rPr>
          <w:sz w:val="20"/>
          <w:szCs w:val="20"/>
          <w:color w:val="auto"/>
        </w:rPr>
      </w:pPr>
      <w:r>
        <w:rPr>
          <w:rFonts w:ascii="Arial" w:cs="Arial" w:eastAsia="Arial" w:hAnsi="Arial"/>
          <w:sz w:val="18"/>
          <w:szCs w:val="18"/>
          <w:color w:val="auto"/>
        </w:rPr>
        <w:t>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our disclosure controls and procedures as of December 31, 2019.</w:t>
      </w:r>
    </w:p>
    <w:p>
      <w:pPr>
        <w:spacing w:after="0" w:line="181" w:lineRule="exact"/>
        <w:rPr>
          <w:sz w:val="20"/>
          <w:szCs w:val="20"/>
          <w:color w:val="auto"/>
        </w:rPr>
      </w:pPr>
    </w:p>
    <w:p>
      <w:pPr>
        <w:ind w:right="500" w:firstLine="485"/>
        <w:spacing w:after="0" w:line="277" w:lineRule="auto"/>
        <w:rPr>
          <w:sz w:val="20"/>
          <w:szCs w:val="20"/>
          <w:color w:val="auto"/>
        </w:rPr>
      </w:pPr>
      <w:r>
        <w:rPr>
          <w:rFonts w:ascii="Arial" w:cs="Arial" w:eastAsia="Arial" w:hAnsi="Arial"/>
          <w:sz w:val="18"/>
          <w:szCs w:val="18"/>
          <w:color w:val="auto"/>
        </w:rPr>
        <w:t>Based upon this evaluation, our Chief Executive Officer and Chief Financial Officer concluded that our disclosure controls and procedures were effective as of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2019. In making this assessment, our management used the criteria set forth by the Committee of Sponsoring Organizations of the Treadway Commission (COSO) in the Internal Control-Integrated Framework (2013 Framework).</w:t>
      </w:r>
    </w:p>
    <w:p>
      <w:pPr>
        <w:spacing w:after="0" w:line="189" w:lineRule="exact"/>
        <w:rPr>
          <w:sz w:val="20"/>
          <w:szCs w:val="20"/>
          <w:color w:val="auto"/>
        </w:rPr>
      </w:pPr>
    </w:p>
    <w:p>
      <w:pPr>
        <w:ind w:right="100" w:firstLine="485"/>
        <w:spacing w:after="0" w:line="277" w:lineRule="auto"/>
        <w:rPr>
          <w:sz w:val="20"/>
          <w:szCs w:val="20"/>
          <w:color w:val="auto"/>
        </w:rPr>
      </w:pPr>
      <w:r>
        <w:rPr>
          <w:rFonts w:ascii="Arial" w:cs="Arial" w:eastAsia="Arial" w:hAnsi="Arial"/>
          <w:sz w:val="18"/>
          <w:szCs w:val="18"/>
          <w:color w:val="auto"/>
        </w:rPr>
        <w:t>Based on this assessment, our management concluded that, as of December 31, 2019, our internal control over financial reporting was effective based on those criteria.</w:t>
      </w:r>
    </w:p>
    <w:p>
      <w:pPr>
        <w:spacing w:after="0" w:line="170" w:lineRule="exact"/>
        <w:rPr>
          <w:sz w:val="20"/>
          <w:szCs w:val="20"/>
          <w:color w:val="auto"/>
        </w:rPr>
      </w:pPr>
    </w:p>
    <w:p>
      <w:pPr>
        <w:ind w:right="20" w:firstLine="48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Deloitte &amp; Touche LLP, an independent registered public accounting firm, as stated in its report, which is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485"/>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45" w:name="page46"/>
    <w:bookmarkEnd w:id="4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60" w:firstLine="485"/>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MannKind Corporation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right="340" w:firstLine="485"/>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2019, of the Company and our report dated February 25, 2020, expressed an unqualified opinion on those financial statements and includes an explanatory paragraph relating to the Company’s ability to continue as a going concern.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60" w:firstLine="48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80" w:firstLine="48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right="260" w:firstLine="493"/>
        <w:spacing w:after="0" w:line="277" w:lineRule="auto"/>
        <w:tabs>
          <w:tab w:leader="none" w:pos="73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“Information about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Part I, Item 1 of this Annual Report on Form 10-K.</w:t>
      </w:r>
    </w:p>
    <w:p>
      <w:pPr>
        <w:spacing w:after="0" w:line="170" w:lineRule="exact"/>
        <w:rPr>
          <w:rFonts w:ascii="Arial" w:cs="Arial" w:eastAsia="Arial" w:hAnsi="Arial"/>
          <w:sz w:val="18"/>
          <w:szCs w:val="18"/>
          <w:color w:val="auto"/>
        </w:rPr>
      </w:pPr>
    </w:p>
    <w:p>
      <w:pPr>
        <w:ind w:firstLine="493"/>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The information required by this Item regarding the identification and business experience of our directors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will be contained in the section entitled “Proposal 1 — Election of Directors” and “Corporate Governance Principles and Board and Committee Matters” in our definitive proxy statement for our 2020 Annual Meeting of Stockholders (the “Proxy Statement”), to be filed with the SEC on or before April 29, 2020, and is incorporated herein by reference.</w:t>
      </w:r>
    </w:p>
    <w:p>
      <w:pPr>
        <w:spacing w:after="0" w:line="187" w:lineRule="exact"/>
        <w:rPr>
          <w:sz w:val="20"/>
          <w:szCs w:val="20"/>
          <w:color w:val="auto"/>
        </w:rPr>
      </w:pPr>
    </w:p>
    <w:p>
      <w:pPr>
        <w:ind w:right="80" w:firstLine="485"/>
        <w:spacing w:after="0" w:line="255" w:lineRule="auto"/>
        <w:rPr>
          <w:sz w:val="20"/>
          <w:szCs w:val="20"/>
          <w:color w:val="auto"/>
        </w:rPr>
      </w:pPr>
      <w:r>
        <w:rPr>
          <w:rFonts w:ascii="Arial" w:cs="Arial" w:eastAsia="Arial" w:hAnsi="Arial"/>
          <w:sz w:val="18"/>
          <w:szCs w:val="18"/>
          <w:color w:val="auto"/>
        </w:rPr>
        <w:t>We have adopted a Code of Business Conduct and Ethics Policy that applies to our directors and employees and have posted the text of the policy on our website (</w:t>
      </w:r>
      <w:r>
        <w:rPr>
          <w:rFonts w:ascii="Arial" w:cs="Arial" w:eastAsia="Arial" w:hAnsi="Arial"/>
          <w:sz w:val="18"/>
          <w:szCs w:val="18"/>
          <w:i w:val="1"/>
          <w:iCs w:val="1"/>
          <w:color w:val="auto"/>
        </w:rPr>
        <w:t>www.mannkindcorp.com</w:t>
      </w:r>
      <w:r>
        <w:rPr>
          <w:rFonts w:ascii="Arial" w:cs="Arial" w:eastAsia="Arial" w:hAnsi="Arial"/>
          <w:sz w:val="18"/>
          <w:szCs w:val="18"/>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220" w:firstLine="485"/>
        <w:spacing w:after="0" w:line="342" w:lineRule="auto"/>
        <w:rPr>
          <w:sz w:val="20"/>
          <w:szCs w:val="20"/>
          <w:color w:val="auto"/>
        </w:rPr>
      </w:pPr>
      <w:r>
        <w:rPr>
          <w:rFonts w:ascii="Arial" w:cs="Arial" w:eastAsia="Arial" w:hAnsi="Arial"/>
          <w:sz w:val="16"/>
          <w:szCs w:val="16"/>
          <w:color w:val="auto"/>
        </w:rPr>
        <w:t>The information required by this Item will be set forth under the caption “Executive Compensation,” “Compensation of Directors,” “Compensation Committee Interlocks and Insider Participation” and “Compensation Committee Report” in the Proxy Statement,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80" w:firstLine="485"/>
        <w:spacing w:after="0" w:line="308" w:lineRule="auto"/>
        <w:rPr>
          <w:sz w:val="20"/>
          <w:szCs w:val="20"/>
          <w:color w:val="auto"/>
        </w:rPr>
      </w:pPr>
      <w:r>
        <w:rPr>
          <w:rFonts w:ascii="Arial" w:cs="Arial" w:eastAsia="Arial" w:hAnsi="Arial"/>
          <w:sz w:val="17"/>
          <w:szCs w:val="17"/>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320" w:firstLine="485"/>
        <w:spacing w:after="0" w:line="277" w:lineRule="auto"/>
        <w:rPr>
          <w:sz w:val="20"/>
          <w:szCs w:val="20"/>
          <w:color w:val="auto"/>
        </w:rPr>
      </w:pPr>
      <w:r>
        <w:rPr>
          <w:rFonts w:ascii="Arial" w:cs="Arial" w:eastAsia="Arial" w:hAnsi="Arial"/>
          <w:sz w:val="18"/>
          <w:szCs w:val="18"/>
          <w:color w:val="auto"/>
        </w:rPr>
        <w:t>The information under the caption “Certain Transactions” and “Corporate Governance Principles and Board and Committee Matters” in the Proxy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240" w:firstLine="485"/>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“Principal Accounting Fees and Services” and “Pre-Approval Policies and Procedures” in the Proxy Statement and is incorporated herein by reference.</w:t>
      </w:r>
    </w:p>
    <w:p>
      <w:pPr>
        <w:spacing w:after="0" w:line="170" w:lineRule="exact"/>
        <w:rPr>
          <w:sz w:val="20"/>
          <w:szCs w:val="20"/>
          <w:color w:val="auto"/>
        </w:rPr>
      </w:pPr>
    </w:p>
    <w:p>
      <w:pPr>
        <w:ind w:firstLine="485"/>
        <w:spacing w:after="0" w:line="264"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960" w:hanging="479"/>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1440" w:right="540" w:hanging="473"/>
        <w:spacing w:after="0" w:line="264" w:lineRule="auto"/>
        <w:rPr>
          <w:rFonts w:ascii="Arial" w:cs="Arial" w:eastAsia="Arial" w:hAnsi="Arial"/>
          <w:sz w:val="18"/>
          <w:szCs w:val="18"/>
          <w:color w:val="auto"/>
        </w:rPr>
      </w:pPr>
      <w:r>
        <w:rPr>
          <w:rFonts w:ascii="Arial" w:cs="Arial" w:eastAsia="Arial" w:hAnsi="Arial"/>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51: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3520" w:type="dxa"/>
            <w:vAlign w:val="bottom"/>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7740" w:type="dxa"/>
            <w:vAlign w:val="bottom"/>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7740" w:type="dxa"/>
            <w:vAlign w:val="bottom"/>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Comprehensive Loss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Consolidated Statements of Stockholders’ Deficit</w:t>
              </w:r>
            </w:hyperlink>
          </w:p>
        </w:tc>
        <w:tc>
          <w:tcPr>
            <w:tcW w:w="4160" w:type="dxa"/>
            <w:vAlign w:val="bottom"/>
            <w:gridSpan w:val="2"/>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Cash Flows</w:t>
              </w:r>
            </w:hyperlink>
          </w:p>
        </w:tc>
        <w:tc>
          <w:tcPr>
            <w:tcW w:w="4860" w:type="dxa"/>
            <w:vAlign w:val="bottom"/>
            <w:gridSpan w:val="5"/>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Notes to Consolidated Financial Statements</w:t>
              </w:r>
            </w:hyperlink>
          </w:p>
        </w:tc>
        <w:tc>
          <w:tcPr>
            <w:tcW w:w="4580" w:type="dxa"/>
            <w:vAlign w:val="bottom"/>
            <w:gridSpan w:val="4"/>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ind w:right="220" w:firstLine="485"/>
        <w:spacing w:after="0" w:line="308" w:lineRule="auto"/>
        <w:rPr>
          <w:sz w:val="20"/>
          <w:szCs w:val="20"/>
          <w:color w:val="auto"/>
        </w:rPr>
      </w:pPr>
      <w:r>
        <w:rPr>
          <w:rFonts w:ascii="Arial" w:cs="Arial" w:eastAsia="Arial" w:hAnsi="Arial"/>
          <w:sz w:val="17"/>
          <w:szCs w:val="17"/>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8" w:lineRule="exact"/>
        <w:rPr>
          <w:sz w:val="20"/>
          <w:szCs w:val="20"/>
          <w:color w:val="auto"/>
        </w:rPr>
      </w:pPr>
    </w:p>
    <w:p>
      <w:pPr>
        <w:ind w:left="1440" w:right="140" w:hanging="473"/>
        <w:spacing w:after="0" w:line="342" w:lineRule="auto"/>
        <w:tabs>
          <w:tab w:leader="none" w:pos="14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5" w:lineRule="exact"/>
        <w:rPr>
          <w:rFonts w:ascii="Arial" w:cs="Arial" w:eastAsia="Arial" w:hAnsi="Arial"/>
          <w:sz w:val="16"/>
          <w:szCs w:val="16"/>
          <w:color w:val="auto"/>
        </w:rPr>
      </w:pPr>
    </w:p>
    <w:p>
      <w:pPr>
        <w:ind w:left="960" w:hanging="479"/>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 The following exhibits are filed or furnished as part of, or incorporated by reference into, this Annual Report on Form 10-K: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40" w:type="dxa"/>
            <w:vAlign w:val="bottom"/>
            <w:gridSpan w:val="18"/>
            <w:vMerge w:val="restart"/>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4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40" w:type="dxa"/>
            <w:vAlign w:val="bottom"/>
            <w:tcBorders>
              <w:top w:val="single" w:sz="8" w:color="auto"/>
              <w:bottom w:val="single" w:sz="8" w:color="0000EE"/>
            </w:tcBorders>
            <w:gridSpan w:val="24"/>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Amended and Restated Certificate of Incorporation (incorporated by reference to Exhibit 3.1 to MannKind’s Quarterly Report on Form 10-Q</w:t>
              </w:r>
            </w:hyperlink>
          </w:p>
        </w:tc>
        <w:tc>
          <w:tcPr>
            <w:tcW w:w="320" w:type="dxa"/>
            <w:vAlign w:val="bottom"/>
            <w:tcBorders>
              <w:top w:val="single" w:sz="8" w:color="auto"/>
            </w:tcBorders>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(File No. 000-50865), filed with the SEC on August 9, 2016).</w:t>
              </w:r>
            </w:hyperlink>
          </w:p>
        </w:tc>
        <w:tc>
          <w:tcPr>
            <w:tcW w:w="604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880" w:type="dxa"/>
            <w:vAlign w:val="bottom"/>
            <w:tcBorders>
              <w:bottom w:val="single" w:sz="8" w:color="0000EE"/>
            </w:tcBorders>
            <w:gridSpan w:val="21"/>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5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Exhibit 3.1 to MannKind’s Current Report on Form 8-K (File No. 000-50865), filed with the SEC on March 2, 2017).</w:t>
              </w:r>
            </w:hyperlink>
          </w:p>
        </w:tc>
        <w:tc>
          <w:tcPr>
            <w:tcW w:w="20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460" w:type="dxa"/>
            <w:vAlign w:val="bottom"/>
            <w:tcBorders>
              <w:bottom w:val="single" w:sz="8" w:color="0000EE"/>
            </w:tcBorders>
            <w:gridSpan w:val="30"/>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Certificate of Amendment of Amended and Restated Certificate of Incorporation of MannKind Corporation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0"/>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MannKind’s Current Report on Form 8-K (File No. 000-50865), filed with the SEC on December 13,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0460" w:type="dxa"/>
            <w:vAlign w:val="bottom"/>
            <w:gridSpan w:val="30"/>
          </w:tcPr>
          <w:p>
            <w:pPr>
              <w:spacing w:after="0"/>
              <w:rPr>
                <w:rFonts w:ascii="Arial" w:cs="Arial" w:eastAsia="Arial" w:hAnsi="Arial"/>
                <w:sz w:val="18"/>
                <w:szCs w:val="18"/>
                <w:color w:val="0000EE"/>
                <w:w w:val="94"/>
              </w:rPr>
            </w:pPr>
            <w:hyperlink r:id="rId69">
              <w:r>
                <w:rPr>
                  <w:rFonts w:ascii="Arial" w:cs="Arial" w:eastAsia="Arial" w:hAnsi="Arial"/>
                  <w:sz w:val="18"/>
                  <w:szCs w:val="18"/>
                  <w:color w:val="0000EE"/>
                  <w:w w:val="94"/>
                </w:rPr>
                <w:t>Amended and Restated Bylaws (incorporated by reference to Exhibit 3.1 to MannKind’s Current Report on Form 8-K (File No. 000-50865),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filed with the SEC on November 19, 2007).</w:t>
              </w:r>
            </w:hyperlink>
          </w:p>
        </w:tc>
        <w:tc>
          <w:tcPr>
            <w:tcW w:w="3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460" w:type="dxa"/>
            <w:vAlign w:val="bottom"/>
            <w:gridSpan w:val="30"/>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66">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67">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68">
              <w:r>
                <w:rPr>
                  <w:rFonts w:ascii="Arial" w:cs="Arial" w:eastAsia="Arial" w:hAnsi="Arial"/>
                  <w:sz w:val="18"/>
                  <w:szCs w:val="18"/>
                  <w:color w:val="0000EE"/>
                </w:rPr>
                <w:t>3.3</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69">
              <w:r>
                <w:rPr>
                  <w:rFonts w:ascii="Arial" w:cs="Arial" w:eastAsia="Arial" w:hAnsi="Arial"/>
                  <w:sz w:val="18"/>
                  <w:szCs w:val="18"/>
                  <w:color w:val="0000EE"/>
                </w:rPr>
                <w:t>3.4</w:t>
              </w:r>
            </w:hyperlink>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360" w:type="dxa"/>
            <w:vAlign w:val="bottom"/>
            <w:tcBorders>
              <w:bottom w:val="single" w:sz="8" w:color="0000EE"/>
            </w:tcBorders>
            <w:gridSpan w:val="28"/>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Form of common stock certificate (incorporated by reference to Exhibit 4.2 to MannKind’s Annual Report on Form 10-K (File No. 000-50865),</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filed with the SEC on March 16, 2017).</w:t>
              </w:r>
            </w:hyperlink>
          </w:p>
        </w:tc>
        <w:tc>
          <w:tcPr>
            <w:tcW w:w="762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460" w:type="dxa"/>
            <w:vAlign w:val="bottom"/>
            <w:gridSpan w:val="3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Description of Common Stock.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260" w:type="dxa"/>
            <w:vAlign w:val="bottom"/>
            <w:tcBorders>
              <w:bottom w:val="single" w:sz="8" w:color="0000EE"/>
            </w:tcBorders>
            <w:gridSpan w:val="27"/>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Milestone Rights Purchase Agreement, dated as of July 1, 2013, by and among MannKind, Deerfield Private Design Fund II, L.P. and Horizon</w:t>
              </w:r>
            </w:hyperlink>
          </w:p>
        </w:tc>
        <w:tc>
          <w:tcPr>
            <w:tcW w:w="2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6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Santé FLML SÁRL (incorporated by reference to Exhibit 99.3 to MannKind’s Current Report on Form 8-K (File No. 000-50865), filed with the</w:t>
              </w:r>
            </w:hyperlink>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SEC on July 1, 2013).</w:t>
              </w:r>
            </w:hyperlink>
          </w:p>
        </w:tc>
        <w:tc>
          <w:tcPr>
            <w:tcW w:w="888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460" w:type="dxa"/>
            <w:vAlign w:val="bottom"/>
            <w:gridSpan w:val="30"/>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Form of Warrant to Purchase Common Stock issued November 16, 2015 (incorporated by reference to Exhibit 4.17 to MannKind’s Annual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Report on Form 10-K (File No. 000-50865), filed with the SEC on March 15, 2016).</w:t>
              </w:r>
            </w:hyperlink>
          </w:p>
        </w:tc>
        <w:tc>
          <w:tcPr>
            <w:tcW w:w="4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40" w:type="dxa"/>
            <w:vAlign w:val="bottom"/>
            <w:gridSpan w:val="1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460" w:type="dxa"/>
            <w:vAlign w:val="bottom"/>
            <w:gridSpan w:val="30"/>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Form of Common Stock Purchase Warrant issued December 26, 2018 (incorporated by reference to Exhibit 4.1 to MannKind’s Current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on Form 8-K (File No. 000-50865), filed with the SEC on December 21, 2018).</w:t>
              </w:r>
            </w:hyperlink>
          </w:p>
        </w:tc>
        <w:tc>
          <w:tcPr>
            <w:tcW w:w="4520" w:type="dxa"/>
            <w:vAlign w:val="bottom"/>
            <w:tcBorders>
              <w:top w:val="single" w:sz="8" w:color="0000EE"/>
            </w:tcBorders>
            <w:gridSpan w:val="13"/>
          </w:tcPr>
          <w:p>
            <w:pPr>
              <w:spacing w:after="0"/>
              <w:rPr>
                <w:sz w:val="17"/>
                <w:szCs w:val="17"/>
                <w:color w:val="auto"/>
              </w:rPr>
            </w:pPr>
          </w:p>
        </w:tc>
        <w:tc>
          <w:tcPr>
            <w:tcW w:w="2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0400" w:type="dxa"/>
            <w:vAlign w:val="bottom"/>
            <w:tcBorders>
              <w:bottom w:val="single" w:sz="8" w:color="0000EE"/>
            </w:tcBorders>
            <w:gridSpan w:val="29"/>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Amendment to Common Stock Purchase Warrant, dated December 22, 2019, by and between MannKind Corporation and CVI Investments, Inc.</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(incorporated by reference to Exhibit 4.1 to MannKind’s Current Report on Form 8-K (File No. 000-50865), filed with the SEC on December</w:t>
              </w:r>
            </w:hyperlink>
          </w:p>
        </w:tc>
        <w:tc>
          <w:tcPr>
            <w:tcW w:w="2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23, 2019)</w:t>
              </w:r>
              <w:r>
                <w:rPr>
                  <w:rFonts w:ascii="Arial" w:cs="Arial" w:eastAsia="Arial" w:hAnsi="Arial"/>
                  <w:sz w:val="18"/>
                  <w:szCs w:val="18"/>
                  <w:color w:val="000000"/>
                </w:rPr>
                <w:t>.</w:t>
              </w:r>
            </w:hyperlink>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80" w:type="dxa"/>
            <w:vAlign w:val="bottom"/>
            <w:gridSpan w:val="1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0460" w:type="dxa"/>
            <w:vAlign w:val="bottom"/>
            <w:gridSpan w:val="30"/>
          </w:tcPr>
          <w:p>
            <w:pPr>
              <w:spacing w:after="0"/>
              <w:rPr>
                <w:rFonts w:ascii="Arial" w:cs="Arial" w:eastAsia="Arial" w:hAnsi="Arial"/>
                <w:sz w:val="18"/>
                <w:szCs w:val="18"/>
                <w:color w:val="0000EE"/>
                <w:w w:val="99"/>
              </w:rPr>
            </w:pPr>
            <w:hyperlink r:id="rId75">
              <w:r>
                <w:rPr>
                  <w:rFonts w:ascii="Arial" w:cs="Arial" w:eastAsia="Arial" w:hAnsi="Arial"/>
                  <w:sz w:val="18"/>
                  <w:szCs w:val="18"/>
                  <w:color w:val="0000EE"/>
                  <w:w w:val="99"/>
                </w:rPr>
                <w:t>Form of Warrant to Purchase Stock issued to MidCap Financial Trust on August 6, 2019 (incorporated by reference to Exhibit 4.1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MannKind’s Current Report on Form 8-K (File No. 000-50865), filed with the SEC on August 7, 2019).</w:t>
              </w:r>
            </w:hyperlink>
          </w:p>
        </w:tc>
        <w:tc>
          <w:tcPr>
            <w:tcW w:w="2020" w:type="dxa"/>
            <w:vAlign w:val="bottom"/>
            <w:tcBorders>
              <w:top w:val="single" w:sz="8" w:color="0000EE"/>
            </w:tcBorders>
            <w:gridSpan w:val="4"/>
          </w:tcPr>
          <w:p>
            <w:pPr>
              <w:spacing w:after="0"/>
              <w:rPr>
                <w:sz w:val="17"/>
                <w:szCs w:val="17"/>
                <w:color w:val="auto"/>
              </w:rPr>
            </w:pPr>
          </w:p>
        </w:tc>
        <w:tc>
          <w:tcPr>
            <w:tcW w:w="9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0460" w:type="dxa"/>
            <w:vAlign w:val="bottom"/>
            <w:gridSpan w:val="30"/>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Form of 5.75% Convertible Senior Subordinated Exchange Notes Due 2024 (incorporated by reference to Exhibit 4.2 to MannKind’s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Report on Form 8-K (File No. 000-50865), filed with the SEC on August 7, 2019).</w:t>
              </w:r>
            </w:hyperlink>
          </w:p>
        </w:tc>
        <w:tc>
          <w:tcPr>
            <w:tcW w:w="4220" w:type="dxa"/>
            <w:vAlign w:val="bottom"/>
            <w:tcBorders>
              <w:top w:val="single" w:sz="8" w:color="0000EE"/>
            </w:tcBorders>
            <w:gridSpan w:val="11"/>
          </w:tcPr>
          <w:p>
            <w:pPr>
              <w:spacing w:after="0"/>
              <w:rPr>
                <w:sz w:val="17"/>
                <w:szCs w:val="17"/>
                <w:color w:val="auto"/>
              </w:rPr>
            </w:pPr>
          </w:p>
        </w:tc>
        <w:tc>
          <w:tcPr>
            <w:tcW w:w="2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10460" w:type="dxa"/>
            <w:vAlign w:val="bottom"/>
            <w:tcBorders>
              <w:bottom w:val="single" w:sz="8" w:color="0000EE"/>
            </w:tcBorders>
            <w:gridSpan w:val="30"/>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Indenture, dated as of August 6, 2019, by and between MannKind Corporation and U.S. Bank National Association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0"/>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Exhibit 4.3 to MannKind’s Current Report on Form 8-K (File No. 000-50865), filed with the SEC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tcBorders>
              <w:top w:val="single" w:sz="8" w:color="0000EE"/>
            </w:tcBorders>
            <w:gridSpan w:val="13"/>
          </w:tcPr>
          <w:p>
            <w:pPr>
              <w:ind w:left="4660"/>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60" w:type="dxa"/>
            <w:vAlign w:val="bottom"/>
            <w:gridSpan w:val="32"/>
            <w:vMerge w:val="restart"/>
          </w:tcPr>
          <w:p>
            <w:pPr>
              <w:ind w:left="2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60" w:type="dxa"/>
            <w:vAlign w:val="bottom"/>
            <w:gridSpan w:val="3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4.11</w:t>
            </w: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460" w:type="dxa"/>
            <w:vAlign w:val="bottom"/>
            <w:tcBorders>
              <w:top w:val="single" w:sz="8" w:color="auto"/>
            </w:tcBorders>
            <w:gridSpan w:val="40"/>
          </w:tcPr>
          <w:p>
            <w:pPr>
              <w:spacing w:after="0" w:line="170" w:lineRule="exact"/>
              <w:rPr>
                <w:rFonts w:ascii="Arial" w:cs="Arial" w:eastAsia="Arial" w:hAnsi="Arial"/>
                <w:sz w:val="18"/>
                <w:szCs w:val="18"/>
                <w:color w:val="0000EE"/>
              </w:rPr>
            </w:pPr>
            <w:hyperlink r:id="rId79">
              <w:r>
                <w:rPr>
                  <w:rFonts w:ascii="Arial" w:cs="Arial" w:eastAsia="Arial" w:hAnsi="Arial"/>
                  <w:sz w:val="18"/>
                  <w:szCs w:val="18"/>
                  <w:color w:val="0000EE"/>
                </w:rPr>
                <w:t>Promissory Note due June 30, 2020 made by MannKind Corporation in favor of Bruce &amp; Co., Inc., dated August 6, 2019</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(incorporated by reference to Exhibit 4.4 to MannKind’s Current Report on Form 8-K (File No. 000-50865), filed with the SEC on August 7,</w:t>
              </w:r>
            </w:hyperlink>
          </w:p>
        </w:tc>
        <w:tc>
          <w:tcPr>
            <w:tcW w:w="3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ind w:left="20"/>
              <w:spacing w:after="0" w:line="196" w:lineRule="exact"/>
              <w:rPr>
                <w:rFonts w:ascii="Arial" w:cs="Arial" w:eastAsia="Arial" w:hAnsi="Arial"/>
                <w:sz w:val="18"/>
                <w:szCs w:val="18"/>
                <w:color w:val="0000EE"/>
                <w:w w:val="86"/>
              </w:rPr>
            </w:pPr>
            <w:hyperlink r:id="rId79">
              <w:r>
                <w:rPr>
                  <w:rFonts w:ascii="Arial" w:cs="Arial" w:eastAsia="Arial" w:hAnsi="Arial"/>
                  <w:sz w:val="18"/>
                  <w:szCs w:val="18"/>
                  <w:color w:val="0000EE"/>
                  <w:w w:val="86"/>
                </w:rPr>
                <w:t>2019).</w:t>
              </w:r>
            </w:hyperlink>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ind w:left="10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80" w:type="dxa"/>
            <w:vAlign w:val="bottom"/>
            <w:tcBorders>
              <w:bottom w:val="single" w:sz="8" w:color="0000EE"/>
            </w:tcBorders>
            <w:gridSpan w:val="37"/>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Promissory Note due December 31, 2020 made by MannKind Corporation in favor of Bruce &amp; Co., Inc., dated August 6, 2019 (incorporated by</w:t>
              </w:r>
            </w:hyperlink>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60" w:type="dxa"/>
            <w:vAlign w:val="bottom"/>
            <w:gridSpan w:val="40"/>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reference to Exhibit 4.5 to MannKind’s Current Report on Form 8-K (File No. 000-50865), filed with the SEC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ind w:left="100"/>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EE"/>
            </w:tcBorders>
            <w:gridSpan w:val="23"/>
          </w:tcPr>
          <w:p>
            <w:pPr>
              <w:spacing w:after="0"/>
              <w:rPr>
                <w:rFonts w:ascii="Arial" w:cs="Arial" w:eastAsia="Arial" w:hAnsi="Arial"/>
                <w:sz w:val="18"/>
                <w:szCs w:val="18"/>
                <w:color w:val="0000EE"/>
                <w:w w:val="92"/>
              </w:rPr>
            </w:pPr>
            <w:hyperlink r:id="rId81">
              <w:r>
                <w:rPr>
                  <w:rFonts w:ascii="Arial" w:cs="Arial" w:eastAsia="Arial" w:hAnsi="Arial"/>
                  <w:sz w:val="18"/>
                  <w:szCs w:val="18"/>
                  <w:color w:val="0000EE"/>
                  <w:w w:val="92"/>
                </w:rPr>
                <w:t>Convertible Promissory Note made by MannKind Corporation in favor of The Mann Group LLC, dated August 6, 2019 (incorporated by</w:t>
              </w:r>
            </w:hyperlink>
          </w:p>
        </w:tc>
        <w:tc>
          <w:tcPr>
            <w:tcW w:w="60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60" w:type="dxa"/>
            <w:vAlign w:val="bottom"/>
            <w:gridSpan w:val="40"/>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reference to Exhibit 4.6 to MannKind’s Current Report on Form 8-K (File No. 000-50865), filed with the SEC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ind w:left="100"/>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40" w:type="dxa"/>
            <w:vAlign w:val="bottom"/>
            <w:tcBorders>
              <w:bottom w:val="single" w:sz="8" w:color="0000EE"/>
            </w:tcBorders>
            <w:gridSpan w:val="39"/>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Promissory Note made by MannKind Corporation in favor of The Mann Group LLC, dated August 6, 2019 (incorporated by reference to Exhibit</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60" w:type="dxa"/>
            <w:vAlign w:val="bottom"/>
            <w:gridSpan w:val="4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4.</w:t>
              </w:r>
              <w:r>
                <w:rPr>
                  <w:rFonts w:ascii="Arial" w:cs="Arial" w:eastAsia="Arial" w:hAnsi="Arial"/>
                  <w:sz w:val="18"/>
                  <w:szCs w:val="18"/>
                  <w:u w:val="single" w:color="auto"/>
                  <w:color w:val="0000EE"/>
                </w:rPr>
                <w:t>7</w:t>
              </w:r>
              <w:r>
                <w:rPr>
                  <w:rFonts w:ascii="Arial" w:cs="Arial" w:eastAsia="Arial" w:hAnsi="Arial"/>
                  <w:sz w:val="18"/>
                  <w:szCs w:val="18"/>
                  <w:color w:val="0000EE"/>
                </w:rPr>
                <w:t xml:space="preserve"> to MannKind’s Current Report on Form 8-K (File No. 000-50865), filed with the SEC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10100" w:type="dxa"/>
            <w:vAlign w:val="bottom"/>
            <w:tcBorders>
              <w:bottom w:val="single" w:sz="8" w:color="0000EE"/>
            </w:tcBorders>
            <w:gridSpan w:val="28"/>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Offer Letter Agreement, dated July 12, 2017, by and between MannKind and Steven B. Binder (incorporated by reference to Exhibit 99.1 to</w:t>
              </w:r>
            </w:hyperlink>
          </w:p>
        </w:tc>
        <w:tc>
          <w:tcPr>
            <w:tcW w:w="3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MannKind’s Current Report on Form 8-K (File No. 000-50865), filed with the SEC on July 17,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9680" w:type="dxa"/>
            <w:vAlign w:val="bottom"/>
            <w:tcBorders>
              <w:bottom w:val="single" w:sz="8" w:color="0000EE"/>
            </w:tcBorders>
            <w:gridSpan w:val="22"/>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Offer Letter, dated March 9, 2016, by and between MannKind and Michael E. Castagna (incorporated by reference to Exhibit 10.38 to</w:t>
              </w:r>
            </w:hyperlink>
          </w:p>
        </w:tc>
        <w:tc>
          <w:tcPr>
            <w:tcW w:w="80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MannKind’s Annual Report on Form 10-K (File No. 000-50865), filed with the SEC on March 15,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10320" w:type="dxa"/>
            <w:vAlign w:val="bottom"/>
            <w:tcBorders>
              <w:bottom w:val="single" w:sz="8" w:color="0000EE"/>
            </w:tcBorders>
            <w:gridSpan w:val="35"/>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Offer Letter dated December 22, 2016, by and between MannKind and Stuart Tross (incorporated by reference to Exhibit 10.36 to MannKind’s</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Annual Report on Form 10-K (File No. 000-50865), filed with the SEC on March 16,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0260" w:type="dxa"/>
            <w:vAlign w:val="bottom"/>
            <w:tcBorders>
              <w:bottom w:val="single" w:sz="8" w:color="0000EE"/>
            </w:tcBorders>
            <w:gridSpan w:val="33"/>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Offer Letter dated June 28, 2017, by and between MannKind and Patrick McCauley (incorporated by reference to Exhibit 10.5 to MannKind’s</w:t>
              </w:r>
            </w:hyperlink>
          </w:p>
        </w:tc>
        <w:tc>
          <w:tcPr>
            <w:tcW w:w="22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Annual Report on Form 10-K (File No. 000-50865), filed with the SEC on February 27,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10480" w:type="dxa"/>
            <w:vAlign w:val="bottom"/>
            <w:gridSpan w:val="41"/>
          </w:tcPr>
          <w:p>
            <w:pPr>
              <w:spacing w:after="0"/>
              <w:rPr>
                <w:rFonts w:ascii="Arial" w:cs="Arial" w:eastAsia="Arial" w:hAnsi="Arial"/>
                <w:sz w:val="18"/>
                <w:szCs w:val="18"/>
                <w:color w:val="0000EE"/>
                <w:w w:val="94"/>
              </w:rPr>
            </w:pPr>
            <w:hyperlink r:id="rId87">
              <w:r>
                <w:rPr>
                  <w:rFonts w:ascii="Arial" w:cs="Arial" w:eastAsia="Arial" w:hAnsi="Arial"/>
                  <w:sz w:val="18"/>
                  <w:szCs w:val="18"/>
                  <w:color w:val="0000EE"/>
                  <w:w w:val="94"/>
                </w:rPr>
                <w:t>Offer Letter dated February 2, 2018, by and between MannKind and David Kendall (incorporated by reference to Exhibit 10.6 to MannKind’s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Annual Report on Form 10-K (File No. 000-50865), filed with the SEC on February 27, 2018).</w:t>
              </w:r>
            </w:hyperlink>
          </w:p>
        </w:tc>
        <w:tc>
          <w:tcPr>
            <w:tcW w:w="2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10420" w:type="dxa"/>
            <w:vAlign w:val="bottom"/>
            <w:tcBorders>
              <w:bottom w:val="single" w:sz="8" w:color="0000EE"/>
            </w:tcBorders>
            <w:gridSpan w:val="39"/>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Executive Severance Agreement, dated October 10, 2007, between MannKind and David Thomson (incorporated by reference to Exhibit 99.1 to</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MannKind’s Current Report on Form 8-K (File No. 000-50865), as amended, filed with the SEC on October 17, 2007).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c>
          <w:tcPr>
            <w:tcW w:w="10320" w:type="dxa"/>
            <w:vAlign w:val="bottom"/>
            <w:tcBorders>
              <w:bottom w:val="single" w:sz="8" w:color="0000EE"/>
            </w:tcBorders>
            <w:gridSpan w:val="35"/>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Form of Indemnity Agreement entered into between MannKind and each of its directors and officers (incorporated by reference to Exhibit 10.1</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1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to MannKind’s Registration Statement on Form S-1 (File No. 333-115020),filed with the SEC on April 30, 2004, as amended).</w:t>
              </w:r>
            </w:hyperlink>
          </w:p>
        </w:tc>
        <w:tc>
          <w:tcPr>
            <w:tcW w:w="134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10480" w:type="dxa"/>
            <w:vAlign w:val="bottom"/>
            <w:gridSpan w:val="41"/>
          </w:tcPr>
          <w:p>
            <w:pPr>
              <w:spacing w:after="0"/>
              <w:rPr>
                <w:rFonts w:ascii="Arial" w:cs="Arial" w:eastAsia="Arial" w:hAnsi="Arial"/>
                <w:sz w:val="18"/>
                <w:szCs w:val="18"/>
                <w:color w:val="0000EE"/>
                <w:w w:val="94"/>
              </w:rPr>
            </w:pPr>
            <w:hyperlink r:id="rId90">
              <w:r>
                <w:rPr>
                  <w:rFonts w:ascii="Arial" w:cs="Arial" w:eastAsia="Arial" w:hAnsi="Arial"/>
                  <w:sz w:val="18"/>
                  <w:szCs w:val="18"/>
                  <w:color w:val="0000EE"/>
                  <w:w w:val="94"/>
                </w:rPr>
                <w:t>Form of Change of Control Agreement (incorporated by reference to Exhibit 99.1 to MannKind’s Current Report on Form 8-K (File No. 000-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50865)</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 xml:space="preserve"> filed with the SEC on April 7, 2017).</w:t>
              </w:r>
            </w:hyperlink>
          </w:p>
        </w:tc>
        <w:tc>
          <w:tcPr>
            <w:tcW w:w="6920" w:type="dxa"/>
            <w:vAlign w:val="bottom"/>
            <w:tcBorders>
              <w:top w:val="single" w:sz="8" w:color="0000EE"/>
            </w:tcBorders>
            <w:gridSpan w:val="25"/>
          </w:tcPr>
          <w:p>
            <w:pPr>
              <w:spacing w:after="0"/>
              <w:rPr>
                <w:sz w:val="17"/>
                <w:szCs w:val="17"/>
                <w:color w:val="auto"/>
              </w:rPr>
            </w:pPr>
          </w:p>
        </w:tc>
        <w:tc>
          <w:tcPr>
            <w:tcW w:w="2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10480" w:type="dxa"/>
            <w:vAlign w:val="bottom"/>
            <w:gridSpan w:val="41"/>
          </w:tcPr>
          <w:p>
            <w:pPr>
              <w:spacing w:after="0"/>
              <w:rPr>
                <w:rFonts w:ascii="Arial" w:cs="Arial" w:eastAsia="Arial" w:hAnsi="Arial"/>
                <w:sz w:val="18"/>
                <w:szCs w:val="18"/>
                <w:color w:val="0000EE"/>
                <w:w w:val="95"/>
              </w:rPr>
            </w:pPr>
            <w:hyperlink r:id="rId91">
              <w:r>
                <w:rPr>
                  <w:rFonts w:ascii="Arial" w:cs="Arial" w:eastAsia="Arial" w:hAnsi="Arial"/>
                  <w:sz w:val="18"/>
                  <w:szCs w:val="18"/>
                  <w:color w:val="0000EE"/>
                  <w:w w:val="95"/>
                </w:rPr>
                <w:t>Description of Officers’ Incentive Program (incorporated by reference to Exhibit 10.5 to MannKind’s Annual Report on Form 10-K (File No.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000-50865), filed with the SEC on March 16, 2006).</w:t>
              </w:r>
            </w:hyperlink>
          </w:p>
        </w:tc>
        <w:tc>
          <w:tcPr>
            <w:tcW w:w="3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4"/>
                <w:szCs w:val="24"/>
                <w:color w:val="auto"/>
              </w:rPr>
            </w:pPr>
          </w:p>
        </w:tc>
        <w:tc>
          <w:tcPr>
            <w:tcW w:w="10280" w:type="dxa"/>
            <w:vAlign w:val="bottom"/>
            <w:tcBorders>
              <w:bottom w:val="single" w:sz="8" w:color="0000EE"/>
            </w:tcBorders>
            <w:gridSpan w:val="34"/>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2004 Equity Incentive Plan, as amended (incorporated by reference to Appendix A to MannKind’s proxy statement on Schedule 14A (File No.</w:t>
              </w:r>
            </w:hyperlink>
          </w:p>
        </w:tc>
        <w:tc>
          <w:tcPr>
            <w:tcW w:w="2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000-50865), filed with the SEC on April 6,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10480" w:type="dxa"/>
            <w:vAlign w:val="bottom"/>
            <w:gridSpan w:val="41"/>
          </w:tcPr>
          <w:p>
            <w:pP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Form of Stock Option Agreement under the 2004 Equity Incentive Plan (incorporated by reference to Exhibit 10.2 MannKind’s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Statement on Form S-1 (File No. 333-115020), originally filed with the SEC on April 30, 2004, as amended).</w:t>
              </w:r>
            </w:hyperlink>
          </w:p>
        </w:tc>
        <w:tc>
          <w:tcPr>
            <w:tcW w:w="2220" w:type="dxa"/>
            <w:vAlign w:val="bottom"/>
            <w:tcBorders>
              <w:top w:val="single" w:sz="8" w:color="0000EE"/>
            </w:tcBorders>
            <w:gridSpan w:val="12"/>
          </w:tcPr>
          <w:p>
            <w:pPr>
              <w:spacing w:after="0"/>
              <w:rPr>
                <w:sz w:val="17"/>
                <w:szCs w:val="17"/>
                <w:color w:val="auto"/>
              </w:rPr>
            </w:pPr>
          </w:p>
        </w:tc>
        <w:tc>
          <w:tcPr>
            <w:tcW w:w="38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10480" w:type="dxa"/>
            <w:vAlign w:val="bottom"/>
            <w:gridSpan w:val="41"/>
          </w:tcPr>
          <w:p>
            <w:pPr>
              <w:spacing w:after="0"/>
              <w:rPr>
                <w:rFonts w:ascii="Arial" w:cs="Arial" w:eastAsia="Arial" w:hAnsi="Arial"/>
                <w:sz w:val="18"/>
                <w:szCs w:val="18"/>
                <w:color w:val="0000EE"/>
                <w:w w:val="95"/>
              </w:rPr>
            </w:pPr>
            <w:hyperlink r:id="rId94">
              <w:r>
                <w:rPr>
                  <w:rFonts w:ascii="Arial" w:cs="Arial" w:eastAsia="Arial" w:hAnsi="Arial"/>
                  <w:sz w:val="18"/>
                  <w:szCs w:val="18"/>
                  <w:color w:val="0000EE"/>
                  <w:w w:val="95"/>
                </w:rPr>
                <w:t>Form of Phantom Stock Award Agreement under the 2004 Equity Incentive Plan (incorporated by reference to Exhibit 99.1 to MannKind’s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Current Report on Form 8-K (File No. 000-50865), filed with the SEC on December 14, 2005).</w:t>
              </w:r>
            </w:hyperlink>
          </w:p>
        </w:tc>
        <w:tc>
          <w:tcPr>
            <w:tcW w:w="4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40" w:type="dxa"/>
            <w:vAlign w:val="bottom"/>
            <w:gridSpan w:val="1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10480" w:type="dxa"/>
            <w:vAlign w:val="bottom"/>
            <w:tcBorders>
              <w:bottom w:val="single" w:sz="8" w:color="0000EE"/>
            </w:tcBorders>
            <w:gridSpan w:val="41"/>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2004 Non-Employee Directors’ Stock Option Plan and form of stock option agreement there under (incorporated by reference to Exhibit 10.20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MannKind’s Annual Report on Form 10-K (File No. 000-50865), filed with the SEC on March 16, 2006).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10360" w:type="dxa"/>
            <w:vAlign w:val="bottom"/>
            <w:tcBorders>
              <w:bottom w:val="single" w:sz="8" w:color="0000EE"/>
            </w:tcBorders>
            <w:gridSpan w:val="37"/>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Non-Employee Director Compensation Program (incorporated by reference to Exhibit 10.15 to MannKind’s Annual Report on Form 10-K (File</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No. 000-50865), filed with the SEC on February 26, 2019).</w:t>
              </w:r>
            </w:hyperlink>
          </w:p>
        </w:tc>
        <w:tc>
          <w:tcPr>
            <w:tcW w:w="6200" w:type="dxa"/>
            <w:vAlign w:val="bottom"/>
            <w:gridSpan w:val="3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10340" w:type="dxa"/>
            <w:vAlign w:val="bottom"/>
            <w:tcBorders>
              <w:bottom w:val="single" w:sz="8" w:color="0000EE"/>
            </w:tcBorders>
            <w:gridSpan w:val="36"/>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MannKind Corporation 2013 Equity Incentive Plan, as amended (incorporated by reference to Exhibit 10.1 to MannKind’s Quarterly Report on</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Form 10-Q (File No. 000-50865), filed with the SEC on August 9,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20" w:type="dxa"/>
            <w:vAlign w:val="bottom"/>
            <w:gridSpan w:val="1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9700" w:type="dxa"/>
            <w:vAlign w:val="bottom"/>
            <w:tcBorders>
              <w:bottom w:val="single" w:sz="8" w:color="0000EE"/>
            </w:tcBorders>
            <w:gridSpan w:val="23"/>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Form of Stock Option Grant Notice, Stock Option Agreement and Notice of Exercise under the MannKind 2013 Equity Incentive Plan</w:t>
              </w:r>
            </w:hyperlink>
          </w:p>
        </w:tc>
        <w:tc>
          <w:tcPr>
            <w:tcW w:w="78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(incorporated by reference to Exhibit 99.2 to MannKind’s registration statement on Form S-8(File No. 000-188790), filed with the SEC on May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23, 2013).</w:t>
              </w:r>
            </w:hyperlink>
          </w:p>
        </w:tc>
        <w:tc>
          <w:tcPr>
            <w:tcW w:w="46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9980" w:type="dxa"/>
            <w:vAlign w:val="bottom"/>
            <w:tcBorders>
              <w:bottom w:val="single" w:sz="8" w:color="0000EE"/>
            </w:tcBorders>
            <w:gridSpan w:val="25"/>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Form of Restricted Stock Unit Grant Notice and Restricted Stock Unit Award Agreement under the MannKind 2013 Equity Incentive Plan</w:t>
              </w:r>
            </w:hyperlink>
          </w:p>
        </w:tc>
        <w:tc>
          <w:tcPr>
            <w:tcW w:w="5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(incorporated by reference to Exhibit 99.3 to MannKind’s registration statement on Form S-8 (File No. 000-188790), filed with the SEC on May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23, 2013).</w:t>
              </w:r>
            </w:hyperlink>
          </w:p>
        </w:tc>
        <w:tc>
          <w:tcPr>
            <w:tcW w:w="46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24"/>
                <w:szCs w:val="24"/>
                <w:color w:val="auto"/>
              </w:rPr>
            </w:pPr>
          </w:p>
        </w:tc>
        <w:tc>
          <w:tcPr>
            <w:tcW w:w="10240" w:type="dxa"/>
            <w:vAlign w:val="bottom"/>
            <w:tcBorders>
              <w:bottom w:val="single" w:sz="8" w:color="0000EE"/>
            </w:tcBorders>
            <w:gridSpan w:val="32"/>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MannKind Corporation 2018 Equity Incentive Plan (incorporated by reference to Exhibit 99.1 to MannKind’s registration statement Form S-8</w:t>
              </w:r>
            </w:hyperlink>
          </w:p>
        </w:tc>
        <w:tc>
          <w:tcPr>
            <w:tcW w:w="2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(File No. 333-226648), filed with the SEC on August 7,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320" w:type="dxa"/>
            <w:vAlign w:val="bottom"/>
            <w:gridSpan w:val="5"/>
            <w:shd w:val="clear" w:color="auto" w:fill="0000EE"/>
          </w:tcPr>
          <w:p>
            <w:pPr>
              <w:spacing w:after="0" w:line="20" w:lineRule="exact"/>
              <w:rPr>
                <w:sz w:val="1"/>
                <w:szCs w:val="1"/>
                <w:color w:val="auto"/>
              </w:rPr>
            </w:pPr>
          </w:p>
        </w:tc>
        <w:tc>
          <w:tcPr>
            <w:tcW w:w="5520" w:type="dxa"/>
            <w:vAlign w:val="bottom"/>
            <w:gridSpan w:val="18"/>
          </w:tcPr>
          <w:p>
            <w:pPr>
              <w:spacing w:after="0" w:line="20" w:lineRule="exact"/>
              <w:rPr>
                <w:sz w:val="1"/>
                <w:szCs w:val="1"/>
                <w:color w:val="auto"/>
              </w:rPr>
            </w:pPr>
          </w:p>
        </w:tc>
        <w:tc>
          <w:tcPr>
            <w:tcW w:w="4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4"/>
                <w:szCs w:val="24"/>
                <w:color w:val="auto"/>
              </w:rPr>
            </w:pPr>
          </w:p>
        </w:tc>
        <w:tc>
          <w:tcPr>
            <w:tcW w:w="9700" w:type="dxa"/>
            <w:vAlign w:val="bottom"/>
            <w:tcBorders>
              <w:bottom w:val="single" w:sz="8" w:color="0000EE"/>
            </w:tcBorders>
            <w:gridSpan w:val="23"/>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Form of Stock Option Grant Notice, Stock Option Agreement and Notice of Exercise under the MannKind 2018 Equity Incentive Plan</w:t>
              </w:r>
            </w:hyperlink>
          </w:p>
        </w:tc>
        <w:tc>
          <w:tcPr>
            <w:tcW w:w="78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(incorporated by reference to Exhibit 99.2 to MannKind’s registration statement on Form S-8 (File No. 333-226648), filed with the SEC on</w:t>
              </w:r>
            </w:hyperlink>
          </w:p>
        </w:tc>
        <w:tc>
          <w:tcPr>
            <w:tcW w:w="4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August 7,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Borders>
              <w:top w:val="single" w:sz="8" w:color="0000EE"/>
            </w:tcBorders>
            <w:gridSpan w:val="4"/>
          </w:tcPr>
          <w:p>
            <w:pPr>
              <w:spacing w:after="0"/>
              <w:rPr>
                <w:sz w:val="24"/>
                <w:szCs w:val="24"/>
                <w:color w:val="auto"/>
              </w:rPr>
            </w:pPr>
          </w:p>
        </w:tc>
        <w:tc>
          <w:tcPr>
            <w:tcW w:w="4080" w:type="dxa"/>
            <w:vAlign w:val="bottom"/>
            <w:gridSpan w:val="6"/>
          </w:tcPr>
          <w:p>
            <w:pPr>
              <w:jc w:val="right"/>
              <w:ind w:right="348"/>
              <w:spacing w:after="0"/>
              <w:rPr>
                <w:sz w:val="20"/>
                <w:szCs w:val="20"/>
                <w:color w:val="auto"/>
              </w:rPr>
            </w:pPr>
            <w:r>
              <w:rPr>
                <w:rFonts w:ascii="Arial" w:cs="Arial" w:eastAsia="Arial" w:hAnsi="Arial"/>
                <w:sz w:val="18"/>
                <w:szCs w:val="18"/>
                <w:color w:val="auto"/>
              </w:rPr>
              <w:t>47</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360" w:type="dxa"/>
            <w:vAlign w:val="bottom"/>
            <w:gridSpan w:val="27"/>
            <w:vMerge w:val="restart"/>
          </w:tcPr>
          <w:p>
            <w:pPr>
              <w:ind w:left="42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360" w:type="dxa"/>
            <w:vAlign w:val="bottom"/>
            <w:gridSpan w:val="27"/>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40" w:type="dxa"/>
            <w:vAlign w:val="bottom"/>
            <w:tcBorders>
              <w:top w:val="single" w:sz="8" w:color="auto"/>
            </w:tcBorders>
            <w:gridSpan w:val="36"/>
          </w:tcPr>
          <w:p>
            <w:pPr>
              <w:spacing w:after="0" w:line="170" w:lineRule="exact"/>
              <w:rPr>
                <w:rFonts w:ascii="Arial" w:cs="Arial" w:eastAsia="Arial" w:hAnsi="Arial"/>
                <w:sz w:val="18"/>
                <w:szCs w:val="18"/>
                <w:color w:val="0000EE"/>
                <w:w w:val="96"/>
              </w:rPr>
            </w:pPr>
            <w:hyperlink r:id="rId104">
              <w:r>
                <w:rPr>
                  <w:rFonts w:ascii="Arial" w:cs="Arial" w:eastAsia="Arial" w:hAnsi="Arial"/>
                  <w:sz w:val="18"/>
                  <w:szCs w:val="18"/>
                  <w:color w:val="0000EE"/>
                  <w:w w:val="96"/>
                </w:rPr>
                <w:t>Form of Restricted Stock Unit Grant Notice and Restricted Stock Unit Award Agreement under the MannKind 2018 Equity Incentive Plan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(incorporated by reference to Exhibit 99.3 to MannKind’s registration statement on Form S-8 (File No. 333-226648), filed with the SEC on</w:t>
              </w:r>
            </w:hyperlink>
          </w:p>
        </w:tc>
        <w:tc>
          <w:tcPr>
            <w:tcW w:w="4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7"/>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August 7,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10400" w:type="dxa"/>
            <w:vAlign w:val="bottom"/>
            <w:tcBorders>
              <w:bottom w:val="single" w:sz="8" w:color="0000EE"/>
            </w:tcBorders>
            <w:gridSpan w:val="35"/>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MannKind Corporation 2004 Employee Stock Purchase Plan, as amended (incorporated by reference to Exhibit 99.4 to MannKind’s registration</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statement Form S-8 (File No. 333-226648), filed with the SEC on August 7,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10440" w:type="dxa"/>
            <w:vAlign w:val="bottom"/>
            <w:tcBorders>
              <w:bottom w:val="single" w:sz="8" w:color="0000EE"/>
            </w:tcBorders>
            <w:gridSpan w:val="36"/>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MannKind Corporation Market Price Stock Purchase Plan (incorporated by reference to Exhibit 99.1 to MannKind’s registration statement Form</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S-8 (File No. 333-225428), filed with the SEC on June 5,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9960" w:type="dxa"/>
            <w:vAlign w:val="bottom"/>
            <w:tcBorders>
              <w:bottom w:val="single" w:sz="8" w:color="0000EE"/>
            </w:tcBorders>
            <w:gridSpan w:val="22"/>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Supply Agreement, dated as of July 31, 2014, by and between MannKind and Amphastar France Pharmaceuticals S.A.S. (incorporated by</w:t>
              </w:r>
            </w:hyperlink>
          </w:p>
        </w:tc>
        <w:tc>
          <w:tcPr>
            <w:tcW w:w="50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reference to Exhibit 10.3 to MannKind’s Quarterly Report on Form 10-Q (File No. 000-50865), filed with the SEC on November 10, 2014).</w:t>
              </w:r>
            </w:hyperlink>
          </w:p>
        </w:tc>
        <w:tc>
          <w:tcPr>
            <w:tcW w:w="3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10440" w:type="dxa"/>
            <w:vAlign w:val="bottom"/>
            <w:tcBorders>
              <w:bottom w:val="single" w:sz="8" w:color="0000EE"/>
            </w:tcBorders>
            <w:gridSpan w:val="36"/>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First Amendment to Supply Agreement, dated October 31, 2014, by and between MannKind and Amphastar France Pharmaceuticals, S.A.S.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7"/>
          </w:tcPr>
          <w:p>
            <w:pPr>
              <w:spacing w:after="0" w:line="196" w:lineRule="exact"/>
              <w:rPr>
                <w:rFonts w:ascii="Arial" w:cs="Arial" w:eastAsia="Arial" w:hAnsi="Arial"/>
                <w:sz w:val="18"/>
                <w:szCs w:val="18"/>
                <w:color w:val="0000EE"/>
                <w:w w:val="96"/>
              </w:rPr>
            </w:pPr>
            <w:hyperlink r:id="rId107">
              <w:r>
                <w:rPr>
                  <w:rFonts w:ascii="Arial" w:cs="Arial" w:eastAsia="Arial" w:hAnsi="Arial"/>
                  <w:sz w:val="18"/>
                  <w:szCs w:val="18"/>
                  <w:color w:val="0000EE"/>
                  <w:w w:val="96"/>
                </w:rPr>
                <w:t>Amphastar Pharmaceuticals, Inc. (incorporated by reference to Exhibit 10.32 to MannKind’s Annual Report on Form 10-K (File No. 000-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50865)</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March 16, 2017).</w:t>
              </w:r>
            </w:hyperlink>
          </w:p>
        </w:tc>
        <w:tc>
          <w:tcPr>
            <w:tcW w:w="54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7"/>
              </w:rPr>
            </w:pPr>
            <w:hyperlink r:id="rId108">
              <w:r>
                <w:rPr>
                  <w:rFonts w:ascii="Arial" w:cs="Arial" w:eastAsia="Arial" w:hAnsi="Arial"/>
                  <w:sz w:val="18"/>
                  <w:szCs w:val="18"/>
                  <w:color w:val="0000EE"/>
                  <w:w w:val="97"/>
                </w:rPr>
                <w:t>Second Amendment to Supply Agreement, dated November 9, 2016, by and between MannKind and Amphastar Pharmaceuticals,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7"/>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(incorporated by reference to Exhibit 10.33 to MannKind’s Annual Report on Form 10-K (File No. 000-50865), filed with the SEC on March 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gridSpan w:val="3"/>
          </w:tcPr>
          <w:p>
            <w:pPr>
              <w:ind w:left="100"/>
              <w:spacing w:after="0" w:line="196" w:lineRule="exact"/>
              <w:rPr>
                <w:rFonts w:ascii="Arial" w:cs="Arial" w:eastAsia="Arial" w:hAnsi="Arial"/>
                <w:sz w:val="18"/>
                <w:szCs w:val="18"/>
                <w:color w:val="0000EE"/>
                <w:w w:val="74"/>
              </w:rPr>
            </w:pPr>
            <w:hyperlink r:id="rId108">
              <w:r>
                <w:rPr>
                  <w:rFonts w:ascii="Arial" w:cs="Arial" w:eastAsia="Arial" w:hAnsi="Arial"/>
                  <w:sz w:val="18"/>
                  <w:szCs w:val="18"/>
                  <w:color w:val="0000EE"/>
                  <w:w w:val="74"/>
                </w:rPr>
                <w:t>2017).</w:t>
              </w:r>
            </w:hyperlink>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10280" w:type="dxa"/>
            <w:vAlign w:val="bottom"/>
            <w:tcBorders>
              <w:bottom w:val="single" w:sz="8" w:color="0000EE"/>
            </w:tcBorders>
            <w:gridSpan w:val="31"/>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Third Amendment to Supply Agreement, dated April 11, 2018, by and between MannKind and Amphastar Pharmaceuticals, Inc. (incorporated</w:t>
              </w:r>
            </w:hyperlink>
          </w:p>
        </w:tc>
        <w:tc>
          <w:tcPr>
            <w:tcW w:w="1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by reference to Exhibit 10.8 to MannKind’s Quarterly Report on Form 10-Q (File No. 000-50865), filed with the SEC on May 9, 2018).</w:t>
              </w:r>
            </w:hyperlink>
          </w:p>
        </w:tc>
        <w:tc>
          <w:tcPr>
            <w:tcW w:w="68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7"/>
              </w:rPr>
            </w:pPr>
            <w:hyperlink r:id="rId110">
              <w:r>
                <w:rPr>
                  <w:rFonts w:ascii="Arial" w:cs="Arial" w:eastAsia="Arial" w:hAnsi="Arial"/>
                  <w:sz w:val="18"/>
                  <w:szCs w:val="18"/>
                  <w:color w:val="0000EE"/>
                  <w:w w:val="97"/>
                </w:rPr>
                <w:t>Fourth Amendment to Supply Agreement, dated December 24, 2018, by and between MannKind and Amphastar Pharmaceuticals,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(incorporated by reference to Exhibit 10.50 to MannKind’s Annual Report on Form 10-K (File No. 000-50865), filed with the SEC on February</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gridSpan w:val="5"/>
          </w:tcPr>
          <w:p>
            <w:pPr>
              <w:ind w:left="100"/>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26, 2019)</w:t>
              </w:r>
              <w:r>
                <w:rPr>
                  <w:rFonts w:ascii="Arial" w:cs="Arial" w:eastAsia="Arial" w:hAnsi="Arial"/>
                  <w:sz w:val="18"/>
                  <w:szCs w:val="18"/>
                  <w:color w:val="000000"/>
                </w:rPr>
                <w:t>.</w:t>
              </w:r>
            </w:hyperlink>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Fifth Amendment to Supply Agreement, dated August 2, 2019, by and between MannKind Corporation and Amphastar Pharmaceuticals,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(incorporated by reference to Exhibit 99.5 to MannKind’s Current Report on Form 8-K (File No. 000-50865), filed with the SEC on August 7,</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gridSpan w:val="3"/>
          </w:tcPr>
          <w:p>
            <w:pPr>
              <w:ind w:left="100"/>
              <w:spacing w:after="0" w:line="196" w:lineRule="exact"/>
              <w:rPr>
                <w:rFonts w:ascii="Arial" w:cs="Arial" w:eastAsia="Arial" w:hAnsi="Arial"/>
                <w:sz w:val="18"/>
                <w:szCs w:val="18"/>
                <w:color w:val="0000EE"/>
                <w:w w:val="74"/>
              </w:rPr>
            </w:pPr>
            <w:hyperlink r:id="rId111">
              <w:r>
                <w:rPr>
                  <w:rFonts w:ascii="Arial" w:cs="Arial" w:eastAsia="Arial" w:hAnsi="Arial"/>
                  <w:sz w:val="18"/>
                  <w:szCs w:val="18"/>
                  <w:color w:val="0000EE"/>
                  <w:w w:val="74"/>
                </w:rPr>
                <w:t>2019)</w:t>
              </w:r>
              <w:r>
                <w:rPr>
                  <w:rFonts w:ascii="Arial" w:cs="Arial" w:eastAsia="Arial" w:hAnsi="Arial"/>
                  <w:sz w:val="18"/>
                  <w:szCs w:val="18"/>
                  <w:color w:val="000000"/>
                  <w:w w:val="74"/>
                </w:rPr>
                <w:t>.</w:t>
              </w:r>
            </w:hyperlink>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10320" w:type="dxa"/>
            <w:vAlign w:val="bottom"/>
            <w:tcBorders>
              <w:bottom w:val="single" w:sz="8" w:color="0000EE"/>
            </w:tcBorders>
            <w:gridSpan w:val="33"/>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Sublease Agreement, dated May 1, 2015, by and between MannKind and the Alfred Mann Foundation for Scientific Research (incorporated by</w:t>
              </w:r>
            </w:hyperlink>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reference to Exhibit 10.37 to MannKind’s Annual Report on Form 10-K (File No. 000-50865), filed with the SEC on March 15, 2016).</w:t>
              </w:r>
            </w:hyperlink>
          </w:p>
        </w:tc>
        <w:tc>
          <w:tcPr>
            <w:tcW w:w="7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4"/>
                <w:szCs w:val="24"/>
                <w:color w:val="auto"/>
              </w:rPr>
            </w:pPr>
          </w:p>
        </w:tc>
        <w:tc>
          <w:tcPr>
            <w:tcW w:w="10020" w:type="dxa"/>
            <w:vAlign w:val="bottom"/>
            <w:tcBorders>
              <w:bottom w:val="single" w:sz="8" w:color="0000EE"/>
            </w:tcBorders>
            <w:gridSpan w:val="24"/>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Office Lease, dated May 5 2017, by and between MannKind and Russell Ranch Road II LLC. (incorporated by reference to Exhibit 10.3 to</w:t>
              </w:r>
            </w:hyperlink>
          </w:p>
        </w:tc>
        <w:tc>
          <w:tcPr>
            <w:tcW w:w="4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MannKind’s Quarterly Report on Form 10-Q (file No. 000-50865), filed with the SEC on August 7, 2017).</w:t>
              </w:r>
            </w:hyperlink>
          </w:p>
        </w:tc>
        <w:tc>
          <w:tcPr>
            <w:tcW w:w="274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960" w:type="dxa"/>
            <w:vAlign w:val="bottom"/>
            <w:gridSpan w:val="5"/>
            <w:vMerge w:val="restart"/>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Controlled Equity Offering</w:t>
              </w:r>
            </w:hyperlink>
          </w:p>
        </w:tc>
        <w:tc>
          <w:tcPr>
            <w:tcW w:w="140" w:type="dxa"/>
            <w:vAlign w:val="bottom"/>
            <w:tcBorders>
              <w:bottom w:val="single" w:sz="8" w:color="0000EE"/>
            </w:tcBorders>
          </w:tcPr>
          <w:p>
            <w:pPr>
              <w:spacing w:after="0"/>
              <w:rPr>
                <w:rFonts w:ascii="Arial" w:cs="Arial" w:eastAsia="Arial" w:hAnsi="Arial"/>
                <w:sz w:val="11"/>
                <w:szCs w:val="11"/>
                <w:color w:val="0000EE"/>
                <w:w w:val="72"/>
              </w:rPr>
            </w:pPr>
            <w:hyperlink r:id="rId114">
              <w:r>
                <w:rPr>
                  <w:rFonts w:ascii="Arial" w:cs="Arial" w:eastAsia="Arial" w:hAnsi="Arial"/>
                  <w:sz w:val="11"/>
                  <w:szCs w:val="11"/>
                  <w:color w:val="0000EE"/>
                  <w:w w:val="72"/>
                </w:rPr>
                <w:t>SM</w:t>
              </w:r>
            </w:hyperlink>
          </w:p>
        </w:tc>
        <w:tc>
          <w:tcPr>
            <w:tcW w:w="8360" w:type="dxa"/>
            <w:vAlign w:val="bottom"/>
            <w:gridSpan w:val="31"/>
            <w:vMerge w:val="restart"/>
          </w:tcPr>
          <w:p>
            <w:pPr>
              <w:ind w:left="40"/>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Sales Agreement, by and between MannKind and Cantor Fitzgerald &amp; Co., dated February 27, 2018 (incorporated</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8360" w:type="dxa"/>
            <w:vAlign w:val="bottom"/>
            <w:gridSpan w:val="31"/>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5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by reference to Exhibit 10.47 to MannKind’s Annual Report on Form 10-K (File No. 000-50865), filed with the SEC on February 27, 2018).</w:t>
              </w:r>
            </w:hyperlink>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License and Collaboration Agreement, dated September 3, 2018 by and between MannKind and United Therapeutics Corporation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80" w:type="dxa"/>
            <w:vAlign w:val="bottom"/>
            <w:tcBorders>
              <w:top w:val="single" w:sz="8" w:color="0000EE"/>
            </w:tcBorders>
            <w:gridSpan w:val="34"/>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by reference to Exhibit 10.8 to MannKind’s Quarterly Report on Form 10-Q (file No. 000-50865), filed with the SEC on November 1, 2018).</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5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Research Agreement, dated September 3, 2018 by and between MannKind and United Therapeutics Corporation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Exhibit 10.9 to MannKind’s Quarterly Report on Form 10-Q (file No. 000-50865), filed with the SEC on November 1, 2018).</w:t>
              </w:r>
            </w:hyperlink>
          </w:p>
        </w:tc>
        <w:tc>
          <w:tcPr>
            <w:tcW w:w="2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5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3"/>
              </w:rPr>
            </w:pPr>
            <w:hyperlink r:id="rId117">
              <w:r>
                <w:rPr>
                  <w:rFonts w:ascii="Arial" w:cs="Arial" w:eastAsia="Arial" w:hAnsi="Arial"/>
                  <w:sz w:val="18"/>
                  <w:szCs w:val="18"/>
                  <w:color w:val="0000EE"/>
                  <w:w w:val="93"/>
                </w:rPr>
                <w:t>Exchange Agreement, dated July 18, 2019, by and among MannKind Corporation, MannKind LLC, Deerfield Private Design Fund II, L.P.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520" w:type="dxa"/>
            <w:vAlign w:val="bottom"/>
            <w:gridSpan w:val="4"/>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Deerfield Private Design International II, L.P. (incorporated by reference to Exhibit 99.1 to MannKind’s Current Report on Form 8-K (File No.</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000-50865), filed with the SEC on July 18,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Exchange Agreement, dated August 5, 2019, by and between MannKind Corporation and The Mann Group LLC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Exhibit 99.3 to MannKind’s Current Report on Form 8-K (File No. 000-50865), filed with the SEC on August 7, 2019).</w:t>
              </w:r>
            </w:hyperlink>
          </w:p>
        </w:tc>
        <w:tc>
          <w:tcPr>
            <w:tcW w:w="1660" w:type="dxa"/>
            <w:vAlign w:val="bottom"/>
            <w:tcBorders>
              <w:top w:val="single" w:sz="8" w:color="0000EE"/>
            </w:tcBorders>
            <w:gridSpan w:val="17"/>
          </w:tcPr>
          <w:p>
            <w:pPr>
              <w:spacing w:after="0"/>
              <w:rPr>
                <w:sz w:val="17"/>
                <w:szCs w:val="17"/>
                <w:color w:val="auto"/>
              </w:rPr>
            </w:pPr>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10440" w:type="dxa"/>
            <w:vAlign w:val="bottom"/>
            <w:tcBorders>
              <w:bottom w:val="single" w:sz="8" w:color="0000EE"/>
            </w:tcBorders>
            <w:gridSpan w:val="36"/>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Exchange Agreement, dated August 6, 2019, by and among MannKind Corporation, MannKind LLC, Deerfield Private Design Fund II, L.P.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7"/>
          </w:tcPr>
          <w:p>
            <w:pPr>
              <w:spacing w:after="0" w:line="196" w:lineRule="exact"/>
              <w:rPr>
                <w:rFonts w:ascii="Arial" w:cs="Arial" w:eastAsia="Arial" w:hAnsi="Arial"/>
                <w:sz w:val="18"/>
                <w:szCs w:val="18"/>
                <w:color w:val="0000EE"/>
                <w:w w:val="96"/>
              </w:rPr>
            </w:pPr>
            <w:hyperlink r:id="rId119">
              <w:r>
                <w:rPr>
                  <w:rFonts w:ascii="Arial" w:cs="Arial" w:eastAsia="Arial" w:hAnsi="Arial"/>
                  <w:sz w:val="18"/>
                  <w:szCs w:val="18"/>
                  <w:color w:val="0000EE"/>
                  <w:w w:val="96"/>
                </w:rPr>
                <w:t>Deerfield Private Design International II, L.P. (incorporated by reference to Exhibit 99.4 to MannKind’s Current Report on Form 8-K (File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No. 000-50865), filed with the SEC on August 7, 2019)</w:t>
              </w:r>
              <w:r>
                <w:rPr>
                  <w:rFonts w:ascii="Arial" w:cs="Arial" w:eastAsia="Arial" w:hAnsi="Arial"/>
                  <w:sz w:val="18"/>
                  <w:szCs w:val="18"/>
                  <w:color w:val="000000"/>
                </w:rPr>
                <w:t>.</w:t>
              </w:r>
            </w:hyperlink>
          </w:p>
        </w:tc>
        <w:tc>
          <w:tcPr>
            <w:tcW w:w="4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5"/>
              </w:rPr>
            </w:pPr>
            <w:hyperlink r:id="rId120">
              <w:r>
                <w:rPr>
                  <w:rFonts w:ascii="Arial" w:cs="Arial" w:eastAsia="Arial" w:hAnsi="Arial"/>
                  <w:sz w:val="18"/>
                  <w:szCs w:val="18"/>
                  <w:color w:val="0000EE"/>
                  <w:w w:val="95"/>
                </w:rPr>
                <w:t>Exchange Agreement, dated August 6, 2019, by and between MannKind Corporation and Bruce &amp; Co., Inc.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Exhibit 99.2 to MannKind’s Current Report on Form 8-K (File No. 000-50865), filed with the SEC on August 7, 2019).</w:t>
              </w:r>
            </w:hyperlink>
          </w:p>
        </w:tc>
        <w:tc>
          <w:tcPr>
            <w:tcW w:w="1280" w:type="dxa"/>
            <w:vAlign w:val="bottom"/>
            <w:tcBorders>
              <w:top w:val="single" w:sz="8" w:color="0000EE"/>
            </w:tcBorders>
            <w:gridSpan w:val="6"/>
          </w:tcPr>
          <w:p>
            <w:pPr>
              <w:spacing w:after="0"/>
              <w:rPr>
                <w:sz w:val="17"/>
                <w:szCs w:val="17"/>
                <w:color w:val="auto"/>
              </w:rPr>
            </w:pPr>
          </w:p>
        </w:tc>
        <w:tc>
          <w:tcPr>
            <w:tcW w:w="56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4"/>
                <w:szCs w:val="24"/>
                <w:color w:val="auto"/>
              </w:rPr>
            </w:pPr>
          </w:p>
        </w:tc>
        <w:tc>
          <w:tcPr>
            <w:tcW w:w="10460" w:type="dxa"/>
            <w:vAlign w:val="bottom"/>
            <w:gridSpan w:val="37"/>
          </w:tcPr>
          <w:p>
            <w:pPr>
              <w:spacing w:after="0"/>
              <w:rPr>
                <w:rFonts w:ascii="Arial" w:cs="Arial" w:eastAsia="Arial" w:hAnsi="Arial"/>
                <w:sz w:val="18"/>
                <w:szCs w:val="18"/>
                <w:color w:val="0000EE"/>
                <w:w w:val="93"/>
              </w:rPr>
            </w:pPr>
            <w:hyperlink r:id="rId121">
              <w:r>
                <w:rPr>
                  <w:rFonts w:ascii="Arial" w:cs="Arial" w:eastAsia="Arial" w:hAnsi="Arial"/>
                  <w:sz w:val="18"/>
                  <w:szCs w:val="18"/>
                  <w:color w:val="0000EE"/>
                  <w:w w:val="93"/>
                </w:rPr>
                <w:t>Credit and Security Agreement, dated August 6, 2019, by and among MannKind Corporation, MannKind LLC, the lenders party thereto from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gridSpan w:val="10"/>
            <w:shd w:val="clear" w:color="auto" w:fill="0000EE"/>
          </w:tcPr>
          <w:p>
            <w:pPr>
              <w:spacing w:after="0" w:line="20" w:lineRule="exact"/>
              <w:rPr>
                <w:sz w:val="1"/>
                <w:szCs w:val="1"/>
                <w:color w:val="auto"/>
              </w:rPr>
            </w:pPr>
          </w:p>
        </w:tc>
        <w:tc>
          <w:tcPr>
            <w:tcW w:w="6100" w:type="dxa"/>
            <w:vAlign w:val="bottom"/>
            <w:gridSpan w:val="19"/>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time to time and MidCap Financial Trust, as agent (incorporated by reference to Exhibit 99.1 to MannKind’s Current Report on Form 8-K (File</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3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No. 000-50865), filed with the SEC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080" w:type="dxa"/>
            <w:vAlign w:val="bottom"/>
            <w:tcBorders>
              <w:top w:val="single" w:sz="8" w:color="0000EE"/>
            </w:tcBorders>
            <w:gridSpan w:val="9"/>
          </w:tcPr>
          <w:p>
            <w:pPr>
              <w:spacing w:after="0"/>
              <w:rPr>
                <w:sz w:val="24"/>
                <w:szCs w:val="24"/>
                <w:color w:val="auto"/>
              </w:rPr>
            </w:pPr>
          </w:p>
        </w:tc>
        <w:tc>
          <w:tcPr>
            <w:tcW w:w="1880" w:type="dxa"/>
            <w:vAlign w:val="bottom"/>
            <w:gridSpan w:val="2"/>
          </w:tcPr>
          <w:p>
            <w:pPr>
              <w:jc w:val="right"/>
              <w:ind w:right="1140"/>
              <w:spacing w:after="0"/>
              <w:rPr>
                <w:sz w:val="20"/>
                <w:szCs w:val="20"/>
                <w:color w:val="auto"/>
              </w:rPr>
            </w:pPr>
            <w:r>
              <w:rPr>
                <w:rFonts w:ascii="Arial" w:cs="Arial" w:eastAsia="Arial" w:hAnsi="Arial"/>
                <w:sz w:val="18"/>
                <w:szCs w:val="18"/>
                <w:color w:val="auto"/>
              </w:rPr>
              <w:t>48</w:t>
            </w: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100" w:type="dxa"/>
            <w:vAlign w:val="bottom"/>
            <w:gridSpan w:val="10"/>
            <w:vMerge w:val="restart"/>
          </w:tcPr>
          <w:p>
            <w:pPr>
              <w:ind w:left="1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10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10.39</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140" w:type="dxa"/>
            <w:vAlign w:val="bottom"/>
            <w:tcBorders>
              <w:top w:val="single" w:sz="8" w:color="auto"/>
              <w:bottom w:val="single" w:sz="8" w:color="0000EE"/>
            </w:tcBorders>
            <w:gridSpan w:val="8"/>
          </w:tcPr>
          <w:p>
            <w:pPr>
              <w:spacing w:after="0" w:line="170"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Amendment No. 1 to Credit and Security Agreement, dated December 18, 2019, by and among MannKind Corporation, MannKind LLC, the</w:t>
              </w:r>
            </w:hyperlink>
          </w:p>
        </w:tc>
        <w:tc>
          <w:tcPr>
            <w:tcW w:w="300" w:type="dxa"/>
            <w:vAlign w:val="bottom"/>
            <w:tcBorders>
              <w:top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60" w:type="dxa"/>
            <w:vAlign w:val="bottom"/>
            <w:gridSpan w:val="12"/>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lenders party thereto from time to time and MidCap Financial Trust, as agent (incorporated by reference to Exhibit 99.1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MannKind’s Current Report on Form 8-K (File No. 000-50865), filed with the SEC on December 18, 2019).</w:t>
              </w:r>
            </w:hyperlink>
          </w:p>
        </w:tc>
        <w:tc>
          <w:tcPr>
            <w:tcW w:w="16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Consent of Independent Registered Public Accounting Firm.</w:t>
              </w:r>
            </w:hyperlink>
          </w:p>
        </w:tc>
        <w:tc>
          <w:tcPr>
            <w:tcW w:w="3440" w:type="dxa"/>
            <w:vAlign w:val="bottom"/>
            <w:tcBorders>
              <w:top w:val="single" w:sz="8" w:color="0000EE"/>
            </w:tcBorders>
            <w:gridSpan w:val="3"/>
          </w:tcPr>
          <w:p>
            <w:pPr>
              <w:spacing w:after="0"/>
              <w:rPr>
                <w:sz w:val="24"/>
                <w:szCs w:val="24"/>
                <w:color w:val="auto"/>
              </w:rPr>
            </w:pPr>
          </w:p>
        </w:tc>
        <w:tc>
          <w:tcPr>
            <w:tcW w:w="2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Certification of the Chief Executive Officer pursuant to Rules 13a-14(a) and 15d-14(a) of the Securities Exchange Act of 1934, as amended.</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460" w:type="dxa"/>
            <w:vAlign w:val="bottom"/>
            <w:gridSpan w:val="12"/>
          </w:tcPr>
          <w:p>
            <w:pPr>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Certification of the Chief Financial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3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Certification of the Chief Executive Officer pursuant to Rules 13a-14(b) and 15d-14(b) of the Securities Exchange Act of 1934, as amended and</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Section 1350 of Chapter 63 of Title 18 of the United States Code (18 U.S.C. §1350).</w:t>
              </w:r>
            </w:hyperlink>
          </w:p>
        </w:tc>
        <w:tc>
          <w:tcPr>
            <w:tcW w:w="4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gridSpan w:val="2"/>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460" w:type="dxa"/>
            <w:vAlign w:val="bottom"/>
            <w:gridSpan w:val="12"/>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Certification of the Chief Financial Officer pursuant to Rules 13a-14(b) and 15d-14(b) of the Securities Exchange Act of 1934, as amended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Section 1350 of Chapter 63 of Title 18 of the United States Code (18 U.S.C. §1350).</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0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Interactive Data Files pursuant to Rule 405 of Regulation S-T.</w:t>
            </w:r>
          </w:p>
        </w:tc>
        <w:tc>
          <w:tcPr>
            <w:tcW w:w="4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9640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41"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Confidential treatment has been granted with respect to certain portions of this exhibit. Omitted portions have been filed separately with the SEC.</w:t>
      </w:r>
    </w:p>
    <w:p>
      <w:pPr>
        <w:spacing w:after="0" w:line="20" w:lineRule="exact"/>
        <w:rPr>
          <w:rFonts w:ascii="Arial" w:cs="Arial" w:eastAsia="Arial" w:hAnsi="Arial"/>
          <w:sz w:val="17"/>
          <w:szCs w:val="17"/>
          <w:color w:val="auto"/>
        </w:rPr>
      </w:pPr>
    </w:p>
    <w:p>
      <w:pPr>
        <w:ind w:left="480" w:hanging="47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601(b)(10)(iv) of Regulation S-K.</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8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MANNKIND CORPORATION</w:t>
      </w:r>
    </w:p>
    <w:p>
      <w:pPr>
        <w:spacing w:after="0" w:line="252"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Castagna</w:t>
            </w:r>
          </w:p>
        </w:tc>
      </w:tr>
      <w:tr>
        <w:trPr>
          <w:trHeight w:val="237"/>
        </w:trPr>
        <w:tc>
          <w:tcPr>
            <w:tcW w:w="8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Michael E. Castagna</w:t>
            </w:r>
          </w:p>
        </w:tc>
      </w:tr>
      <w:tr>
        <w:trPr>
          <w:trHeight w:val="243"/>
        </w:trPr>
        <w:tc>
          <w:tcPr>
            <w:tcW w:w="86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Dated: February 25, 2020</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85"/>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spacing w:after="0" w:line="178" w:lineRule="exact"/>
        <w:rPr>
          <w:sz w:val="20"/>
          <w:szCs w:val="20"/>
          <w:color w:val="auto"/>
        </w:rPr>
      </w:pPr>
    </w:p>
    <w:p>
      <w:pPr>
        <w:ind w:right="500" w:firstLine="48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r>
      <w:tr>
        <w:trPr>
          <w:trHeight w:val="45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Castagna</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Executive Officer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Michael E. Castagna</w:t>
            </w:r>
          </w:p>
        </w:tc>
        <w:tc>
          <w:tcPr>
            <w:tcW w:w="240" w:type="dxa"/>
            <w:vAlign w:val="bottom"/>
          </w:tcPr>
          <w:p>
            <w:pPr>
              <w:spacing w:after="0"/>
              <w:rPr>
                <w:sz w:val="19"/>
                <w:szCs w:val="19"/>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3"/>
              </w:rPr>
              <w:t>(Principal Executive Officer)</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 Binder</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Steven B. Blinder</w:t>
            </w:r>
          </w:p>
        </w:tc>
        <w:tc>
          <w:tcPr>
            <w:tcW w:w="240" w:type="dxa"/>
            <w:vAlign w:val="bottom"/>
          </w:tcPr>
          <w:p>
            <w:pPr>
              <w:spacing w:after="0"/>
              <w:rPr>
                <w:sz w:val="19"/>
                <w:szCs w:val="19"/>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Kresa</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Kent Kresa</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Consiglio</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Ronald J. Consiglio</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Friedman</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Michael Friedman, M.D.</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C. Hooper</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Anthony C. Hooper</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000" w:type="dxa"/>
            <w:vAlign w:val="bottom"/>
          </w:tcPr>
          <w:p>
            <w:pPr>
              <w:spacing w:after="0"/>
              <w:rPr>
                <w:sz w:val="20"/>
                <w:szCs w:val="20"/>
                <w:color w:val="auto"/>
              </w:rPr>
            </w:pPr>
            <w:r>
              <w:rPr>
                <w:rFonts w:ascii="Arial" w:cs="Arial" w:eastAsia="Arial" w:hAnsi="Arial"/>
                <w:sz w:val="18"/>
                <w:szCs w:val="18"/>
                <w:color w:val="auto"/>
              </w:rPr>
              <w:t>/s/ Christine Mundkur</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20" w:type="dxa"/>
            <w:vAlign w:val="bottom"/>
          </w:tcPr>
          <w:p>
            <w:pPr>
              <w:spacing w:after="0"/>
              <w:rPr>
                <w:sz w:val="24"/>
                <w:szCs w:val="24"/>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Christine Mundkur</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Shannon</w:t>
            </w:r>
          </w:p>
        </w:tc>
        <w:tc>
          <w:tcPr>
            <w:tcW w:w="240" w:type="dxa"/>
            <w:vAlign w:val="bottom"/>
          </w:tcPr>
          <w:p>
            <w:pPr>
              <w:spacing w:after="0"/>
              <w:rPr>
                <w:sz w:val="24"/>
                <w:szCs w:val="24"/>
                <w:color w:val="auto"/>
              </w:rPr>
            </w:pPr>
          </w:p>
        </w:tc>
        <w:tc>
          <w:tcPr>
            <w:tcW w:w="51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2020</w:t>
            </w:r>
          </w:p>
        </w:tc>
        <w:tc>
          <w:tcPr>
            <w:tcW w:w="20" w:type="dxa"/>
            <w:vAlign w:val="bottom"/>
          </w:tcPr>
          <w:p>
            <w:pPr>
              <w:spacing w:after="0"/>
              <w:rPr>
                <w:sz w:val="24"/>
                <w:szCs w:val="24"/>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James S. Shannon, M.D., MRCP (UK)</w:t>
            </w: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77"/>
        </w:trPr>
        <w:tc>
          <w:tcPr>
            <w:tcW w:w="4000" w:type="dxa"/>
            <w:vAlign w:val="bottom"/>
          </w:tcPr>
          <w:p>
            <w:pPr>
              <w:spacing w:after="0"/>
              <w:rPr>
                <w:sz w:val="24"/>
                <w:szCs w:val="24"/>
                <w:color w:val="auto"/>
              </w:rPr>
            </w:pPr>
          </w:p>
        </w:tc>
        <w:tc>
          <w:tcPr>
            <w:tcW w:w="5120" w:type="dxa"/>
            <w:vAlign w:val="bottom"/>
            <w:gridSpan w:val="2"/>
          </w:tcPr>
          <w:p>
            <w:pPr>
              <w:jc w:val="right"/>
              <w:ind w:right="323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6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700" w:type="dxa"/>
            <w:vAlign w:val="bottom"/>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920" w:type="dxa"/>
            <w:vAlign w:val="bottom"/>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w:t>
              </w:r>
            </w:hyperlink>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Comprehensive Loss</w:t>
              </w:r>
            </w:hyperlink>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Consolidated Statements of Stockholders’ Deficit</w:t>
              </w:r>
            </w:hyperlink>
          </w:p>
        </w:tc>
        <w:tc>
          <w:tcPr>
            <w:tcW w:w="1340" w:type="dxa"/>
            <w:vAlign w:val="bottom"/>
            <w:gridSpan w:val="2"/>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Cash Flows</w:t>
              </w:r>
            </w:hyperlink>
          </w:p>
        </w:tc>
        <w:tc>
          <w:tcPr>
            <w:tcW w:w="2040" w:type="dxa"/>
            <w:vAlign w:val="bottom"/>
            <w:gridSpan w:val="5"/>
          </w:tcPr>
          <w:p>
            <w:pPr>
              <w:spacing w:after="0"/>
              <w:rPr>
                <w:sz w:val="17"/>
                <w:szCs w:val="17"/>
                <w:color w:val="auto"/>
              </w:rPr>
            </w:pPr>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492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65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669"/>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right"/>
              <w:ind w:right="5550"/>
              <w:spacing w:after="0"/>
              <w:rPr>
                <w:sz w:val="20"/>
                <w:szCs w:val="20"/>
                <w:color w:val="auto"/>
              </w:rPr>
            </w:pPr>
            <w:r>
              <w:rPr>
                <w:rFonts w:ascii="Arial" w:cs="Arial" w:eastAsia="Arial" w:hAnsi="Arial"/>
                <w:sz w:val="18"/>
                <w:szCs w:val="18"/>
                <w:color w:val="auto"/>
              </w:rPr>
              <w:t>51</w:t>
            </w: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3" w:name="page54"/>
    <w:bookmarkEnd w:id="5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right="60" w:firstLine="485"/>
        <w:spacing w:after="0" w:line="297" w:lineRule="auto"/>
        <w:rPr>
          <w:sz w:val="20"/>
          <w:szCs w:val="20"/>
          <w:color w:val="auto"/>
        </w:rPr>
      </w:pPr>
      <w:r>
        <w:rPr>
          <w:rFonts w:ascii="Arial" w:cs="Arial" w:eastAsia="Arial" w:hAnsi="Arial"/>
          <w:sz w:val="16"/>
          <w:szCs w:val="16"/>
          <w:color w:val="auto"/>
        </w:rPr>
        <w:t>We have audited the accompanying consolidated balance sheets of MannKind Corporation and subsidiaries (the "Company") as of December 31, 2019 and 2018, the related consolidated statements of operations, comprehensive loss,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the accounting principles generally accepted in the United States of America.</w:t>
      </w:r>
    </w:p>
    <w:p>
      <w:pPr>
        <w:spacing w:after="0" w:line="158"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2020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firstLine="485"/>
        <w:spacing w:after="0" w:line="286"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Company’s available cash resources and continuing cash needs raise substantial doubt about its ability to continue as a going concern. The financial statements do not include any adjustments that might result from the outcome of this uncertainty.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20" w:firstLine="485"/>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firstLine="48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320" w:type="dxa"/>
            <w:vAlign w:val="bottom"/>
            <w:gridSpan w:val="4"/>
          </w:tcPr>
          <w:p>
            <w:pPr>
              <w:jc w:val="right"/>
              <w:ind w:right="54"/>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64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FF0FC"/>
          </w:tcPr>
          <w:p>
            <w:pPr>
              <w:jc w:val="right"/>
              <w:ind w:right="9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71,157</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19,978</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3,513</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60,757</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81,854</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26,778</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25,602</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2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93,725</w:t>
            </w:r>
          </w:p>
        </w:tc>
        <w:tc>
          <w:tcPr>
            <w:tcW w:w="26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107,705</w:t>
            </w:r>
          </w:p>
        </w:tc>
        <w:tc>
          <w:tcPr>
            <w:tcW w:w="120" w:type="dxa"/>
            <w:vAlign w:val="bottom"/>
            <w:tcBorders>
              <w:bottom w:val="single" w:sz="8" w:color="CFF0FC"/>
            </w:tcBorders>
          </w:tcPr>
          <w:p>
            <w:pPr>
              <w:spacing w:after="0"/>
              <w:rPr>
                <w:sz w:val="22"/>
                <w:szCs w:val="22"/>
                <w:color w:val="auto"/>
              </w:rPr>
            </w:pPr>
          </w:p>
        </w:tc>
      </w:tr>
      <w:tr>
        <w:trPr>
          <w:trHeight w:val="210"/>
        </w:trPr>
        <w:tc>
          <w:tcPr>
            <w:tcW w:w="66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tcPr>
          <w:p>
            <w:pPr>
              <w:ind w:left="1520"/>
              <w:spacing w:after="0"/>
              <w:rPr>
                <w:sz w:val="20"/>
                <w:szCs w:val="20"/>
                <w:color w:val="auto"/>
              </w:rPr>
            </w:pPr>
            <w:r>
              <w:rPr>
                <w:rFonts w:ascii="Arial" w:cs="Arial" w:eastAsia="Arial" w:hAnsi="Arial"/>
                <w:sz w:val="18"/>
                <w:szCs w:val="18"/>
                <w:b w:val="1"/>
                <w:bCs w:val="1"/>
                <w:color w:val="auto"/>
              </w:rPr>
              <w:t>LIABILITIES AND STOCKHOLDERS' DEFICIT</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40" w:type="dxa"/>
            <w:vAlign w:val="bottom"/>
            <w:gridSpan w:val="2"/>
          </w:tcPr>
          <w:p>
            <w:pPr>
              <w:jc w:val="right"/>
              <w:ind w:right="93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4,789</w:t>
            </w:r>
          </w:p>
        </w:tc>
        <w:tc>
          <w:tcPr>
            <w:tcW w:w="260" w:type="dxa"/>
            <w:vAlign w:val="bottom"/>
          </w:tcPr>
          <w:p>
            <w:pPr>
              <w:spacing w:after="0"/>
              <w:rPr>
                <w:sz w:val="19"/>
                <w:szCs w:val="19"/>
                <w:color w:val="auto"/>
              </w:rPr>
            </w:pP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5,379</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15,022</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Facility financing obligation</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11,298</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note payable</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Deferred revenue — current</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32,503</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36,885</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5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2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65,618</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75,241</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Promissory notes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72,089</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Accrued interest — promissory notes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Long-term Midcap credit facility</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38,851</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19,099</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84,639</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91,642</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2,514</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Milestone rights liability</w:t>
            </w:r>
          </w:p>
        </w:tc>
        <w:tc>
          <w:tcPr>
            <w:tcW w:w="5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5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284,251</w:t>
            </w:r>
          </w:p>
        </w:tc>
        <w:tc>
          <w:tcPr>
            <w:tcW w:w="2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282,787</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no shares issued or outstanding at December 31, 2019 and 2018</w:t>
            </w: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 280,000,000 shares authorized,</w:t>
            </w:r>
          </w:p>
        </w:tc>
        <w:tc>
          <w:tcPr>
            <w:tcW w:w="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211,787,573 and 187,029,967 shares issued and outstanding at December 31, 2019</w:t>
            </w:r>
          </w:p>
        </w:tc>
        <w:tc>
          <w:tcPr>
            <w:tcW w:w="5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2018, respectively</w:t>
            </w:r>
          </w:p>
        </w:tc>
        <w:tc>
          <w:tcPr>
            <w:tcW w:w="5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FF0FC"/>
          </w:tcPr>
          <w:p>
            <w:pPr>
              <w:spacing w:after="0"/>
              <w:rPr>
                <w:sz w:val="20"/>
                <w:szCs w:val="20"/>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2,799,278</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2,763,067</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w:t>
            </w:r>
          </w:p>
        </w:tc>
        <w:tc>
          <w:tcPr>
            <w:tcW w:w="1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Accumulated deficit</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(2,991,903)</w:t>
            </w:r>
          </w:p>
        </w:tc>
        <w:tc>
          <w:tcPr>
            <w:tcW w:w="1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(2,940,000)</w:t>
            </w:r>
          </w:p>
        </w:tc>
      </w:tr>
      <w:tr>
        <w:trPr>
          <w:trHeight w:val="223"/>
        </w:trPr>
        <w:tc>
          <w:tcPr>
            <w:tcW w:w="6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5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(190,526)</w:t>
            </w:r>
          </w:p>
        </w:tc>
        <w:tc>
          <w:tcPr>
            <w:tcW w:w="2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520" w:type="dxa"/>
            <w:vAlign w:val="bottom"/>
          </w:tcPr>
          <w:p>
            <w:pPr>
              <w:spacing w:after="0"/>
              <w:rPr>
                <w:sz w:val="19"/>
                <w:szCs w:val="19"/>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93,725</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107,705</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ind w:left="362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4"/>
                <w:szCs w:val="14"/>
                <w:b w:val="1"/>
                <w:bCs w:val="1"/>
                <w:color w:val="auto"/>
                <w:w w:val="96"/>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00" w:type="dxa"/>
            <w:vAlign w:val="bottom"/>
          </w:tcPr>
          <w:p>
            <w:pPr>
              <w:spacing w:after="0"/>
              <w:rPr>
                <w:sz w:val="13"/>
                <w:szCs w:val="13"/>
                <w:color w:val="auto"/>
              </w:rPr>
            </w:pPr>
          </w:p>
        </w:tc>
        <w:tc>
          <w:tcPr>
            <w:tcW w:w="3400" w:type="dxa"/>
            <w:vAlign w:val="bottom"/>
            <w:gridSpan w:val="4"/>
          </w:tcPr>
          <w:p>
            <w:pPr>
              <w:jc w:val="right"/>
              <w:ind w:right="146"/>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180" w:type="dxa"/>
            <w:vAlign w:val="bottom"/>
          </w:tcPr>
          <w:p>
            <w:pPr>
              <w:jc w:val="right"/>
              <w:ind w:right="99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25,304</w:t>
            </w:r>
          </w:p>
        </w:tc>
        <w:tc>
          <w:tcPr>
            <w:tcW w:w="280" w:type="dxa"/>
            <w:vAlign w:val="bottom"/>
          </w:tcPr>
          <w:p>
            <w:pPr>
              <w:spacing w:after="0"/>
              <w:rPr>
                <w:sz w:val="19"/>
                <w:szCs w:val="19"/>
                <w:color w:val="auto"/>
              </w:rPr>
            </w:pPr>
          </w:p>
        </w:tc>
        <w:tc>
          <w:tcPr>
            <w:tcW w:w="1200" w:type="dxa"/>
            <w:vAlign w:val="bottom"/>
          </w:tcPr>
          <w:p>
            <w:pPr>
              <w:jc w:val="right"/>
              <w:ind w:right="10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1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37,734</w:t>
            </w:r>
          </w:p>
        </w:tc>
        <w:tc>
          <w:tcPr>
            <w:tcW w:w="28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63,038</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20,078</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6,900</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Gain on foreign currency translation</w:t>
            </w:r>
          </w:p>
        </w:tc>
        <w:tc>
          <w:tcPr>
            <w:tcW w:w="1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(1,913)</w:t>
            </w:r>
          </w:p>
        </w:tc>
        <w:tc>
          <w:tcPr>
            <w:tcW w:w="1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107,635</w:t>
            </w:r>
          </w:p>
        </w:tc>
        <w:tc>
          <w:tcPr>
            <w:tcW w:w="2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(44,597)</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1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(6,304)</w:t>
            </w:r>
          </w:p>
        </w:tc>
        <w:tc>
          <w:tcPr>
            <w:tcW w:w="1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Interest expense on promissory notes</w:t>
            </w:r>
          </w:p>
        </w:tc>
        <w:tc>
          <w:tcPr>
            <w:tcW w:w="1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(4,602)</w:t>
            </w:r>
          </w:p>
        </w:tc>
        <w:tc>
          <w:tcPr>
            <w:tcW w:w="1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extinguishment of debt</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1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w:t>
            </w:r>
          </w:p>
        </w:tc>
        <w:tc>
          <w:tcPr>
            <w:tcW w:w="2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(51,903)</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(51,903)</w:t>
            </w:r>
          </w:p>
        </w:tc>
        <w:tc>
          <w:tcPr>
            <w:tcW w:w="280" w:type="dxa"/>
            <w:vAlign w:val="bottom"/>
            <w:tcBorders>
              <w:bottom w:val="single" w:sz="8" w:color="CFF0FC"/>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0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(86,975)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180" w:type="dxa"/>
            <w:vAlign w:val="bottom"/>
            <w:tcBorders>
              <w:bottom w:val="single" w:sz="8" w:color="auto"/>
            </w:tcBorders>
            <w:shd w:val="clear" w:color="auto" w:fill="CFF0FC"/>
          </w:tcPr>
          <w:p>
            <w:pPr>
              <w:jc w:val="right"/>
              <w:ind w:right="99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share — basic and diluted</w:t>
            </w: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195,584</w:t>
            </w:r>
          </w:p>
        </w:tc>
        <w:tc>
          <w:tcPr>
            <w:tcW w:w="2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3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47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gridSpan w:val="3"/>
          </w:tcPr>
          <w:p>
            <w:pPr>
              <w:jc w:val="right"/>
              <w:ind w:right="330"/>
              <w:spacing w:after="0" w:line="155"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40" w:type="dxa"/>
            <w:vAlign w:val="bottom"/>
            <w:gridSpan w:val="2"/>
            <w:shd w:val="clear" w:color="auto" w:fill="CFF0FC"/>
          </w:tcPr>
          <w:p>
            <w:pPr>
              <w:jc w:val="right"/>
              <w:ind w:right="99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(51,903)</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(86,975)</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2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Comprehensive loss</w:t>
            </w:r>
          </w:p>
        </w:tc>
        <w:tc>
          <w:tcPr>
            <w:tcW w:w="24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(51,903)</w:t>
            </w: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(86,976)</w:t>
            </w:r>
          </w:p>
        </w:tc>
        <w:tc>
          <w:tcPr>
            <w:tcW w:w="12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3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right"/>
              <w:ind w:right="56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880" w:type="dxa"/>
            <w:vAlign w:val="bottom"/>
          </w:tcPr>
          <w:p>
            <w:pPr>
              <w:spacing w:after="0"/>
              <w:rPr>
                <w:sz w:val="13"/>
                <w:szCs w:val="13"/>
                <w:color w:val="auto"/>
              </w:rPr>
            </w:pPr>
          </w:p>
        </w:tc>
        <w:tc>
          <w:tcPr>
            <w:tcW w:w="142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w w:val="88"/>
              </w:rPr>
              <w:t>Common Stock</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3"/>
                <w:szCs w:val="13"/>
                <w:color w:val="auto"/>
              </w:rPr>
            </w:pPr>
          </w:p>
        </w:tc>
        <w:tc>
          <w:tcPr>
            <w:tcW w:w="1040" w:type="dxa"/>
            <w:vAlign w:val="bottom"/>
            <w:gridSpan w:val="3"/>
          </w:tcPr>
          <w:p>
            <w:pPr>
              <w:jc w:val="right"/>
              <w:ind w:right="238"/>
              <w:spacing w:after="0"/>
              <w:rPr>
                <w:sz w:val="20"/>
                <w:szCs w:val="20"/>
                <w:color w:val="auto"/>
              </w:rPr>
            </w:pPr>
            <w:r>
              <w:rPr>
                <w:rFonts w:ascii="Arial" w:cs="Arial" w:eastAsia="Arial" w:hAnsi="Arial"/>
                <w:sz w:val="13"/>
                <w:szCs w:val="13"/>
                <w:b w:val="1"/>
                <w:bCs w:val="1"/>
                <w:color w:val="auto"/>
                <w:w w:val="90"/>
              </w:rPr>
              <w:t>Accumulated</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880" w:type="dxa"/>
            <w:vAlign w:val="bottom"/>
          </w:tcPr>
          <w:p>
            <w:pPr>
              <w:spacing w:after="0"/>
              <w:rPr>
                <w:sz w:val="12"/>
                <w:szCs w:val="12"/>
                <w:color w:val="auto"/>
              </w:rPr>
            </w:pPr>
          </w:p>
        </w:tc>
        <w:tc>
          <w:tcPr>
            <w:tcW w:w="1420" w:type="dxa"/>
            <w:vAlign w:val="bottom"/>
            <w:gridSpan w:val="2"/>
          </w:tcPr>
          <w:p>
            <w:pPr>
              <w:ind w:left="440"/>
              <w:spacing w:after="0" w:line="143" w:lineRule="exact"/>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48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660"/>
              <w:spacing w:after="0" w:line="143"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18"/>
              <w:spacing w:after="0" w:line="143" w:lineRule="exact"/>
              <w:rPr>
                <w:sz w:val="20"/>
                <w:szCs w:val="20"/>
                <w:color w:val="auto"/>
              </w:rPr>
            </w:pPr>
            <w:r>
              <w:rPr>
                <w:rFonts w:ascii="Arial" w:cs="Arial" w:eastAsia="Arial" w:hAnsi="Arial"/>
                <w:sz w:val="13"/>
                <w:szCs w:val="13"/>
                <w:b w:val="1"/>
                <w:bCs w:val="1"/>
                <w:color w:val="auto"/>
              </w:rPr>
              <w:t>Deficit</w:t>
            </w:r>
          </w:p>
        </w:tc>
        <w:tc>
          <w:tcPr>
            <w:tcW w:w="280" w:type="dxa"/>
            <w:vAlign w:val="bottom"/>
          </w:tcPr>
          <w:p>
            <w:pPr>
              <w:spacing w:after="0"/>
              <w:rPr>
                <w:sz w:val="12"/>
                <w:szCs w:val="12"/>
                <w:color w:val="auto"/>
              </w:rPr>
            </w:pPr>
          </w:p>
        </w:tc>
        <w:tc>
          <w:tcPr>
            <w:tcW w:w="1120" w:type="dxa"/>
            <w:vAlign w:val="bottom"/>
            <w:gridSpan w:val="2"/>
          </w:tcPr>
          <w:p>
            <w:pPr>
              <w:jc w:val="right"/>
              <w:ind w:right="620"/>
              <w:spacing w:after="0" w:line="143" w:lineRule="exact"/>
              <w:rPr>
                <w:sz w:val="20"/>
                <w:szCs w:val="20"/>
                <w:color w:val="auto"/>
              </w:rPr>
            </w:pPr>
            <w:r>
              <w:rPr>
                <w:rFonts w:ascii="Arial" w:cs="Arial" w:eastAsia="Arial" w:hAnsi="Arial"/>
                <w:sz w:val="13"/>
                <w:szCs w:val="13"/>
                <w:b w:val="1"/>
                <w:bCs w:val="1"/>
                <w:color w:val="auto"/>
              </w:rPr>
              <w:t>Total</w:t>
            </w:r>
          </w:p>
        </w:tc>
      </w:tr>
      <w:tr>
        <w:trPr>
          <w:trHeight w:val="142"/>
        </w:trPr>
        <w:tc>
          <w:tcPr>
            <w:tcW w:w="3880" w:type="dxa"/>
            <w:vAlign w:val="bottom"/>
            <w:tcBorders>
              <w:bottom w:val="single" w:sz="8" w:color="CFF0FC"/>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40" w:type="dxa"/>
            <w:vAlign w:val="bottom"/>
            <w:tcBorders>
              <w:top w:val="single" w:sz="8" w:color="auto"/>
              <w:bottom w:val="single" w:sz="8" w:color="auto"/>
            </w:tcBorders>
            <w:gridSpan w:val="5"/>
          </w:tcPr>
          <w:p>
            <w:pPr>
              <w:jc w:val="right"/>
              <w:ind w:right="920"/>
              <w:spacing w:after="0" w:line="143" w:lineRule="exact"/>
              <w:rPr>
                <w:sz w:val="20"/>
                <w:szCs w:val="20"/>
                <w:color w:val="auto"/>
              </w:rPr>
            </w:pPr>
            <w:r>
              <w:rPr>
                <w:rFonts w:ascii="Arial" w:cs="Arial" w:eastAsia="Arial" w:hAnsi="Arial"/>
                <w:sz w:val="13"/>
                <w:szCs w:val="13"/>
                <w:b w:val="1"/>
                <w:bCs w:val="1"/>
                <w:color w:val="auto"/>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42"/>
        </w:trPr>
        <w:tc>
          <w:tcPr>
            <w:tcW w:w="38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BALANCE, JANUARY 1, 2018</w:t>
            </w: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119,053</w:t>
            </w:r>
          </w:p>
        </w:tc>
        <w:tc>
          <w:tcPr>
            <w:tcW w:w="1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40"/>
              <w:spacing w:after="0" w:line="143"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1,192</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2,638,992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FF0FC"/>
          </w:tcPr>
          <w:p>
            <w:pPr>
              <w:jc w:val="right"/>
              <w:ind w:right="100"/>
              <w:spacing w:after="0" w:line="143" w:lineRule="exact"/>
              <w:rPr>
                <w:sz w:val="20"/>
                <w:szCs w:val="20"/>
                <w:color w:val="auto"/>
              </w:rPr>
            </w:pPr>
            <w:r>
              <w:rPr>
                <w:rFonts w:ascii="Arial" w:cs="Arial" w:eastAsia="Arial" w:hAnsi="Arial"/>
                <w:sz w:val="13"/>
                <w:szCs w:val="13"/>
                <w:color w:val="auto"/>
              </w:rPr>
              <w:t>(18)</w:t>
            </w:r>
          </w:p>
        </w:tc>
        <w:tc>
          <w:tcPr>
            <w:tcW w:w="240" w:type="dxa"/>
            <w:vAlign w:val="bottom"/>
            <w:gridSpan w:val="2"/>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38"/>
              <w:spacing w:after="0" w:line="143" w:lineRule="exact"/>
              <w:rPr>
                <w:sz w:val="20"/>
                <w:szCs w:val="20"/>
                <w:color w:val="auto"/>
              </w:rPr>
            </w:pPr>
            <w:r>
              <w:rPr>
                <w:rFonts w:ascii="Arial" w:cs="Arial" w:eastAsia="Arial" w:hAnsi="Arial"/>
                <w:sz w:val="13"/>
                <w:szCs w:val="13"/>
                <w:color w:val="auto"/>
              </w:rPr>
              <w:t>(2,854,898)</w:t>
            </w:r>
          </w:p>
        </w:tc>
        <w:tc>
          <w:tcPr>
            <w:tcW w:w="280" w:type="dxa"/>
            <w:vAlign w:val="bottom"/>
            <w:shd w:val="clear" w:color="auto" w:fill="CFF0FC"/>
          </w:tcPr>
          <w:p>
            <w:pPr>
              <w:jc w:val="right"/>
              <w:ind w:right="137"/>
              <w:spacing w:after="0" w:line="143"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(214,732)</w:t>
            </w:r>
          </w:p>
        </w:tc>
        <w:tc>
          <w:tcPr>
            <w:tcW w:w="120" w:type="dxa"/>
            <w:vAlign w:val="bottom"/>
            <w:shd w:val="clear" w:color="auto" w:fill="CFF0FC"/>
          </w:tcPr>
          <w:p>
            <w:pPr>
              <w:spacing w:after="0"/>
              <w:rPr>
                <w:sz w:val="12"/>
                <w:szCs w:val="12"/>
                <w:color w:val="auto"/>
              </w:rPr>
            </w:pP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1240" w:type="dxa"/>
            <w:vAlign w:val="bottom"/>
          </w:tcPr>
          <w:p>
            <w:pPr>
              <w:jc w:val="right"/>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r>
      <w:tr>
        <w:trPr>
          <w:trHeight w:val="134"/>
        </w:trPr>
        <w:tc>
          <w:tcPr>
            <w:tcW w:w="38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the release of</w:t>
            </w: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restricted stock units</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2"/>
                <w:szCs w:val="12"/>
                <w:color w:val="auto"/>
              </w:rPr>
            </w:pPr>
          </w:p>
        </w:tc>
      </w:tr>
      <w:tr>
        <w:trPr>
          <w:trHeight w:val="134"/>
        </w:trPr>
        <w:tc>
          <w:tcPr>
            <w:tcW w:w="38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 Stock</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880" w:type="dxa"/>
            <w:vAlign w:val="bottom"/>
          </w:tcPr>
          <w:p>
            <w:pPr>
              <w:ind w:left="340"/>
              <w:spacing w:after="0"/>
              <w:rPr>
                <w:sz w:val="20"/>
                <w:szCs w:val="20"/>
                <w:color w:val="auto"/>
              </w:rPr>
            </w:pPr>
            <w:r>
              <w:rPr>
                <w:rFonts w:ascii="Arial" w:cs="Arial" w:eastAsia="Arial" w:hAnsi="Arial"/>
                <w:sz w:val="13"/>
                <w:szCs w:val="13"/>
                <w:color w:val="auto"/>
              </w:rPr>
              <w:t>Purchase Plan</w:t>
            </w:r>
          </w:p>
        </w:tc>
        <w:tc>
          <w:tcPr>
            <w:tcW w:w="1240" w:type="dxa"/>
            <w:vAlign w:val="bottom"/>
          </w:tcPr>
          <w:p>
            <w:pPr>
              <w:jc w:val="right"/>
              <w:spacing w:after="0"/>
              <w:rPr>
                <w:sz w:val="20"/>
                <w:szCs w:val="20"/>
                <w:color w:val="auto"/>
              </w:rPr>
            </w:pPr>
            <w:r>
              <w:rPr>
                <w:rFonts w:ascii="Arial" w:cs="Arial" w:eastAsia="Arial" w:hAnsi="Arial"/>
                <w:sz w:val="13"/>
                <w:szCs w:val="13"/>
                <w:color w:val="auto"/>
              </w:rPr>
              <w:t>400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342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345</w:t>
            </w:r>
          </w:p>
        </w:tc>
        <w:tc>
          <w:tcPr>
            <w:tcW w:w="120" w:type="dxa"/>
            <w:vAlign w:val="bottom"/>
          </w:tcPr>
          <w:p>
            <w:pPr>
              <w:spacing w:after="0"/>
              <w:rPr>
                <w:sz w:val="12"/>
                <w:szCs w:val="12"/>
                <w:color w:val="auto"/>
              </w:rPr>
            </w:pP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6,857</w:t>
            </w:r>
          </w:p>
        </w:tc>
        <w:tc>
          <w:tcPr>
            <w:tcW w:w="120" w:type="dxa"/>
            <w:vAlign w:val="bottom"/>
            <w:shd w:val="clear" w:color="auto" w:fill="CFF0FC"/>
          </w:tcPr>
          <w:p>
            <w:pPr>
              <w:spacing w:after="0"/>
              <w:rPr>
                <w:sz w:val="12"/>
                <w:szCs w:val="12"/>
                <w:color w:val="auto"/>
              </w:rPr>
            </w:pPr>
          </w:p>
        </w:tc>
      </w:tr>
      <w:tr>
        <w:trPr>
          <w:trHeight w:val="134"/>
        </w:trPr>
        <w:tc>
          <w:tcPr>
            <w:tcW w:w="38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880" w:type="dxa"/>
            <w:vAlign w:val="bottom"/>
          </w:tcPr>
          <w:p>
            <w:pPr>
              <w:ind w:left="340"/>
              <w:spacing w:after="0"/>
              <w:rPr>
                <w:sz w:val="20"/>
                <w:szCs w:val="20"/>
                <w:color w:val="auto"/>
              </w:rPr>
            </w:pPr>
            <w:r>
              <w:rPr>
                <w:rFonts w:ascii="Arial" w:cs="Arial" w:eastAsia="Arial" w:hAnsi="Arial"/>
                <w:sz w:val="13"/>
                <w:szCs w:val="13"/>
                <w:color w:val="auto"/>
              </w:rPr>
              <w:t>of Note Payable to Related Party</w:t>
            </w:r>
          </w:p>
        </w:tc>
        <w:tc>
          <w:tcPr>
            <w:tcW w:w="1240" w:type="dxa"/>
            <w:vAlign w:val="bottom"/>
          </w:tcPr>
          <w:p>
            <w:pPr>
              <w:jc w:val="right"/>
              <w:spacing w:after="0"/>
              <w:rPr>
                <w:sz w:val="20"/>
                <w:szCs w:val="20"/>
                <w:color w:val="auto"/>
              </w:rPr>
            </w:pPr>
            <w:r>
              <w:rPr>
                <w:rFonts w:ascii="Arial" w:cs="Arial" w:eastAsia="Arial" w:hAnsi="Arial"/>
                <w:sz w:val="13"/>
                <w:szCs w:val="13"/>
                <w:color w:val="auto"/>
              </w:rPr>
              <w:t>3,000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8,130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8,160</w:t>
            </w:r>
          </w:p>
        </w:tc>
        <w:tc>
          <w:tcPr>
            <w:tcW w:w="120" w:type="dxa"/>
            <w:vAlign w:val="bottom"/>
          </w:tcPr>
          <w:p>
            <w:pPr>
              <w:spacing w:after="0"/>
              <w:rPr>
                <w:sz w:val="12"/>
                <w:szCs w:val="12"/>
                <w:color w:val="auto"/>
              </w:rPr>
            </w:pPr>
          </w:p>
        </w:tc>
      </w:tr>
      <w:tr>
        <w:trPr>
          <w:trHeight w:val="134"/>
        </w:trPr>
        <w:tc>
          <w:tcPr>
            <w:tcW w:w="38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w:t>
            </w: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 Facility Financing Obligation</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19,726</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37,931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38,128</w:t>
            </w:r>
          </w:p>
        </w:tc>
        <w:tc>
          <w:tcPr>
            <w:tcW w:w="120" w:type="dxa"/>
            <w:vAlign w:val="bottom"/>
            <w:shd w:val="clear" w:color="auto" w:fill="CFF0FC"/>
          </w:tcPr>
          <w:p>
            <w:pPr>
              <w:spacing w:after="0"/>
              <w:rPr>
                <w:sz w:val="12"/>
                <w:szCs w:val="12"/>
                <w:color w:val="auto"/>
              </w:rPr>
            </w:pP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Issuance of common stock — direct placement</w:t>
            </w:r>
          </w:p>
        </w:tc>
        <w:tc>
          <w:tcPr>
            <w:tcW w:w="1240" w:type="dxa"/>
            <w:vAlign w:val="bottom"/>
          </w:tcPr>
          <w:p>
            <w:pPr>
              <w:jc w:val="right"/>
              <w:spacing w:after="0"/>
              <w:rPr>
                <w:sz w:val="20"/>
                <w:szCs w:val="20"/>
                <w:color w:val="auto"/>
              </w:rPr>
            </w:pPr>
            <w:r>
              <w:rPr>
                <w:rFonts w:ascii="Arial" w:cs="Arial" w:eastAsia="Arial" w:hAnsi="Arial"/>
                <w:sz w:val="13"/>
                <w:szCs w:val="13"/>
                <w:color w:val="auto"/>
              </w:rPr>
              <w:t>14,000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27,860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28,000</w:t>
            </w:r>
          </w:p>
        </w:tc>
        <w:tc>
          <w:tcPr>
            <w:tcW w:w="120" w:type="dxa"/>
            <w:vAlign w:val="bottom"/>
          </w:tcPr>
          <w:p>
            <w:pPr>
              <w:spacing w:after="0"/>
              <w:rPr>
                <w:sz w:val="12"/>
                <w:szCs w:val="12"/>
                <w:color w:val="auto"/>
              </w:rPr>
            </w:pP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costs associated with direct placement</w:t>
            </w: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(1,610)</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(1,610)</w:t>
            </w: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Issuance of common stock — public offering</w:t>
            </w:r>
          </w:p>
        </w:tc>
        <w:tc>
          <w:tcPr>
            <w:tcW w:w="1240" w:type="dxa"/>
            <w:vAlign w:val="bottom"/>
          </w:tcPr>
          <w:p>
            <w:pPr>
              <w:jc w:val="right"/>
              <w:spacing w:after="0"/>
              <w:rPr>
                <w:sz w:val="20"/>
                <w:szCs w:val="20"/>
                <w:color w:val="auto"/>
              </w:rPr>
            </w:pPr>
            <w:r>
              <w:rPr>
                <w:rFonts w:ascii="Arial" w:cs="Arial" w:eastAsia="Arial" w:hAnsi="Arial"/>
                <w:sz w:val="13"/>
                <w:szCs w:val="13"/>
                <w:color w:val="auto"/>
              </w:rPr>
              <w:t>26,667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267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39,733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40,000</w:t>
            </w:r>
          </w:p>
        </w:tc>
        <w:tc>
          <w:tcPr>
            <w:tcW w:w="120" w:type="dxa"/>
            <w:vAlign w:val="bottom"/>
          </w:tcPr>
          <w:p>
            <w:pPr>
              <w:spacing w:after="0"/>
              <w:rPr>
                <w:sz w:val="12"/>
                <w:szCs w:val="12"/>
                <w:color w:val="auto"/>
              </w:rPr>
            </w:pP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public offering</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(2,538)</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(2,538)</w:t>
            </w:r>
          </w:p>
        </w:tc>
      </w:tr>
      <w:tr>
        <w:trPr>
          <w:trHeight w:val="134"/>
        </w:trPr>
        <w:tc>
          <w:tcPr>
            <w:tcW w:w="38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880" w:type="dxa"/>
            <w:vAlign w:val="bottom"/>
          </w:tcPr>
          <w:p>
            <w:pPr>
              <w:ind w:left="340"/>
              <w:spacing w:after="0"/>
              <w:rPr>
                <w:sz w:val="20"/>
                <w:szCs w:val="20"/>
                <w:color w:val="auto"/>
              </w:rPr>
            </w:pPr>
            <w:r>
              <w:rPr>
                <w:rFonts w:ascii="Arial" w:cs="Arial" w:eastAsia="Arial" w:hAnsi="Arial"/>
                <w:sz w:val="13"/>
                <w:szCs w:val="13"/>
                <w:color w:val="auto"/>
              </w:rPr>
              <w:t>of Senior Convertible Notes</w:t>
            </w:r>
          </w:p>
        </w:tc>
        <w:tc>
          <w:tcPr>
            <w:tcW w:w="1240" w:type="dxa"/>
            <w:vAlign w:val="bottom"/>
          </w:tcPr>
          <w:p>
            <w:pPr>
              <w:jc w:val="right"/>
              <w:spacing w:after="0"/>
              <w:rPr>
                <w:sz w:val="20"/>
                <w:szCs w:val="20"/>
                <w:color w:val="auto"/>
              </w:rPr>
            </w:pPr>
            <w:r>
              <w:rPr>
                <w:rFonts w:ascii="Arial" w:cs="Arial" w:eastAsia="Arial" w:hAnsi="Arial"/>
                <w:sz w:val="13"/>
                <w:szCs w:val="13"/>
                <w:color w:val="auto"/>
              </w:rPr>
              <w:t>2,726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4,953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4,980</w:t>
            </w:r>
          </w:p>
        </w:tc>
        <w:tc>
          <w:tcPr>
            <w:tcW w:w="120" w:type="dxa"/>
            <w:vAlign w:val="bottom"/>
          </w:tcPr>
          <w:p>
            <w:pPr>
              <w:spacing w:after="0"/>
              <w:rPr>
                <w:sz w:val="12"/>
                <w:szCs w:val="12"/>
                <w:color w:val="auto"/>
              </w:rPr>
            </w:pP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at-the-market placement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2,089</w:t>
            </w:r>
          </w:p>
        </w:tc>
        <w:tc>
          <w:tcPr>
            <w:tcW w:w="120" w:type="dxa"/>
            <w:vAlign w:val="bottom"/>
            <w:shd w:val="clear" w:color="auto" w:fill="CFF0FC"/>
          </w:tcPr>
          <w:p>
            <w:pPr>
              <w:spacing w:after="0"/>
              <w:rPr>
                <w:sz w:val="12"/>
                <w:szCs w:val="12"/>
                <w:color w:val="auto"/>
              </w:rPr>
            </w:pP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Issuance costs associated with at-the-market placement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(84)</w:t>
            </w:r>
          </w:p>
        </w:tc>
      </w:tr>
      <w:tr>
        <w:trPr>
          <w:trHeight w:val="134"/>
        </w:trPr>
        <w:tc>
          <w:tcPr>
            <w:tcW w:w="38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Market Price</w:t>
            </w: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w:t>
            </w:r>
          </w:p>
        </w:tc>
        <w:tc>
          <w:tcPr>
            <w:tcW w:w="120" w:type="dxa"/>
            <w:vAlign w:val="bottom"/>
            <w:shd w:val="clear" w:color="auto" w:fill="CFF0FC"/>
          </w:tcPr>
          <w:p>
            <w:pPr>
              <w:spacing w:after="0"/>
              <w:rPr>
                <w:sz w:val="12"/>
                <w:szCs w:val="12"/>
                <w:color w:val="auto"/>
              </w:rPr>
            </w:pP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Amortization of shelf fees</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Cumulative translation loss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w:t>
            </w: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Adjustment to adopt ASU 2014-09 (Topic 606)</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1,873</w:t>
            </w:r>
          </w:p>
        </w:tc>
        <w:tc>
          <w:tcPr>
            <w:tcW w:w="120" w:type="dxa"/>
            <w:vAlign w:val="bottom"/>
          </w:tcPr>
          <w:p>
            <w:pPr>
              <w:spacing w:after="0"/>
              <w:rPr>
                <w:sz w:val="12"/>
                <w:szCs w:val="12"/>
                <w:color w:val="auto"/>
              </w:rPr>
            </w:pP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(86,975)</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(86,975)</w:t>
            </w:r>
          </w:p>
        </w:tc>
      </w:tr>
      <w:tr>
        <w:trPr>
          <w:trHeight w:val="142"/>
        </w:trPr>
        <w:tc>
          <w:tcPr>
            <w:tcW w:w="388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BALANCE, DECEMBER 31, 2018</w:t>
            </w:r>
          </w:p>
        </w:tc>
        <w:tc>
          <w:tcPr>
            <w:tcW w:w="12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187,030</w:t>
            </w:r>
          </w:p>
        </w:tc>
        <w:tc>
          <w:tcPr>
            <w:tcW w:w="1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1,870</w:t>
            </w:r>
          </w:p>
        </w:tc>
        <w:tc>
          <w:tcPr>
            <w:tcW w:w="24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2,763,067</w:t>
            </w:r>
          </w:p>
        </w:tc>
        <w:tc>
          <w:tcPr>
            <w:tcW w:w="24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(2,940,000</w:t>
            </w:r>
          </w:p>
        </w:tc>
        <w:tc>
          <w:tcPr>
            <w:tcW w:w="220" w:type="dxa"/>
            <w:vAlign w:val="bottom"/>
            <w:tcBorders>
              <w:bottom w:val="single" w:sz="8" w:color="CFF0FC"/>
            </w:tcBorders>
          </w:tcPr>
          <w:p>
            <w:pPr>
              <w:jc w:val="right"/>
              <w:ind w:right="138"/>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jc w:val="right"/>
              <w:ind w:right="137"/>
              <w:spacing w:after="0" w:line="143"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(175,082)</w:t>
            </w:r>
          </w:p>
        </w:tc>
        <w:tc>
          <w:tcPr>
            <w:tcW w:w="120" w:type="dxa"/>
            <w:vAlign w:val="bottom"/>
            <w:tcBorders>
              <w:bottom w:val="single" w:sz="8" w:color="CFF0FC"/>
            </w:tcBorders>
          </w:tcPr>
          <w:p>
            <w:pPr>
              <w:spacing w:after="0"/>
              <w:rPr>
                <w:sz w:val="12"/>
                <w:szCs w:val="12"/>
                <w:color w:val="auto"/>
              </w:rPr>
            </w:pPr>
          </w:p>
        </w:tc>
      </w:tr>
      <w:tr>
        <w:trPr>
          <w:trHeight w:val="142"/>
        </w:trPr>
        <w:tc>
          <w:tcPr>
            <w:tcW w:w="388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Exercise of stock options</w:t>
            </w: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68</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124</w:t>
            </w:r>
          </w:p>
        </w:tc>
        <w:tc>
          <w:tcPr>
            <w:tcW w:w="120" w:type="dxa"/>
            <w:vAlign w:val="bottom"/>
            <w:shd w:val="clear" w:color="auto" w:fill="CFF0FC"/>
          </w:tcPr>
          <w:p>
            <w:pPr>
              <w:spacing w:after="0"/>
              <w:rPr>
                <w:sz w:val="12"/>
                <w:szCs w:val="12"/>
                <w:color w:val="auto"/>
              </w:rPr>
            </w:pPr>
          </w:p>
        </w:tc>
      </w:tr>
      <w:tr>
        <w:trPr>
          <w:trHeight w:val="134"/>
        </w:trPr>
        <w:tc>
          <w:tcPr>
            <w:tcW w:w="38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88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240" w:type="dxa"/>
            <w:vAlign w:val="bottom"/>
          </w:tcPr>
          <w:p>
            <w:pPr>
              <w:jc w:val="right"/>
              <w:spacing w:after="0"/>
              <w:rPr>
                <w:sz w:val="20"/>
                <w:szCs w:val="20"/>
                <w:color w:val="auto"/>
              </w:rPr>
            </w:pPr>
            <w:r>
              <w:rPr>
                <w:rFonts w:ascii="Arial" w:cs="Arial" w:eastAsia="Arial" w:hAnsi="Arial"/>
                <w:sz w:val="13"/>
                <w:szCs w:val="13"/>
                <w:color w:val="auto"/>
              </w:rPr>
              <w:t>653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649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12"/>
                <w:szCs w:val="12"/>
                <w:color w:val="auto"/>
              </w:rPr>
            </w:pP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6,203</w:t>
            </w:r>
          </w:p>
        </w:tc>
        <w:tc>
          <w:tcPr>
            <w:tcW w:w="120" w:type="dxa"/>
            <w:vAlign w:val="bottom"/>
            <w:shd w:val="clear" w:color="auto" w:fill="CFF0FC"/>
          </w:tcPr>
          <w:p>
            <w:pPr>
              <w:spacing w:after="0"/>
              <w:rPr>
                <w:sz w:val="12"/>
                <w:szCs w:val="12"/>
                <w:color w:val="auto"/>
              </w:rPr>
            </w:pPr>
          </w:p>
        </w:tc>
      </w:tr>
      <w:tr>
        <w:trPr>
          <w:trHeight w:val="134"/>
        </w:trPr>
        <w:tc>
          <w:tcPr>
            <w:tcW w:w="38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880" w:type="dxa"/>
            <w:vAlign w:val="bottom"/>
          </w:tcPr>
          <w:p>
            <w:pPr>
              <w:ind w:left="340"/>
              <w:spacing w:after="0"/>
              <w:rPr>
                <w:sz w:val="20"/>
                <w:szCs w:val="20"/>
                <w:color w:val="auto"/>
              </w:rPr>
            </w:pPr>
            <w:r>
              <w:rPr>
                <w:rFonts w:ascii="Arial" w:cs="Arial" w:eastAsia="Arial" w:hAnsi="Arial"/>
                <w:sz w:val="13"/>
                <w:szCs w:val="13"/>
                <w:color w:val="auto"/>
              </w:rPr>
              <w:t>Deerfield Credit Facility</w:t>
            </w:r>
          </w:p>
        </w:tc>
        <w:tc>
          <w:tcPr>
            <w:tcW w:w="1240" w:type="dxa"/>
            <w:vAlign w:val="bottom"/>
          </w:tcPr>
          <w:p>
            <w:pPr>
              <w:jc w:val="right"/>
              <w:spacing w:after="0"/>
              <w:rPr>
                <w:sz w:val="20"/>
                <w:szCs w:val="20"/>
                <w:color w:val="auto"/>
              </w:rPr>
            </w:pPr>
            <w:r>
              <w:rPr>
                <w:rFonts w:ascii="Arial" w:cs="Arial" w:eastAsia="Arial" w:hAnsi="Arial"/>
                <w:sz w:val="13"/>
                <w:szCs w:val="13"/>
                <w:color w:val="auto"/>
              </w:rPr>
              <w:t>4,193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4,575</w:t>
            </w:r>
          </w:p>
        </w:tc>
        <w:tc>
          <w:tcPr>
            <w:tcW w:w="120" w:type="dxa"/>
            <w:vAlign w:val="bottom"/>
          </w:tcPr>
          <w:p>
            <w:pPr>
              <w:spacing w:after="0"/>
              <w:rPr>
                <w:sz w:val="12"/>
                <w:szCs w:val="12"/>
                <w:color w:val="auto"/>
              </w:rPr>
            </w:pPr>
          </w:p>
        </w:tc>
      </w:tr>
      <w:tr>
        <w:trPr>
          <w:trHeight w:val="134"/>
        </w:trPr>
        <w:tc>
          <w:tcPr>
            <w:tcW w:w="38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the release</w:t>
            </w: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 restricted stock units</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705</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w:t>
            </w:r>
          </w:p>
        </w:tc>
      </w:tr>
      <w:tr>
        <w:trPr>
          <w:trHeight w:val="134"/>
        </w:trPr>
        <w:tc>
          <w:tcPr>
            <w:tcW w:w="388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880" w:type="dxa"/>
            <w:vAlign w:val="bottom"/>
          </w:tcPr>
          <w:p>
            <w:pPr>
              <w:ind w:left="340"/>
              <w:spacing w:after="0"/>
              <w:rPr>
                <w:sz w:val="20"/>
                <w:szCs w:val="20"/>
                <w:color w:val="auto"/>
              </w:rPr>
            </w:pPr>
            <w:r>
              <w:rPr>
                <w:rFonts w:ascii="Arial" w:cs="Arial" w:eastAsia="Arial" w:hAnsi="Arial"/>
                <w:sz w:val="13"/>
                <w:szCs w:val="13"/>
                <w:color w:val="auto"/>
              </w:rPr>
              <w:t>Mann Group promissory notes</w:t>
            </w:r>
          </w:p>
        </w:tc>
        <w:tc>
          <w:tcPr>
            <w:tcW w:w="1240" w:type="dxa"/>
            <w:vAlign w:val="bottom"/>
          </w:tcPr>
          <w:p>
            <w:pPr>
              <w:jc w:val="right"/>
              <w:spacing w:after="0"/>
              <w:rPr>
                <w:sz w:val="20"/>
                <w:szCs w:val="20"/>
                <w:color w:val="auto"/>
              </w:rPr>
            </w:pPr>
            <w:r>
              <w:rPr>
                <w:rFonts w:ascii="Arial" w:cs="Arial" w:eastAsia="Arial" w:hAnsi="Arial"/>
                <w:sz w:val="13"/>
                <w:szCs w:val="13"/>
                <w:color w:val="auto"/>
              </w:rPr>
              <w:t>7,143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7,929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8,000</w:t>
            </w:r>
          </w:p>
        </w:tc>
        <w:tc>
          <w:tcPr>
            <w:tcW w:w="120" w:type="dxa"/>
            <w:vAlign w:val="bottom"/>
          </w:tcPr>
          <w:p>
            <w:pPr>
              <w:spacing w:after="0"/>
              <w:rPr>
                <w:sz w:val="12"/>
                <w:szCs w:val="12"/>
                <w:color w:val="auto"/>
              </w:rPr>
            </w:pPr>
          </w:p>
        </w:tc>
      </w:tr>
      <w:tr>
        <w:trPr>
          <w:trHeight w:val="134"/>
        </w:trPr>
        <w:tc>
          <w:tcPr>
            <w:tcW w:w="38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 conversion of</w:t>
            </w: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senior convertible notes</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4,911</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5,575</w:t>
            </w:r>
          </w:p>
        </w:tc>
        <w:tc>
          <w:tcPr>
            <w:tcW w:w="120" w:type="dxa"/>
            <w:vAlign w:val="bottom"/>
            <w:shd w:val="clear" w:color="auto" w:fill="CFF0FC"/>
          </w:tcPr>
          <w:p>
            <w:pPr>
              <w:spacing w:after="0"/>
              <w:rPr>
                <w:sz w:val="12"/>
                <w:szCs w:val="12"/>
                <w:color w:val="auto"/>
              </w:rPr>
            </w:pP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Issuance of common stock in at-the-market offering</w:t>
            </w:r>
          </w:p>
        </w:tc>
        <w:tc>
          <w:tcPr>
            <w:tcW w:w="1240" w:type="dxa"/>
            <w:vAlign w:val="bottom"/>
          </w:tcPr>
          <w:p>
            <w:pPr>
              <w:jc w:val="right"/>
              <w:spacing w:after="0"/>
              <w:rPr>
                <w:sz w:val="20"/>
                <w:szCs w:val="20"/>
                <w:color w:val="auto"/>
              </w:rPr>
            </w:pPr>
            <w:r>
              <w:rPr>
                <w:rFonts w:ascii="Arial" w:cs="Arial" w:eastAsia="Arial" w:hAnsi="Arial"/>
                <w:sz w:val="13"/>
                <w:szCs w:val="13"/>
                <w:color w:val="auto"/>
              </w:rPr>
              <w:t>2,585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3,199</w:t>
            </w:r>
          </w:p>
        </w:tc>
        <w:tc>
          <w:tcPr>
            <w:tcW w:w="120" w:type="dxa"/>
            <w:vAlign w:val="bottom"/>
          </w:tcPr>
          <w:p>
            <w:pPr>
              <w:spacing w:after="0"/>
              <w:rPr>
                <w:sz w:val="12"/>
                <w:szCs w:val="12"/>
                <w:color w:val="auto"/>
              </w:rPr>
            </w:pP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at-the-market offering</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(60)</w:t>
            </w:r>
          </w:p>
        </w:tc>
      </w:tr>
      <w:tr>
        <w:trPr>
          <w:trHeight w:val="134"/>
        </w:trPr>
        <w:tc>
          <w:tcPr>
            <w:tcW w:w="3880" w:type="dxa"/>
            <w:vAlign w:val="bottom"/>
          </w:tcPr>
          <w:p>
            <w:pPr>
              <w:ind w:left="260"/>
              <w:spacing w:after="0" w:line="134" w:lineRule="exact"/>
              <w:rPr>
                <w:sz w:val="20"/>
                <w:szCs w:val="20"/>
                <w:color w:val="auto"/>
              </w:rPr>
            </w:pPr>
            <w:r>
              <w:rPr>
                <w:rFonts w:ascii="Arial" w:cs="Arial" w:eastAsia="Arial" w:hAnsi="Arial"/>
                <w:sz w:val="13"/>
                <w:szCs w:val="13"/>
                <w:color w:val="auto"/>
              </w:rPr>
              <w:t>Issuance of warrants pursuant to MidCap Credit</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880" w:type="dxa"/>
            <w:vAlign w:val="bottom"/>
          </w:tcPr>
          <w:p>
            <w:pPr>
              <w:ind w:left="340"/>
              <w:spacing w:after="0"/>
              <w:rPr>
                <w:sz w:val="20"/>
                <w:szCs w:val="20"/>
                <w:color w:val="auto"/>
              </w:rPr>
            </w:pPr>
            <w:r>
              <w:rPr>
                <w:rFonts w:ascii="Arial" w:cs="Arial" w:eastAsia="Arial" w:hAnsi="Arial"/>
                <w:sz w:val="13"/>
                <w:szCs w:val="13"/>
                <w:color w:val="auto"/>
              </w:rPr>
              <w:t>Facility</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1,854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1,854</w:t>
            </w:r>
          </w:p>
        </w:tc>
        <w:tc>
          <w:tcPr>
            <w:tcW w:w="120" w:type="dxa"/>
            <w:vAlign w:val="bottom"/>
          </w:tcPr>
          <w:p>
            <w:pPr>
              <w:spacing w:after="0"/>
              <w:rPr>
                <w:sz w:val="12"/>
                <w:szCs w:val="12"/>
                <w:color w:val="auto"/>
              </w:rPr>
            </w:pPr>
          </w:p>
        </w:tc>
      </w:tr>
      <w:tr>
        <w:trPr>
          <w:trHeight w:val="134"/>
        </w:trPr>
        <w:tc>
          <w:tcPr>
            <w:tcW w:w="38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the exercise of</w:t>
            </w: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warrants</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4,500</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5,855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5,900</w:t>
            </w:r>
          </w:p>
        </w:tc>
        <w:tc>
          <w:tcPr>
            <w:tcW w:w="120" w:type="dxa"/>
            <w:vAlign w:val="bottom"/>
            <w:shd w:val="clear" w:color="auto" w:fill="CFF0FC"/>
          </w:tcPr>
          <w:p>
            <w:pPr>
              <w:spacing w:after="0"/>
              <w:rPr>
                <w:sz w:val="12"/>
                <w:szCs w:val="12"/>
                <w:color w:val="auto"/>
              </w:rPr>
            </w:pP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Warrant modification</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688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688</w:t>
            </w:r>
          </w:p>
        </w:tc>
        <w:tc>
          <w:tcPr>
            <w:tcW w:w="120" w:type="dxa"/>
            <w:vAlign w:val="bottom"/>
          </w:tcPr>
          <w:p>
            <w:pPr>
              <w:spacing w:after="0"/>
              <w:rPr>
                <w:sz w:val="12"/>
                <w:szCs w:val="12"/>
                <w:color w:val="auto"/>
              </w:rPr>
            </w:pPr>
          </w:p>
        </w:tc>
      </w:tr>
      <w:tr>
        <w:trPr>
          <w:trHeight w:val="149"/>
        </w:trPr>
        <w:tc>
          <w:tcPr>
            <w:tcW w:w="3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warrants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(253)</w:t>
            </w:r>
          </w:p>
        </w:tc>
      </w:tr>
      <w:tr>
        <w:trPr>
          <w:trHeight w:val="149"/>
        </w:trPr>
        <w:tc>
          <w:tcPr>
            <w:tcW w:w="38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(51,903)</w:t>
            </w:r>
          </w:p>
        </w:tc>
        <w:tc>
          <w:tcPr>
            <w:tcW w:w="28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3"/>
                <w:szCs w:val="13"/>
                <w:color w:val="auto"/>
              </w:rPr>
              <w:t>(51,903)</w:t>
            </w:r>
          </w:p>
        </w:tc>
      </w:tr>
      <w:tr>
        <w:trPr>
          <w:trHeight w:val="142"/>
        </w:trPr>
        <w:tc>
          <w:tcPr>
            <w:tcW w:w="388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BALANCE, DECEMBER 31, 2019</w:t>
            </w:r>
          </w:p>
        </w:tc>
        <w:tc>
          <w:tcPr>
            <w:tcW w:w="12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211,788</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2,118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2,799,278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9"/>
              </w:rPr>
              <w:t>(2,991,903</w:t>
            </w:r>
          </w:p>
        </w:tc>
        <w:tc>
          <w:tcPr>
            <w:tcW w:w="220" w:type="dxa"/>
            <w:vAlign w:val="bottom"/>
            <w:tcBorders>
              <w:top w:val="single" w:sz="8" w:color="CFF0FC"/>
              <w:bottom w:val="single" w:sz="8" w:color="CFF0FC"/>
            </w:tcBorders>
            <w:shd w:val="clear" w:color="auto" w:fill="CFF0FC"/>
          </w:tcPr>
          <w:p>
            <w:pPr>
              <w:jc w:val="right"/>
              <w:ind w:right="138"/>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shd w:val="clear" w:color="auto" w:fill="CFF0FC"/>
          </w:tcPr>
          <w:p>
            <w:pPr>
              <w:jc w:val="right"/>
              <w:ind w:right="137"/>
              <w:spacing w:after="0" w:line="143"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(190,526)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ind w:left="362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2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3"/>
                <w:szCs w:val="13"/>
                <w:b w:val="1"/>
                <w:bCs w:val="1"/>
                <w:color w:val="auto"/>
                <w:w w:val="98"/>
              </w:rPr>
              <w:t>Year Ended December 31,</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820" w:type="dxa"/>
            <w:vAlign w:val="bottom"/>
          </w:tcPr>
          <w:p>
            <w:pPr>
              <w:spacing w:after="0"/>
              <w:rPr>
                <w:sz w:val="12"/>
                <w:szCs w:val="12"/>
                <w:color w:val="auto"/>
              </w:rPr>
            </w:pPr>
          </w:p>
        </w:tc>
        <w:tc>
          <w:tcPr>
            <w:tcW w:w="134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3"/>
                <w:szCs w:val="13"/>
                <w:b w:val="1"/>
                <w:bCs w:val="1"/>
                <w:color w:val="auto"/>
              </w:rPr>
              <w:t>2019</w:t>
            </w: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857"/>
              <w:spacing w:after="0" w:line="143"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80" w:type="dxa"/>
            <w:vAlign w:val="bottom"/>
            <w:gridSpan w:val="3"/>
          </w:tcPr>
          <w:p>
            <w:pPr>
              <w:jc w:val="right"/>
              <w:ind w:right="453"/>
              <w:spacing w:after="0" w:line="143" w:lineRule="exact"/>
              <w:rPr>
                <w:sz w:val="20"/>
                <w:szCs w:val="20"/>
                <w:color w:val="auto"/>
              </w:rPr>
            </w:pPr>
            <w:r>
              <w:rPr>
                <w:rFonts w:ascii="Arial" w:cs="Arial" w:eastAsia="Arial" w:hAnsi="Arial"/>
                <w:sz w:val="13"/>
                <w:szCs w:val="13"/>
                <w:b w:val="1"/>
                <w:bCs w:val="1"/>
                <w:color w:val="auto"/>
              </w:rPr>
              <w:t>(In thousands)</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340" w:type="dxa"/>
            <w:vAlign w:val="bottom"/>
          </w:tcPr>
          <w:p>
            <w:pPr>
              <w:jc w:val="right"/>
              <w:ind w:right="1197"/>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(51,903)</w:t>
            </w:r>
          </w:p>
        </w:tc>
        <w:tc>
          <w:tcPr>
            <w:tcW w:w="700" w:type="dxa"/>
            <w:vAlign w:val="bottom"/>
          </w:tcPr>
          <w:p>
            <w:pPr>
              <w:jc w:val="right"/>
              <w:ind w:right="593"/>
              <w:spacing w:after="0"/>
              <w:rPr>
                <w:sz w:val="20"/>
                <w:szCs w:val="20"/>
                <w:color w:val="auto"/>
              </w:rPr>
            </w:pPr>
            <w:r>
              <w:rPr>
                <w:rFonts w:ascii="Arial" w:cs="Arial" w:eastAsia="Arial" w:hAnsi="Arial"/>
                <w:sz w:val="9"/>
                <w:szCs w:val="9"/>
                <w:color w:val="auto"/>
                <w:w w:val="78"/>
              </w:rPr>
              <w:t>$</w:t>
            </w: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(86,975)</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500"/>
              <w:spacing w:after="0"/>
              <w:rPr>
                <w:sz w:val="20"/>
                <w:szCs w:val="20"/>
                <w:color w:val="auto"/>
              </w:rPr>
            </w:pPr>
            <w:r>
              <w:rPr>
                <w:rFonts w:ascii="Arial" w:cs="Arial" w:eastAsia="Arial" w:hAnsi="Arial"/>
                <w:sz w:val="13"/>
                <w:szCs w:val="13"/>
                <w:color w:val="auto"/>
              </w:rPr>
              <w:t>Payment-in-kind interest on promissory notes</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(32,822)</w:t>
            </w: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Interest expense on promissory notes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4,712</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4,488</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500"/>
              <w:spacing w:after="0"/>
              <w:rPr>
                <w:sz w:val="20"/>
                <w:szCs w:val="20"/>
                <w:color w:val="auto"/>
              </w:rPr>
            </w:pPr>
            <w:r>
              <w:rPr>
                <w:rFonts w:ascii="Arial" w:cs="Arial" w:eastAsia="Arial" w:hAnsi="Arial"/>
                <w:sz w:val="13"/>
                <w:szCs w:val="13"/>
                <w:color w:val="auto"/>
              </w:rPr>
              <w:t>Stock-based compensation expense</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6,203</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6,857</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Gain on foreign currency translation</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(1,913)</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(4,468)</w:t>
            </w:r>
          </w:p>
        </w:tc>
      </w:tr>
      <w:tr>
        <w:trPr>
          <w:trHeight w:val="149"/>
        </w:trPr>
        <w:tc>
          <w:tcPr>
            <w:tcW w:w="6820" w:type="dxa"/>
            <w:vAlign w:val="bottom"/>
          </w:tcPr>
          <w:p>
            <w:pPr>
              <w:ind w:left="500"/>
              <w:spacing w:after="0"/>
              <w:rPr>
                <w:sz w:val="20"/>
                <w:szCs w:val="20"/>
                <w:color w:val="auto"/>
              </w:rPr>
            </w:pPr>
            <w:r>
              <w:rPr>
                <w:rFonts w:ascii="Arial" w:cs="Arial" w:eastAsia="Arial" w:hAnsi="Arial"/>
                <w:sz w:val="13"/>
                <w:szCs w:val="13"/>
                <w:color w:val="auto"/>
              </w:rPr>
              <w:t>(Gain) loss on extinguishment of debt</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(3,529)</w:t>
            </w: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765</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right-of-use assets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500"/>
              <w:spacing w:after="0"/>
              <w:rPr>
                <w:sz w:val="20"/>
                <w:szCs w:val="20"/>
                <w:color w:val="auto"/>
              </w:rPr>
            </w:pPr>
            <w:r>
              <w:rPr>
                <w:rFonts w:ascii="Arial" w:cs="Arial" w:eastAsia="Arial" w:hAnsi="Arial"/>
                <w:sz w:val="13"/>
                <w:szCs w:val="13"/>
                <w:color w:val="auto"/>
              </w:rPr>
              <w:t>Depreciation, amortization and accretion</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972</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2,857</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warrant transactions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868</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500"/>
              <w:spacing w:after="0"/>
              <w:rPr>
                <w:sz w:val="20"/>
                <w:szCs w:val="20"/>
                <w:color w:val="auto"/>
              </w:rPr>
            </w:pPr>
            <w:r>
              <w:rPr>
                <w:rFonts w:ascii="Arial" w:cs="Arial" w:eastAsia="Arial" w:hAnsi="Arial"/>
                <w:sz w:val="13"/>
                <w:szCs w:val="13"/>
                <w:color w:val="auto"/>
              </w:rPr>
              <w:t>Gain on sale, abandonment/disposal or impairment of property and equipment</w:t>
            </w:r>
          </w:p>
        </w:tc>
        <w:tc>
          <w:tcPr>
            <w:tcW w:w="134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(114)</w:t>
            </w:r>
          </w:p>
        </w:tc>
      </w:tr>
      <w:tr>
        <w:trPr>
          <w:trHeight w:val="149"/>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Write-off of inventory</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2,212</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500"/>
              <w:spacing w:after="0"/>
              <w:rPr>
                <w:sz w:val="20"/>
                <w:szCs w:val="20"/>
                <w:color w:val="auto"/>
              </w:rPr>
            </w:pPr>
            <w:r>
              <w:rPr>
                <w:rFonts w:ascii="Arial" w:cs="Arial" w:eastAsia="Arial" w:hAnsi="Arial"/>
                <w:sz w:val="13"/>
                <w:szCs w:val="13"/>
                <w:color w:val="auto"/>
              </w:rPr>
              <w:t>Other, net</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107</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(35)</w:t>
            </w:r>
          </w:p>
        </w:tc>
      </w:tr>
      <w:tr>
        <w:trPr>
          <w:trHeight w:val="149"/>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740"/>
              <w:spacing w:after="0"/>
              <w:rPr>
                <w:sz w:val="20"/>
                <w:szCs w:val="20"/>
                <w:color w:val="auto"/>
              </w:rPr>
            </w:pPr>
            <w:r>
              <w:rPr>
                <w:rFonts w:ascii="Arial" w:cs="Arial" w:eastAsia="Arial" w:hAnsi="Arial"/>
                <w:sz w:val="13"/>
                <w:szCs w:val="13"/>
                <w:color w:val="auto"/>
              </w:rPr>
              <w:t>Accounts receivable, net</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504</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(1,339)</w:t>
            </w:r>
          </w:p>
        </w:tc>
      </w:tr>
      <w:tr>
        <w:trPr>
          <w:trHeight w:val="149"/>
        </w:trPr>
        <w:tc>
          <w:tcPr>
            <w:tcW w:w="68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Inventory</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(558)</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(3,152)</w:t>
            </w:r>
          </w:p>
        </w:tc>
      </w:tr>
      <w:tr>
        <w:trPr>
          <w:trHeight w:val="149"/>
        </w:trPr>
        <w:tc>
          <w:tcPr>
            <w:tcW w:w="6820" w:type="dxa"/>
            <w:vAlign w:val="bottom"/>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(333)</w:t>
            </w: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454</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assets</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(549)</w:t>
            </w: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740"/>
              <w:spacing w:after="0"/>
              <w:rPr>
                <w:sz w:val="20"/>
                <w:szCs w:val="20"/>
                <w:color w:val="auto"/>
              </w:rPr>
            </w:pPr>
            <w:r>
              <w:rPr>
                <w:rFonts w:ascii="Arial" w:cs="Arial" w:eastAsia="Arial" w:hAnsi="Arial"/>
                <w:sz w:val="13"/>
                <w:szCs w:val="13"/>
                <w:color w:val="auto"/>
              </w:rPr>
              <w:t>Accounts payable</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(593)</w:t>
            </w:r>
          </w:p>
        </w:tc>
        <w:tc>
          <w:tcPr>
            <w:tcW w:w="70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(1,605)</w:t>
            </w:r>
          </w:p>
        </w:tc>
      </w:tr>
      <w:tr>
        <w:trPr>
          <w:trHeight w:val="149"/>
        </w:trPr>
        <w:tc>
          <w:tcPr>
            <w:tcW w:w="68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expenses and other current liabilities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3,498</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2,249</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740"/>
              <w:spacing w:after="0"/>
              <w:rPr>
                <w:sz w:val="20"/>
                <w:szCs w:val="20"/>
                <w:color w:val="auto"/>
              </w:rPr>
            </w:pPr>
            <w:r>
              <w:rPr>
                <w:rFonts w:ascii="Arial" w:cs="Arial" w:eastAsia="Arial" w:hAnsi="Arial"/>
                <w:sz w:val="13"/>
                <w:szCs w:val="13"/>
                <w:color w:val="auto"/>
              </w:rPr>
              <w:t>Deferred revenue</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(6,717)</w:t>
            </w: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46,814</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Recognized loss on purchase commitments</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(4,395)</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(6,939)</w:t>
            </w:r>
          </w:p>
        </w:tc>
      </w:tr>
      <w:tr>
        <w:trPr>
          <w:trHeight w:val="149"/>
        </w:trPr>
        <w:tc>
          <w:tcPr>
            <w:tcW w:w="6820" w:type="dxa"/>
            <w:vAlign w:val="bottom"/>
          </w:tcPr>
          <w:p>
            <w:pPr>
              <w:ind w:left="740"/>
              <w:spacing w:after="0"/>
              <w:rPr>
                <w:sz w:val="20"/>
                <w:szCs w:val="20"/>
                <w:color w:val="auto"/>
              </w:rPr>
            </w:pPr>
            <w:r>
              <w:rPr>
                <w:rFonts w:ascii="Arial" w:cs="Arial" w:eastAsia="Arial" w:hAnsi="Arial"/>
                <w:sz w:val="13"/>
                <w:szCs w:val="13"/>
                <w:color w:val="auto"/>
              </w:rPr>
              <w:t>Operating lease liabilities</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(1,672)</w:t>
            </w: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interest on Mann Group promissory notes</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(1,545)</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2"/>
        </w:trPr>
        <w:tc>
          <w:tcPr>
            <w:tcW w:w="6820" w:type="dxa"/>
            <w:vAlign w:val="bottom"/>
            <w:tcBorders>
              <w:bottom w:val="single" w:sz="8" w:color="CFF0FC"/>
            </w:tcBorders>
          </w:tcPr>
          <w:p>
            <w:pPr>
              <w:ind w:left="1000"/>
              <w:spacing w:after="0" w:line="143" w:lineRule="exact"/>
              <w:rPr>
                <w:sz w:val="20"/>
                <w:szCs w:val="20"/>
                <w:color w:val="auto"/>
              </w:rPr>
            </w:pPr>
            <w:r>
              <w:rPr>
                <w:rFonts w:ascii="Arial" w:cs="Arial" w:eastAsia="Arial" w:hAnsi="Arial"/>
                <w:sz w:val="13"/>
                <w:szCs w:val="13"/>
                <w:color w:val="auto"/>
              </w:rPr>
              <w:t>Net cash used in operating activities</w:t>
            </w:r>
          </w:p>
        </w:tc>
        <w:tc>
          <w:tcPr>
            <w:tcW w:w="1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(88,483)</w:t>
            </w:r>
          </w:p>
        </w:tc>
        <w:tc>
          <w:tcPr>
            <w:tcW w:w="360" w:type="dxa"/>
            <w:vAlign w:val="bottom"/>
            <w:tcBorders>
              <w:bottom w:val="single" w:sz="8" w:color="CFF0FC"/>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(37,731)</w:t>
            </w:r>
          </w:p>
        </w:tc>
        <w:tc>
          <w:tcPr>
            <w:tcW w:w="120" w:type="dxa"/>
            <w:vAlign w:val="bottom"/>
            <w:tcBorders>
              <w:bottom w:val="single" w:sz="8" w:color="CFF0FC"/>
            </w:tcBorders>
          </w:tcPr>
          <w:p>
            <w:pPr>
              <w:spacing w:after="0"/>
              <w:rPr>
                <w:sz w:val="12"/>
                <w:szCs w:val="12"/>
                <w:color w:val="auto"/>
              </w:rPr>
            </w:pPr>
          </w:p>
        </w:tc>
      </w:tr>
      <w:tr>
        <w:trPr>
          <w:trHeight w:val="142"/>
        </w:trPr>
        <w:tc>
          <w:tcPr>
            <w:tcW w:w="68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Purchase of treasury bills</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(44,971)</w:t>
            </w: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treasury bills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24,993</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Purchase of property and equipment</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(2,565)</w:t>
            </w:r>
          </w:p>
        </w:tc>
        <w:tc>
          <w:tcPr>
            <w:tcW w:w="70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(354)</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property and equipment</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Purchase of limited liability company ownership interest</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(300)</w:t>
            </w: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2"/>
        </w:trPr>
        <w:tc>
          <w:tcPr>
            <w:tcW w:w="6820" w:type="dxa"/>
            <w:vAlign w:val="bottom"/>
            <w:tcBorders>
              <w:top w:val="single" w:sz="8" w:color="CFF0FC"/>
            </w:tcBorders>
            <w:shd w:val="clear" w:color="auto" w:fill="CFF0FC"/>
          </w:tcPr>
          <w:p>
            <w:pPr>
              <w:ind w:left="1000"/>
              <w:spacing w:after="0" w:line="143" w:lineRule="exact"/>
              <w:rPr>
                <w:sz w:val="20"/>
                <w:szCs w:val="20"/>
                <w:color w:val="auto"/>
              </w:rPr>
            </w:pPr>
            <w:r>
              <w:rPr>
                <w:rFonts w:ascii="Arial" w:cs="Arial" w:eastAsia="Arial" w:hAnsi="Arial"/>
                <w:sz w:val="13"/>
                <w:szCs w:val="13"/>
                <w:color w:val="auto"/>
              </w:rPr>
              <w:t>Net cash used in investing activities</w:t>
            </w:r>
          </w:p>
        </w:tc>
        <w:tc>
          <w:tcPr>
            <w:tcW w:w="134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(22,843)</w:t>
            </w:r>
          </w:p>
        </w:tc>
        <w:tc>
          <w:tcPr>
            <w:tcW w:w="36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(234)</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6820" w:type="dxa"/>
            <w:vAlign w:val="bottom"/>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promissory notes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70,051</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Proceeds from MidCap Credit Facility</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40,000</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senior convertible notes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9,910</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Principal payments on Mann Group promissory notes</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(38,264)</w:t>
            </w: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Principal payments on senior convertible notes</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(11,081)</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Principal payments on facility financing obligation</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(6,920)</w:t>
            </w:r>
          </w:p>
        </w:tc>
        <w:tc>
          <w:tcPr>
            <w:tcW w:w="70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(5,000)</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from the exercise of warrants</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5,900</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Proceeds from at-the-market offering</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3,199</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2,089</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Milestone payment</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(1,643)</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Issuance cost associated with MidCap Credit Facility</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(886)</w:t>
            </w: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Mann Group promissory notes</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(33)</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Issuance costs associated with at-the-market offering</w:t>
            </w:r>
          </w:p>
        </w:tc>
        <w:tc>
          <w:tcPr>
            <w:tcW w:w="1340" w:type="dxa"/>
            <w:vAlign w:val="bottom"/>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(60)</w:t>
            </w:r>
          </w:p>
        </w:tc>
        <w:tc>
          <w:tcPr>
            <w:tcW w:w="70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(84)</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warrants</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(433)</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124</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public offering</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Proceeds from direct placement</w:t>
            </w:r>
          </w:p>
        </w:tc>
        <w:tc>
          <w:tcPr>
            <w:tcW w:w="134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28,000</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market price stock purchase plan</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Issuance cost associated with public offering</w:t>
            </w:r>
          </w:p>
        </w:tc>
        <w:tc>
          <w:tcPr>
            <w:tcW w:w="134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(2,538)</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 associated with direct placement</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(1,610)</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Other</w:t>
            </w:r>
          </w:p>
        </w:tc>
        <w:tc>
          <w:tcPr>
            <w:tcW w:w="134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r>
      <w:tr>
        <w:trPr>
          <w:trHeight w:val="142"/>
        </w:trPr>
        <w:tc>
          <w:tcPr>
            <w:tcW w:w="6820" w:type="dxa"/>
            <w:vAlign w:val="bottom"/>
            <w:tcBorders>
              <w:top w:val="single" w:sz="8" w:color="CFF0FC"/>
            </w:tcBorders>
            <w:shd w:val="clear" w:color="auto" w:fill="CFF0FC"/>
          </w:tcPr>
          <w:p>
            <w:pPr>
              <w:ind w:left="1000"/>
              <w:spacing w:after="0" w:line="143" w:lineRule="exact"/>
              <w:rPr>
                <w:sz w:val="20"/>
                <w:szCs w:val="20"/>
                <w:color w:val="auto"/>
              </w:rPr>
            </w:pPr>
            <w:r>
              <w:rPr>
                <w:rFonts w:ascii="Arial" w:cs="Arial" w:eastAsia="Arial" w:hAnsi="Arial"/>
                <w:sz w:val="13"/>
                <w:szCs w:val="13"/>
                <w:color w:val="auto"/>
              </w:rPr>
              <w:t>Net cash provided by financing activities</w:t>
            </w:r>
          </w:p>
        </w:tc>
        <w:tc>
          <w:tcPr>
            <w:tcW w:w="134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69,864</w:t>
            </w:r>
          </w:p>
        </w:tc>
        <w:tc>
          <w:tcPr>
            <w:tcW w:w="36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61,294</w:t>
            </w:r>
          </w:p>
        </w:tc>
        <w:tc>
          <w:tcPr>
            <w:tcW w:w="120" w:type="dxa"/>
            <w:vAlign w:val="bottom"/>
            <w:tcBorders>
              <w:top w:val="single" w:sz="8" w:color="CFF0FC"/>
            </w:tcBorders>
            <w:shd w:val="clear" w:color="auto" w:fill="CFF0FC"/>
          </w:tcPr>
          <w:p>
            <w:pPr>
              <w:spacing w:after="0"/>
              <w:rPr>
                <w:sz w:val="12"/>
                <w:szCs w:val="12"/>
                <w:color w:val="auto"/>
              </w:rPr>
            </w:pPr>
          </w:p>
        </w:tc>
      </w:tr>
      <w:tr>
        <w:trPr>
          <w:trHeight w:val="124"/>
        </w:trPr>
        <w:tc>
          <w:tcPr>
            <w:tcW w:w="6820" w:type="dxa"/>
            <w:vAlign w:val="bottom"/>
          </w:tcPr>
          <w:p>
            <w:pPr>
              <w:spacing w:after="0" w:line="124" w:lineRule="exact"/>
              <w:rPr>
                <w:sz w:val="20"/>
                <w:szCs w:val="20"/>
                <w:color w:val="auto"/>
              </w:rPr>
            </w:pPr>
            <w:r>
              <w:rPr>
                <w:rFonts w:ascii="Arial" w:cs="Arial" w:eastAsia="Arial" w:hAnsi="Arial"/>
                <w:sz w:val="13"/>
                <w:szCs w:val="13"/>
                <w:b w:val="1"/>
                <w:bCs w:val="1"/>
                <w:color w:val="auto"/>
              </w:rPr>
              <w:t>NET (DECREASE) INCREASE IN CASH AND CASH EQUIVALENTS AND</w:t>
            </w:r>
          </w:p>
        </w:tc>
        <w:tc>
          <w:tcPr>
            <w:tcW w:w="1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6820" w:type="dxa"/>
            <w:vAlign w:val="bottom"/>
          </w:tcPr>
          <w:p>
            <w:pPr>
              <w:ind w:left="100"/>
              <w:spacing w:after="0"/>
              <w:rPr>
                <w:sz w:val="20"/>
                <w:szCs w:val="20"/>
                <w:color w:val="auto"/>
              </w:rPr>
            </w:pPr>
            <w:r>
              <w:rPr>
                <w:rFonts w:ascii="Arial" w:cs="Arial" w:eastAsia="Arial" w:hAnsi="Arial"/>
                <w:sz w:val="13"/>
                <w:szCs w:val="13"/>
                <w:b w:val="1"/>
                <w:bCs w:val="1"/>
                <w:color w:val="auto"/>
              </w:rPr>
              <w:t>RESTRICTED CASH</w:t>
            </w:r>
          </w:p>
        </w:tc>
        <w:tc>
          <w:tcPr>
            <w:tcW w:w="1340" w:type="dxa"/>
            <w:vAlign w:val="bottom"/>
          </w:tcPr>
          <w:p>
            <w:pPr>
              <w:spacing w:after="0"/>
              <w:rPr>
                <w:sz w:val="13"/>
                <w:szCs w:val="13"/>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3"/>
                <w:szCs w:val="13"/>
                <w:color w:val="auto"/>
              </w:rPr>
              <w:t>(41,462)</w:t>
            </w:r>
          </w:p>
        </w:tc>
        <w:tc>
          <w:tcPr>
            <w:tcW w:w="7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23,329</w:t>
            </w:r>
          </w:p>
        </w:tc>
        <w:tc>
          <w:tcPr>
            <w:tcW w:w="120" w:type="dxa"/>
            <w:vAlign w:val="bottom"/>
          </w:tcPr>
          <w:p>
            <w:pPr>
              <w:spacing w:after="0"/>
              <w:rPr>
                <w:sz w:val="13"/>
                <w:szCs w:val="13"/>
                <w:color w:val="auto"/>
              </w:rPr>
            </w:pPr>
          </w:p>
        </w:tc>
      </w:tr>
      <w:tr>
        <w:trPr>
          <w:trHeight w:val="124"/>
        </w:trPr>
        <w:tc>
          <w:tcPr>
            <w:tcW w:w="682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CASH AND CASH EQUIVALENTS AND RESTRICTED CASH, BEGINNING OF</w:t>
            </w:r>
          </w:p>
        </w:tc>
        <w:tc>
          <w:tcPr>
            <w:tcW w:w="134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3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53"/>
        </w:trPr>
        <w:tc>
          <w:tcPr>
            <w:tcW w:w="68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PERIOD</w:t>
            </w:r>
          </w:p>
        </w:tc>
        <w:tc>
          <w:tcPr>
            <w:tcW w:w="134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71,684</w:t>
            </w:r>
          </w:p>
        </w:tc>
        <w:tc>
          <w:tcPr>
            <w:tcW w:w="36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48,355</w:t>
            </w:r>
          </w:p>
        </w:tc>
        <w:tc>
          <w:tcPr>
            <w:tcW w:w="120" w:type="dxa"/>
            <w:vAlign w:val="bottom"/>
            <w:shd w:val="clear" w:color="auto" w:fill="CFF0FC"/>
          </w:tcPr>
          <w:p>
            <w:pPr>
              <w:spacing w:after="0"/>
              <w:rPr>
                <w:sz w:val="13"/>
                <w:szCs w:val="13"/>
                <w:color w:val="auto"/>
              </w:rPr>
            </w:pPr>
          </w:p>
        </w:tc>
      </w:tr>
      <w:tr>
        <w:trPr>
          <w:trHeight w:val="182"/>
        </w:trPr>
        <w:tc>
          <w:tcPr>
            <w:tcW w:w="682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b w:val="1"/>
                <w:bCs w:val="1"/>
                <w:color w:val="auto"/>
              </w:rPr>
              <w:t>CASH AND CASH EQUIVALENTS AND RESTRICTED CASH, END OF PERIOD</w:t>
            </w:r>
          </w:p>
        </w:tc>
        <w:tc>
          <w:tcPr>
            <w:tcW w:w="1340" w:type="dxa"/>
            <w:vAlign w:val="bottom"/>
            <w:tcBorders>
              <w:bottom w:val="single" w:sz="8" w:color="auto"/>
            </w:tcBorders>
          </w:tcPr>
          <w:p>
            <w:pPr>
              <w:jc w:val="right"/>
              <w:ind w:right="1197"/>
              <w:spacing w:after="0" w:line="143"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30,222</w:t>
            </w:r>
          </w:p>
        </w:tc>
        <w:tc>
          <w:tcPr>
            <w:tcW w:w="36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ind w:right="593"/>
              <w:spacing w:after="0"/>
              <w:rPr>
                <w:sz w:val="20"/>
                <w:szCs w:val="20"/>
                <w:color w:val="auto"/>
              </w:rPr>
            </w:pPr>
            <w:r>
              <w:rPr>
                <w:rFonts w:ascii="Arial" w:cs="Arial" w:eastAsia="Arial" w:hAnsi="Arial"/>
                <w:sz w:val="9"/>
                <w:szCs w:val="9"/>
                <w:color w:val="auto"/>
                <w:w w:val="78"/>
              </w:rPr>
              <w:t>$</w:t>
            </w:r>
          </w:p>
        </w:tc>
        <w:tc>
          <w:tcPr>
            <w:tcW w:w="1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71,684</w:t>
            </w:r>
          </w:p>
        </w:tc>
        <w:tc>
          <w:tcPr>
            <w:tcW w:w="120" w:type="dxa"/>
            <w:vAlign w:val="bottom"/>
            <w:tcBorders>
              <w:bottom w:val="single" w:sz="8" w:color="CFF0FC"/>
            </w:tcBorders>
          </w:tcPr>
          <w:p>
            <w:pPr>
              <w:spacing w:after="0"/>
              <w:rPr>
                <w:sz w:val="15"/>
                <w:szCs w:val="15"/>
                <w:color w:val="auto"/>
              </w:rPr>
            </w:pPr>
          </w:p>
        </w:tc>
      </w:tr>
      <w:tr>
        <w:trPr>
          <w:trHeight w:val="129"/>
        </w:trPr>
        <w:tc>
          <w:tcPr>
            <w:tcW w:w="68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SUPPLEMENTAL CASH FLOWS DISCLOSURES:</w:t>
            </w: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Interest paid in cash, net of amounts capitalized</w:t>
            </w:r>
          </w:p>
        </w:tc>
        <w:tc>
          <w:tcPr>
            <w:tcW w:w="1340" w:type="dxa"/>
            <w:vAlign w:val="bottom"/>
          </w:tcPr>
          <w:p>
            <w:pPr>
              <w:jc w:val="right"/>
              <w:ind w:right="119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1,757</w:t>
            </w:r>
          </w:p>
        </w:tc>
        <w:tc>
          <w:tcPr>
            <w:tcW w:w="360" w:type="dxa"/>
            <w:vAlign w:val="bottom"/>
          </w:tcPr>
          <w:p>
            <w:pPr>
              <w:spacing w:after="0"/>
              <w:rPr>
                <w:sz w:val="12"/>
                <w:szCs w:val="12"/>
                <w:color w:val="auto"/>
              </w:rPr>
            </w:pPr>
          </w:p>
        </w:tc>
        <w:tc>
          <w:tcPr>
            <w:tcW w:w="700" w:type="dxa"/>
            <w:vAlign w:val="bottom"/>
          </w:tcPr>
          <w:p>
            <w:pPr>
              <w:jc w:val="right"/>
              <w:ind w:right="593"/>
              <w:spacing w:after="0"/>
              <w:rPr>
                <w:sz w:val="20"/>
                <w:szCs w:val="20"/>
                <w:color w:val="auto"/>
              </w:rPr>
            </w:pPr>
            <w:r>
              <w:rPr>
                <w:rFonts w:ascii="Arial" w:cs="Arial" w:eastAsia="Arial" w:hAnsi="Arial"/>
                <w:sz w:val="9"/>
                <w:szCs w:val="9"/>
                <w:color w:val="auto"/>
                <w:w w:val="78"/>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3,759</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taxes paid in cash</w:t>
            </w:r>
          </w:p>
        </w:tc>
        <w:tc>
          <w:tcPr>
            <w:tcW w:w="13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on promissory notes through issuance of common stock</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8,000</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8,160</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Addition of right-of-use assets upon adoption of new lease guidance</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5,192</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facility obligation through common stock issuance</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4,575</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37,912</w:t>
            </w:r>
          </w:p>
        </w:tc>
        <w:tc>
          <w:tcPr>
            <w:tcW w:w="120" w:type="dxa"/>
            <w:vAlign w:val="bottom"/>
            <w:shd w:val="clear" w:color="auto" w:fill="CFF0FC"/>
          </w:tcPr>
          <w:p>
            <w:pPr>
              <w:spacing w:after="0"/>
              <w:rPr>
                <w:sz w:val="12"/>
                <w:szCs w:val="12"/>
                <w:color w:val="auto"/>
              </w:rPr>
            </w:pP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Payment of senior convertible notes through common stock issuance</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4,500</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2"/>
                <w:szCs w:val="12"/>
                <w:color w:val="auto"/>
              </w:rPr>
            </w:pP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interest on senior convertible notes through common stock issuance</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1,075</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tcPr>
          <w:p>
            <w:pPr>
              <w:ind w:left="260"/>
              <w:spacing w:after="0"/>
              <w:rPr>
                <w:sz w:val="20"/>
                <w:szCs w:val="20"/>
                <w:color w:val="auto"/>
              </w:rPr>
            </w:pPr>
            <w:r>
              <w:rPr>
                <w:rFonts w:ascii="Arial" w:cs="Arial" w:eastAsia="Arial" w:hAnsi="Arial"/>
                <w:sz w:val="13"/>
                <w:szCs w:val="13"/>
                <w:color w:val="auto"/>
              </w:rPr>
              <w:t>Common stock issuance to settle employee stock purchase plan liability</w:t>
            </w:r>
          </w:p>
        </w:tc>
        <w:tc>
          <w:tcPr>
            <w:tcW w:w="1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656</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warrants associated with MidCap Credit Facility</w:t>
            </w:r>
          </w:p>
        </w:tc>
        <w:tc>
          <w:tcPr>
            <w:tcW w:w="1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w:t>
            </w: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40" w:firstLine="485"/>
        <w:spacing w:after="0" w:line="291"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Corporation and its subsidiaries (the “Company”) is a biopharmaceutical company focused on the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of inhaled therapeutic products for diseases such as diabetes and pulmonary arterial hypertension. The Company’s only approved product, Afrezza (insulin human) Inhalation Powder, is an ultra rapid-acting 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specialty sales force. In addition, the Company’s partner in Brazil, Biomm, commenced commercialization of Afrezza in January 2020 and the Company’s partners in India and Australia are preparing for regulatory submissions and have not yet commenced commercialization in their respective territories.</w:t>
      </w:r>
    </w:p>
    <w:p>
      <w:pPr>
        <w:spacing w:after="0" w:line="167" w:lineRule="exact"/>
        <w:rPr>
          <w:sz w:val="20"/>
          <w:szCs w:val="20"/>
          <w:color w:val="auto"/>
        </w:rPr>
      </w:pPr>
    </w:p>
    <w:p>
      <w:pPr>
        <w:ind w:right="60" w:firstLine="485"/>
        <w:spacing w:after="0" w:line="272"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 The accompanying consolidated financial statements have been prepared assuming that the Company will continue as a going</w:t>
      </w:r>
      <w:r>
        <w:rPr>
          <w:rFonts w:ascii="Arial" w:cs="Arial" w:eastAsia="Arial" w:hAnsi="Arial"/>
          <w:sz w:val="17"/>
          <w:szCs w:val="17"/>
          <w:i w:val="1"/>
          <w:iCs w:val="1"/>
          <w:color w:val="auto"/>
        </w:rPr>
        <w:t xml:space="preserve"> </w:t>
      </w:r>
      <w:r>
        <w:rPr>
          <w:rFonts w:ascii="Arial" w:cs="Arial" w:eastAsia="Arial" w:hAnsi="Arial"/>
          <w:sz w:val="17"/>
          <w:szCs w:val="17"/>
          <w:color w:val="auto"/>
        </w:rPr>
        <w:t>concern which contemplates the realization of assets and satisfaction of liabilities in the normal course of business. 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costs for product candidates in the Company’s pipeline. As of December 31, 2019, the Company had an accumulated deficit of $3.0 billion and $120.3 million of total principal amount of outstanding borrowings, with limited capital resources of $29.9 million in cash and cash equivalents and $20.0 million in short-term investments. These financial conditions raise substantial doubt about the Company’s ability to continue as a going concern.</w:t>
      </w:r>
    </w:p>
    <w:p>
      <w:pPr>
        <w:spacing w:after="0" w:line="178" w:lineRule="exact"/>
        <w:rPr>
          <w:sz w:val="20"/>
          <w:szCs w:val="20"/>
          <w:color w:val="auto"/>
        </w:rPr>
      </w:pPr>
    </w:p>
    <w:p>
      <w:pPr>
        <w:ind w:right="40" w:firstLine="485"/>
        <w:spacing w:after="0" w:line="254" w:lineRule="auto"/>
        <w:rPr>
          <w:sz w:val="20"/>
          <w:szCs w:val="20"/>
          <w:color w:val="auto"/>
        </w:rPr>
      </w:pPr>
      <w:r>
        <w:rPr>
          <w:rFonts w:ascii="Arial" w:cs="Arial" w:eastAsia="Arial" w:hAnsi="Arial"/>
          <w:sz w:val="18"/>
          <w:szCs w:val="18"/>
          <w:color w:val="auto"/>
        </w:rPr>
        <w:t>In August 2019, the Company and MannKind LLC entered into a credit and security agreement with MidCap Financial Trust (as amended, the “MidCap Credit Facility”) to recapitalize its debt structure (the “recapitalization”) (Refer to Note 7 – Borrowings for further details). The MidCap Credit Facility provides a secured term loan facility in an aggregate principal amount of up to $75.0 million, of which $40.0 million was outstanding as of December 31, 2019 and the remaining $35.0 million will become available under the following conditions: (1) $10.0 million will be available to the Company until April 15, 2020, subject to the satisfaction of certain conditions, including achieving Afrezza net revenue of at least $30.0 million on a trailing twelve month basis, and (2) the remaining $25.0 million will be available to the Company until June 30, 2021, subject to the satisfaction of certain milestone conditions associated with Afrezza net revenue and certain milestone conditions related to the Company’s collaboration with United Therapeutics (see Note 8 – Collaborations and Licensing Arrangements).</w:t>
      </w:r>
    </w:p>
    <w:p>
      <w:pPr>
        <w:spacing w:after="0" w:line="192" w:lineRule="exact"/>
        <w:rPr>
          <w:sz w:val="20"/>
          <w:szCs w:val="20"/>
          <w:color w:val="auto"/>
        </w:rPr>
      </w:pPr>
    </w:p>
    <w:p>
      <w:pPr>
        <w:jc w:val="both"/>
        <w:ind w:firstLine="485"/>
        <w:spacing w:after="0" w:line="264" w:lineRule="auto"/>
        <w:rPr>
          <w:sz w:val="20"/>
          <w:szCs w:val="20"/>
          <w:color w:val="auto"/>
        </w:rPr>
      </w:pPr>
      <w:r>
        <w:rPr>
          <w:rFonts w:ascii="Arial" w:cs="Arial" w:eastAsia="Arial" w:hAnsi="Arial"/>
          <w:sz w:val="18"/>
          <w:szCs w:val="18"/>
          <w:color w:val="auto"/>
        </w:rPr>
        <w:t>Principal payments on the MidCap Credit Facility began in September 2021. In addition, the MidCap Credit Facility contains certain covenants, one of which includes a requirement to maintain a minimum of $15.0 million of unrestricted cash and cash equivalents. This amount will increase to $20.0 million if the Company draws the aforementioned additional funding that may be made available.</w:t>
      </w:r>
    </w:p>
    <w:p>
      <w:pPr>
        <w:spacing w:after="0" w:line="181" w:lineRule="exact"/>
        <w:rPr>
          <w:sz w:val="20"/>
          <w:szCs w:val="20"/>
          <w:color w:val="auto"/>
        </w:rPr>
      </w:pPr>
    </w:p>
    <w:p>
      <w:pPr>
        <w:ind w:right="240" w:firstLine="485"/>
        <w:spacing w:after="0" w:line="277" w:lineRule="auto"/>
        <w:rPr>
          <w:sz w:val="20"/>
          <w:szCs w:val="20"/>
          <w:color w:val="auto"/>
        </w:rPr>
      </w:pPr>
      <w:r>
        <w:rPr>
          <w:rFonts w:ascii="Arial" w:cs="Arial" w:eastAsia="Arial" w:hAnsi="Arial"/>
          <w:sz w:val="18"/>
          <w:szCs w:val="18"/>
          <w:color w:val="auto"/>
        </w:rPr>
        <w:t>As part of the recapitalization, the Company converted shares of common stock, made repayments on outstanding borrowings, and used some of the proceeds from the MidCap Credit Facility proceeds to:</w:t>
      </w:r>
    </w:p>
    <w:p>
      <w:pPr>
        <w:spacing w:after="0" w:line="62" w:lineRule="exact"/>
        <w:rPr>
          <w:sz w:val="20"/>
          <w:szCs w:val="20"/>
          <w:color w:val="auto"/>
        </w:rPr>
      </w:pPr>
    </w:p>
    <w:p>
      <w:pPr>
        <w:ind w:left="960" w:right="400" w:hanging="479"/>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Fully repay the remaining $5.0 million due on its financing facility with Deerfield Private Design Fund II L.P. and Deerfield Private Design International I L.P.</w:t>
      </w:r>
    </w:p>
    <w:p>
      <w:pPr>
        <w:spacing w:after="0" w:line="62" w:lineRule="exact"/>
        <w:rPr>
          <w:rFonts w:ascii="Arial" w:cs="Arial" w:eastAsia="Arial" w:hAnsi="Arial"/>
          <w:sz w:val="18"/>
          <w:szCs w:val="18"/>
          <w:color w:val="auto"/>
        </w:rPr>
      </w:pPr>
    </w:p>
    <w:p>
      <w:pPr>
        <w:ind w:left="960" w:right="200" w:hanging="479"/>
        <w:spacing w:after="0" w:line="329" w:lineRule="auto"/>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Pay down the Company’s obligations under the Mann Group promissory notes, including accrued interest, by $11.0 million and restructure the remaining $70.1 million of debt into the $35.0 million note that is convertible into shares of the Company’s common stock at $2.50 per share (the “Mann Group convertible note”) and the $35.1 million non-convertible note (the “Mann Group non-convertible note”).</w:t>
      </w:r>
    </w:p>
    <w:p>
      <w:pPr>
        <w:spacing w:after="0" w:line="26" w:lineRule="exact"/>
        <w:rPr>
          <w:rFonts w:ascii="Arial" w:cs="Arial" w:eastAsia="Arial" w:hAnsi="Arial"/>
          <w:sz w:val="16"/>
          <w:szCs w:val="16"/>
          <w:color w:val="auto"/>
        </w:rPr>
      </w:pPr>
    </w:p>
    <w:p>
      <w:pPr>
        <w:ind w:left="960" w:right="120" w:hanging="479"/>
        <w:spacing w:after="0" w:line="269" w:lineRule="auto"/>
        <w:tabs>
          <w:tab w:leader="none" w:pos="960" w:val="left"/>
        </w:tabs>
        <w:numPr>
          <w:ilvl w:val="0"/>
          <w:numId w:val="28"/>
        </w:numPr>
        <w:rPr>
          <w:rFonts w:ascii="Arial" w:cs="Arial" w:eastAsia="Arial" w:hAnsi="Arial"/>
          <w:sz w:val="21"/>
          <w:szCs w:val="21"/>
          <w:color w:val="auto"/>
        </w:rPr>
      </w:pPr>
      <w:r>
        <w:rPr>
          <w:rFonts w:ascii="Arial" w:cs="Arial" w:eastAsia="Arial" w:hAnsi="Arial"/>
          <w:sz w:val="17"/>
          <w:szCs w:val="17"/>
          <w:color w:val="auto"/>
        </w:rPr>
        <w:t>Reduce the 5.75% Convertible Senior Subordinated Exchange Notes due 2021 (the “2021 notes”) by $8.5 million and restructure the remaining $10.2 million to the $2.6 million due June 2020 (the “June 2020 note”), $2.6 million due December 2020 (the “December 2020 note”, and together with the June 2020 note, the “2020 notes”), and the $5.0 million 5.75% Convertible Senior Subordinated Exchange Notes due November 2024 (the “2024 convertible notes”) which are convertible into shares of our common stock at $3.00 per share.</w:t>
      </w:r>
    </w:p>
    <w:p>
      <w:pPr>
        <w:spacing w:after="0" w:line="179"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color w:val="auto"/>
        </w:rPr>
        <w:t>The Company’s capital resources may not be sufficient to continue to meet its current and anticipated obligations over the next twelve months if the Company cannot increase its operating cash inflows by growing its prescription and revenue base and/or obtain access to the remaining $35.0 million borrowings that may become available under its MidCap Credit Facility. In the event these capital resources are not sufficient, the Company may need to raise additional capital by selling equity or debt securities, entering into strategic business collaboration agreements with other companies, seeking other funding facilities or licensing arrangements, selling assets or by other means. However, the Company cannot provide assurances that additional capital will be available on acceptable terms or at all.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ind w:firstLine="485"/>
        <w:spacing w:after="0" w:line="302" w:lineRule="auto"/>
        <w:rPr>
          <w:sz w:val="20"/>
          <w:szCs w:val="20"/>
          <w:color w:val="auto"/>
        </w:rPr>
      </w:pPr>
      <w:r>
        <w:rPr>
          <w:rFonts w:ascii="Arial" w:cs="Arial" w:eastAsia="Arial" w:hAnsi="Arial"/>
          <w:sz w:val="16"/>
          <w:szCs w:val="16"/>
          <w:color w:val="auto"/>
        </w:rPr>
        <w:t>If the Company is unable to meet its current and anticipated obligations over the next twelve months through its existing capital resources, or obtain new sources of capital when needed, the Company may have to delay, reduce the scope of its manufacturing operations, reduce or eliminate one or more of its development programs, and/or make significant changes to its operating plan. These factors raise substantial doubt about the Company’s ability to continue as a going concern. The accompanying financial statements do not include any adjustments that might result from the outcome of this uncertainty.</w:t>
      </w:r>
    </w:p>
    <w:p>
      <w:pPr>
        <w:spacing w:after="0" w:line="154" w:lineRule="exact"/>
        <w:rPr>
          <w:sz w:val="20"/>
          <w:szCs w:val="20"/>
          <w:color w:val="auto"/>
        </w:rPr>
      </w:pPr>
    </w:p>
    <w:p>
      <w:pPr>
        <w:ind w:firstLine="485"/>
        <w:spacing w:after="0" w:line="290"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consolidated financial statements include the accounts of the Company and its wholly-owned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balances and transactions have been eliminated. Certain prior year amounts have been reclassified for consistency with the current year presentation. These reclassifications had no effect on the reported Consolidated Balance Sheets or Statements of Operations. An adjustment has been made to the Consolidated Statements of Cash Flows for the fiscal year ended December 31, 2018 to separately identify the disclosures of non-cash investing and financing activities related to the payment of facility obligation through common stock issuance and senior convertible notes through common stock issuance. This change in classification does not affect previously reported cash flows from operating, investing or financing activities. In addition, an adjustment has been made to reclassify certain immaterial amounts of professional fees to other accrued expenses within the table of accrued expenses in Note 5 — Accrued Expenses and Other Current Liabilities as of December 31, 2018 for consistency with the current year presentation.</w:t>
      </w:r>
    </w:p>
    <w:p>
      <w:pPr>
        <w:spacing w:after="0" w:line="166" w:lineRule="exact"/>
        <w:rPr>
          <w:sz w:val="20"/>
          <w:szCs w:val="20"/>
          <w:color w:val="auto"/>
        </w:rPr>
      </w:pPr>
    </w:p>
    <w:p>
      <w:pPr>
        <w:ind w:right="380" w:firstLine="485"/>
        <w:spacing w:after="0" w:line="312" w:lineRule="auto"/>
        <w:rPr>
          <w:sz w:val="20"/>
          <w:szCs w:val="20"/>
          <w:color w:val="auto"/>
        </w:rPr>
      </w:pPr>
      <w:r>
        <w:rPr>
          <w:rFonts w:ascii="Arial" w:cs="Arial" w:eastAsia="Arial" w:hAnsi="Arial"/>
          <w:sz w:val="16"/>
          <w:szCs w:val="16"/>
          <w:i w:val="1"/>
          <w:iCs w:val="1"/>
          <w:color w:val="auto"/>
        </w:rPr>
        <w:t xml:space="preserve">Segment Information </w:t>
      </w:r>
      <w:r>
        <w:rPr>
          <w:rFonts w:ascii="Arial" w:cs="Arial" w:eastAsia="Arial" w:hAnsi="Arial"/>
          <w:sz w:val="16"/>
          <w:szCs w:val="16"/>
          <w:color w:val="auto"/>
        </w:rPr>
        <w:t>— Operating segments are identified as components of an enterprise about which separate discrete financial information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40" w:firstLine="485"/>
        <w:spacing w:after="0" w:line="271" w:lineRule="auto"/>
        <w:rPr>
          <w:sz w:val="20"/>
          <w:szCs w:val="20"/>
          <w:color w:val="auto"/>
        </w:rPr>
      </w:pPr>
      <w:r>
        <w:rPr>
          <w:rFonts w:ascii="Arial" w:cs="Arial" w:eastAsia="Arial" w:hAnsi="Arial"/>
          <w:sz w:val="17"/>
          <w:szCs w:val="17"/>
          <w:i w:val="1"/>
          <w:iCs w:val="1"/>
          <w:color w:val="auto"/>
        </w:rPr>
        <w:t xml:space="preserve">Financial Statement Estimates </w:t>
      </w:r>
      <w:r>
        <w:rPr>
          <w:rFonts w:ascii="Arial" w:cs="Arial" w:eastAsia="Arial" w:hAnsi="Arial"/>
          <w:sz w:val="17"/>
          <w:szCs w:val="17"/>
          <w:color w:val="auto"/>
        </w:rPr>
        <w:t>— The preparation of financial statements in conformity with accounting principles generally accepted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of America (GAAP) requires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consolidated financial statements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79" w:lineRule="exact"/>
        <w:rPr>
          <w:sz w:val="20"/>
          <w:szCs w:val="20"/>
          <w:color w:val="auto"/>
        </w:rPr>
      </w:pPr>
    </w:p>
    <w:p>
      <w:pPr>
        <w:ind w:right="120" w:firstLine="485"/>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adopted Accounting Standards Codification (“ASC”) Topic 606 -</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(“the new revenue guidance”), on January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47" w:lineRule="exact"/>
        <w:rPr>
          <w:sz w:val="20"/>
          <w:szCs w:val="20"/>
          <w:color w:val="auto"/>
        </w:rPr>
      </w:pPr>
    </w:p>
    <w:p>
      <w:pPr>
        <w:ind w:right="20" w:firstLine="485"/>
        <w:spacing w:after="0" w:line="276"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73"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87"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pharmacies in the U.S. (collectively, its “Customers”). Wholesale distributors subsequently resell the Company’s products to retail pharmacies and certain medical centers or hospitals. Specialty pharmacies sell directly to patients. In addition to distribution agreements with Customers, the Company enters into arrangements with payors that provide for government mandated and/or privately negotiated rebates, chargebacks, and discounts with respect to the purchase of the Company’s products.</w:t>
      </w:r>
    </w:p>
    <w:p>
      <w:pPr>
        <w:spacing w:after="0" w:line="188" w:lineRule="exact"/>
        <w:rPr>
          <w:sz w:val="20"/>
          <w:szCs w:val="20"/>
          <w:color w:val="auto"/>
        </w:rPr>
      </w:pPr>
    </w:p>
    <w:p>
      <w:pPr>
        <w:ind w:firstLine="485"/>
        <w:spacing w:after="0" w:line="264"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delivery for wholesale distributors and at shipment for specialty pharmacies. Product revenues are recorded net of applicable reserves for variable consideration, including discounts and allowances.</w:t>
      </w:r>
    </w:p>
    <w:p>
      <w:pPr>
        <w:spacing w:after="0" w:line="181" w:lineRule="exact"/>
        <w:rPr>
          <w:sz w:val="20"/>
          <w:szCs w:val="20"/>
          <w:color w:val="auto"/>
        </w:rPr>
      </w:pPr>
    </w:p>
    <w:p>
      <w:pPr>
        <w:ind w:right="220" w:firstLine="485"/>
        <w:spacing w:after="0" w:line="312" w:lineRule="auto"/>
        <w:rPr>
          <w:sz w:val="20"/>
          <w:szCs w:val="20"/>
          <w:color w:val="auto"/>
        </w:rPr>
      </w:pPr>
      <w:r>
        <w:rPr>
          <w:rFonts w:ascii="Arial" w:cs="Arial" w:eastAsia="Arial" w:hAnsi="Arial"/>
          <w:sz w:val="16"/>
          <w:szCs w:val="16"/>
          <w:i w:val="1"/>
          <w:iCs w:val="1"/>
          <w:color w:val="auto"/>
        </w:rPr>
        <w:t xml:space="preserve">Free Goods Program – </w:t>
      </w:r>
      <w:r>
        <w:rPr>
          <w:rFonts w:ascii="Arial" w:cs="Arial" w:eastAsia="Arial" w:hAnsi="Arial"/>
          <w:sz w:val="16"/>
          <w:szCs w:val="16"/>
          <w:color w:val="auto"/>
        </w:rPr>
        <w:t>From time to time, the Company offers programs to potential new patients that allow them to obtain free goods (prescription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fills) from a pharmacy. On a net basis, it is not probable that the Company will receive the consideration from these products. Therefore, the Company excludes such amounts from both gross and net revenue. The cost of product associated with the free goods program is included in cost of goods sold.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ind w:right="60" w:firstLine="485"/>
        <w:spacing w:after="0" w:line="255" w:lineRule="auto"/>
        <w:rPr>
          <w:sz w:val="20"/>
          <w:szCs w:val="20"/>
          <w:color w:val="auto"/>
        </w:rPr>
      </w:pP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 Revenues from product sales are recorded at the net sales price (transaction price), which includes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amounts earned, or to be claimed on the related sales, and result in a reduction of accounts receivable or establishment of a current liability.</w:t>
      </w:r>
    </w:p>
    <w:p>
      <w:pPr>
        <w:spacing w:after="0" w:line="193" w:lineRule="exact"/>
        <w:rPr>
          <w:sz w:val="20"/>
          <w:szCs w:val="20"/>
          <w:color w:val="auto"/>
        </w:rPr>
      </w:pPr>
    </w:p>
    <w:p>
      <w:pPr>
        <w:ind w:right="260" w:firstLine="485"/>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December 31, 2019 and, therefore, the transaction price was not reduced further during the year ended December 31, 2019.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89" w:lineRule="exact"/>
        <w:rPr>
          <w:sz w:val="20"/>
          <w:szCs w:val="20"/>
          <w:color w:val="auto"/>
        </w:rPr>
      </w:pPr>
    </w:p>
    <w:p>
      <w:pPr>
        <w:ind w:right="40" w:firstLine="485"/>
        <w:spacing w:after="0" w:line="276" w:lineRule="auto"/>
        <w:rPr>
          <w:sz w:val="20"/>
          <w:szCs w:val="20"/>
          <w:color w:val="auto"/>
        </w:rPr>
      </w:pPr>
      <w:r>
        <w:rPr>
          <w:rFonts w:ascii="Arial" w:cs="Arial" w:eastAsia="Arial" w:hAnsi="Arial"/>
          <w:sz w:val="17"/>
          <w:szCs w:val="17"/>
          <w:i w:val="1"/>
          <w:iCs w:val="1"/>
          <w:color w:val="auto"/>
        </w:rPr>
        <w:t xml:space="preserve">Trade Discounts and Allowances </w:t>
      </w:r>
      <w:r>
        <w:rPr>
          <w:rFonts w:ascii="Arial" w:cs="Arial" w:eastAsia="Arial" w:hAnsi="Arial"/>
          <w:sz w:val="17"/>
          <w:szCs w:val="17"/>
          <w:color w:val="auto"/>
        </w:rPr>
        <w:t>— The Company generally provides Customers with discounts which include incentives, such as prompt pay</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3"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the Company generally offers Customers a right of return for unopened product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w:t>
      </w:r>
    </w:p>
    <w:p>
      <w:pPr>
        <w:spacing w:after="0" w:line="193" w:lineRule="exact"/>
        <w:rPr>
          <w:sz w:val="20"/>
          <w:szCs w:val="20"/>
          <w:color w:val="auto"/>
        </w:rPr>
      </w:pPr>
    </w:p>
    <w:p>
      <w:pPr>
        <w:ind w:firstLine="485"/>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7"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 The Company is subject to discount obligations under Medicare and state Medicaid programs. These reserves are recorded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189" w:lineRule="exact"/>
        <w:rPr>
          <w:sz w:val="20"/>
          <w:szCs w:val="20"/>
          <w:color w:val="auto"/>
        </w:rPr>
      </w:pPr>
    </w:p>
    <w:p>
      <w:pPr>
        <w:ind w:right="20" w:firstLine="485"/>
        <w:spacing w:after="0" w:line="259" w:lineRule="auto"/>
        <w:rPr>
          <w:sz w:val="20"/>
          <w:szCs w:val="20"/>
          <w:color w:val="auto"/>
        </w:rPr>
      </w:pPr>
      <w:r>
        <w:rPr>
          <w:rFonts w:ascii="Arial" w:cs="Arial" w:eastAsia="Arial" w:hAnsi="Arial"/>
          <w:sz w:val="18"/>
          <w:szCs w:val="18"/>
          <w:i w:val="1"/>
          <w:iCs w:val="1"/>
          <w:color w:val="auto"/>
        </w:rPr>
        <w:t xml:space="preserve">Payor Rebates </w:t>
      </w:r>
      <w:r>
        <w:rPr>
          <w:rFonts w:ascii="Arial" w:cs="Arial" w:eastAsia="Arial" w:hAnsi="Arial"/>
          <w:sz w:val="18"/>
          <w:szCs w:val="18"/>
          <w:color w:val="auto"/>
        </w:rPr>
        <w:t>— The Company contracts with certain private payor organizations, primarily insurance companies and pharmacy benefit managers,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 of rebates with respect to utilization of its products. The Company estimates these rebates and records such estimates in the same period the related revenue is recognized, resulting in a reduction of product revenue and the establishment of a current liability which is included in accrued expenses and other current liabilities.</w:t>
      </w:r>
    </w:p>
    <w:p>
      <w:pPr>
        <w:spacing w:after="0" w:line="187" w:lineRule="exact"/>
        <w:rPr>
          <w:sz w:val="20"/>
          <w:szCs w:val="20"/>
          <w:color w:val="auto"/>
        </w:rPr>
      </w:pPr>
    </w:p>
    <w:p>
      <w:pPr>
        <w:ind w:right="140" w:firstLine="485"/>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ind w:right="20" w:firstLine="485"/>
        <w:spacing w:after="0" w:line="269" w:lineRule="auto"/>
        <w:rPr>
          <w:sz w:val="20"/>
          <w:szCs w:val="20"/>
          <w:color w:val="auto"/>
        </w:rPr>
      </w:pPr>
      <w:r>
        <w:rPr>
          <w:rFonts w:ascii="Arial" w:cs="Arial" w:eastAsia="Arial" w:hAnsi="Arial"/>
          <w:sz w:val="17"/>
          <w:szCs w:val="17"/>
          <w:i w:val="1"/>
          <w:iCs w:val="1"/>
          <w:color w:val="auto"/>
        </w:rPr>
        <w:t xml:space="preserve">Revenue Recognition — Revenue — Collaborations and Services — </w:t>
      </w:r>
      <w:r>
        <w:rPr>
          <w:rFonts w:ascii="Arial" w:cs="Arial" w:eastAsia="Arial" w:hAnsi="Arial"/>
          <w:sz w:val="17"/>
          <w:szCs w:val="17"/>
          <w:color w:val="auto"/>
        </w:rPr>
        <w:t>The Company enters into licensing or research agreements under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licenses certain rights to its product candidates to third parties or conducting research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For further information see Note 8 </w:t>
      </w:r>
      <w:r>
        <w:rPr>
          <w:rFonts w:ascii="Arial" w:cs="Arial" w:eastAsia="Arial" w:hAnsi="Arial"/>
          <w:sz w:val="17"/>
          <w:szCs w:val="17"/>
          <w:i w:val="1"/>
          <w:iCs w:val="1"/>
          <w:color w:val="auto"/>
        </w:rPr>
        <w:t>—</w:t>
      </w:r>
      <w:r>
        <w:rPr>
          <w:rFonts w:ascii="Arial" w:cs="Arial" w:eastAsia="Arial" w:hAnsi="Arial"/>
          <w:sz w:val="17"/>
          <w:szCs w:val="17"/>
          <w:color w:val="auto"/>
        </w:rPr>
        <w:t xml:space="preserve"> Collaboration and Licensing Agreements.</w:t>
      </w:r>
    </w:p>
    <w:p>
      <w:pPr>
        <w:spacing w:after="0" w:line="180" w:lineRule="exact"/>
        <w:rPr>
          <w:sz w:val="20"/>
          <w:szCs w:val="20"/>
          <w:color w:val="auto"/>
        </w:rPr>
      </w:pPr>
    </w:p>
    <w:p>
      <w:pPr>
        <w:ind w:right="280" w:firstLine="485"/>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3"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40" w:firstLine="485"/>
        <w:spacing w:after="0" w:line="291" w:lineRule="auto"/>
        <w:rPr>
          <w:sz w:val="20"/>
          <w:szCs w:val="20"/>
          <w:color w:val="auto"/>
        </w:rPr>
      </w:pPr>
      <w:r>
        <w:rPr>
          <w:rFonts w:ascii="Arial" w:cs="Arial" w:eastAsia="Arial" w:hAnsi="Arial"/>
          <w:sz w:val="16"/>
          <w:szCs w:val="16"/>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67" w:lineRule="exact"/>
        <w:rPr>
          <w:sz w:val="20"/>
          <w:szCs w:val="20"/>
          <w:color w:val="auto"/>
        </w:rPr>
      </w:pPr>
    </w:p>
    <w:p>
      <w:pPr>
        <w:ind w:right="240" w:firstLine="485"/>
        <w:spacing w:after="0" w:line="297" w:lineRule="auto"/>
        <w:rPr>
          <w:sz w:val="20"/>
          <w:szCs w:val="20"/>
          <w:color w:val="auto"/>
        </w:rPr>
      </w:pPr>
      <w:r>
        <w:rPr>
          <w:rFonts w:ascii="Arial" w:cs="Arial" w:eastAsia="Arial" w:hAnsi="Arial"/>
          <w:sz w:val="16"/>
          <w:szCs w:val="16"/>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and provides research and development services,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158"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189" w:lineRule="exact"/>
        <w:rPr>
          <w:sz w:val="20"/>
          <w:szCs w:val="20"/>
          <w:color w:val="auto"/>
        </w:rPr>
      </w:pPr>
    </w:p>
    <w:p>
      <w:pPr>
        <w:ind w:right="40" w:firstLine="485"/>
        <w:spacing w:after="0" w:line="273" w:lineRule="auto"/>
        <w:rPr>
          <w:sz w:val="20"/>
          <w:szCs w:val="20"/>
          <w:color w:val="auto"/>
        </w:rPr>
      </w:pPr>
      <w:r>
        <w:rPr>
          <w:rFonts w:ascii="Arial" w:cs="Arial" w:eastAsia="Arial" w:hAnsi="Arial"/>
          <w:sz w:val="17"/>
          <w:szCs w:val="17"/>
          <w:color w:val="auto"/>
        </w:rPr>
        <w:t>The Company follows detailed accounting guidance in measuring revenue and certain judgments affect the application of its revenue policy. For example, in connection with its existing collaboration agreements, the Company has recorded on its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left="500"/>
        <w:spacing w:after="0"/>
        <w:rPr>
          <w:sz w:val="20"/>
          <w:szCs w:val="20"/>
          <w:color w:val="auto"/>
        </w:rPr>
      </w:pPr>
      <w:r>
        <w:rPr>
          <w:rFonts w:ascii="Arial" w:cs="Arial" w:eastAsia="Arial" w:hAnsi="Arial"/>
          <w:sz w:val="18"/>
          <w:szCs w:val="18"/>
          <w:color w:val="auto"/>
        </w:rPr>
        <w:t>The activity related to deferred revenue and the related revenue recognized for collaborations and services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Beginning balance</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47,565</w:t>
            </w:r>
          </w:p>
        </w:tc>
        <w:tc>
          <w:tcPr>
            <w:tcW w:w="300" w:type="dxa"/>
            <w:vAlign w:val="bottom"/>
          </w:tcPr>
          <w:p>
            <w:pPr>
              <w:spacing w:after="0"/>
              <w:rPr>
                <w:sz w:val="19"/>
                <w:szCs w:val="19"/>
                <w:color w:val="auto"/>
              </w:rPr>
            </w:pP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Upfront and milestone payments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Pass through payments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 collaborations and services</w:t>
            </w:r>
          </w:p>
        </w:tc>
        <w:tc>
          <w:tcPr>
            <w:tcW w:w="9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(37,734)</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(10,583)</w:t>
            </w: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40,847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47,565</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5"/>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2"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Cost of goods sold includes material, labor costs and manufacturing overhead. Cost of goods sold also includes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current period manufacturing costs in excess of costs capitalized into inventory (excess capacity costs). These costs, in addition to the impact of the annual revaluation of inventory to standard costs and write-offs of inventory are recorded as expenses in the period in which they are incurred, rather than as a portion of inventory costs. All insulin inventory on hand and the full purchase commitment contract to purchase future insulin was written off as of the end of 2015. Therefore, cost of goods sold excludes the cost of insulin purchased under our Insulin Supply Agreement, except for the contract amendment fees of approximately $2.8 million and $2.0 million for the years ended December 31, 2019 and 2018, respectively (see Note 13 – Commitments and Contingencies).</w:t>
      </w:r>
    </w:p>
    <w:p>
      <w:pPr>
        <w:spacing w:after="0" w:line="189" w:lineRule="exact"/>
        <w:rPr>
          <w:sz w:val="20"/>
          <w:szCs w:val="20"/>
          <w:color w:val="auto"/>
        </w:rPr>
      </w:pPr>
    </w:p>
    <w:p>
      <w:pPr>
        <w:jc w:val="both"/>
        <w:ind w:right="220" w:firstLine="485"/>
        <w:spacing w:after="0" w:line="264" w:lineRule="auto"/>
        <w:rPr>
          <w:sz w:val="20"/>
          <w:szCs w:val="20"/>
          <w:color w:val="auto"/>
        </w:rPr>
      </w:pPr>
      <w:r>
        <w:rPr>
          <w:rFonts w:ascii="Arial" w:cs="Arial" w:eastAsia="Arial" w:hAnsi="Arial"/>
          <w:sz w:val="18"/>
          <w:szCs w:val="18"/>
          <w:i w:val="1"/>
          <w:iCs w:val="1"/>
          <w:color w:val="auto"/>
        </w:rPr>
        <w:t xml:space="preserve">Cash and Cash Equivalents and Restricted Cash </w:t>
      </w:r>
      <w:r>
        <w:rPr>
          <w:rFonts w:ascii="Arial" w:cs="Arial" w:eastAsia="Arial" w:hAnsi="Arial"/>
          <w:sz w:val="18"/>
          <w:szCs w:val="18"/>
          <w:color w:val="auto"/>
        </w:rPr>
        <w:t>– The Company considers all highly liquid investments with original or remaining maturities of 90</w:t>
      </w:r>
      <w:r>
        <w:rPr>
          <w:rFonts w:ascii="Arial" w:cs="Arial" w:eastAsia="Arial" w:hAnsi="Arial"/>
          <w:sz w:val="18"/>
          <w:szCs w:val="18"/>
          <w:i w:val="1"/>
          <w:iCs w:val="1"/>
          <w:color w:val="auto"/>
        </w:rPr>
        <w:t xml:space="preserve"> </w:t>
      </w:r>
      <w:r>
        <w:rPr>
          <w:rFonts w:ascii="Arial" w:cs="Arial" w:eastAsia="Arial" w:hAnsi="Arial"/>
          <w:sz w:val="18"/>
          <w:szCs w:val="18"/>
          <w:color w:val="auto"/>
        </w:rPr>
        <w:t>days or less at the time of purchase, that are readily convertible into cash to be cash equivalents. As of December 31, 2019 and 2018, cash equivalents were comprised of money market accounts with maturities less than 90 days from the date of purchase.</w:t>
      </w:r>
    </w:p>
    <w:p>
      <w:pPr>
        <w:spacing w:after="0" w:line="181" w:lineRule="exact"/>
        <w:rPr>
          <w:sz w:val="20"/>
          <w:szCs w:val="20"/>
          <w:color w:val="auto"/>
        </w:rPr>
      </w:pPr>
    </w:p>
    <w:p>
      <w:pPr>
        <w:ind w:right="20" w:firstLine="485"/>
        <w:spacing w:after="0" w:line="286" w:lineRule="auto"/>
        <w:rPr>
          <w:sz w:val="20"/>
          <w:szCs w:val="20"/>
          <w:color w:val="auto"/>
        </w:rPr>
      </w:pPr>
      <w:r>
        <w:rPr>
          <w:rFonts w:ascii="Arial" w:cs="Arial" w:eastAsia="Arial" w:hAnsi="Arial"/>
          <w:sz w:val="17"/>
          <w:szCs w:val="17"/>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 term assets.</w:t>
      </w:r>
    </w:p>
    <w:p>
      <w:pPr>
        <w:spacing w:after="0" w:line="166" w:lineRule="exact"/>
        <w:rPr>
          <w:sz w:val="20"/>
          <w:szCs w:val="20"/>
          <w:color w:val="auto"/>
        </w:rPr>
      </w:pPr>
    </w:p>
    <w:p>
      <w:pPr>
        <w:ind w:right="400" w:firstLine="48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consolidated balance sheets that sum to amounts reported on the consolidated statement of cash flows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29,906</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30,222</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5"/>
        <w:spacing w:after="0" w:line="259" w:lineRule="auto"/>
        <w:rPr>
          <w:sz w:val="20"/>
          <w:szCs w:val="20"/>
          <w:color w:val="auto"/>
        </w:rPr>
      </w:pPr>
      <w:r>
        <w:rPr>
          <w:rFonts w:ascii="Arial" w:cs="Arial" w:eastAsia="Arial" w:hAnsi="Arial"/>
          <w:sz w:val="18"/>
          <w:szCs w:val="18"/>
          <w:i w:val="1"/>
          <w:iCs w:val="1"/>
          <w:color w:val="auto"/>
        </w:rPr>
        <w:t xml:space="preserve">Short-term Investments — </w:t>
      </w:r>
      <w:r>
        <w:rPr>
          <w:rFonts w:ascii="Arial" w:cs="Arial" w:eastAsia="Arial" w:hAnsi="Arial"/>
          <w:sz w:val="18"/>
          <w:szCs w:val="18"/>
          <w:color w:val="auto"/>
        </w:rPr>
        <w:t>The Company’s short-term investments consist of U.S. Treasury securities stated at amortized cost which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intends to hold until maturity. Those with maturities less than 12 months are included in short-term investments and any investments with maturities in excess of twelve months are included in long-term investments in our consolidated balance sheets. The Company did not record any material gains or losses on these securities during the years ended December 31, 2019 and 2018.</w:t>
      </w:r>
    </w:p>
    <w:p>
      <w:pPr>
        <w:spacing w:after="0" w:line="187" w:lineRule="exact"/>
        <w:rPr>
          <w:sz w:val="20"/>
          <w:szCs w:val="20"/>
          <w:color w:val="auto"/>
        </w:rPr>
      </w:pPr>
    </w:p>
    <w:p>
      <w:pPr>
        <w:ind w:right="360" w:firstLine="485"/>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short-term investments. Cash and cash equivalents are held in high credit quality institutions. Cash equivalents consist of interest-bearing money market accounts and U.S. Treasury securities, which are regularly monitored by management. Short-term investments consist of U.S. Treasury securities with a maximum maturity of twelve months.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right="60" w:firstLine="485"/>
        <w:spacing w:after="0" w:line="276"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19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w:t>
            </w:r>
          </w:p>
        </w:tc>
        <w:tc>
          <w:tcPr>
            <w:tcW w:w="12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Wholesaler distribution fees and prompt pay discounts</w:t>
            </w:r>
          </w:p>
        </w:tc>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(1,767)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(868)</w:t>
            </w: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19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(1,645)</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(313)</w:t>
            </w:r>
          </w:p>
        </w:tc>
      </w:tr>
      <w:tr>
        <w:trPr>
          <w:trHeight w:val="223"/>
        </w:trPr>
        <w:tc>
          <w:tcPr>
            <w:tcW w:w="59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9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85"/>
        <w:spacing w:after="0" w:line="277" w:lineRule="auto"/>
        <w:rPr>
          <w:sz w:val="20"/>
          <w:szCs w:val="20"/>
          <w:color w:val="auto"/>
        </w:rPr>
      </w:pPr>
      <w:r>
        <w:rPr>
          <w:rFonts w:ascii="Arial" w:cs="Arial" w:eastAsia="Arial" w:hAnsi="Arial"/>
          <w:sz w:val="18"/>
          <w:szCs w:val="18"/>
          <w:color w:val="auto"/>
        </w:rPr>
        <w:t>As of December 31, 2019 and December 31, 2018, the allowance for doubtful accounts was de minimis. As of December 31, 2019 and December 31, 2018, the Company had three wholesale distributors representing approximately 96% and 89% of sales, respectively.</w:t>
      </w:r>
    </w:p>
    <w:p>
      <w:pPr>
        <w:spacing w:after="0" w:line="170" w:lineRule="exact"/>
        <w:rPr>
          <w:sz w:val="20"/>
          <w:szCs w:val="20"/>
          <w:color w:val="auto"/>
        </w:rPr>
      </w:pPr>
    </w:p>
    <w:p>
      <w:pPr>
        <w:ind w:right="20" w:firstLine="485"/>
        <w:spacing w:after="0" w:line="269" w:lineRule="auto"/>
        <w:rPr>
          <w:sz w:val="20"/>
          <w:szCs w:val="20"/>
          <w:color w:val="auto"/>
        </w:rPr>
      </w:pPr>
      <w:r>
        <w:rPr>
          <w:rFonts w:ascii="Arial" w:cs="Arial" w:eastAsia="Arial" w:hAnsi="Arial"/>
          <w:sz w:val="17"/>
          <w:szCs w:val="17"/>
          <w:i w:val="1"/>
          <w:iCs w:val="1"/>
          <w:color w:val="auto"/>
        </w:rPr>
        <w:t xml:space="preserve">Pre-Launch Inventory </w:t>
      </w:r>
      <w:r>
        <w:rPr>
          <w:rFonts w:ascii="Arial" w:cs="Arial" w:eastAsia="Arial" w:hAnsi="Arial"/>
          <w:sz w:val="17"/>
          <w:szCs w:val="17"/>
          <w:color w:val="auto"/>
        </w:rPr>
        <w:t>— An improvement to the manufacturing process for the Company’s primary excipient FDKP was demonstrated to be viable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83" w:lineRule="exact"/>
        <w:rPr>
          <w:sz w:val="20"/>
          <w:szCs w:val="20"/>
          <w:color w:val="auto"/>
        </w:rPr>
      </w:pPr>
    </w:p>
    <w:p>
      <w:pPr>
        <w:ind w:right="100" w:firstLine="485"/>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7" w:lineRule="exact"/>
        <w:rPr>
          <w:sz w:val="20"/>
          <w:szCs w:val="20"/>
          <w:color w:val="auto"/>
        </w:rPr>
      </w:pPr>
    </w:p>
    <w:p>
      <w:pPr>
        <w:ind w:right="200" w:firstLine="485"/>
        <w:spacing w:after="0" w:line="264"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1" w:lineRule="exact"/>
        <w:rPr>
          <w:sz w:val="20"/>
          <w:szCs w:val="20"/>
          <w:color w:val="auto"/>
        </w:rPr>
      </w:pPr>
    </w:p>
    <w:p>
      <w:pPr>
        <w:ind w:right="220" w:firstLine="485"/>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carrying value of an asset may not be recoverable. Assets are considered to be impaired if the carrying value may not be recoverable.</w:t>
      </w:r>
    </w:p>
    <w:p>
      <w:pPr>
        <w:spacing w:after="0" w:line="124" w:lineRule="exact"/>
        <w:rPr>
          <w:sz w:val="20"/>
          <w:szCs w:val="20"/>
          <w:color w:val="auto"/>
        </w:rPr>
      </w:pPr>
    </w:p>
    <w:p>
      <w:pPr>
        <w:ind w:right="360" w:firstLine="485"/>
        <w:spacing w:after="0" w:line="264"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recorded zero asset impairments for the years ended December 31, 2019 and 2018 (see Note 4 — Property and Equipment).</w:t>
      </w:r>
    </w:p>
    <w:p>
      <w:pPr>
        <w:spacing w:after="0" w:line="237"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i w:val="1"/>
          <w:iCs w:val="1"/>
          <w:color w:val="auto"/>
        </w:rPr>
        <w:t xml:space="preserve">Recognized Loss on Purchase Commitments — </w:t>
      </w:r>
      <w:r>
        <w:rPr>
          <w:rFonts w:ascii="Arial" w:cs="Arial" w:eastAsia="Arial" w:hAnsi="Arial"/>
          <w:sz w:val="18"/>
          <w:szCs w:val="18"/>
          <w:color w:val="auto"/>
        </w:rPr>
        <w:t>The Company assesses whether losses on long term purchase commitments should be accrued.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consolidated statement of operations. The liability balance of the recognized loss on insulin purchase commitments as of December 31, 2019 and 2018 was $92.0 million and $98.3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60" w:firstLine="485"/>
        <w:spacing w:after="0" w:line="277" w:lineRule="auto"/>
        <w:rPr>
          <w:sz w:val="20"/>
          <w:szCs w:val="20"/>
          <w:color w:val="auto"/>
        </w:rPr>
      </w:pPr>
      <w:r>
        <w:rPr>
          <w:rFonts w:ascii="Arial" w:cs="Arial" w:eastAsia="Arial" w:hAnsi="Arial"/>
          <w:sz w:val="17"/>
          <w:szCs w:val="17"/>
          <w:i w:val="1"/>
          <w:iCs w:val="1"/>
          <w:color w:val="auto"/>
        </w:rPr>
        <w:t xml:space="preserve">Milestone Rights Liability </w:t>
      </w:r>
      <w:r>
        <w:rPr>
          <w:rFonts w:ascii="Arial" w:cs="Arial" w:eastAsia="Arial" w:hAnsi="Arial"/>
          <w:sz w:val="17"/>
          <w:szCs w:val="17"/>
          <w:color w:val="auto"/>
        </w:rPr>
        <w:t>— On July 1, 2013, in conjunction with the execution of the Facility Agreement, the Company issued Milestone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Milestone Purchasers. The Milestone Rights provide the Milestone Purchasers certain rights to receive payments of up to $90.0 million, of which $70.0 million remain payable as of December 31, 2019, upon the occurrence of specified strategic and sales milestones, including the achievement of specified net sales figures. The Company analyzed the Milestone Rights and determined that the Milestone Agreement does not meet the definition of a freestanding derivative. Since the Company has not elected to apply the fair value option to the Milestone Agreement, the Company recorded the Milestone Rights at their estimated initial fair value and accounted for the Milestone Rights as a liability.</w:t>
      </w:r>
    </w:p>
    <w:p>
      <w:pPr>
        <w:spacing w:after="0" w:line="172" w:lineRule="exact"/>
        <w:rPr>
          <w:sz w:val="20"/>
          <w:szCs w:val="20"/>
          <w:color w:val="auto"/>
        </w:rPr>
      </w:pPr>
    </w:p>
    <w:p>
      <w:pPr>
        <w:ind w:firstLine="485"/>
        <w:spacing w:after="0" w:line="287" w:lineRule="auto"/>
        <w:rPr>
          <w:sz w:val="20"/>
          <w:szCs w:val="20"/>
          <w:color w:val="auto"/>
        </w:rPr>
      </w:pPr>
      <w:r>
        <w:rPr>
          <w:rFonts w:ascii="Arial" w:cs="Arial" w:eastAsia="Arial" w:hAnsi="Arial"/>
          <w:sz w:val="16"/>
          <w:szCs w:val="16"/>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Borrowings). As of December 31, 2019 and 2018, the remaining liability balance was $7.3 million and $8.9 million, respectively.</w:t>
      </w:r>
    </w:p>
    <w:p>
      <w:pPr>
        <w:spacing w:after="0" w:line="169" w:lineRule="exact"/>
        <w:rPr>
          <w:sz w:val="20"/>
          <w:szCs w:val="20"/>
          <w:color w:val="auto"/>
        </w:rPr>
      </w:pPr>
    </w:p>
    <w:p>
      <w:pPr>
        <w:ind w:right="80" w:firstLine="485"/>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applies various valuation approaches in determining the fair value of its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firstLine="485"/>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54" w:lineRule="exact"/>
        <w:rPr>
          <w:sz w:val="20"/>
          <w:szCs w:val="20"/>
          <w:color w:val="auto"/>
        </w:rPr>
      </w:pPr>
    </w:p>
    <w:p>
      <w:pPr>
        <w:ind w:right="140" w:firstLine="485"/>
        <w:spacing w:after="0" w:line="255" w:lineRule="auto"/>
        <w:rPr>
          <w:sz w:val="20"/>
          <w:szCs w:val="20"/>
          <w:color w:val="auto"/>
        </w:rPr>
      </w:pPr>
      <w:r>
        <w:rPr>
          <w:rFonts w:ascii="Arial" w:cs="Arial" w:eastAsia="Arial" w:hAnsi="Arial"/>
          <w:sz w:val="18"/>
          <w:szCs w:val="18"/>
          <w:color w:val="auto"/>
        </w:rPr>
        <w:t>Income tax positions are considered for uncertainty.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193" w:lineRule="exact"/>
        <w:rPr>
          <w:sz w:val="20"/>
          <w:szCs w:val="20"/>
          <w:color w:val="auto"/>
        </w:rPr>
      </w:pPr>
    </w:p>
    <w:p>
      <w:pPr>
        <w:ind w:right="40" w:firstLine="485"/>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right="20" w:firstLine="485"/>
        <w:spacing w:after="0" w:line="293"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Share-based payments to employees, including grants of stock options, restricted stock units, performance-based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compensatory elements of employee stock purchase plans, are recognized in the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65" w:lineRule="exact"/>
        <w:rPr>
          <w:sz w:val="20"/>
          <w:szCs w:val="20"/>
          <w:color w:val="auto"/>
        </w:rPr>
      </w:pPr>
    </w:p>
    <w:p>
      <w:pPr>
        <w:ind w:right="520" w:firstLine="485"/>
        <w:spacing w:after="0" w:line="264"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connection with conducting clinical trials.</w:t>
      </w:r>
    </w:p>
    <w:p>
      <w:pPr>
        <w:spacing w:after="0" w:line="181" w:lineRule="exact"/>
        <w:rPr>
          <w:sz w:val="20"/>
          <w:szCs w:val="20"/>
          <w:color w:val="auto"/>
        </w:rPr>
      </w:pPr>
    </w:p>
    <w:p>
      <w:pPr>
        <w:ind w:right="200" w:firstLine="485"/>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20" w:firstLine="485"/>
        <w:spacing w:after="0" w:line="264" w:lineRule="auto"/>
        <w:rPr>
          <w:sz w:val="20"/>
          <w:szCs w:val="20"/>
          <w:color w:val="auto"/>
        </w:rPr>
      </w:pPr>
      <w:r>
        <w:rPr>
          <w:rFonts w:ascii="Arial" w:cs="Arial" w:eastAsia="Arial" w:hAnsi="Arial"/>
          <w:sz w:val="18"/>
          <w:szCs w:val="18"/>
          <w:i w:val="1"/>
          <w:iCs w:val="1"/>
          <w:color w:val="auto"/>
        </w:rPr>
        <w:t xml:space="preserve">Recently Adopted Accounting Standards </w:t>
      </w:r>
      <w:r>
        <w:rPr>
          <w:rFonts w:ascii="Arial" w:cs="Arial" w:eastAsia="Arial" w:hAnsi="Arial"/>
          <w:sz w:val="18"/>
          <w:szCs w:val="18"/>
          <w:color w:val="auto"/>
        </w:rPr>
        <w:t>— Leases —The Company adopted Accounting Standards Codification (“ASC”) Topic 842 – Leases (“ASC</w:t>
      </w:r>
      <w:r>
        <w:rPr>
          <w:rFonts w:ascii="Arial" w:cs="Arial" w:eastAsia="Arial" w:hAnsi="Arial"/>
          <w:sz w:val="18"/>
          <w:szCs w:val="18"/>
          <w:i w:val="1"/>
          <w:iCs w:val="1"/>
          <w:color w:val="auto"/>
        </w:rPr>
        <w:t xml:space="preserve"> </w:t>
      </w:r>
      <w:r>
        <w:rPr>
          <w:rFonts w:ascii="Arial" w:cs="Arial" w:eastAsia="Arial" w:hAnsi="Arial"/>
          <w:sz w:val="18"/>
          <w:szCs w:val="18"/>
          <w:color w:val="auto"/>
        </w:rPr>
        <w:t>842”) on January 1, 2019. Under ASC 842, the Company is required to recognize the assets and liabilities that arise from most operating leases on the balance sheet and disclose qualitative and quantitative information about its leasing arrangements.</w:t>
      </w:r>
    </w:p>
    <w:p>
      <w:pPr>
        <w:spacing w:after="0" w:line="181"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color w:val="auto"/>
        </w:rPr>
        <w:t>Upon adoption of ASC 842, the Company recognized a lease liability to make lease payments and a right-of-use-asset representing its right to use the underlying asset for the applicable lease term using the optional transition method. In doing so, the Company elected the package of three practical expedients permitted under the transition guidance within the new standard, which among other things, allowed the Company to carry forward the historical lease classification. The Company also elected the practical expedient that permits not separating lease and non-lease components for all classes of underlying assets. For short-term leases, the Company has elected not to apply the recognition requirements of this guidance. The Company did not elect to use the hindsight practical expedient.</w:t>
      </w:r>
    </w:p>
    <w:p>
      <w:pPr>
        <w:spacing w:after="0" w:line="193" w:lineRule="exact"/>
        <w:rPr>
          <w:sz w:val="20"/>
          <w:szCs w:val="20"/>
          <w:color w:val="auto"/>
        </w:rPr>
      </w:pPr>
    </w:p>
    <w:p>
      <w:pPr>
        <w:ind w:right="80" w:firstLine="485"/>
        <w:spacing w:after="0" w:line="342" w:lineRule="auto"/>
        <w:rPr>
          <w:sz w:val="20"/>
          <w:szCs w:val="20"/>
          <w:color w:val="auto"/>
        </w:rPr>
      </w:pPr>
      <w:r>
        <w:rPr>
          <w:rFonts w:ascii="Arial" w:cs="Arial" w:eastAsia="Arial" w:hAnsi="Arial"/>
          <w:sz w:val="16"/>
          <w:szCs w:val="16"/>
          <w:color w:val="auto"/>
        </w:rPr>
        <w:t>Upon the adoption as of January 1, 2019, the impact on total assets and total liabilities was an increase of $5.2 million. The standard did not materially impact net earnings and had no impact on cash flow. See Note 13 — Commitments and Contingencies for further information related to leases.</w:t>
      </w:r>
    </w:p>
    <w:p>
      <w:pPr>
        <w:spacing w:after="0" w:line="124"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 xml:space="preserve">In July 2017, the FASB issued ASU No. 2017-11, </w:t>
      </w:r>
      <w:r>
        <w:rPr>
          <w:rFonts w:ascii="Arial" w:cs="Arial" w:eastAsia="Arial" w:hAnsi="Arial"/>
          <w:sz w:val="18"/>
          <w:szCs w:val="18"/>
          <w:i w:val="1"/>
          <w:iCs w:val="1"/>
          <w:color w:val="auto"/>
        </w:rPr>
        <w:t>Earnings per Share (Topic 260) and Derivatives and Hedging (Topic 815)</w:t>
      </w:r>
      <w:r>
        <w:rPr>
          <w:rFonts w:ascii="Arial" w:cs="Arial" w:eastAsia="Arial" w:hAnsi="Arial"/>
          <w:sz w:val="18"/>
          <w:szCs w:val="18"/>
          <w:color w:val="auto"/>
        </w:rPr>
        <w:t>: Accounting for Certain Financial Instruments with Down Round Provisions. This ASU addresses the complexity and cost of accounting for certain financial instruments with down round features that require fair value measurement of the entire instrument or conversion option and requires entities that present earnings per share in accordance with Topic 260 to recognize the effect of the down round feature when it is triggered. ASU 2017-11 is effective for fiscal years beginning January 1, 2019, including interim periods within those periods. The adoption of this standard did not materially impact the Company’s consolidated financial statements.</w:t>
      </w:r>
    </w:p>
    <w:p>
      <w:pPr>
        <w:spacing w:after="0" w:line="193"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187" w:lineRule="exact"/>
        <w:rPr>
          <w:sz w:val="20"/>
          <w:szCs w:val="20"/>
          <w:color w:val="auto"/>
        </w:rPr>
      </w:pPr>
    </w:p>
    <w:p>
      <w:pPr>
        <w:ind w:right="60" w:firstLine="485"/>
        <w:spacing w:after="0" w:line="294"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to simplify and reduce the cost of accounting for income taxes. The pronouncement calls for removing exceptions to the incremental approach for intraperiod tax allocations, exceptions to the requirement to recognize a deferred tax liability for equity method investment when a foreign subsidiary becomes an equity method investment, exception to the ability to not recognize a deferred tax liability for a foreign subsidiary when a foreign equity method investment becomes a subsidiary and exception to the general methodology for calculating income taxes in an interim period when a year-to-date loss exceeds the anticipated loss for the year. ASU 2019-12 is effective for fiscal years beginning after December 15, 2021, and interim periods within fiscal years beginning after December 15, 2022. Early adoption is permitted. We are currently assessing the effect the adoption of this standard will have on the Company’s consolidated financial statements.</w:t>
      </w:r>
    </w:p>
    <w:p>
      <w:pPr>
        <w:spacing w:after="0" w:line="164"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xml:space="preserve"> to clarify when transactions between participants in a collaborative arrangement under ASC 808 are within the scope of the new revenue guidance when the collaborative arrangement participant is a customer. ASU 2018-18 is effective for fiscal years beginning after December 15, 2020, and interim periods within fiscal years beginning after December 15, 2021. Early adoption is permitted. The Company does not expect the adoption of this standard to have a materially impact on the Company’s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Work-in-process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1040" w:type="dxa"/>
            <w:vAlign w:val="bottom"/>
            <w:tcBorders>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85"/>
        <w:spacing w:after="0" w:line="291" w:lineRule="auto"/>
        <w:rPr>
          <w:sz w:val="20"/>
          <w:szCs w:val="20"/>
          <w:color w:val="auto"/>
        </w:rPr>
      </w:pPr>
      <w:r>
        <w:rPr>
          <w:rFonts w:ascii="Arial" w:cs="Arial" w:eastAsia="Arial" w:hAnsi="Arial"/>
          <w:sz w:val="16"/>
          <w:szCs w:val="16"/>
          <w:color w:val="auto"/>
        </w:rPr>
        <w:t>Work-in-process and finished goods as of December 31, 2019 and 2018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December 31, 2019, which consisted of FDKP received in November 2019 that will be used to manufacture Afrezza under an enhanced manufacturing process for FDKP. Approximately 2% of the material received in November 2019 was recognized as a research and development expense and will be used by the Company for stability studies and other tests. The Company expects to receive FDA approval of the new source of FDKP in mid-2021, after which the pre-launch raw materials inventory will be reclassified as raw materials inventory for use in the manufacturing of Afrezza. The Company did not have any pre-launch raw materials inventory as of December 31, 2018.</w:t>
      </w:r>
    </w:p>
    <w:p>
      <w:pPr>
        <w:spacing w:after="0" w:line="167" w:lineRule="exact"/>
        <w:rPr>
          <w:sz w:val="20"/>
          <w:szCs w:val="20"/>
          <w:color w:val="auto"/>
        </w:rPr>
      </w:pPr>
    </w:p>
    <w:p>
      <w:pPr>
        <w:ind w:firstLine="485"/>
        <w:spacing w:after="0" w:line="261" w:lineRule="auto"/>
        <w:rPr>
          <w:sz w:val="20"/>
          <w:szCs w:val="20"/>
          <w:color w:val="auto"/>
        </w:rPr>
      </w:pPr>
      <w:r>
        <w:rPr>
          <w:rFonts w:ascii="Arial" w:cs="Arial" w:eastAsia="Arial" w:hAnsi="Arial"/>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at December 31, 2019 and 2018. Inventory that was forecasted to become obsolete due to expiration is recorded in costs of goods sold in the accompanying consolidated statements of operations. During the year ended December 31, 2018, the Company recorded a write-down of inventory of approximately $2.2 million. There were no inventory write-offs for the year ended December 31,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800" w:type="dxa"/>
            <w:vAlign w:val="bottom"/>
          </w:tcPr>
          <w:p>
            <w:pPr>
              <w:jc w:val="right"/>
              <w:ind w:right="294"/>
              <w:spacing w:after="0"/>
              <w:rPr>
                <w:sz w:val="20"/>
                <w:szCs w:val="20"/>
                <w:color w:val="auto"/>
              </w:rPr>
            </w:pPr>
            <w:r>
              <w:rPr>
                <w:rFonts w:ascii="Arial" w:cs="Arial" w:eastAsia="Arial" w:hAnsi="Arial"/>
                <w:sz w:val="14"/>
                <w:szCs w:val="14"/>
                <w:b w:val="1"/>
                <w:bCs w:val="1"/>
                <w:color w:val="auto"/>
              </w:rPr>
              <w:t>Estimated Useful</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18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Life (Years)</w:t>
            </w: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Buildings</w:t>
            </w:r>
          </w:p>
        </w:tc>
        <w:tc>
          <w:tcPr>
            <w:tcW w:w="1800" w:type="dxa"/>
            <w:vAlign w:val="bottom"/>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34,967</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0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54,982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61,217</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8,355</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122,142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126,099</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(95,364)</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(100,497)</w:t>
            </w: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25,602</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85"/>
        <w:spacing w:after="0" w:line="279" w:lineRule="auto"/>
        <w:rPr>
          <w:sz w:val="20"/>
          <w:szCs w:val="20"/>
          <w:color w:val="auto"/>
        </w:rPr>
      </w:pPr>
      <w:r>
        <w:rPr>
          <w:rFonts w:ascii="Arial" w:cs="Arial" w:eastAsia="Arial" w:hAnsi="Arial"/>
          <w:sz w:val="17"/>
          <w:szCs w:val="17"/>
          <w:color w:val="auto"/>
        </w:rPr>
        <w:t xml:space="preserve">Depreciation expense related to property and equipment for the years ended December 31, 2019 and 2018 was $1.6 million and $1.7 million, respectively. During the year ended December 31, 2019, the Company retired $6.7 million of manufacturing equipment and computer hardware as it was no longer in service. During the year ended December 31, 2018, the Company disposed of $2.1 million of furniture and fixtures, manufacturing equipment and laboratory equipment as it was no longer in service. The net book value for the disposed assets was </w:t>
      </w:r>
      <w:r>
        <w:rPr>
          <w:rFonts w:ascii="Arial" w:cs="Arial" w:eastAsia="Arial" w:hAnsi="Arial"/>
          <w:sz w:val="17"/>
          <w:szCs w:val="17"/>
          <w:i w:val="1"/>
          <w:iCs w:val="1"/>
          <w:color w:val="auto"/>
        </w:rPr>
        <w:t>de minimis</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1000" w:type="dxa"/>
            <w:vAlign w:val="bottom"/>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Professional fees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Sales and marketing services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portion of milestone rights liability</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Borders>
              <w:bottom w:val="single" w:sz="8" w:color="auto"/>
            </w:tcBorders>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15,904</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Loan Arrangement with Former Related Party</w:t>
      </w:r>
    </w:p>
    <w:p>
      <w:pPr>
        <w:spacing w:after="0" w:line="121" w:lineRule="exact"/>
        <w:rPr>
          <w:sz w:val="20"/>
          <w:szCs w:val="20"/>
          <w:color w:val="auto"/>
        </w:rPr>
      </w:pPr>
    </w:p>
    <w:p>
      <w:pPr>
        <w:ind w:right="80" w:firstLine="485"/>
        <w:spacing w:after="0" w:line="257" w:lineRule="auto"/>
        <w:rPr>
          <w:sz w:val="20"/>
          <w:szCs w:val="20"/>
          <w:color w:val="auto"/>
        </w:rPr>
      </w:pPr>
      <w:r>
        <w:rPr>
          <w:rFonts w:ascii="Arial" w:cs="Arial" w:eastAsia="Arial" w:hAnsi="Arial"/>
          <w:sz w:val="18"/>
          <w:szCs w:val="18"/>
          <w:color w:val="auto"/>
        </w:rPr>
        <w:t>In October 2007, the Company entered into a loan agreement with The Mann Group LLC (“The Mann Group”), which has been amended from time to time (including in August 2019 – see Note 7 – Borrowings). During his lifetime, Alfred Mann controlled The Mann Group, and also served as the Company’s chief executive officer until January 2015 and chairman until February 2016. Following Mr. Mann’s death in February 2016, control of The Mann Group was assumed by the trustees of the Alfred E. Mann Living Trust (the sole member and managing director of The Mann Group). None of the trustees is a member of the Company’s management or has the ability to influence the Company.</w:t>
      </w:r>
    </w:p>
    <w:p>
      <w:pPr>
        <w:spacing w:after="0" w:line="188" w:lineRule="exact"/>
        <w:rPr>
          <w:sz w:val="20"/>
          <w:szCs w:val="20"/>
          <w:color w:val="auto"/>
        </w:rPr>
      </w:pPr>
    </w:p>
    <w:p>
      <w:pPr>
        <w:ind w:right="20" w:firstLine="485"/>
        <w:spacing w:after="0" w:line="272" w:lineRule="auto"/>
        <w:rPr>
          <w:sz w:val="20"/>
          <w:szCs w:val="20"/>
          <w:color w:val="auto"/>
        </w:rPr>
      </w:pPr>
      <w:r>
        <w:rPr>
          <w:rFonts w:ascii="Arial" w:cs="Arial" w:eastAsia="Arial" w:hAnsi="Arial"/>
          <w:sz w:val="17"/>
          <w:szCs w:val="17"/>
          <w:color w:val="auto"/>
        </w:rPr>
        <w:t>At the time of Mr. Mann’s death, he beneficially owned approximately 36% of the outstanding shares of the Company’s common stock, including those held by The Mann Group. Over the three years following Mr. Mann’s death, the trustees of The Mann Group disposed of a substantial portion of these holdings. The Company has been informed that The Mann Group currently holds approximately 9.3 million shares as of December 31, 2019, which represents less than 5% of the Company’s outstanding common stock. The Company reserved an additional 14,000,000 shares for issuance to The Mann Group upon the conversion of outstanding amounts under the Mann Group convertible note. The Mann Group convertible note contains a provision that limits conversion to the extent that doing so would result in The Mann Group beneficially owning in excess of 9.99% (19.99% upon 65 days’ written notice from The Mann Group) of the outstanding shares of the Company’s common stock.</w:t>
      </w:r>
    </w:p>
    <w:p>
      <w:pPr>
        <w:spacing w:after="0" w:line="178" w:lineRule="exact"/>
        <w:rPr>
          <w:sz w:val="20"/>
          <w:szCs w:val="20"/>
          <w:color w:val="auto"/>
        </w:rPr>
      </w:pPr>
    </w:p>
    <w:p>
      <w:pPr>
        <w:ind w:right="260" w:firstLine="485"/>
        <w:spacing w:after="0" w:line="257" w:lineRule="auto"/>
        <w:rPr>
          <w:sz w:val="20"/>
          <w:szCs w:val="20"/>
          <w:color w:val="auto"/>
        </w:rPr>
      </w:pPr>
      <w:r>
        <w:rPr>
          <w:rFonts w:ascii="Arial" w:cs="Arial" w:eastAsia="Arial" w:hAnsi="Arial"/>
          <w:sz w:val="18"/>
          <w:szCs w:val="18"/>
          <w:color w:val="auto"/>
        </w:rPr>
        <w:t>Given that the trustees of the Alfred Mann Living Trust have no influence over, or involvement in the operations of, the Company, the Company has ceased to identify The Mann Group as a related party in its consolidated financial statements. Specifically, the consolidated balance sheet reflects $70.0 million in carrying amount in respect of the Mann Group promissory notes whereas the Company’s Form 10-K filed on February 26, 2019 reflected $72.1 million as related party notes and $6.8 million as accrued interest due to related party in the corresponding consolidated balance sheet as of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Carrying amount of borrowings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CFF0FC"/>
            </w:tcBorders>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36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70,020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MidCap Credit Facility</w:t>
            </w:r>
          </w:p>
        </w:tc>
        <w:tc>
          <w:tcPr>
            <w:tcW w:w="3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38,851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3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Deerfield Credit Facility</w:t>
            </w:r>
          </w:p>
        </w:tc>
        <w:tc>
          <w:tcPr>
            <w:tcW w:w="3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36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118,899</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102,486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680" w:type="dxa"/>
            <w:vAlign w:val="bottom"/>
            <w:vMerge w:val="restart"/>
          </w:tcPr>
          <w:p>
            <w:pPr>
              <w:jc w:val="right"/>
              <w:ind w:right="1950"/>
              <w:spacing w:after="0"/>
              <w:rPr>
                <w:sz w:val="20"/>
                <w:szCs w:val="20"/>
                <w:color w:val="auto"/>
              </w:rPr>
            </w:pPr>
            <w:r>
              <w:rPr>
                <w:rFonts w:ascii="Arial" w:cs="Arial" w:eastAsia="Arial" w:hAnsi="Arial"/>
                <w:sz w:val="18"/>
                <w:szCs w:val="18"/>
                <w:color w:val="auto"/>
              </w:rPr>
              <w:t>67</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1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69" w:name="page70"/>
    <w:bookmarkEnd w:id="69"/>
    <w:p>
      <w:pPr>
        <w:ind w:right="60" w:firstLine="485"/>
        <w:spacing w:after="0" w:line="308" w:lineRule="auto"/>
        <w:rPr>
          <w:sz w:val="20"/>
          <w:szCs w:val="20"/>
          <w:color w:val="auto"/>
        </w:rPr>
      </w:pPr>
      <w:r>
        <w:rPr>
          <w:rFonts w:ascii="Arial" w:cs="Arial" w:eastAsia="Arial" w:hAnsi="Arial"/>
          <w:sz w:val="17"/>
          <w:szCs w:val="17"/>
          <w:color w:val="auto"/>
        </w:rPr>
        <w:t>During the year ended December 31, 2019, the Company discharged its obligations under the Deerfield Credit Facility, entered into the MidCap Credit Facility and restructured the obligations owed to its other lenders. The following table provides a summary of the Company’s debt and key terms: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9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Annual</w:t>
            </w:r>
          </w:p>
        </w:tc>
        <w:tc>
          <w:tcPr>
            <w:tcW w:w="220" w:type="dxa"/>
            <w:vAlign w:val="bottom"/>
          </w:tcPr>
          <w:p>
            <w:pPr>
              <w:spacing w:after="0"/>
              <w:rPr>
                <w:sz w:val="11"/>
                <w:szCs w:val="11"/>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Conversion</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Annual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240" w:type="dxa"/>
            <w:vAlign w:val="bottom"/>
            <w:vMerge w:val="restart"/>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240" w:type="dxa"/>
            <w:vAlign w:val="bottom"/>
            <w:vMerge w:val="restart"/>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2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$35.0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7.00%</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November</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$2.50</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$71.5 million</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July 2021</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8"/>
              </w:rPr>
              <w:t>million (plus</w:t>
            </w:r>
          </w:p>
        </w:tc>
        <w:tc>
          <w:tcPr>
            <w:tcW w:w="8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ind w:left="116"/>
              <w:spacing w:after="0"/>
              <w:rPr>
                <w:sz w:val="20"/>
                <w:szCs w:val="20"/>
                <w:color w:val="auto"/>
              </w:rPr>
            </w:pPr>
            <w:r>
              <w:rPr>
                <w:rFonts w:ascii="Arial" w:cs="Arial" w:eastAsia="Arial" w:hAnsi="Arial"/>
                <w:sz w:val="18"/>
                <w:szCs w:val="18"/>
                <w:color w:val="auto"/>
                <w:w w:val="89"/>
              </w:rPr>
              <w:t>2024</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per share</w:t>
            </w:r>
          </w:p>
        </w:tc>
        <w:tc>
          <w:tcPr>
            <w:tcW w:w="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(plus $6.8</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center"/>
              <w:ind w:right="12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8"/>
              </w:rPr>
              <w:t>$1.0 million</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rPr>
              <w:t>million</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84"/>
              </w:rPr>
              <w:t>accrued</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87"/>
              </w:rPr>
              <w:t>accrued</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0"/>
              </w:rPr>
              <w:t>interest paid-</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1"/>
              </w:rPr>
              <w:t>interest</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8"/>
              </w:rPr>
              <w:t>in-kind)</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4"/>
              </w:rPr>
              <w:t>paid-in-kind)</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8"/>
                <w:szCs w:val="18"/>
                <w:color w:val="auto"/>
              </w:rPr>
              <w:t>Mann Group non-</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$35.1</w:t>
            </w:r>
          </w:p>
        </w:tc>
        <w:tc>
          <w:tcPr>
            <w:tcW w:w="2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7.00%</w:t>
            </w:r>
          </w:p>
        </w:tc>
        <w:tc>
          <w:tcPr>
            <w:tcW w:w="2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November</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N/A</w:t>
            </w:r>
          </w:p>
        </w:tc>
        <w:tc>
          <w:tcPr>
            <w:tcW w:w="6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Pr>
          <w:p>
            <w:pPr>
              <w:ind w:left="140"/>
              <w:spacing w:after="0"/>
              <w:rPr>
                <w:sz w:val="20"/>
                <w:szCs w:val="20"/>
                <w:color w:val="auto"/>
              </w:rPr>
            </w:pPr>
            <w:r>
              <w:rPr>
                <w:rFonts w:ascii="Arial" w:cs="Arial" w:eastAsia="Arial" w:hAnsi="Arial"/>
                <w:sz w:val="18"/>
                <w:szCs w:val="18"/>
                <w:color w:val="auto"/>
              </w:rPr>
              <w:t>convertible note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million (plus</w:t>
            </w:r>
          </w:p>
        </w:tc>
        <w:tc>
          <w:tcPr>
            <w:tcW w:w="820" w:type="dxa"/>
            <w:vAlign w:val="bottom"/>
          </w:tcPr>
          <w:p>
            <w:pPr>
              <w:spacing w:after="0"/>
              <w:rPr>
                <w:sz w:val="18"/>
                <w:szCs w:val="18"/>
                <w:color w:val="auto"/>
              </w:rPr>
            </w:pPr>
          </w:p>
        </w:tc>
        <w:tc>
          <w:tcPr>
            <w:tcW w:w="1400" w:type="dxa"/>
            <w:vAlign w:val="bottom"/>
            <w:gridSpan w:val="2"/>
          </w:tcPr>
          <w:p>
            <w:pPr>
              <w:jc w:val="center"/>
              <w:ind w:left="116"/>
              <w:spacing w:after="0"/>
              <w:rPr>
                <w:sz w:val="20"/>
                <w:szCs w:val="20"/>
                <w:color w:val="auto"/>
              </w:rPr>
            </w:pPr>
            <w:r>
              <w:rPr>
                <w:rFonts w:ascii="Arial" w:cs="Arial" w:eastAsia="Arial" w:hAnsi="Arial"/>
                <w:sz w:val="18"/>
                <w:szCs w:val="18"/>
                <w:color w:val="auto"/>
                <w:w w:val="89"/>
              </w:rPr>
              <w:t>2024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$1.0 million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accrued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interest paid-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in-kind)</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MidCap Credit</w:t>
            </w:r>
          </w:p>
        </w:tc>
        <w:tc>
          <w:tcPr>
            <w:tcW w:w="1340" w:type="dxa"/>
            <w:vAlign w:val="bottom"/>
            <w:gridSpan w:val="3"/>
            <w:shd w:val="clear" w:color="auto" w:fill="CFF0FC"/>
          </w:tcPr>
          <w:p>
            <w:pPr>
              <w:jc w:val="center"/>
              <w:ind w:right="100"/>
              <w:spacing w:after="0"/>
              <w:rPr>
                <w:sz w:val="20"/>
                <w:szCs w:val="20"/>
                <w:color w:val="auto"/>
              </w:rPr>
            </w:pPr>
            <w:r>
              <w:rPr>
                <w:rFonts w:ascii="Arial" w:cs="Arial" w:eastAsia="Arial" w:hAnsi="Arial"/>
                <w:sz w:val="18"/>
                <w:szCs w:val="18"/>
                <w:color w:val="auto"/>
                <w:w w:val="94"/>
              </w:rPr>
              <w:t>$40.0 million</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one-month</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0"/>
              </w:rPr>
              <w:t>August 2024</w:t>
            </w:r>
          </w:p>
        </w:tc>
        <w:tc>
          <w:tcPr>
            <w:tcW w:w="9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9"/>
              </w:rPr>
              <w:t>N/A</w:t>
            </w:r>
          </w:p>
        </w:tc>
        <w:tc>
          <w:tcPr>
            <w:tcW w:w="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Facility</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LIBOR</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 floor)</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plus 6.75%</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8"/>
                <w:szCs w:val="18"/>
                <w:color w:val="auto"/>
              </w:rPr>
              <w:t>2024 convertible notes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$5.0 million</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5.75%</w:t>
            </w:r>
          </w:p>
        </w:tc>
        <w:tc>
          <w:tcPr>
            <w:tcW w:w="2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November 2024</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18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$18.7 million</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5.75%</w:t>
            </w:r>
          </w:p>
        </w:tc>
        <w:tc>
          <w:tcPr>
            <w:tcW w:w="1280" w:type="dxa"/>
            <w:vAlign w:val="bottom"/>
            <w:gridSpan w:val="4"/>
          </w:tcPr>
          <w:p>
            <w:pPr>
              <w:jc w:val="center"/>
              <w:ind w:right="140"/>
              <w:spacing w:after="0"/>
              <w:rPr>
                <w:sz w:val="20"/>
                <w:szCs w:val="20"/>
                <w:color w:val="auto"/>
              </w:rPr>
            </w:pPr>
            <w:r>
              <w:rPr>
                <w:rFonts w:ascii="Arial" w:cs="Arial" w:eastAsia="Arial" w:hAnsi="Arial"/>
                <w:sz w:val="18"/>
                <w:szCs w:val="18"/>
                <w:color w:val="auto"/>
                <w:w w:val="89"/>
              </w:rPr>
              <w:t>October 2021</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per share</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June 2020 note</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8"/>
              </w:rPr>
              <w:t>$2.6 million</w:t>
            </w:r>
          </w:p>
        </w:tc>
        <w:tc>
          <w:tcPr>
            <w:tcW w:w="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7"/>
              </w:rPr>
              <w:t>June 2020</w:t>
            </w:r>
          </w:p>
        </w:tc>
        <w:tc>
          <w:tcPr>
            <w:tcW w:w="9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9"/>
              </w:rPr>
              <w:t>N/A</w:t>
            </w: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December 2020 note</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$2.6 million</w:t>
            </w:r>
          </w:p>
        </w:tc>
        <w:tc>
          <w:tcPr>
            <w:tcW w:w="8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2020</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N/A</w:t>
            </w:r>
          </w:p>
        </w:tc>
        <w:tc>
          <w:tcPr>
            <w:tcW w:w="60" w:type="dxa"/>
            <w:vAlign w:val="bottom"/>
          </w:tcPr>
          <w:p>
            <w:pPr>
              <w:spacing w:after="0"/>
              <w:rPr>
                <w:sz w:val="19"/>
                <w:szCs w:val="19"/>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Deerfield Credit Facility</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$4.0 million</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3"/>
              </w:rPr>
              <w:t>July 2019</w:t>
            </w:r>
          </w:p>
        </w:tc>
        <w:tc>
          <w:tcPr>
            <w:tcW w:w="940" w:type="dxa"/>
            <w:vAlign w:val="bottom"/>
            <w:gridSpan w:val="3"/>
            <w:shd w:val="clear" w:color="auto" w:fill="CFF0FC"/>
          </w:tcPr>
          <w:p>
            <w:pPr>
              <w:jc w:val="center"/>
              <w:ind w:right="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$5.0 million</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center"/>
              <w:ind w:right="240"/>
              <w:spacing w:after="0"/>
              <w:rPr>
                <w:sz w:val="20"/>
                <w:szCs w:val="20"/>
                <w:color w:val="auto"/>
              </w:rPr>
            </w:pPr>
            <w:r>
              <w:rPr>
                <w:rFonts w:ascii="Arial" w:cs="Arial" w:eastAsia="Arial" w:hAnsi="Arial"/>
                <w:sz w:val="18"/>
                <w:szCs w:val="18"/>
                <w:color w:val="auto"/>
                <w:w w:val="90"/>
              </w:rPr>
              <w:t>August 2019</w:t>
            </w:r>
          </w:p>
        </w:tc>
        <w:tc>
          <w:tcPr>
            <w:tcW w:w="940" w:type="dxa"/>
            <w:vAlign w:val="bottom"/>
            <w:gridSpan w:val="3"/>
            <w:shd w:val="clear" w:color="auto" w:fill="CFF0FC"/>
          </w:tcPr>
          <w:p>
            <w:pPr>
              <w:jc w:val="center"/>
              <w:ind w:right="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$2.5 million</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May 2019</w:t>
            </w:r>
          </w:p>
        </w:tc>
        <w:tc>
          <w:tcPr>
            <w:tcW w:w="940" w:type="dxa"/>
            <w:vAlign w:val="bottom"/>
            <w:gridSpan w:val="3"/>
            <w:shd w:val="clear" w:color="auto" w:fill="CFF0FC"/>
          </w:tcPr>
          <w:p>
            <w:pPr>
              <w:jc w:val="center"/>
              <w:ind w:right="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32"/>
        </w:trPr>
        <w:tc>
          <w:tcPr>
            <w:tcW w:w="6940" w:type="dxa"/>
            <w:vAlign w:val="bottom"/>
            <w:gridSpan w:val="10"/>
          </w:tcPr>
          <w:p>
            <w:pPr>
              <w:ind w:left="500"/>
              <w:spacing w:after="0"/>
              <w:rPr>
                <w:sz w:val="20"/>
                <w:szCs w:val="20"/>
                <w:color w:val="auto"/>
              </w:rPr>
            </w:pPr>
            <w:r>
              <w:rPr>
                <w:rFonts w:ascii="Arial" w:cs="Arial" w:eastAsia="Arial" w:hAnsi="Arial"/>
                <w:sz w:val="18"/>
                <w:szCs w:val="18"/>
                <w:color w:val="auto"/>
                <w:w w:val="91"/>
              </w:rPr>
              <w:t>The maturities of our borrowings as of December 31, 2019 are as follows (in thousands):</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5"/>
          </w:tcPr>
          <w:p>
            <w:pPr>
              <w:ind w:left="70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6"/>
        </w:trPr>
        <w:tc>
          <w:tcPr>
            <w:tcW w:w="216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18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80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78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96"/>
              </w:rPr>
              <w:t>Total principal payments</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120,312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Unamortized discount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216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5"/>
        <w:spacing w:after="0" w:line="284" w:lineRule="auto"/>
        <w:rPr>
          <w:sz w:val="20"/>
          <w:szCs w:val="20"/>
          <w:color w:val="auto"/>
        </w:rPr>
      </w:pPr>
      <w:r>
        <w:rPr>
          <w:rFonts w:ascii="Arial" w:cs="Arial" w:eastAsia="Arial" w:hAnsi="Arial"/>
          <w:sz w:val="16"/>
          <w:szCs w:val="16"/>
          <w:i w:val="1"/>
          <w:iCs w:val="1"/>
          <w:color w:val="auto"/>
        </w:rPr>
        <w:t xml:space="preserve">Deerfield Facility Financing Obligation </w:t>
      </w:r>
      <w:r>
        <w:rPr>
          <w:rFonts w:ascii="Arial" w:cs="Arial" w:eastAsia="Arial" w:hAnsi="Arial"/>
          <w:sz w:val="16"/>
          <w:szCs w:val="16"/>
          <w:color w:val="auto"/>
        </w:rPr>
        <w:t>– On July 1, 2013, the Company entered into a facility agreement (the “Deerfield Credit Facility”) with</w:t>
      </w:r>
      <w:r>
        <w:rPr>
          <w:rFonts w:ascii="Arial" w:cs="Arial" w:eastAsia="Arial" w:hAnsi="Arial"/>
          <w:sz w:val="16"/>
          <w:szCs w:val="16"/>
          <w:i w:val="1"/>
          <w:iCs w:val="1"/>
          <w:color w:val="auto"/>
        </w:rPr>
        <w:t xml:space="preserve"> </w:t>
      </w:r>
      <w:r>
        <w:rPr>
          <w:rFonts w:ascii="Arial" w:cs="Arial" w:eastAsia="Arial" w:hAnsi="Arial"/>
          <w:sz w:val="16"/>
          <w:szCs w:val="16"/>
          <w:color w:val="auto"/>
        </w:rPr>
        <w:t>Deerfield Private Design Fund II, L.P. and Deerfield Private Design International II, L.P. (collectively, “Deerfield”), which permitted it to borrow $160.0 million through the issuance of 9.75% notes due 2019 (“2019 notes”), $100.0 million of which were converted into shares of the Company’s common stock during 2013 and 2014. The Company and Deerfield amended the Deerfield Credit Facility in 2014 to permit the Company to borrow an additional $20.0 million through the issuance of 8.75% notes (“Tranche B notes”). The remaining $80.0 million in principal amount that was not converted during 2013 and 2014 ($60.0 million in 2019 notes and $20.0 million in Tranche B notes) was subject to a repayment schedule that began in July 2016 and ended in August 2019. By June 30, 2019, the Company had repaid all amounts owed under the Tranche B notes and owed approximately $9.0 million in respect of outstanding 2019 notes. On July 18, 2019, the Company entered into an exchange agreement with Deerfield pursuant to which, among other things, the Company</w:t>
      </w:r>
    </w:p>
    <w:p>
      <w:pPr>
        <w:spacing w:after="0" w:line="1" w:lineRule="exact"/>
        <w:rPr>
          <w:sz w:val="20"/>
          <w:szCs w:val="20"/>
          <w:color w:val="auto"/>
        </w:rPr>
      </w:pPr>
    </w:p>
    <w:p>
      <w:pPr>
        <w:ind w:right="420" w:firstLine="8"/>
        <w:spacing w:after="0" w:line="323" w:lineRule="auto"/>
        <w:tabs>
          <w:tab w:leader="none" w:pos="2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repaid approximately $2.4 million in aggregate principal amount of 2019 notes plus all accrued and unpaid interest, and (ii) issued an aggregate of 1,514,423 shares of the Company’s common stock to Deerfield in exchange for approximately $1.6 million in aggregate principal amount of 2019 notes.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both"/>
        <w:ind w:right="120" w:firstLine="485"/>
        <w:spacing w:after="0" w:line="303" w:lineRule="auto"/>
        <w:rPr>
          <w:sz w:val="20"/>
          <w:szCs w:val="20"/>
          <w:color w:val="auto"/>
        </w:rPr>
      </w:pPr>
      <w:r>
        <w:rPr>
          <w:rFonts w:ascii="Arial" w:cs="Arial" w:eastAsia="Arial" w:hAnsi="Arial"/>
          <w:sz w:val="17"/>
          <w:szCs w:val="17"/>
          <w:color w:val="auto"/>
        </w:rPr>
        <w:t>On August 6, 2019, the Company entered into an exchange agreement with Deerfield pursuant to which, among other things, the Company (i) repaid $2.0 million of the aggregate principal amount of 2019 notes plus accrued and unpaid interest, (ii) issued an aggregate of 2,678,571 shares of the Company’s common stock to Deerfield in exchange for $3.0 million in aggregate principal amount of 2019 notes and (iii) canceled the 2019 notes.</w:t>
      </w:r>
    </w:p>
    <w:p>
      <w:pPr>
        <w:spacing w:after="0" w:line="151" w:lineRule="exact"/>
        <w:rPr>
          <w:sz w:val="20"/>
          <w:szCs w:val="20"/>
          <w:color w:val="auto"/>
        </w:rPr>
      </w:pPr>
    </w:p>
    <w:p>
      <w:pPr>
        <w:ind w:right="340" w:firstLine="485"/>
        <w:spacing w:after="0" w:line="277" w:lineRule="auto"/>
        <w:rPr>
          <w:sz w:val="20"/>
          <w:szCs w:val="20"/>
          <w:color w:val="auto"/>
        </w:rPr>
      </w:pPr>
      <w:r>
        <w:rPr>
          <w:rFonts w:ascii="Arial" w:cs="Arial" w:eastAsia="Arial" w:hAnsi="Arial"/>
          <w:sz w:val="18"/>
          <w:szCs w:val="18"/>
          <w:color w:val="auto"/>
        </w:rPr>
        <w:t>As of December 31, 2019, the Deerfield Credit Facility was paid in full. The unamortized debt issuance costs and debt discount were zero and $0.2 million as of December 31, 2019 and 2018, respectively.</w:t>
      </w:r>
    </w:p>
    <w:p>
      <w:pPr>
        <w:spacing w:after="0" w:line="170" w:lineRule="exact"/>
        <w:rPr>
          <w:sz w:val="20"/>
          <w:szCs w:val="20"/>
          <w:color w:val="auto"/>
        </w:rPr>
      </w:pPr>
    </w:p>
    <w:p>
      <w:pPr>
        <w:ind w:right="40" w:firstLine="485"/>
        <w:spacing w:after="0" w:line="272" w:lineRule="auto"/>
        <w:rPr>
          <w:sz w:val="20"/>
          <w:szCs w:val="20"/>
          <w:color w:val="auto"/>
        </w:rPr>
      </w:pPr>
      <w:r>
        <w:rPr>
          <w:rFonts w:ascii="Arial" w:cs="Arial" w:eastAsia="Arial" w:hAnsi="Arial"/>
          <w:sz w:val="17"/>
          <w:szCs w:val="17"/>
          <w:i w:val="1"/>
          <w:iCs w:val="1"/>
          <w:color w:val="auto"/>
        </w:rPr>
        <w:t xml:space="preserve">Milestone Rights — </w:t>
      </w:r>
      <w:r>
        <w:rPr>
          <w:rFonts w:ascii="Arial" w:cs="Arial" w:eastAsia="Arial" w:hAnsi="Arial"/>
          <w:sz w:val="17"/>
          <w:szCs w:val="17"/>
          <w:color w:val="auto"/>
        </w:rPr>
        <w:t>As of December 31, 2019 and 2018, the remaining Milestone Rights liability balance was $7.3 million and $8.9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which was based on initial fair value estimates calculated using the income approach and reduced by milestone achievement payments made. During the third quarter of 2019, the Company achieved the first Afrezza net sales milestone specified in the Milestone Agreement. As a result, the Company delivered a milestone event notice to the Milestone Purchasers and made a payment of $5.0 million in the fourth quarter of 2019. The carrying value of this Milestone Rights liability was $1.6 million, which represented the fair value related to this payment, determined in 2013 (the most recent measurement date). Accordingly, $1.6 million was recorded as a reduction to the current Milestone Rights liability and $3.4 million was recognized as interest expense. The remaining Milestone Right liability of $7.3 million remains non-current as of December 31, 2019.</w:t>
      </w:r>
    </w:p>
    <w:p>
      <w:pPr>
        <w:spacing w:after="0" w:line="178" w:lineRule="exact"/>
        <w:rPr>
          <w:sz w:val="20"/>
          <w:szCs w:val="20"/>
          <w:color w:val="auto"/>
        </w:rPr>
      </w:pPr>
    </w:p>
    <w:p>
      <w:pPr>
        <w:ind w:right="60" w:firstLine="485"/>
        <w:spacing w:after="0" w:line="312" w:lineRule="auto"/>
        <w:rPr>
          <w:sz w:val="20"/>
          <w:szCs w:val="20"/>
          <w:color w:val="auto"/>
        </w:rPr>
      </w:pPr>
      <w:r>
        <w:rPr>
          <w:rFonts w:ascii="Arial" w:cs="Arial" w:eastAsia="Arial" w:hAnsi="Arial"/>
          <w:sz w:val="16"/>
          <w:szCs w:val="16"/>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 The Company initially recorded the Milestone Rights at their estimated fair value.</w:t>
      </w:r>
    </w:p>
    <w:p>
      <w:pPr>
        <w:spacing w:after="0" w:line="147" w:lineRule="exact"/>
        <w:rPr>
          <w:sz w:val="20"/>
          <w:szCs w:val="20"/>
          <w:color w:val="auto"/>
        </w:rPr>
      </w:pPr>
    </w:p>
    <w:p>
      <w:pPr>
        <w:ind w:right="140" w:firstLine="485"/>
        <w:spacing w:after="0" w:line="271" w:lineRule="auto"/>
        <w:rPr>
          <w:sz w:val="20"/>
          <w:szCs w:val="20"/>
          <w:color w:val="auto"/>
        </w:rPr>
      </w:pPr>
      <w:r>
        <w:rPr>
          <w:rFonts w:ascii="Arial" w:cs="Arial" w:eastAsia="Arial" w:hAnsi="Arial"/>
          <w:sz w:val="17"/>
          <w:szCs w:val="17"/>
          <w:i w:val="1"/>
          <w:iCs w:val="1"/>
          <w:color w:val="auto"/>
        </w:rPr>
        <w:t xml:space="preserve">MidCap Credit Facility </w:t>
      </w:r>
      <w:r>
        <w:rPr>
          <w:rFonts w:ascii="Arial" w:cs="Arial" w:eastAsia="Arial" w:hAnsi="Arial"/>
          <w:sz w:val="17"/>
          <w:szCs w:val="17"/>
          <w:color w:val="auto"/>
        </w:rPr>
        <w:t>— In August 2019, the Company closed the MidCap Credit Facility, which provides a secured term loan facility in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amount of up to $75.0 million. The Company borrowed the first advance of $40.0 million (“Tranche 1”) on August 6, 2019. Under the terms of the MidCap Credit Facility, the second advance of $10.0 million (“Tranche 2”) will be available to the Company until April 15, 2020, subject to the satisfaction of certain conditions, including achieving Afrezza net revenue of at least $30.0 million on a trailing twelve month basis. Under the terms of the MidCap Credit Facility, the third advance of $25.0 million (“Tranche 3”) will be available to the Company until June 30, 2021, subject to the satisfaction of certain milestone conditions associated with Afrezza net revenue and certain milestone conditions related to the Company’s collaboration with United Therapeutics (see Note 8 – Collaborations and Licensing Arrangements). In addition, unamortized debt issuance costs were $0.8 million and unamortized debt discount was $0.3 million as of December 31, 2019.</w:t>
      </w:r>
    </w:p>
    <w:p>
      <w:pPr>
        <w:spacing w:after="0" w:line="179" w:lineRule="exact"/>
        <w:rPr>
          <w:sz w:val="20"/>
          <w:szCs w:val="20"/>
          <w:color w:val="auto"/>
        </w:rPr>
      </w:pPr>
    </w:p>
    <w:p>
      <w:pPr>
        <w:ind w:right="260" w:firstLine="485"/>
        <w:spacing w:after="0" w:line="302" w:lineRule="auto"/>
        <w:rPr>
          <w:sz w:val="20"/>
          <w:szCs w:val="20"/>
          <w:color w:val="auto"/>
        </w:rPr>
      </w:pPr>
      <w:r>
        <w:rPr>
          <w:rFonts w:ascii="Arial" w:cs="Arial" w:eastAsia="Arial" w:hAnsi="Arial"/>
          <w:sz w:val="16"/>
          <w:szCs w:val="16"/>
          <w:color w:val="auto"/>
        </w:rPr>
        <w:t>In December 2019, the Company entered into an Amendment No. 1 to the MidCap Credit Facility, pursuant to which the parties agreed to (i) amend the financial covenant relating to trailing twelve month minimum Afrezza Net Revenue (as defined in the MidCap Credit Facility) requirements, (ii) add a condition to the third advance of $25.0 million that requires the Company achieve certain amounts of Afrezza Net Revenue, and (iii) increase the exit fee from 6.00% to 7.00% of the principal amount of all term loans advanced to the Company under the MidCap Credit Facility.</w:t>
      </w:r>
    </w:p>
    <w:p>
      <w:pPr>
        <w:spacing w:after="0" w:line="154" w:lineRule="exact"/>
        <w:rPr>
          <w:sz w:val="20"/>
          <w:szCs w:val="20"/>
          <w:color w:val="auto"/>
        </w:rPr>
      </w:pPr>
    </w:p>
    <w:p>
      <w:pPr>
        <w:ind w:firstLine="485"/>
        <w:spacing w:after="0" w:line="270" w:lineRule="auto"/>
        <w:rPr>
          <w:sz w:val="20"/>
          <w:szCs w:val="20"/>
          <w:color w:val="auto"/>
        </w:rPr>
      </w:pPr>
      <w:r>
        <w:rPr>
          <w:rFonts w:ascii="Arial" w:cs="Arial" w:eastAsia="Arial" w:hAnsi="Arial"/>
          <w:sz w:val="17"/>
          <w:szCs w:val="17"/>
          <w:color w:val="auto"/>
        </w:rPr>
        <w:t>Tranche 1 and, if borrowed, Tranche 2 and Tranche 3, each accrue interest at an annual rate equal to one-month LIBOR plus 6.75%, subject to a one-month LIBOR floor of 2.00%. Interest on each term loan advance is due and payable monthly in arrears. Principal on each term loan advance under Tranche 1 and Tranche 2 is payable in 36 equal monthly installments beginning September 1, 2021, until paid in full on August 1, 2024, and principal on each term loan advance under Tranche 3 is payable beginning on the later of (i) September 1, 2021, and (ii) the first day of the first full calendar month immediately following such term loan advance, in an amount equal to the outstanding term loan advance in respect of Tranche 3 divided by the number of full calendar months remaining before August 1, 2024. The Company has the option to prepay the term loans, in whole or in part, subject to early termination fees in an amount equal to 3.00% of principal prepaid if prepayment occurs on or prior to the first anniversary of the closing date, 2.00% of principal prepaid if prepayment occurs after the first anniversary of the closing date but on or prior to the second anniversary of the closing date, and 1.00% of principal prepaid if prepayment occurs after the second anniversary of the closing date and prior to or on the third anniversary of the closing date. In connection with execution of the MidCap Credit Facility, the Company paid MidCap a $0.4 million origination fee.</w:t>
      </w:r>
    </w:p>
    <w:p>
      <w:pPr>
        <w:spacing w:after="0" w:line="178" w:lineRule="exact"/>
        <w:rPr>
          <w:sz w:val="20"/>
          <w:szCs w:val="20"/>
          <w:color w:val="auto"/>
        </w:rPr>
      </w:pPr>
    </w:p>
    <w:p>
      <w:pPr>
        <w:ind w:right="200" w:firstLine="485"/>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40" w:firstLine="485"/>
        <w:spacing w:after="0" w:line="273" w:lineRule="auto"/>
        <w:rPr>
          <w:sz w:val="20"/>
          <w:szCs w:val="20"/>
          <w:color w:val="auto"/>
        </w:rPr>
      </w:pPr>
      <w:r>
        <w:rPr>
          <w:rFonts w:ascii="Arial" w:cs="Arial" w:eastAsia="Arial" w:hAnsi="Arial"/>
          <w:sz w:val="17"/>
          <w:szCs w:val="17"/>
          <w:color w:val="auto"/>
        </w:rPr>
        <w:t>The MidCap Credit Facility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and a minimum cash covenant of $15.0 million at all times prior to the funding of Tranche 2, and $20.0 million at all times following the funding of Tranche 2 and Tranche 3. As of December 31, 2019, the Company was in compliance with the financial and minimum cash covenants.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ind w:right="180" w:firstLine="485"/>
        <w:spacing w:after="0" w:line="276"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3" w:lineRule="exact"/>
        <w:rPr>
          <w:sz w:val="20"/>
          <w:szCs w:val="20"/>
          <w:color w:val="auto"/>
        </w:rPr>
      </w:pPr>
    </w:p>
    <w:p>
      <w:pPr>
        <w:ind w:firstLine="485"/>
        <w:spacing w:after="0" w:line="290" w:lineRule="auto"/>
        <w:rPr>
          <w:sz w:val="20"/>
          <w:szCs w:val="20"/>
          <w:color w:val="auto"/>
        </w:rPr>
      </w:pPr>
      <w:r>
        <w:rPr>
          <w:rFonts w:ascii="Arial" w:cs="Arial" w:eastAsia="Arial" w:hAnsi="Arial"/>
          <w:sz w:val="16"/>
          <w:szCs w:val="16"/>
          <w:color w:val="auto"/>
        </w:rPr>
        <w:t>The Company also agreed to issue warrants to purchase shares of the Company’s common stock (the “MidCap warrants”) upon the drawdown of each term loan advance under the MidCap Credit Facility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 The Company determined that these warrants met the criteria for equity classification and accounted for such warrants in additional paid-in capital.</w:t>
      </w:r>
    </w:p>
    <w:p>
      <w:pPr>
        <w:spacing w:after="0" w:line="166" w:lineRule="exact"/>
        <w:rPr>
          <w:sz w:val="20"/>
          <w:szCs w:val="20"/>
          <w:color w:val="auto"/>
        </w:rPr>
      </w:pPr>
    </w:p>
    <w:p>
      <w:pPr>
        <w:ind w:right="500" w:firstLine="485"/>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As of December 31, 2019 and 2018, there was $10.2 million and $18.7 million, respectively, of principal amount of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w:t>
      </w:r>
    </w:p>
    <w:p>
      <w:pPr>
        <w:spacing w:after="0" w:line="197" w:lineRule="exact"/>
        <w:rPr>
          <w:sz w:val="20"/>
          <w:szCs w:val="20"/>
          <w:color w:val="auto"/>
        </w:rPr>
      </w:pPr>
    </w:p>
    <w:p>
      <w:pPr>
        <w:ind w:right="40" w:firstLine="485"/>
        <w:spacing w:after="0" w:line="297" w:lineRule="auto"/>
        <w:rPr>
          <w:sz w:val="20"/>
          <w:szCs w:val="20"/>
          <w:color w:val="auto"/>
        </w:rPr>
      </w:pPr>
      <w:r>
        <w:rPr>
          <w:rFonts w:ascii="Arial" w:cs="Arial" w:eastAsia="Arial" w:hAnsi="Arial"/>
          <w:sz w:val="16"/>
          <w:szCs w:val="16"/>
          <w:color w:val="auto"/>
        </w:rPr>
        <w:t>In August 2019, the Company entered into a privately-negotiated exchange agreement with the 2021 notes, pursuant to which, among other things, the Company (i) repaid $1.5 million in cash to such holder, (ii) issued 4,017,857 shares of the Company’s common stock to such holder (at a conversion price of $1.12 per share), (iii) issued the 2024 convertible notes to such holder in the principal amount of $5.0 million and (iv) issued the 2020 notes in the aggregate principal amount of $5.2 million, all in exchange for the cancellation of the $18.7 million in principal amount of the 2021 notes. The 2020 notes may be prepaid at any time on or prior to their respective maturity dates of June 30, 2020 and December 31, 2020 at the option of the Company. In addition, the Company may elect to pay the 2020 notes at any time on or prior to their respective maturity dates, if certain conditions are met, in shares of the Company’s common stock at a price per share equal to the last reported sale price on the trading day immediately prior to the payment date.</w:t>
      </w:r>
    </w:p>
    <w:p>
      <w:pPr>
        <w:spacing w:after="0" w:line="162" w:lineRule="exact"/>
        <w:rPr>
          <w:sz w:val="20"/>
          <w:szCs w:val="20"/>
          <w:color w:val="auto"/>
        </w:rPr>
      </w:pPr>
    </w:p>
    <w:p>
      <w:pPr>
        <w:ind w:right="40" w:firstLine="485"/>
        <w:spacing w:after="0" w:line="270" w:lineRule="auto"/>
        <w:rPr>
          <w:sz w:val="20"/>
          <w:szCs w:val="20"/>
          <w:color w:val="auto"/>
        </w:rPr>
      </w:pPr>
      <w:r>
        <w:rPr>
          <w:rFonts w:ascii="Arial" w:cs="Arial" w:eastAsia="Arial" w:hAnsi="Arial"/>
          <w:sz w:val="17"/>
          <w:szCs w:val="17"/>
          <w:color w:val="auto"/>
        </w:rPr>
        <w:t>The 2024 convertible notes were issued pursuant to an indenture, dated as of August 6, 2019, between the Company and U.S. Bank National Association, as trustee (the “Indenture”). The 2024 convertible notes are the Company’s general, unsecured obligations, and are subordinated in right of payment to the indebtedness incurred pursuant to the MidCap Credit Facility. The 2024 convertible notes rank equally in right of payment with the Company’s other unsecured senior debt. The 2024 convertible Notes accrue interest at the rate of 5.75% per year on the principal amount, payable semiannually in arrears on February 15 and August 15 of each year, beginning February 15, 2020, with interest accruing from August 6, 2019. Interest on the 2024 convertible notes will be payable in cash or, at the option of the Company if certain conditions are met, in shares of the Company’s common stock at a price per share equal to the last reported sale price on the trading day immediately prior to the interest payment date. The 2024 convertible notes will mature on the earlier of (i) November 4, 2024 or (ii) the 91</w:t>
      </w:r>
      <w:r>
        <w:rPr>
          <w:rFonts w:ascii="Arial" w:cs="Arial" w:eastAsia="Arial" w:hAnsi="Arial"/>
          <w:sz w:val="14"/>
          <w:szCs w:val="14"/>
          <w:color w:val="auto"/>
        </w:rPr>
        <w:t>st</w:t>
      </w:r>
      <w:r>
        <w:rPr>
          <w:rFonts w:ascii="Arial" w:cs="Arial" w:eastAsia="Arial" w:hAnsi="Arial"/>
          <w:sz w:val="17"/>
          <w:szCs w:val="17"/>
          <w:color w:val="auto"/>
        </w:rPr>
        <w:t xml:space="preserve"> day after the payment in full of, and termination and discharge of all obligations (other than contingent indemnity obligations) under the MidCap Credit Facility.</w:t>
      </w:r>
    </w:p>
    <w:p>
      <w:pPr>
        <w:spacing w:after="0" w:line="182" w:lineRule="exact"/>
        <w:rPr>
          <w:sz w:val="20"/>
          <w:szCs w:val="20"/>
          <w:color w:val="auto"/>
        </w:rPr>
      </w:pPr>
    </w:p>
    <w:p>
      <w:pPr>
        <w:ind w:right="380" w:firstLine="485"/>
        <w:spacing w:after="0" w:line="286" w:lineRule="auto"/>
        <w:rPr>
          <w:sz w:val="20"/>
          <w:szCs w:val="20"/>
          <w:color w:val="auto"/>
        </w:rPr>
      </w:pPr>
      <w:r>
        <w:rPr>
          <w:rFonts w:ascii="Arial" w:cs="Arial" w:eastAsia="Arial" w:hAnsi="Arial"/>
          <w:sz w:val="17"/>
          <w:szCs w:val="17"/>
          <w:color w:val="auto"/>
        </w:rPr>
        <w:t>The 2024 convertible notes will be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66" w:lineRule="exact"/>
        <w:rPr>
          <w:sz w:val="20"/>
          <w:szCs w:val="20"/>
          <w:color w:val="auto"/>
        </w:rPr>
      </w:pPr>
    </w:p>
    <w:p>
      <w:pPr>
        <w:ind w:right="60" w:firstLine="485"/>
        <w:spacing w:after="0" w:line="271" w:lineRule="auto"/>
        <w:rPr>
          <w:sz w:val="20"/>
          <w:szCs w:val="20"/>
          <w:color w:val="auto"/>
        </w:rPr>
      </w:pPr>
      <w:r>
        <w:rPr>
          <w:rFonts w:ascii="Arial" w:cs="Arial" w:eastAsia="Arial" w:hAnsi="Arial"/>
          <w:sz w:val="17"/>
          <w:szCs w:val="17"/>
          <w:color w:val="auto"/>
        </w:rPr>
        <w:t>If certain bankruptcy and insolvency-related events of default occur, the principal of, and accrued and unpaid interest on, all of the then outstanding 2024 convertible notes shall automatically become due and payable. If an event of default other than certain bankruptcy and insolvency-related events of defaults occurs and is continuing, the Trustee or the holders of at least 25% in aggregate principal amount of the then-outstanding 2024 convertible notes, by written notice to the Trustee, may declare the 2024 convertible notes due and payable at their principal amount plus any accrued and unpaid interest, and thereupon the Trustee may, at its discretion, proceed to protect and enforce the rights of the holders by the appropriate judicial proceedings. Notwithstanding the foregoing, the Indenture provides that, to the extent the Company elects, the sole remedy for an event of default relating to certain failures by the Company to comply with certain reporting covenants in the Indenture will, for the first 180 days after such event of default, consist exclusively of the right to receive additional interest on the 2024 convertible notes.</w:t>
      </w:r>
    </w:p>
    <w:p>
      <w:pPr>
        <w:spacing w:after="0" w:line="179" w:lineRule="exact"/>
        <w:rPr>
          <w:sz w:val="20"/>
          <w:szCs w:val="20"/>
          <w:color w:val="auto"/>
        </w:rPr>
      </w:pPr>
    </w:p>
    <w:p>
      <w:pPr>
        <w:ind w:right="100" w:firstLine="485"/>
        <w:spacing w:after="0" w:line="286" w:lineRule="auto"/>
        <w:rPr>
          <w:sz w:val="20"/>
          <w:szCs w:val="20"/>
          <w:color w:val="auto"/>
        </w:rPr>
      </w:pPr>
      <w:r>
        <w:rPr>
          <w:rFonts w:ascii="Arial" w:cs="Arial" w:eastAsia="Arial" w:hAnsi="Arial"/>
          <w:sz w:val="17"/>
          <w:szCs w:val="17"/>
          <w:color w:val="auto"/>
        </w:rPr>
        <w:t>If the Company undergoes certain fundamental changes, except in certain circumstances, each holder of 2024 convertible notes will have the option to require the Company to repurchase all or any portion of that holder’s 2024 convertible notes. The fundamental change repurchase price will be 100% of the principal amount of the 2024 convertible notes to be repurchased plus accrued and unpaid interest, if any.</w:t>
      </w:r>
    </w:p>
    <w:p>
      <w:pPr>
        <w:spacing w:after="0" w:line="166" w:lineRule="exact"/>
        <w:rPr>
          <w:sz w:val="20"/>
          <w:szCs w:val="20"/>
          <w:color w:val="auto"/>
        </w:rPr>
      </w:pPr>
    </w:p>
    <w:p>
      <w:pPr>
        <w:ind w:right="20" w:firstLine="485"/>
        <w:spacing w:after="0" w:line="259" w:lineRule="auto"/>
        <w:rPr>
          <w:sz w:val="20"/>
          <w:szCs w:val="20"/>
          <w:color w:val="auto"/>
        </w:rPr>
      </w:pPr>
      <w:r>
        <w:rPr>
          <w:rFonts w:ascii="Arial" w:cs="Arial" w:eastAsia="Arial" w:hAnsi="Arial"/>
          <w:sz w:val="18"/>
          <w:szCs w:val="18"/>
          <w:color w:val="auto"/>
        </w:rPr>
        <w:t>The Company may elect at its option to cause all or any portion of the 2024 convertible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ind w:right="160" w:firstLine="485"/>
        <w:spacing w:after="0" w:line="277" w:lineRule="auto"/>
        <w:rPr>
          <w:sz w:val="20"/>
          <w:szCs w:val="20"/>
          <w:color w:val="auto"/>
        </w:rPr>
      </w:pPr>
      <w:r>
        <w:rPr>
          <w:rFonts w:ascii="Arial" w:cs="Arial" w:eastAsia="Arial" w:hAnsi="Arial"/>
          <w:sz w:val="18"/>
          <w:szCs w:val="18"/>
          <w:color w:val="auto"/>
        </w:rPr>
        <w:t>As a result of the exchange of the senior convertible notes, the Company recorded $3.1 million as an extinguishment gain. The unamortized premium was zero and $0.4 million as of December 31, 2019 and 2018, respectively.</w:t>
      </w:r>
    </w:p>
    <w:p>
      <w:pPr>
        <w:spacing w:after="0" w:line="170"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entered into a privately-negotiated exchange agreement with The Mann Group,</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among other things, the Company (i) repaid $3.0 million in cash to The Mann Group, (ii) issued 7,142,857 shares of the Company’s common stock to The Mann Group (at a conversion price of $1.12 per share), (iii) issued the Mann Group convertible note to the Mann Group in an aggregate principal amount of $35.0 million and (iv) issued a new non-convertible promissory note the Mann Group non-convertible note to the Mann Group in an aggregate principal amount of $35.1 million, all in exchange for the cancellation of the $71.5 million in principal and approximately $9.5 million in accrued interest paid-in-kind under the Mann Group loan arrangement.</w:t>
      </w:r>
    </w:p>
    <w:p>
      <w:pPr>
        <w:spacing w:after="0" w:line="193" w:lineRule="exact"/>
        <w:rPr>
          <w:sz w:val="20"/>
          <w:szCs w:val="20"/>
          <w:color w:val="auto"/>
        </w:rPr>
      </w:pPr>
    </w:p>
    <w:p>
      <w:pPr>
        <w:ind w:right="300" w:firstLine="485"/>
        <w:spacing w:after="0" w:line="277" w:lineRule="auto"/>
        <w:rPr>
          <w:sz w:val="20"/>
          <w:szCs w:val="20"/>
          <w:color w:val="auto"/>
        </w:rPr>
      </w:pPr>
      <w:r>
        <w:rPr>
          <w:rFonts w:ascii="Arial" w:cs="Arial" w:eastAsia="Arial" w:hAnsi="Arial"/>
          <w:sz w:val="18"/>
          <w:szCs w:val="18"/>
          <w:color w:val="auto"/>
        </w:rPr>
        <w:t>The Mann Group convertible note and Mann Group non-convertible note each accrue interest at the rate of 7.00% per year on the principal amount, payable quarterly in arrears on the first day of each calendar quarter beginning October 1, 2019.</w:t>
      </w:r>
    </w:p>
    <w:p>
      <w:pPr>
        <w:spacing w:after="0" w:line="170" w:lineRule="exact"/>
        <w:rPr>
          <w:sz w:val="20"/>
          <w:szCs w:val="20"/>
          <w:color w:val="auto"/>
        </w:rPr>
      </w:pPr>
    </w:p>
    <w:p>
      <w:pPr>
        <w:ind w:right="20" w:firstLine="485"/>
        <w:spacing w:after="0" w:line="254" w:lineRule="auto"/>
        <w:rPr>
          <w:sz w:val="20"/>
          <w:szCs w:val="20"/>
          <w:color w:val="auto"/>
        </w:rPr>
      </w:pPr>
      <w:r>
        <w:rPr>
          <w:rFonts w:ascii="Arial" w:cs="Arial" w:eastAsia="Arial" w:hAnsi="Arial"/>
          <w:sz w:val="18"/>
          <w:szCs w:val="18"/>
          <w:color w:val="auto"/>
        </w:rPr>
        <w:t>The Mann Group convertible note will mature on November 3, 2024. The principal and any accrued and unpaid interest under the Mann Group convertible note may be converted, at the option of the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Mann Group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92"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color w:val="auto"/>
        </w:rPr>
        <w:t>The Mann Group non-convertible note will mature on the earlier of (i) November 3, 2024 or (ii) the 90th day after the repayment in full, and termination and discharge of all obligations (other than contingent indemnity obligations) under the MidCap Credit Facility. Interest on the Mann Group non-convertible note will be payable in kind by adding the amount thereof to the principal amount; provided that the Company may, at its option, elect to pay any such interest on any interest payment date, if certain conditions are met, in shares of the Company’s common stock at a price per shall equal to the last reported sale price on the trading day immediately prior to the interest payment date.</w:t>
      </w:r>
    </w:p>
    <w:p>
      <w:pPr>
        <w:spacing w:after="0" w:line="188" w:lineRule="exact"/>
        <w:rPr>
          <w:sz w:val="20"/>
          <w:szCs w:val="20"/>
          <w:color w:val="auto"/>
        </w:rPr>
      </w:pPr>
    </w:p>
    <w:p>
      <w:pPr>
        <w:ind w:right="480" w:firstLine="485"/>
        <w:spacing w:after="0" w:line="277" w:lineRule="auto"/>
        <w:rPr>
          <w:sz w:val="20"/>
          <w:szCs w:val="20"/>
          <w:color w:val="auto"/>
        </w:rPr>
      </w:pPr>
      <w:r>
        <w:rPr>
          <w:rFonts w:ascii="Arial" w:cs="Arial" w:eastAsia="Arial" w:hAnsi="Arial"/>
          <w:sz w:val="18"/>
          <w:szCs w:val="18"/>
          <w:color w:val="auto"/>
        </w:rPr>
        <w:t>The Company recorded $0.4 million as an extinguishment gain. The unamortized premium and unaccreted debt issuance costs was zero and $0.6 million as of December 31, 2019 and 2018, respectively.</w:t>
      </w:r>
    </w:p>
    <w:p>
      <w:pPr>
        <w:spacing w:after="0" w:line="170" w:lineRule="exact"/>
        <w:rPr>
          <w:sz w:val="20"/>
          <w:szCs w:val="20"/>
          <w:color w:val="auto"/>
        </w:rPr>
      </w:pPr>
    </w:p>
    <w:p>
      <w:pPr>
        <w:ind w:right="340" w:firstLine="485"/>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all borrowings for the years ended December 31, 2019 and 2018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325"/>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60" w:type="dxa"/>
            <w:vAlign w:val="bottom"/>
          </w:tcPr>
          <w:p>
            <w:pPr>
              <w:spacing w:after="0"/>
              <w:rPr>
                <w:sz w:val="13"/>
                <w:szCs w:val="13"/>
                <w:color w:val="auto"/>
              </w:rPr>
            </w:pPr>
          </w:p>
        </w:tc>
        <w:tc>
          <w:tcPr>
            <w:tcW w:w="100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(1,049)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Accretion expense — debt issuance cost</w:t>
            </w: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6 — Loan Arrangement with Former Related Party for additional information on the Company’s loan arrangements with the Mann Group.</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and Licensing Arrangements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from collaborations and services for the years ended December 31, 2019 and 2018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60" w:type="dxa"/>
            <w:vAlign w:val="bottom"/>
          </w:tcPr>
          <w:p>
            <w:pPr>
              <w:spacing w:after="0"/>
              <w:rPr>
                <w:sz w:val="13"/>
                <w:szCs w:val="13"/>
                <w:color w:val="auto"/>
              </w:rPr>
            </w:pPr>
          </w:p>
        </w:tc>
        <w:tc>
          <w:tcPr>
            <w:tcW w:w="100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31,229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UT Research Agreement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Receptor CLA</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Cipla distribution agreement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Biomm distribution agreement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37,734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10,583</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85"/>
        <w:spacing w:after="0" w:line="302" w:lineRule="auto"/>
        <w:rPr>
          <w:sz w:val="20"/>
          <w:szCs w:val="20"/>
          <w:color w:val="auto"/>
        </w:rPr>
      </w:pPr>
      <w:r>
        <w:rPr>
          <w:rFonts w:ascii="Arial" w:cs="Arial" w:eastAsia="Arial" w:hAnsi="Arial"/>
          <w:sz w:val="16"/>
          <w:szCs w:val="16"/>
          <w:i w:val="1"/>
          <w:iCs w:val="1"/>
          <w:color w:val="auto"/>
        </w:rPr>
        <w:t xml:space="preserve">United Therapeutics License Agreement </w:t>
      </w:r>
      <w:r>
        <w:rPr>
          <w:rFonts w:ascii="Arial" w:cs="Arial" w:eastAsia="Arial" w:hAnsi="Arial"/>
          <w:sz w:val="16"/>
          <w:szCs w:val="16"/>
          <w:color w:val="auto"/>
        </w:rPr>
        <w:t>– In September 2018, the Company and United Therapeutics Corporation (“United Therapeutics” or “UT”)</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an exclusive global license and collaboration agreement (the “UT License Agreement”) for the rights to the Company’s dry powder formulation of treprostinil (“TreT”) and associated inhalation delivery devices. Under the UT License Agreement, UT is responsible for global development, regulatory and commercial activities with respect to TreT. The Company is responsible for manufacturing clinical supplies and commercial supplies of TreT.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right="80" w:firstLine="485"/>
        <w:spacing w:after="0" w:line="258" w:lineRule="auto"/>
        <w:rPr>
          <w:sz w:val="20"/>
          <w:szCs w:val="20"/>
          <w:color w:val="auto"/>
        </w:rPr>
      </w:pPr>
      <w:r>
        <w:rPr>
          <w:rFonts w:ascii="Arial" w:cs="Arial" w:eastAsia="Arial" w:hAnsi="Arial"/>
          <w:sz w:val="18"/>
          <w:szCs w:val="18"/>
          <w:color w:val="auto"/>
        </w:rPr>
        <w:t>Under the terms of the UT License Agreement, the Company received an upfront payment of $45.0 million in October 2018 and two $12.5 million milestone payments in 2019. The Company may receive additional milestone payments of up to $25.0 million upon the achievement of specified development targets. The Company will also be entitled to receive low double-digit royalties on net sales of TreT.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The Company recognizes revenue on a ratable basis from October 2018 through December 2021 — the estimated date when its performance obligations for development activities under the UT License Agreement will be substantially completed.</w:t>
      </w:r>
    </w:p>
    <w:p>
      <w:pPr>
        <w:spacing w:after="0" w:line="192" w:lineRule="exact"/>
        <w:rPr>
          <w:sz w:val="20"/>
          <w:szCs w:val="20"/>
          <w:color w:val="auto"/>
        </w:rPr>
      </w:pPr>
    </w:p>
    <w:p>
      <w:pPr>
        <w:ind w:right="140" w:firstLine="485"/>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205" w:lineRule="exact"/>
        <w:rPr>
          <w:sz w:val="20"/>
          <w:szCs w:val="20"/>
          <w:color w:val="auto"/>
        </w:rPr>
      </w:pPr>
    </w:p>
    <w:p>
      <w:pPr>
        <w:ind w:right="80" w:firstLine="485"/>
        <w:spacing w:after="0" w:line="302" w:lineRule="auto"/>
        <w:rPr>
          <w:sz w:val="20"/>
          <w:szCs w:val="20"/>
          <w:color w:val="auto"/>
        </w:rPr>
      </w:pPr>
      <w:r>
        <w:rPr>
          <w:rFonts w:ascii="Arial" w:cs="Arial" w:eastAsia="Arial" w:hAnsi="Arial"/>
          <w:sz w:val="16"/>
          <w:szCs w:val="16"/>
          <w:color w:val="auto"/>
        </w:rPr>
        <w:t>The Company expects to complete the activities specified in the development plan and to achieve the remaining milestone events for total consideration of approximately $101.4 million, which includes an upfront payment, four milestone payments and various pass-through costs. Future commercial supply remains at UT’s option and is valued at a stand-alone selling price and, therefore, is not accounted for under the current arrangement. The Company believes that this method best reflects the measure of progress toward complete satisfaction of the performance obligation.</w:t>
      </w:r>
    </w:p>
    <w:p>
      <w:pPr>
        <w:spacing w:after="0" w:line="195" w:lineRule="exact"/>
        <w:rPr>
          <w:sz w:val="20"/>
          <w:szCs w:val="20"/>
          <w:color w:val="auto"/>
        </w:rPr>
      </w:pPr>
    </w:p>
    <w:p>
      <w:pPr>
        <w:ind w:right="80" w:firstLine="485"/>
        <w:spacing w:after="0" w:line="276" w:lineRule="auto"/>
        <w:rPr>
          <w:sz w:val="20"/>
          <w:szCs w:val="20"/>
          <w:color w:val="auto"/>
        </w:rPr>
      </w:pPr>
      <w:r>
        <w:rPr>
          <w:rFonts w:ascii="Arial" w:cs="Arial" w:eastAsia="Arial" w:hAnsi="Arial"/>
          <w:sz w:val="17"/>
          <w:szCs w:val="17"/>
          <w:color w:val="auto"/>
        </w:rPr>
        <w:t>Deferred revenue related to the UT License Agreement is being recognized in net revenue – collaborations over a 13-quarter period ending December 31, 2021, which represents the estimated period to satisfy the performance obligation. As of December 31, 2019, the total deferred revenue for the UT License Agreement consisted of $38.4 million, of which $31.9 million is current and $6.5 million is long term. Deferred revenue is classified as part of current or long-term liability in the accompanying consolidated balance sheets based on the Company’s estimate of the portion of the performance obligation that will be completed within the next 12 months, and includes payments received as well as payments receivable.</w:t>
      </w:r>
    </w:p>
    <w:p>
      <w:pPr>
        <w:spacing w:after="0" w:line="173" w:lineRule="exact"/>
        <w:rPr>
          <w:sz w:val="20"/>
          <w:szCs w:val="20"/>
          <w:color w:val="auto"/>
        </w:rPr>
      </w:pPr>
    </w:p>
    <w:p>
      <w:pPr>
        <w:ind w:right="20" w:firstLine="485"/>
        <w:spacing w:after="0" w:line="272" w:lineRule="auto"/>
        <w:rPr>
          <w:sz w:val="20"/>
          <w:szCs w:val="20"/>
          <w:color w:val="auto"/>
        </w:rPr>
      </w:pPr>
      <w:r>
        <w:rPr>
          <w:rFonts w:ascii="Arial" w:cs="Arial" w:eastAsia="Arial" w:hAnsi="Arial"/>
          <w:sz w:val="17"/>
          <w:szCs w:val="17"/>
          <w:i w:val="1"/>
          <w:iCs w:val="1"/>
          <w:color w:val="auto"/>
        </w:rPr>
        <w:t xml:space="preserve">United Therapeutics Research Agreement </w:t>
      </w:r>
      <w:r>
        <w:rPr>
          <w:rFonts w:ascii="Arial" w:cs="Arial" w:eastAsia="Arial" w:hAnsi="Arial"/>
          <w:sz w:val="17"/>
          <w:szCs w:val="17"/>
          <w:color w:val="auto"/>
        </w:rPr>
        <w:t>– In September 2018, the Company and UT also entered into a research agreement (“UT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for the conduct of research and consulting services in connection with multiple potential products, including evaluating the feasibility of preparing a dry powder formulation of a compound for the treatment of pulmonary hypertension outside the scope of the UT License Agreement. In addition, UT, at its option, may obtain a license to develop, manufacture and commercialize products based on specified compounds within the drug classes covered by the UT Research Agreement. Each specified compound advanced into development and commercialization under such a license would be subject to the payment to the Company of additional milestone payments of up to $30.0 million and a low double-digit royalty on net sales of such products. The Company received an upfront payment of $10.0 million in September 2018.</w:t>
      </w:r>
    </w:p>
    <w:p>
      <w:pPr>
        <w:spacing w:after="0" w:line="178" w:lineRule="exact"/>
        <w:rPr>
          <w:sz w:val="20"/>
          <w:szCs w:val="20"/>
          <w:color w:val="auto"/>
        </w:rPr>
      </w:pPr>
    </w:p>
    <w:p>
      <w:pPr>
        <w:ind w:right="20" w:firstLine="485"/>
        <w:spacing w:after="0" w:line="255" w:lineRule="auto"/>
        <w:rPr>
          <w:sz w:val="20"/>
          <w:szCs w:val="20"/>
          <w:color w:val="auto"/>
        </w:rPr>
      </w:pPr>
      <w:r>
        <w:rPr>
          <w:rFonts w:ascii="Arial" w:cs="Arial" w:eastAsia="Arial" w:hAnsi="Arial"/>
          <w:sz w:val="18"/>
          <w:szCs w:val="18"/>
          <w:color w:val="auto"/>
        </w:rPr>
        <w:t>At the inception of the UT Research Agreement, the Company identified two distinct performance obligations. The Company determined that the key deliverables of each performance obligation include (i) the development of a product prototype (including a technical feasibility report) and (ii) engineering consulting services. Due to the separately identifiable nature of these obligations, the Company has determined that these deliverables represent two distinct performance obligations. The Company also determined that UT’s option to expand the scope to include specific drug classes covered by the agreement is not a material right, and thus, not a performance obligation at the onset of the agreement. The consideration for the option will be accounted for upon exercise of the option.</w:t>
      </w:r>
    </w:p>
    <w:p>
      <w:pPr>
        <w:spacing w:after="0" w:line="193" w:lineRule="exact"/>
        <w:rPr>
          <w:sz w:val="20"/>
          <w:szCs w:val="20"/>
          <w:color w:val="auto"/>
        </w:rPr>
      </w:pPr>
    </w:p>
    <w:p>
      <w:pPr>
        <w:ind w:right="300" w:firstLine="485"/>
        <w:spacing w:after="0" w:line="293" w:lineRule="auto"/>
        <w:rPr>
          <w:sz w:val="20"/>
          <w:szCs w:val="20"/>
          <w:color w:val="auto"/>
        </w:rPr>
      </w:pPr>
      <w:r>
        <w:rPr>
          <w:rFonts w:ascii="Arial" w:cs="Arial" w:eastAsia="Arial" w:hAnsi="Arial"/>
          <w:sz w:val="16"/>
          <w:szCs w:val="16"/>
          <w:color w:val="auto"/>
        </w:rPr>
        <w:t>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is recognized using an output method (based on project milestones achieved and surveys of performance completed to date). The Company believes that this method best reflects the measure of progress toward complete satisfaction of the performance obligation. The revenue for the engineering consulting services was recognized using a ratable method until the obligation was satisfied. The Company believes that this method best reflects the measure of progress toward complete satisfaction of the performance obligation.</w:t>
      </w:r>
    </w:p>
    <w:p>
      <w:pPr>
        <w:spacing w:after="0" w:line="178" w:lineRule="exact"/>
        <w:rPr>
          <w:sz w:val="20"/>
          <w:szCs w:val="20"/>
          <w:color w:val="auto"/>
        </w:rPr>
      </w:pPr>
    </w:p>
    <w:p>
      <w:pPr>
        <w:ind w:right="80" w:firstLine="485"/>
        <w:spacing w:after="0" w:line="277" w:lineRule="auto"/>
        <w:rPr>
          <w:sz w:val="20"/>
          <w:szCs w:val="20"/>
          <w:color w:val="auto"/>
        </w:rPr>
      </w:pPr>
      <w:r>
        <w:rPr>
          <w:rFonts w:ascii="Arial" w:cs="Arial" w:eastAsia="Arial" w:hAnsi="Arial"/>
          <w:sz w:val="18"/>
          <w:szCs w:val="18"/>
          <w:color w:val="auto"/>
        </w:rPr>
        <w:t>As of December 31, 2019, the deferred revenue balance was $0.2 million, which was classified as a current liability in the accompanying consolidated balance sheets.</w:t>
      </w:r>
    </w:p>
    <w:p>
      <w:pPr>
        <w:spacing w:after="0" w:line="170" w:lineRule="exact"/>
        <w:rPr>
          <w:sz w:val="20"/>
          <w:szCs w:val="20"/>
          <w:color w:val="auto"/>
        </w:rPr>
      </w:pPr>
    </w:p>
    <w:p>
      <w:pPr>
        <w:ind w:right="20" w:firstLine="485"/>
        <w:spacing w:after="0" w:line="257"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In 2016, the Company entered into a collaboration and license agreement (the “CLA”)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Life Sciences, Inc. (“Receptor”) pursuant to which Receptor acquired an exclusive license to develop, manufacture and commercialize products that use the Company’s technology to deliver certain compounds via oral inhalation in exchange for upfront license fees, milestone payments upon the completion of certain technology transfer activities and the achievement of specified sales targets as well as royalties upon Receptor’s and its sublicensees’ sale of products.</w:t>
      </w:r>
    </w:p>
    <w:p>
      <w:pPr>
        <w:spacing w:after="0" w:line="188" w:lineRule="exact"/>
        <w:rPr>
          <w:sz w:val="20"/>
          <w:szCs w:val="20"/>
          <w:color w:val="auto"/>
        </w:rPr>
      </w:pPr>
    </w:p>
    <w:p>
      <w:pPr>
        <w:ind w:firstLine="485"/>
        <w:spacing w:after="0" w:line="259" w:lineRule="auto"/>
        <w:rPr>
          <w:sz w:val="20"/>
          <w:szCs w:val="20"/>
          <w:color w:val="auto"/>
        </w:rPr>
      </w:pPr>
      <w:r>
        <w:rPr>
          <w:rFonts w:ascii="Arial" w:cs="Arial" w:eastAsia="Arial" w:hAnsi="Arial"/>
          <w:sz w:val="18"/>
          <w:szCs w:val="18"/>
          <w:color w:val="auto"/>
        </w:rPr>
        <w:t>A $1.0 million license fee received in 2016 was recorded in deferred revenue from collaborations as of December 31, 2016 and is being recognized in net revenue — collaborations over four years, the estimated period over which the Company is required to satisfy the remaining performance obligations. The remaining performance obligations are to provide certain technology transfer activities. As of December 31, 2019, the deferred revenue balance was $0.3 million, which was classified as a current liability in the accompanying consolidated balance sheets.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4" w:name="page75"/>
    <w:bookmarkEnd w:id="74"/>
    <w:p>
      <w:pPr>
        <w:ind w:right="20" w:firstLine="485"/>
        <w:spacing w:after="0" w:line="255" w:lineRule="auto"/>
        <w:rPr>
          <w:sz w:val="20"/>
          <w:szCs w:val="20"/>
          <w:color w:val="auto"/>
        </w:rPr>
      </w:pPr>
      <w:r>
        <w:rPr>
          <w:rFonts w:ascii="Arial" w:cs="Arial" w:eastAsia="Arial" w:hAnsi="Arial"/>
          <w:sz w:val="18"/>
          <w:szCs w:val="18"/>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 was no change to the accounting for this contract as a result of the initial application of the new revenue guidance since (i) the receipt of such payments is highly susceptible to factors outside of the Company’s influence, (ii) the uncertainty regarding the receipt of these payments is not expected to be resolved for years, and (iii) the Company has limited experience with similar contracts. See Note 1 – Description of Business and Note 2 –Summary of Significant Accounting Policies for additional information on the Company’s revenue recognition accounting policy.</w:t>
      </w:r>
    </w:p>
    <w:p>
      <w:pPr>
        <w:spacing w:after="0" w:line="193" w:lineRule="exact"/>
        <w:rPr>
          <w:sz w:val="20"/>
          <w:szCs w:val="20"/>
          <w:color w:val="auto"/>
        </w:rPr>
      </w:pPr>
    </w:p>
    <w:p>
      <w:pPr>
        <w:ind w:right="20" w:firstLine="485"/>
        <w:spacing w:after="0" w:line="264"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agreed to provide certain raw materials and certain additional research and formulation consulting services to Receptor. For the years ended December 31, 2019 and 2018,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81" w:lineRule="exact"/>
        <w:rPr>
          <w:sz w:val="20"/>
          <w:szCs w:val="20"/>
          <w:color w:val="auto"/>
        </w:rPr>
      </w:pPr>
    </w:p>
    <w:p>
      <w:pPr>
        <w:ind w:right="40" w:firstLine="485"/>
        <w:spacing w:after="0" w:line="297" w:lineRule="auto"/>
        <w:rPr>
          <w:sz w:val="20"/>
          <w:szCs w:val="20"/>
          <w:color w:val="auto"/>
        </w:rPr>
      </w:pPr>
      <w:r>
        <w:rPr>
          <w:rFonts w:ascii="Arial" w:cs="Arial" w:eastAsia="Arial" w:hAnsi="Arial"/>
          <w:sz w:val="16"/>
          <w:szCs w:val="16"/>
          <w:i w:val="1"/>
          <w:iCs w:val="1"/>
          <w:color w:val="auto"/>
        </w:rPr>
        <w:t xml:space="preserve">Biomm Supply and Distribution Agreement </w:t>
      </w:r>
      <w:r>
        <w:rPr>
          <w:rFonts w:ascii="Arial" w:cs="Arial" w:eastAsia="Arial" w:hAnsi="Arial"/>
          <w:sz w:val="16"/>
          <w:szCs w:val="16"/>
          <w:color w:val="auto"/>
        </w:rPr>
        <w:t>– In May 2017, the Company and Biomm entered into a supply and distribution agreement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have now been received. In September 2019, the Company delivered its first shipment of Afrezza to Biomm and recognized $0.7 million as commercial product sales in advance of the launch of the product in Brazil. Biomm commenced product sales in January 2020.</w:t>
      </w:r>
    </w:p>
    <w:p>
      <w:pPr>
        <w:spacing w:after="0" w:line="158" w:lineRule="exact"/>
        <w:rPr>
          <w:sz w:val="20"/>
          <w:szCs w:val="20"/>
          <w:color w:val="auto"/>
        </w:rPr>
      </w:pPr>
    </w:p>
    <w:p>
      <w:pPr>
        <w:ind w:right="200" w:firstLine="485"/>
        <w:spacing w:after="0" w:line="273" w:lineRule="auto"/>
        <w:rPr>
          <w:sz w:val="20"/>
          <w:szCs w:val="20"/>
          <w:color w:val="auto"/>
        </w:rPr>
      </w:pPr>
      <w:r>
        <w:rPr>
          <w:rFonts w:ascii="Arial" w:cs="Arial" w:eastAsia="Arial" w:hAnsi="Arial"/>
          <w:sz w:val="17"/>
          <w:szCs w:val="17"/>
          <w:i w:val="1"/>
          <w:iCs w:val="1"/>
          <w:color w:val="auto"/>
        </w:rPr>
        <w:t xml:space="preserve">Cipla License and Distribution Agreement </w:t>
      </w:r>
      <w:r>
        <w:rPr>
          <w:rFonts w:ascii="Arial" w:cs="Arial" w:eastAsia="Arial" w:hAnsi="Arial"/>
          <w:sz w:val="17"/>
          <w:szCs w:val="17"/>
          <w:color w:val="auto"/>
        </w:rPr>
        <w:t>— In May 2018, the Company and Cipla Ltd. (“Cipla”) entered into an exclusive agreement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and 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certain additional regulatory milestone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payments, minimum purchase commitment revenue and royalties on Afrezza sales in India once cumulative gross sales have reached a specified threshold.</w:t>
      </w:r>
    </w:p>
    <w:p>
      <w:pPr>
        <w:spacing w:after="0" w:line="248" w:lineRule="exact"/>
        <w:rPr>
          <w:sz w:val="20"/>
          <w:szCs w:val="20"/>
          <w:color w:val="auto"/>
        </w:rPr>
      </w:pPr>
    </w:p>
    <w:p>
      <w:pPr>
        <w:ind w:firstLine="485"/>
        <w:spacing w:after="0" w:line="276" w:lineRule="auto"/>
        <w:rPr>
          <w:sz w:val="20"/>
          <w:szCs w:val="20"/>
          <w:color w:val="auto"/>
        </w:rPr>
      </w:pPr>
      <w:r>
        <w:rPr>
          <w:rFonts w:ascii="Arial" w:cs="Arial" w:eastAsia="Arial" w:hAnsi="Arial"/>
          <w:sz w:val="17"/>
          <w:szCs w:val="17"/>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The Company also recognized $0.2 million as income tax expense for a payment made to the India tax authority in 2018. As of December 31, 2019, the deferred revenue balance was $1.9 million, of which $0.1 million is classified as current and $1.8 million is classified as long term in the accompanying consolidated balance sheets.</w:t>
      </w:r>
    </w:p>
    <w:p>
      <w:pPr>
        <w:spacing w:after="0" w:line="173" w:lineRule="exact"/>
        <w:rPr>
          <w:sz w:val="20"/>
          <w:szCs w:val="20"/>
          <w:color w:val="auto"/>
        </w:rPr>
      </w:pPr>
    </w:p>
    <w:p>
      <w:pPr>
        <w:ind w:right="100" w:firstLine="485"/>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right="160" w:firstLine="485"/>
        <w:spacing w:after="0" w:line="297"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58" w:lineRule="exact"/>
        <w:rPr>
          <w:sz w:val="20"/>
          <w:szCs w:val="20"/>
          <w:color w:val="auto"/>
        </w:rPr>
      </w:pPr>
    </w:p>
    <w:p>
      <w:pPr>
        <w:ind w:right="60" w:firstLine="485"/>
        <w:spacing w:after="0" w:line="259" w:lineRule="auto"/>
        <w:rPr>
          <w:sz w:val="20"/>
          <w:szCs w:val="20"/>
          <w:color w:val="auto"/>
        </w:rPr>
      </w:pPr>
      <w:r>
        <w:rPr>
          <w:rFonts w:ascii="Arial" w:cs="Arial" w:eastAsia="Arial" w:hAnsi="Arial"/>
          <w:sz w:val="18"/>
          <w:szCs w:val="18"/>
          <w:color w:val="auto"/>
        </w:rPr>
        <w:t>The carrying amounts reported in the accompanying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MidCap Credit Facility, Mann Group promissory notes, 2024 convertible notes, 2020 notes, and Milestone Rights liabilities are disclosed below.</w:t>
      </w:r>
    </w:p>
    <w:p>
      <w:pPr>
        <w:spacing w:after="0" w:line="187" w:lineRule="exact"/>
        <w:rPr>
          <w:sz w:val="20"/>
          <w:szCs w:val="20"/>
          <w:color w:val="auto"/>
        </w:rPr>
      </w:pPr>
    </w:p>
    <w:p>
      <w:pPr>
        <w:ind w:right="40" w:firstLine="485"/>
        <w:spacing w:after="0" w:line="276" w:lineRule="auto"/>
        <w:rPr>
          <w:sz w:val="20"/>
          <w:szCs w:val="20"/>
          <w:color w:val="auto"/>
        </w:rPr>
      </w:pPr>
      <w:r>
        <w:rPr>
          <w:rFonts w:ascii="Arial" w:cs="Arial" w:eastAsia="Arial" w:hAnsi="Arial"/>
          <w:sz w:val="17"/>
          <w:szCs w:val="17"/>
          <w:i w:val="1"/>
          <w:iCs w:val="1"/>
          <w:color w:val="auto"/>
        </w:rPr>
        <w:t xml:space="preserve">Cash Equivalents and Restricted Cash </w:t>
      </w:r>
      <w:r>
        <w:rPr>
          <w:rFonts w:ascii="Arial" w:cs="Arial" w:eastAsia="Arial" w:hAnsi="Arial"/>
          <w:sz w:val="17"/>
          <w:szCs w:val="17"/>
          <w:color w:val="auto"/>
        </w:rPr>
        <w:t>— Cash equivalents consist of highly liquid investments with original or remaining maturities of 90 days or less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purchase that are readily convertible into cash. As of December 31, 2019 and 2018, the Company held $29.9 million and $71.2 million, respectively, of cash and cash equivalents. The Company held $0.3 million and $0.5 million in restricted cash as of December 31, 2019 and 2018, respectively. Both are comprised of money market funds. Restricted cash is used to collateralize a letter of credit. The fair value of these money market funds was determined by using quoted prices for identical investments in an active market (Level 1 in the fair value hierarchy).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5" w:name="page76"/>
    <w:bookmarkEnd w:id="75"/>
    <w:p>
      <w:pPr>
        <w:jc w:val="both"/>
        <w:ind w:right="180" w:firstLine="485"/>
        <w:spacing w:after="0" w:line="259" w:lineRule="auto"/>
        <w:rPr>
          <w:sz w:val="20"/>
          <w:szCs w:val="20"/>
          <w:color w:val="auto"/>
        </w:rPr>
      </w:pPr>
      <w:r>
        <w:rPr>
          <w:rFonts w:ascii="Arial" w:cs="Arial" w:eastAsia="Arial" w:hAnsi="Arial"/>
          <w:sz w:val="18"/>
          <w:szCs w:val="18"/>
          <w:i w:val="1"/>
          <w:iCs w:val="1"/>
          <w:color w:val="auto"/>
        </w:rPr>
        <w:t>Short-term investments</w:t>
      </w:r>
      <w:r>
        <w:rPr>
          <w:rFonts w:ascii="Arial" w:cs="Arial" w:eastAsia="Arial" w:hAnsi="Arial"/>
          <w:sz w:val="18"/>
          <w:szCs w:val="18"/>
          <w:color w:val="auto"/>
        </w:rPr>
        <w:t>— Short-term investments consist of highly liquid investments that are intended to facilitate liquidity and capital preservation.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2019, the Company held $20.0 million of short-term investments in U.S. Treasury bills or notes. The Company did not have short-term investments as of December 31, 2018. The fair value of short-term investments approximate their carrying value. The fair value measurement is based on a market approach using quoted market values (Level 1 in the fair value hierarchy).</w:t>
      </w:r>
    </w:p>
    <w:p>
      <w:pPr>
        <w:spacing w:after="0" w:line="187" w:lineRule="exact"/>
        <w:rPr>
          <w:sz w:val="20"/>
          <w:szCs w:val="20"/>
          <w:color w:val="auto"/>
        </w:rPr>
      </w:pPr>
    </w:p>
    <w:p>
      <w:pPr>
        <w:ind w:right="340" w:firstLine="485"/>
        <w:spacing w:after="0" w:line="277" w:lineRule="auto"/>
        <w:rPr>
          <w:sz w:val="20"/>
          <w:szCs w:val="20"/>
          <w:color w:val="auto"/>
        </w:rPr>
      </w:pPr>
      <w:r>
        <w:rPr>
          <w:rFonts w:ascii="Arial" w:cs="Arial" w:eastAsia="Arial" w:hAnsi="Arial"/>
          <w:sz w:val="18"/>
          <w:szCs w:val="18"/>
          <w:color w:val="auto"/>
        </w:rPr>
        <w:t>The fair value measurement of debt instruments is based on a discounted cash flow model and is sensitive to the change in yield (Level 3 in the fair value hierarchy):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Hypothetical Change in Yield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Hypothetical Change in Notes Payable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Yield</w:t>
            </w:r>
          </w:p>
        </w:tc>
        <w:tc>
          <w:tcPr>
            <w:tcW w:w="12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9"/>
              </w:rPr>
              <w:t>Hypothetical</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FV of Notes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FV</w:t>
            </w:r>
          </w:p>
        </w:tc>
        <w:tc>
          <w:tcPr>
            <w:tcW w:w="280" w:type="dxa"/>
            <w:vAlign w:val="bottom"/>
          </w:tcPr>
          <w:p>
            <w:pPr>
              <w:spacing w:after="0"/>
              <w:rPr>
                <w:sz w:val="11"/>
                <w:szCs w:val="11"/>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 Change</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133"/>
              <w:spacing w:after="0" w:line="155" w:lineRule="exact"/>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60"/>
              <w:spacing w:after="0"/>
              <w:rPr>
                <w:sz w:val="20"/>
                <w:szCs w:val="20"/>
                <w:color w:val="auto"/>
              </w:rPr>
            </w:pPr>
            <w:r>
              <w:rPr>
                <w:rFonts w:ascii="Arial" w:cs="Arial" w:eastAsia="Arial" w:hAnsi="Arial"/>
                <w:sz w:val="18"/>
                <w:szCs w:val="18"/>
                <w:color w:val="auto"/>
              </w:rPr>
              <w:t>(with conversion feature)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46.2</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27.0%</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46.2</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46.2</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46.2</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Senior notes: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 conversion feature)</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31.0%</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33.0%</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(0.4)</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11.5%</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40.0</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41.0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11.5%</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40.0</w:t>
            </w:r>
          </w:p>
        </w:tc>
        <w:tc>
          <w:tcPr>
            <w:tcW w:w="3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85"/>
        <w:spacing w:after="0" w:line="277" w:lineRule="auto"/>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as of December 31, 2019 and 2018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3"/>
              </w:rPr>
              <w:t>December 31, 2019</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Inputs (Level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7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19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40.0</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June 2020 note</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2020 note</w:t>
            </w:r>
          </w:p>
        </w:tc>
        <w:tc>
          <w:tcPr>
            <w:tcW w:w="1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Mann Group promissory notes</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7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3"/>
              </w:rPr>
              <w:t>December 31, 2018</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Inputs (Level 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7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Deerfield Credit Facility</w:t>
            </w:r>
          </w:p>
        </w:tc>
        <w:tc>
          <w:tcPr>
            <w:tcW w:w="19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11.4</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convertible notes</w:t>
            </w:r>
          </w:p>
        </w:tc>
        <w:tc>
          <w:tcPr>
            <w:tcW w:w="1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Mann Group promissory notes</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7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40" w:type="dxa"/>
            <w:vAlign w:val="bottom"/>
          </w:tcPr>
          <w:p>
            <w:pPr>
              <w:spacing w:after="0"/>
              <w:rPr>
                <w:sz w:val="24"/>
                <w:szCs w:val="24"/>
                <w:color w:val="auto"/>
              </w:rPr>
            </w:pPr>
          </w:p>
        </w:tc>
        <w:tc>
          <w:tcPr>
            <w:tcW w:w="1940" w:type="dxa"/>
            <w:vAlign w:val="bottom"/>
            <w:gridSpan w:val="2"/>
          </w:tcPr>
          <w:p>
            <w:pPr>
              <w:jc w:val="right"/>
              <w:ind w:right="105"/>
              <w:spacing w:after="0"/>
              <w:rPr>
                <w:sz w:val="20"/>
                <w:szCs w:val="20"/>
                <w:color w:val="auto"/>
              </w:rPr>
            </w:pPr>
            <w:r>
              <w:rPr>
                <w:rFonts w:ascii="Arial" w:cs="Arial" w:eastAsia="Arial" w:hAnsi="Arial"/>
                <w:sz w:val="18"/>
                <w:szCs w:val="18"/>
                <w:color w:val="auto"/>
              </w:rPr>
              <w:t>74</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76" w:name="page77"/>
    <w:bookmarkEnd w:id="76"/>
    <w:p>
      <w:pPr>
        <w:ind w:right="180" w:firstLine="485"/>
        <w:spacing w:after="0" w:line="259"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The fair value measurement of the Milestone Rights liability is sensitive to the discount rate and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187"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 The Company identified and evaluated a number of embedded features in the notes issued under the Deerfield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value at December 31, 2018 and no value as of December 31, 2019 due to the repayment of the Deerfield Credit Facility in August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121" w:lineRule="exact"/>
        <w:rPr>
          <w:sz w:val="20"/>
          <w:szCs w:val="20"/>
          <w:color w:val="auto"/>
        </w:rPr>
      </w:pPr>
    </w:p>
    <w:p>
      <w:pPr>
        <w:ind w:right="100" w:firstLine="485"/>
        <w:spacing w:after="0" w:line="259" w:lineRule="auto"/>
        <w:rPr>
          <w:sz w:val="20"/>
          <w:szCs w:val="20"/>
          <w:color w:val="auto"/>
        </w:rPr>
      </w:pPr>
      <w:r>
        <w:rPr>
          <w:rFonts w:ascii="Arial" w:cs="Arial" w:eastAsia="Arial" w:hAnsi="Arial"/>
          <w:sz w:val="18"/>
          <w:szCs w:val="18"/>
          <w:color w:val="auto"/>
        </w:rPr>
        <w:t>The Company is authorized to issue 280,000,000 shares of common stock, par value $0.01 per share, and 10,000,000 shares of undesignated preferred stock, par value $0.01 per share, issuable in one or more series as designated by the Company’s board of directors. No other class of capital stock is authorized. As of December 31, 2019 and 2018, 211,787,573 and 187,029,967 shares of common stock, respectively, were issued and outstanding and no shares of preferred stock were outstanding.</w:t>
      </w:r>
    </w:p>
    <w:p>
      <w:pPr>
        <w:spacing w:after="0" w:line="187" w:lineRule="exact"/>
        <w:rPr>
          <w:sz w:val="20"/>
          <w:szCs w:val="20"/>
          <w:color w:val="auto"/>
        </w:rPr>
      </w:pPr>
    </w:p>
    <w:p>
      <w:pPr>
        <w:ind w:right="40" w:firstLine="485"/>
        <w:spacing w:after="0" w:line="271" w:lineRule="auto"/>
        <w:rPr>
          <w:sz w:val="20"/>
          <w:szCs w:val="20"/>
          <w:color w:val="auto"/>
        </w:rPr>
      </w:pPr>
      <w:r>
        <w:rPr>
          <w:rFonts w:ascii="Arial" w:cs="Arial" w:eastAsia="Arial" w:hAnsi="Arial"/>
          <w:sz w:val="17"/>
          <w:szCs w:val="17"/>
          <w:color w:val="auto"/>
        </w:rPr>
        <w:t>In February 2018, the Company entered into a controlled equity offering sales agreement (the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 the market offering” as defined in Rule 415 under the Securities Act of 1933, as amended. For the year ended December 31, 2019, the Company sold an aggregate of 2,584,964 shares of the Company’s common stock at an average purchase price of $1.24 per share for an aggregate gross proceeds of approximately $3.2 million pursuant to the Sales Agreement. For the year ended December 31, 2018, the Company sold an aggregate of 1,028,432 shares of the Company’s common stock at an average purchase price of $2.03 per share for an aggregate gross proceeds of approximately $2.1 million pursuant to the Sales Agreement.</w:t>
      </w:r>
    </w:p>
    <w:p>
      <w:pPr>
        <w:spacing w:after="0" w:line="179" w:lineRule="exact"/>
        <w:rPr>
          <w:sz w:val="20"/>
          <w:szCs w:val="20"/>
          <w:color w:val="auto"/>
        </w:rPr>
      </w:pPr>
    </w:p>
    <w:p>
      <w:pPr>
        <w:ind w:right="100" w:firstLine="485"/>
        <w:spacing w:after="0" w:line="255" w:lineRule="auto"/>
        <w:rPr>
          <w:sz w:val="20"/>
          <w:szCs w:val="20"/>
          <w:color w:val="auto"/>
        </w:rPr>
      </w:pPr>
      <w:r>
        <w:rPr>
          <w:rFonts w:ascii="Arial" w:cs="Arial" w:eastAsia="Arial" w:hAnsi="Arial"/>
          <w:sz w:val="18"/>
          <w:szCs w:val="18"/>
          <w:color w:val="auto"/>
        </w:rPr>
        <w:t>In April 2018, the Company entered into securities purchase agreements with certain institutional investors. Pursuant to the terms of the purchase agreements, the Company sold to the purchasers in a registered offering an aggregate of 14,000,000 shares of the Company’s common stock and warrants to purchase up to an aggregate of 14,000,000 shares of the Company’s common stock at a combined purchase price of $2.00 per share and accompanying warrant. The shares of common stock and the warrants were immediately separable. The warrants became exercisable at a price of $2.38 per share beginning on October 9, 2018 and expired unexercised on April 9, 2019. The net proceeds to the Company from the offering were approximately $26.4 million. The offering closed on April 9, 2018.</w:t>
      </w:r>
    </w:p>
    <w:p>
      <w:pPr>
        <w:spacing w:after="0" w:line="193" w:lineRule="exact"/>
        <w:rPr>
          <w:sz w:val="20"/>
          <w:szCs w:val="20"/>
          <w:color w:val="auto"/>
        </w:rPr>
      </w:pPr>
    </w:p>
    <w:p>
      <w:pPr>
        <w:ind w:right="20" w:firstLine="485"/>
        <w:spacing w:after="0" w:line="286" w:lineRule="auto"/>
        <w:rPr>
          <w:sz w:val="20"/>
          <w:szCs w:val="20"/>
          <w:color w:val="auto"/>
        </w:rPr>
      </w:pPr>
      <w:r>
        <w:rPr>
          <w:rFonts w:ascii="Arial" w:cs="Arial" w:eastAsia="Arial" w:hAnsi="Arial"/>
          <w:sz w:val="16"/>
          <w:szCs w:val="16"/>
          <w:color w:val="auto"/>
        </w:rPr>
        <w:t>In December 2018, the Company entered into an underwriting agreement with Leerink Partners LLC relating to the issuance and sale in a public offering of 26,666,667 shares of the Company’s common stock and warrants to purchase up to an aggregate of 26,666,667 shares of the Company’s common stock (the “December warrants”) at a combined purchase price of $1.50 per share and accompanying warrant. The shares of common stock and the December warrants were immediately separable. The December warrants were immediately exercisable at issuance at a price of $1.60 per share and had an expiry date of December 26, 2019. The net proceeds to the Company from the offering were approximately $37.3 million. The Company determined that the December warrants met the criteria for equity classification and accounted for such warrants in additional paid-in capital. In July 2019, the Company repurchased 3,333,334 December warrants for consideration of approximately $0.4 million, for which $0.2 million was recognized as a reduction to additional paid-in capital on the consolidated balance sheet and $0.2 million was recognized as other expense on the consolidated statement of operations for cash paid in excess of fair value. On December 23, 2019, the Company and one holder of a December warrant to purchase 11,750,000 shares of the Company’s common stock (the “Warrant Shares”) agreed to amend their December warrant to provide that (i) the exercise price per share for 4,500,000 Warrant Shares would be equal to $1.311 but only with respect to a cash exercise of such December warrant on December 23, 2019 and (ii) if the holder purchased at least 4,500,000 Warrant Shares pursuant to a timely cash exercise of such December warrant, the termination date of such December warrant would be extended to June 26,</w:t>
      </w:r>
    </w:p>
    <w:p>
      <w:pPr>
        <w:spacing w:after="0" w:line="3"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2020. The Company determined that the modified December warrants met the criteria for equity classification and the incremental fair value of approximately $0.7 million was recognized as additional paid-in capital. On December 23, 2019, 4,500,000 Warrant Shares were exercised by the holder at $1.311 per share for an aggregate exercise price of $5.9 million. On December 26, 2019, 11,583,333 December warrants expired unexercised. As of December 31, 2019, 7,250,000 Warrant Shares remained available for purchase by such holder until June 26, 2020 at a price of $1.60 per share.</w:t>
      </w:r>
    </w:p>
    <w:p>
      <w:pPr>
        <w:spacing w:after="0" w:line="175" w:lineRule="exact"/>
        <w:rPr>
          <w:sz w:val="20"/>
          <w:szCs w:val="20"/>
          <w:color w:val="auto"/>
        </w:rPr>
      </w:pPr>
    </w:p>
    <w:p>
      <w:pPr>
        <w:ind w:right="120" w:firstLine="485"/>
        <w:spacing w:after="0" w:line="277" w:lineRule="auto"/>
        <w:rPr>
          <w:sz w:val="20"/>
          <w:szCs w:val="20"/>
          <w:color w:val="auto"/>
        </w:rPr>
      </w:pPr>
      <w:r>
        <w:rPr>
          <w:rFonts w:ascii="Arial" w:cs="Arial" w:eastAsia="Arial" w:hAnsi="Arial"/>
          <w:sz w:val="18"/>
          <w:szCs w:val="18"/>
          <w:color w:val="auto"/>
        </w:rPr>
        <w:t>For the year ended December 31, 2018, the Company received $0.4 million from the market price stock purchase plan for 230,445 shares. There were no market price stock purchase plan transactions for the year ended December 31,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11. Earnings per Common Share (“EPS”)</w:t>
      </w:r>
    </w:p>
    <w:p>
      <w:pPr>
        <w:spacing w:after="0" w:line="121" w:lineRule="exact"/>
        <w:rPr>
          <w:sz w:val="20"/>
          <w:szCs w:val="20"/>
          <w:color w:val="auto"/>
        </w:rPr>
      </w:pPr>
    </w:p>
    <w:p>
      <w:pPr>
        <w:ind w:right="400" w:firstLine="485"/>
        <w:spacing w:after="0" w:line="279" w:lineRule="auto"/>
        <w:rPr>
          <w:sz w:val="20"/>
          <w:szCs w:val="20"/>
          <w:color w:val="auto"/>
        </w:rPr>
      </w:pPr>
      <w:r>
        <w:rPr>
          <w:rFonts w:ascii="Arial" w:cs="Arial" w:eastAsia="Arial" w:hAnsi="Arial"/>
          <w:sz w:val="17"/>
          <w:szCs w:val="17"/>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components of the basic and diluted EPS computations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EPS — basic and diluted:</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Net loss (numerator)</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(51,903)</w:t>
            </w:r>
          </w:p>
        </w:tc>
        <w:tc>
          <w:tcPr>
            <w:tcW w:w="940" w:type="dxa"/>
            <w:vAlign w:val="bottom"/>
            <w:gridSpan w:val="2"/>
          </w:tcPr>
          <w:p>
            <w:pPr>
              <w:jc w:val="right"/>
              <w:ind w:right="81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(86,975)</w:t>
            </w: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(denominator)</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195,584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144,136</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Net loss per share</w:t>
            </w: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85"/>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 and the Mann Group promissory notes.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3560" w:type="dxa"/>
            <w:vAlign w:val="bottom"/>
            <w:gridSpan w:val="4"/>
          </w:tcPr>
          <w:p>
            <w:pPr>
              <w:ind w:left="9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86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14,135,681</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10,976,118</w:t>
            </w:r>
          </w:p>
        </w:tc>
        <w:tc>
          <w:tcPr>
            <w:tcW w:w="100" w:type="dxa"/>
            <w:vAlign w:val="bottom"/>
            <w:shd w:val="clear" w:color="auto" w:fill="CFF0FC"/>
          </w:tcPr>
          <w:p>
            <w:pPr>
              <w:spacing w:after="0"/>
              <w:rPr>
                <w:sz w:val="19"/>
                <w:szCs w:val="19"/>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Conversion of convertible notes payable to former related</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party into common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14,000,000</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21,909,541</w:t>
            </w:r>
          </w:p>
        </w:tc>
        <w:tc>
          <w:tcPr>
            <w:tcW w:w="100" w:type="dxa"/>
            <w:vAlign w:val="bottom"/>
          </w:tcPr>
          <w:p>
            <w:pPr>
              <w:spacing w:after="0"/>
              <w:rPr>
                <w:sz w:val="20"/>
                <w:szCs w:val="20"/>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public offering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7,250,000</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26,666,667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Exercise of warrants associated with Midcap Credit Facility</w:t>
            </w:r>
          </w:p>
        </w:tc>
        <w:tc>
          <w:tcPr>
            <w:tcW w:w="1580" w:type="dxa"/>
            <w:vAlign w:val="bottom"/>
          </w:tcPr>
          <w:p>
            <w:pPr>
              <w:jc w:val="right"/>
              <w:spacing w:after="0"/>
              <w:rPr>
                <w:sz w:val="20"/>
                <w:szCs w:val="20"/>
                <w:color w:val="auto"/>
              </w:rPr>
            </w:pPr>
            <w:r>
              <w:rPr>
                <w:rFonts w:ascii="Arial" w:cs="Arial" w:eastAsia="Arial" w:hAnsi="Arial"/>
                <w:sz w:val="18"/>
                <w:szCs w:val="18"/>
                <w:color w:val="auto"/>
              </w:rPr>
              <w:t>1,171,614</w:t>
            </w:r>
          </w:p>
        </w:tc>
        <w:tc>
          <w:tcPr>
            <w:tcW w:w="3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into common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1,666,667</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3,629,627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580" w:type="dxa"/>
            <w:vAlign w:val="bottom"/>
          </w:tcPr>
          <w:p>
            <w:pPr>
              <w:jc w:val="right"/>
              <w:spacing w:after="0"/>
              <w:rPr>
                <w:sz w:val="20"/>
                <w:szCs w:val="20"/>
                <w:color w:val="auto"/>
              </w:rPr>
            </w:pPr>
            <w:r>
              <w:rPr>
                <w:rFonts w:ascii="Arial" w:cs="Arial" w:eastAsia="Arial" w:hAnsi="Arial"/>
                <w:sz w:val="18"/>
                <w:szCs w:val="18"/>
                <w:color w:val="auto"/>
              </w:rPr>
              <w:t>1,057,047</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691,266</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369,979</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307,395</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580" w:type="dxa"/>
            <w:vAlign w:val="bottom"/>
          </w:tcPr>
          <w:p>
            <w:pPr>
              <w:jc w:val="right"/>
              <w:spacing w:after="0"/>
              <w:rPr>
                <w:sz w:val="20"/>
                <w:szCs w:val="20"/>
                <w:color w:val="auto"/>
              </w:rPr>
            </w:pPr>
            <w:r>
              <w:rPr>
                <w:rFonts w:ascii="Arial" w:cs="Arial" w:eastAsia="Arial" w:hAnsi="Arial"/>
                <w:sz w:val="18"/>
                <w:szCs w:val="18"/>
                <w:color w:val="auto"/>
              </w:rPr>
              <w:t>31,851</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31,851</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direct placement</w:t>
            </w: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39,682,839</w:t>
            </w:r>
          </w:p>
        </w:tc>
        <w:tc>
          <w:tcPr>
            <w:tcW w:w="3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78,212,465</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Award Plans</w:t>
      </w:r>
    </w:p>
    <w:p>
      <w:pPr>
        <w:spacing w:after="0" w:line="121" w:lineRule="exact"/>
        <w:rPr>
          <w:sz w:val="20"/>
          <w:szCs w:val="20"/>
          <w:color w:val="auto"/>
        </w:rPr>
      </w:pPr>
    </w:p>
    <w:p>
      <w:pPr>
        <w:ind w:right="40" w:firstLine="485"/>
        <w:spacing w:after="0" w:line="297" w:lineRule="auto"/>
        <w:rPr>
          <w:sz w:val="20"/>
          <w:szCs w:val="20"/>
          <w:color w:val="auto"/>
        </w:rPr>
      </w:pPr>
      <w:r>
        <w:rPr>
          <w:rFonts w:ascii="Arial" w:cs="Arial" w:eastAsia="Arial" w:hAnsi="Arial"/>
          <w:sz w:val="16"/>
          <w:szCs w:val="16"/>
          <w:color w:val="auto"/>
        </w:rPr>
        <w:t>On May 16, 2018, the Company adopted the 2018 Equity Incentive Plan (the “2018 Plan”) as the successor to and continuation of the 2013 Equity Incentive Plan (the “2013 Plan”) and the 2004 Equity Incentive Plan (the “2004 Plan”). The 2018 Plan consists of 12.0 million additional shares and the number of unallocated shares remaining available for grant for new awards under the 2013 Plan and the 2004 Plan. The 2018 Plan provides for the granting of stock awards including stock options and restricted stock units to employees, directors and consultants. No additional awards will be granted under the 2013 Plan, the 2004 Plan or the 2004 Non-Employee Directors’ Stock Option Plan (the “NED Plan”) as all future awards will be made out of the 2018 Plan.</w:t>
      </w:r>
    </w:p>
    <w:p>
      <w:pPr>
        <w:spacing w:after="0" w:line="158" w:lineRule="exact"/>
        <w:rPr>
          <w:sz w:val="20"/>
          <w:szCs w:val="20"/>
          <w:color w:val="auto"/>
        </w:rPr>
      </w:pPr>
    </w:p>
    <w:p>
      <w:pPr>
        <w:ind w:right="100" w:firstLine="485"/>
        <w:spacing w:after="0" w:line="259" w:lineRule="auto"/>
        <w:rPr>
          <w:sz w:val="20"/>
          <w:szCs w:val="20"/>
          <w:color w:val="auto"/>
        </w:rPr>
      </w:pPr>
      <w:r>
        <w:rPr>
          <w:rFonts w:ascii="Arial" w:cs="Arial" w:eastAsia="Arial" w:hAnsi="Arial"/>
          <w:sz w:val="18"/>
          <w:szCs w:val="18"/>
          <w:color w:val="auto"/>
        </w:rPr>
        <w:t>The Company’s board of directors determines eligibility, vesting schedules and criteria, and exercise prices for stock awards granted under the 2018 Plan. Options and restricted stock unit awards under the 2018 Plan, the 2013 Plan and the 2004 Plan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Restricted stock units with time-based vesting generally vest at a rate of 25% per year over four years with consideration satisfied by service to the Company. The Company also issues stock awards with performance conditions.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the Company’s stock-based award plans as of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Available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for Future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Options</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Stock Units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Issuance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2004</w:t>
            </w:r>
          </w:p>
        </w:tc>
        <w:tc>
          <w:tcPr>
            <w:tcW w:w="4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2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451,149</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42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4,714,169</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393,309</w:t>
            </w:r>
          </w:p>
        </w:tc>
        <w:tc>
          <w:tcPr>
            <w:tcW w:w="2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2018</w:t>
            </w:r>
          </w:p>
        </w:tc>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3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8,934,586</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663,738</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4,710,565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424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35,777</w:t>
            </w:r>
          </w:p>
        </w:tc>
        <w:tc>
          <w:tcPr>
            <w:tcW w:w="2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14,135,681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1,057,047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4,710,565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100" w:type="dxa"/>
            <w:vAlign w:val="bottom"/>
            <w:vMerge w:val="restart"/>
          </w:tcPr>
          <w:p>
            <w:pPr>
              <w:jc w:val="right"/>
              <w:ind w:right="850"/>
              <w:spacing w:after="0"/>
              <w:rPr>
                <w:sz w:val="20"/>
                <w:szCs w:val="20"/>
                <w:color w:val="auto"/>
              </w:rPr>
            </w:pPr>
            <w:r>
              <w:rPr>
                <w:rFonts w:ascii="Arial" w:cs="Arial" w:eastAsia="Arial" w:hAnsi="Arial"/>
                <w:sz w:val="18"/>
                <w:szCs w:val="18"/>
                <w:color w:val="auto"/>
              </w:rPr>
              <w:t>76</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78" w:name="page79"/>
    <w:bookmarkEnd w:id="78"/>
    <w:p>
      <w:pPr>
        <w:ind w:right="320" w:firstLine="485"/>
        <w:spacing w:after="0" w:line="302" w:lineRule="auto"/>
        <w:rPr>
          <w:sz w:val="20"/>
          <w:szCs w:val="20"/>
          <w:color w:val="auto"/>
        </w:rPr>
      </w:pPr>
      <w:r>
        <w:rPr>
          <w:rFonts w:ascii="Arial" w:cs="Arial" w:eastAsia="Arial" w:hAnsi="Arial"/>
          <w:sz w:val="16"/>
          <w:szCs w:val="16"/>
          <w:color w:val="auto"/>
        </w:rPr>
        <w:t>Share-based payment transactions are recognized as compensation cost based on the fair value of the instrument on the date of grant. 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w:t>
      </w:r>
    </w:p>
    <w:p>
      <w:pPr>
        <w:spacing w:after="0" w:line="154" w:lineRule="exact"/>
        <w:rPr>
          <w:sz w:val="20"/>
          <w:szCs w:val="20"/>
          <w:color w:val="auto"/>
        </w:rPr>
      </w:pPr>
    </w:p>
    <w:p>
      <w:pPr>
        <w:ind w:right="680" w:firstLine="485"/>
        <w:spacing w:after="0" w:line="277" w:lineRule="auto"/>
        <w:rPr>
          <w:sz w:val="20"/>
          <w:szCs w:val="20"/>
          <w:color w:val="auto"/>
        </w:rPr>
      </w:pPr>
      <w:r>
        <w:rPr>
          <w:rFonts w:ascii="Arial" w:cs="Arial" w:eastAsia="Arial" w:hAnsi="Arial"/>
          <w:sz w:val="18"/>
          <w:szCs w:val="18"/>
          <w:color w:val="auto"/>
        </w:rPr>
        <w:t>During the years ended December 31, 2019 and 2018, the Company recorded stock-based compensation expense of $6.2 million, $6.9 million, respectively.</w:t>
      </w:r>
    </w:p>
    <w:p>
      <w:pPr>
        <w:spacing w:after="0" w:line="170" w:lineRule="exact"/>
        <w:rPr>
          <w:sz w:val="20"/>
          <w:szCs w:val="20"/>
          <w:color w:val="auto"/>
        </w:rPr>
      </w:pPr>
    </w:p>
    <w:p>
      <w:pPr>
        <w:ind w:right="80" w:firstLine="485"/>
        <w:spacing w:after="0" w:line="277" w:lineRule="auto"/>
        <w:rPr>
          <w:sz w:val="20"/>
          <w:szCs w:val="20"/>
          <w:color w:val="auto"/>
        </w:rPr>
      </w:pPr>
      <w:r>
        <w:rPr>
          <w:rFonts w:ascii="Arial" w:cs="Arial" w:eastAsia="Arial" w:hAnsi="Arial"/>
          <w:sz w:val="18"/>
          <w:szCs w:val="18"/>
          <w:color w:val="auto"/>
        </w:rPr>
        <w:t>Total stock-based compensation expense recognized in the accompanying consolidated statements of operations is included in the following categories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4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Cost of revenue — collaborations and services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85"/>
        <w:spacing w:after="0" w:line="297" w:lineRule="auto"/>
        <w:rPr>
          <w:sz w:val="20"/>
          <w:szCs w:val="20"/>
          <w:color w:val="auto"/>
        </w:rPr>
      </w:pPr>
      <w:r>
        <w:rPr>
          <w:rFonts w:ascii="Arial" w:cs="Arial" w:eastAsia="Arial" w:hAnsi="Arial"/>
          <w:sz w:val="16"/>
          <w:szCs w:val="16"/>
          <w:color w:val="auto"/>
        </w:rPr>
        <w:t>The expected volatility assumption used in the Company’s Black-Sholes option valuation model is based on an assessment of the historical volatility derived from an analysis of historical trade activity.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2019 and 2018 using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1.52% — 2.51%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2.63% — 3.11%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Expected lives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8"/>
                <w:szCs w:val="18"/>
                <w:color w:val="auto"/>
              </w:rPr>
              <w:t>6.20 — 9.37 years</w:t>
            </w:r>
          </w:p>
        </w:tc>
        <w:tc>
          <w:tcPr>
            <w:tcW w:w="1540" w:type="dxa"/>
            <w:vAlign w:val="bottom"/>
            <w:gridSpan w:val="5"/>
          </w:tcPr>
          <w:p>
            <w:pPr>
              <w:ind w:left="100"/>
              <w:spacing w:after="0"/>
              <w:rPr>
                <w:sz w:val="20"/>
                <w:szCs w:val="20"/>
                <w:color w:val="auto"/>
              </w:rPr>
            </w:pPr>
            <w:r>
              <w:rPr>
                <w:rFonts w:ascii="Arial" w:cs="Arial" w:eastAsia="Arial" w:hAnsi="Arial"/>
                <w:sz w:val="18"/>
                <w:szCs w:val="18"/>
                <w:color w:val="auto"/>
                <w:w w:val="96"/>
              </w:rPr>
              <w:t>5.90 — 7.19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Volatility</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40" w:type="dxa"/>
            <w:vAlign w:val="bottom"/>
            <w:gridSpan w:val="5"/>
            <w:shd w:val="clear" w:color="auto" w:fill="CFF0FC"/>
          </w:tcPr>
          <w:p>
            <w:pPr>
              <w:jc w:val="right"/>
              <w:ind w:right="660"/>
              <w:spacing w:after="0"/>
              <w:rPr>
                <w:sz w:val="20"/>
                <w:szCs w:val="20"/>
                <w:color w:val="auto"/>
              </w:rPr>
            </w:pPr>
            <w:r>
              <w:rPr>
                <w:rFonts w:ascii="Arial" w:cs="Arial" w:eastAsia="Arial" w:hAnsi="Arial"/>
                <w:sz w:val="18"/>
                <w:szCs w:val="18"/>
                <w:color w:val="auto"/>
              </w:rPr>
              <w:t>93.05% — 94.25%</w:t>
            </w:r>
          </w:p>
        </w:tc>
        <w:tc>
          <w:tcPr>
            <w:tcW w:w="1540" w:type="dxa"/>
            <w:vAlign w:val="bottom"/>
            <w:gridSpan w:val="5"/>
            <w:shd w:val="clear" w:color="auto" w:fill="CFF0FC"/>
          </w:tcPr>
          <w:p>
            <w:pPr>
              <w:jc w:val="right"/>
              <w:ind w:right="120"/>
              <w:spacing w:after="0"/>
              <w:rPr>
                <w:sz w:val="20"/>
                <w:szCs w:val="20"/>
                <w:color w:val="auto"/>
              </w:rPr>
            </w:pPr>
            <w:r>
              <w:rPr>
                <w:rFonts w:ascii="Arial" w:cs="Arial" w:eastAsia="Arial" w:hAnsi="Arial"/>
                <w:sz w:val="18"/>
                <w:szCs w:val="18"/>
                <w:color w:val="auto"/>
                <w:w w:val="93"/>
              </w:rPr>
              <w:t>92.68% — 93.62%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120" w:type="dxa"/>
            <w:vAlign w:val="bottom"/>
            <w:gridSpan w:val="2"/>
          </w:tcPr>
          <w:p>
            <w:pPr>
              <w:ind w:left="500"/>
              <w:spacing w:after="0"/>
              <w:rPr>
                <w:sz w:val="20"/>
                <w:szCs w:val="20"/>
                <w:color w:val="auto"/>
              </w:rPr>
            </w:pPr>
            <w:r>
              <w:rPr>
                <w:rFonts w:ascii="Arial" w:cs="Arial" w:eastAsia="Arial" w:hAnsi="Arial"/>
                <w:sz w:val="18"/>
                <w:szCs w:val="18"/>
                <w:color w:val="auto"/>
                <w:w w:val="91"/>
              </w:rPr>
              <w:t>The following table summarizes information about stock options outstanding:</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24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80" w:type="dxa"/>
            <w:vAlign w:val="bottom"/>
            <w:gridSpan w:val="2"/>
          </w:tcPr>
          <w:p>
            <w:pPr>
              <w:jc w:val="center"/>
              <w:ind w:right="17"/>
              <w:spacing w:after="0"/>
              <w:rPr>
                <w:sz w:val="20"/>
                <w:szCs w:val="20"/>
                <w:color w:val="auto"/>
              </w:rPr>
            </w:pPr>
            <w:r>
              <w:rPr>
                <w:rFonts w:ascii="Arial" w:cs="Arial" w:eastAsia="Arial" w:hAnsi="Arial"/>
                <w:sz w:val="14"/>
                <w:szCs w:val="14"/>
                <w:b w:val="1"/>
                <w:bCs w:val="1"/>
                <w:color w:val="auto"/>
                <w:w w:val="91"/>
              </w:rPr>
              <w:t>Price per Share</w:t>
            </w:r>
          </w:p>
        </w:tc>
        <w:tc>
          <w:tcPr>
            <w:tcW w:w="24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Value ($000)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2019</w:t>
            </w: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10,976,118</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7.83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5,613,253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(67,461)</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(1,395,644)</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Expired</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(990,585)</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2019</w:t>
            </w: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14,135,681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3.09</w:t>
            </w:r>
          </w:p>
        </w:tc>
        <w:tc>
          <w:tcPr>
            <w:tcW w:w="1400" w:type="dxa"/>
            <w:vAlign w:val="bottom"/>
            <w:tcBorders>
              <w:bottom w:val="single" w:sz="8" w:color="CFF0FC"/>
            </w:tcBorders>
            <w:gridSpan w:val="4"/>
          </w:tcPr>
          <w:p>
            <w:pPr>
              <w:jc w:val="right"/>
              <w:ind w:right="20"/>
              <w:spacing w:after="0"/>
              <w:rPr>
                <w:sz w:val="20"/>
                <w:szCs w:val="20"/>
                <w:color w:val="auto"/>
              </w:rPr>
            </w:pPr>
            <w:r>
              <w:rPr>
                <w:rFonts w:ascii="Arial" w:cs="Arial" w:eastAsia="Arial" w:hAnsi="Arial"/>
                <w:sz w:val="18"/>
                <w:szCs w:val="18"/>
                <w:color w:val="auto"/>
              </w:rPr>
              <w:t>7.84</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182</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2019</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4,554,661</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400" w:type="dxa"/>
            <w:vAlign w:val="bottom"/>
            <w:tcBorders>
              <w:bottom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6.00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5620"/>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9" w:name="page80"/>
    <w:bookmarkEnd w:id="79"/>
    <w:p>
      <w:pPr>
        <w:jc w:val="both"/>
        <w:ind w:right="300" w:firstLine="485"/>
        <w:spacing w:after="0" w:line="312" w:lineRule="auto"/>
        <w:rPr>
          <w:sz w:val="20"/>
          <w:szCs w:val="20"/>
          <w:color w:val="auto"/>
        </w:rPr>
      </w:pPr>
      <w:r>
        <w:rPr>
          <w:rFonts w:ascii="Arial" w:cs="Arial" w:eastAsia="Arial" w:hAnsi="Arial"/>
          <w:sz w:val="16"/>
          <w:szCs w:val="16"/>
          <w:color w:val="auto"/>
        </w:rPr>
        <w:t xml:space="preserve">The weighted average grant date fair value of the stock options granted during the years ended December 31, 2019 and 2018 was $1.32 and $1.51, respectively. The total intrinsic value of options exercised during the year ended December 31, 2019 and 2018 was </w:t>
      </w:r>
      <w:r>
        <w:rPr>
          <w:rFonts w:ascii="Arial" w:cs="Arial" w:eastAsia="Arial" w:hAnsi="Arial"/>
          <w:sz w:val="16"/>
          <w:szCs w:val="16"/>
          <w:i w:val="1"/>
          <w:iCs w:val="1"/>
          <w:color w:val="auto"/>
        </w:rPr>
        <w:t>de minimis</w:t>
      </w:r>
      <w:r>
        <w:rPr>
          <w:rFonts w:ascii="Arial" w:cs="Arial" w:eastAsia="Arial" w:hAnsi="Arial"/>
          <w:sz w:val="16"/>
          <w:szCs w:val="16"/>
          <w:color w:val="auto"/>
        </w:rPr>
        <w:t>. Intrinsic value is measured using the fair market value at the date of exercise for options exercised or at December 31 for outstanding options, less the applicable exercise price.</w:t>
      </w:r>
    </w:p>
    <w:p>
      <w:pPr>
        <w:spacing w:after="0" w:line="147" w:lineRule="exact"/>
        <w:rPr>
          <w:sz w:val="20"/>
          <w:szCs w:val="20"/>
          <w:color w:val="auto"/>
        </w:rPr>
      </w:pPr>
    </w:p>
    <w:p>
      <w:pPr>
        <w:ind w:firstLine="485"/>
        <w:spacing w:after="0" w:line="277" w:lineRule="auto"/>
        <w:rPr>
          <w:sz w:val="20"/>
          <w:szCs w:val="20"/>
          <w:color w:val="auto"/>
        </w:rPr>
      </w:pPr>
      <w:r>
        <w:rPr>
          <w:rFonts w:ascii="Arial" w:cs="Arial" w:eastAsia="Arial" w:hAnsi="Arial"/>
          <w:sz w:val="18"/>
          <w:szCs w:val="18"/>
          <w:color w:val="auto"/>
        </w:rPr>
        <w:t xml:space="preserve">Cash received from the exercise of options during the year ended December 31, 2019 was approximately $0.1 million and for the year ended December 31, 2018 the cash received was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70" w:lineRule="exact"/>
        <w:rPr>
          <w:sz w:val="20"/>
          <w:szCs w:val="20"/>
          <w:color w:val="auto"/>
        </w:rPr>
      </w:pPr>
    </w:p>
    <w:p>
      <w:pPr>
        <w:jc w:val="both"/>
        <w:ind w:right="80" w:firstLine="485"/>
        <w:spacing w:after="0" w:line="264" w:lineRule="auto"/>
        <w:rPr>
          <w:sz w:val="20"/>
          <w:szCs w:val="20"/>
          <w:color w:val="auto"/>
        </w:rPr>
      </w:pPr>
      <w:r>
        <w:rPr>
          <w:rFonts w:ascii="Arial" w:cs="Arial" w:eastAsia="Arial" w:hAnsi="Arial"/>
          <w:sz w:val="18"/>
          <w:szCs w:val="18"/>
          <w:color w:val="auto"/>
        </w:rPr>
        <w:t xml:space="preserve">As of December 31, 2019 and 2018, the Company recognized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and $1.9 million, respectively, of compensation costs related to the performance-based stock options. As of December 31, 2019, there was $1.1 million of unrecognized compensation costs related to performance-based stock options subject to performance conditions.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restricted stock unit activity for the year ended December 31, 2019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7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2019</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691,266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1,293,690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(804,105)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(123,804)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1,057,047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85"/>
        <w:spacing w:after="0" w:line="286" w:lineRule="auto"/>
        <w:rPr>
          <w:sz w:val="20"/>
          <w:szCs w:val="20"/>
          <w:color w:val="auto"/>
        </w:rPr>
      </w:pPr>
      <w:r>
        <w:rPr>
          <w:rFonts w:ascii="Arial" w:cs="Arial" w:eastAsia="Arial" w:hAnsi="Arial"/>
          <w:sz w:val="17"/>
          <w:szCs w:val="17"/>
          <w:color w:val="auto"/>
        </w:rPr>
        <w:t>Total fair value of restricted stock units vested during the years ended December 31, 2019 and 2018 was $1.1 million and $1.4 million, respectively. Intrinsic value of restricted stock units vested is measured using the closing share price on the day prior to the vest date. The total grant date fair value of restricted stock units outstanding as of December 31, 2019 and 2018 was $2.3 million and $2.4 million, respectively.</w:t>
      </w:r>
    </w:p>
    <w:p>
      <w:pPr>
        <w:spacing w:after="0" w:line="193" w:lineRule="exact"/>
        <w:rPr>
          <w:sz w:val="20"/>
          <w:szCs w:val="20"/>
          <w:color w:val="auto"/>
        </w:rPr>
      </w:pPr>
    </w:p>
    <w:p>
      <w:pPr>
        <w:ind w:firstLine="485"/>
        <w:spacing w:after="0" w:line="257" w:lineRule="auto"/>
        <w:rPr>
          <w:sz w:val="20"/>
          <w:szCs w:val="20"/>
          <w:color w:val="auto"/>
        </w:rPr>
      </w:pPr>
      <w:r>
        <w:rPr>
          <w:rFonts w:ascii="Arial" w:cs="Arial" w:eastAsia="Arial" w:hAnsi="Arial"/>
          <w:sz w:val="18"/>
          <w:szCs w:val="18"/>
          <w:color w:val="auto"/>
        </w:rPr>
        <w:t>As of December 31, 2019, there was $9.9 million of unrecognized compensation expense related to options and performance-based options and $0.6 million of unrecognized compensation expense related to restricted stock units, which are expected to be recognized over the weighted average vesting period of 1.0 to 2.9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120" w:firstLine="485"/>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2" w:lineRule="exact"/>
        <w:rPr>
          <w:sz w:val="20"/>
          <w:szCs w:val="20"/>
          <w:color w:val="auto"/>
        </w:rPr>
      </w:pPr>
    </w:p>
    <w:p>
      <w:pPr>
        <w:ind w:firstLine="485"/>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December 31,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right="80" w:firstLine="485"/>
        <w:spacing w:after="0" w:line="253" w:lineRule="auto"/>
        <w:rPr>
          <w:sz w:val="20"/>
          <w:szCs w:val="20"/>
          <w:color w:val="auto"/>
        </w:rPr>
      </w:pPr>
      <w:r>
        <w:rPr>
          <w:rFonts w:ascii="Arial" w:cs="Arial" w:eastAsia="Arial" w:hAnsi="Arial"/>
          <w:sz w:val="18"/>
          <w:szCs w:val="18"/>
          <w:color w:val="auto"/>
        </w:rPr>
        <w:t>Following the public announcement in January 2016 of the election by sanofi-aventis U.S. LLC (“Sanofi”) to terminate a license and collaboration agreement (the “Sanofi License Agreement”) between the Company and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the Company filed a motion to dismiss the certification motion. In September 2019, the plaintiff brought a motion to amend his claim, which the court denied in January 2020. The Company will continue to vigorously defend against the claims advanced.</w:t>
      </w:r>
    </w:p>
    <w:p>
      <w:pPr>
        <w:spacing w:after="0" w:line="195" w:lineRule="exact"/>
        <w:rPr>
          <w:sz w:val="20"/>
          <w:szCs w:val="20"/>
          <w:color w:val="auto"/>
        </w:rPr>
      </w:pPr>
    </w:p>
    <w:p>
      <w:pPr>
        <w:ind w:right="100" w:firstLine="485"/>
        <w:spacing w:after="0" w:line="264"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July 2013, the Company also entered into a Milestone Agreement with the Milestone Purchasers, pursuant to which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such Milestone Purchasers rights to receive payments up to $90.0 million upon the occurrence of specified strategic and sales milestones, $70.0 million of which remains payable upon achievement of such milestones (see Note 7 — Borrowings).</w:t>
      </w:r>
    </w:p>
    <w:p>
      <w:pPr>
        <w:spacing w:after="0" w:line="181" w:lineRule="exact"/>
        <w:rPr>
          <w:sz w:val="20"/>
          <w:szCs w:val="20"/>
          <w:color w:val="auto"/>
        </w:rPr>
      </w:pPr>
    </w:p>
    <w:p>
      <w:pPr>
        <w:ind w:right="220" w:firstLine="485"/>
        <w:spacing w:after="0" w:line="329" w:lineRule="auto"/>
        <w:rPr>
          <w:sz w:val="20"/>
          <w:szCs w:val="20"/>
          <w:color w:val="auto"/>
        </w:rPr>
      </w:pPr>
      <w:r>
        <w:rPr>
          <w:rFonts w:ascii="Arial" w:cs="Arial" w:eastAsia="Arial" w:hAnsi="Arial"/>
          <w:sz w:val="16"/>
          <w:szCs w:val="16"/>
          <w:i w:val="1"/>
          <w:iCs w:val="1"/>
          <w:color w:val="auto"/>
        </w:rPr>
        <w:t xml:space="preserve">Commitments </w:t>
      </w:r>
      <w:r>
        <w:rPr>
          <w:rFonts w:ascii="Arial" w:cs="Arial" w:eastAsia="Arial" w:hAnsi="Arial"/>
          <w:sz w:val="16"/>
          <w:szCs w:val="16"/>
          <w:color w:val="auto"/>
        </w:rPr>
        <w:t>— In July 2014, the Company entered into the Insulin Supply Agreement with Amphastar pursuant to which Amphastar manufactures</w:t>
      </w:r>
      <w:r>
        <w:rPr>
          <w:rFonts w:ascii="Arial" w:cs="Arial" w:eastAsia="Arial" w:hAnsi="Arial"/>
          <w:sz w:val="16"/>
          <w:szCs w:val="16"/>
          <w:i w:val="1"/>
          <w:iCs w:val="1"/>
          <w:color w:val="auto"/>
        </w:rPr>
        <w:t xml:space="preserve"> </w:t>
      </w:r>
      <w:r>
        <w:rPr>
          <w:rFonts w:ascii="Arial" w:cs="Arial" w:eastAsia="Arial" w:hAnsi="Arial"/>
          <w:sz w:val="16"/>
          <w:szCs w:val="16"/>
          <w:color w:val="auto"/>
        </w:rPr>
        <w:t>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35" w:lineRule="exact"/>
        <w:rPr>
          <w:sz w:val="20"/>
          <w:szCs w:val="20"/>
          <w:color w:val="auto"/>
        </w:rPr>
      </w:pPr>
    </w:p>
    <w:p>
      <w:pPr>
        <w:ind w:right="680" w:firstLine="485"/>
        <w:spacing w:after="0" w:line="277" w:lineRule="auto"/>
        <w:rPr>
          <w:sz w:val="20"/>
          <w:szCs w:val="20"/>
          <w:color w:val="auto"/>
        </w:rPr>
      </w:pPr>
      <w:r>
        <w:rPr>
          <w:rFonts w:ascii="Arial" w:cs="Arial" w:eastAsia="Arial" w:hAnsi="Arial"/>
          <w:sz w:val="18"/>
          <w:szCs w:val="18"/>
          <w:color w:val="auto"/>
        </w:rPr>
        <w:t>In August 2019, the Company and Amphastar amended the Insulin Supply Agreement to extend the term to 2026 and to restructure the annual purchase commitments. The annual purchase requirements under the amended contract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Borders>
              <w:bottom w:val="single" w:sz="8" w:color="CFF0FC"/>
            </w:tcBorders>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Minimum Commitment</w:t>
            </w:r>
          </w:p>
        </w:tc>
      </w:tr>
      <w:tr>
        <w:trPr>
          <w:trHeight w:val="223"/>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2020</w:t>
            </w:r>
          </w:p>
        </w:tc>
        <w:tc>
          <w:tcPr>
            <w:tcW w:w="4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 million</w:t>
            </w:r>
          </w:p>
        </w:tc>
      </w:tr>
      <w:tr>
        <w:trPr>
          <w:trHeight w:val="230"/>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2021</w:t>
            </w:r>
          </w:p>
        </w:tc>
        <w:tc>
          <w:tcPr>
            <w:tcW w:w="460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6.6 million</w:t>
            </w:r>
          </w:p>
        </w:tc>
      </w:tr>
      <w:tr>
        <w:trPr>
          <w:trHeight w:val="230"/>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2022</w:t>
            </w:r>
          </w:p>
        </w:tc>
        <w:tc>
          <w:tcPr>
            <w:tcW w:w="4600" w:type="dxa"/>
            <w:vAlign w:val="bottom"/>
            <w:gridSpan w:val="2"/>
            <w:shd w:val="clear" w:color="auto" w:fill="CFF0FC"/>
          </w:tcPr>
          <w:p>
            <w:pPr>
              <w:ind w:left="43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million</w:t>
            </w:r>
          </w:p>
        </w:tc>
      </w:tr>
      <w:tr>
        <w:trPr>
          <w:trHeight w:val="230"/>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2023</w:t>
            </w:r>
          </w:p>
        </w:tc>
        <w:tc>
          <w:tcPr>
            <w:tcW w:w="460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10.8 million</w:t>
            </w:r>
          </w:p>
        </w:tc>
      </w:tr>
      <w:tr>
        <w:trPr>
          <w:trHeight w:val="230"/>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2024</w:t>
            </w:r>
          </w:p>
        </w:tc>
        <w:tc>
          <w:tcPr>
            <w:tcW w:w="4600" w:type="dxa"/>
            <w:vAlign w:val="bottom"/>
            <w:gridSpan w:val="2"/>
            <w:shd w:val="clear" w:color="auto" w:fill="CFF0FC"/>
          </w:tcPr>
          <w:p>
            <w:pPr>
              <w:ind w:left="43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 million</w:t>
            </w:r>
          </w:p>
        </w:tc>
      </w:tr>
      <w:tr>
        <w:trPr>
          <w:trHeight w:val="230"/>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2025</w:t>
            </w:r>
          </w:p>
        </w:tc>
        <w:tc>
          <w:tcPr>
            <w:tcW w:w="460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2026</w:t>
            </w:r>
          </w:p>
        </w:tc>
        <w:tc>
          <w:tcPr>
            <w:tcW w:w="4600" w:type="dxa"/>
            <w:vAlign w:val="bottom"/>
            <w:gridSpan w:val="2"/>
            <w:shd w:val="clear" w:color="auto" w:fill="CFF0FC"/>
          </w:tcPr>
          <w:p>
            <w:pPr>
              <w:ind w:left="43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r>
    </w:tbl>
    <w:p>
      <w:pPr>
        <w:spacing w:after="0" w:line="229" w:lineRule="exact"/>
        <w:rPr>
          <w:sz w:val="20"/>
          <w:szCs w:val="20"/>
          <w:color w:val="auto"/>
        </w:rPr>
      </w:pPr>
    </w:p>
    <w:p>
      <w:pPr>
        <w:ind w:right="300" w:firstLine="485"/>
        <w:spacing w:after="0" w:line="277" w:lineRule="auto"/>
        <w:rPr>
          <w:sz w:val="20"/>
          <w:szCs w:val="20"/>
          <w:color w:val="auto"/>
        </w:rPr>
      </w:pPr>
      <w:r>
        <w:rPr>
          <w:rFonts w:ascii="Arial" w:cs="Arial" w:eastAsia="Arial" w:hAnsi="Arial"/>
          <w:sz w:val="18"/>
          <w:szCs w:val="18"/>
          <w:color w:val="auto"/>
        </w:rPr>
        <w:t>During the year ended December 31, 2019 and 2018, the Company paid amendment fees of $2.8 million and $2.0 million, respectively, which were recognized as cost of goods sold.</w:t>
      </w:r>
    </w:p>
    <w:p>
      <w:pPr>
        <w:spacing w:after="0" w:line="170" w:lineRule="exact"/>
        <w:rPr>
          <w:sz w:val="20"/>
          <w:szCs w:val="20"/>
          <w:color w:val="auto"/>
        </w:rPr>
      </w:pPr>
    </w:p>
    <w:p>
      <w:pPr>
        <w:ind w:right="60" w:firstLine="485"/>
        <w:spacing w:after="0" w:line="270" w:lineRule="auto"/>
        <w:rPr>
          <w:sz w:val="20"/>
          <w:szCs w:val="20"/>
          <w:color w:val="auto"/>
        </w:rPr>
      </w:pPr>
      <w:r>
        <w:rPr>
          <w:rFonts w:ascii="Arial" w:cs="Arial" w:eastAsia="Arial" w:hAnsi="Arial"/>
          <w:sz w:val="17"/>
          <w:szCs w:val="17"/>
          <w:color w:val="auto"/>
        </w:rPr>
        <w:t xml:space="preserve">Unless terminated earlier, the term of the Insulin Supply Agreement expires on December 31, 2026 and can be renewed for additional, successive two year terms upon 12 months’ written notice given prior to the end of the initial term or any additional two 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In 2019, the Company entered into two 90-day foreign currency hedging transactions to mitigate its exposure to foreign currency exchange risks associated with then-existing insulin purchase commitments. The Company realized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currency loss for these transactions, which was recorded in other income and expense.</w:t>
      </w:r>
    </w:p>
    <w:p>
      <w:pPr>
        <w:spacing w:after="0" w:line="218" w:lineRule="exact"/>
        <w:rPr>
          <w:sz w:val="20"/>
          <w:szCs w:val="20"/>
          <w:color w:val="auto"/>
        </w:rPr>
      </w:pPr>
    </w:p>
    <w:p>
      <w:pPr>
        <w:ind w:right="400" w:firstLine="485"/>
        <w:spacing w:after="0" w:line="337" w:lineRule="auto"/>
        <w:rPr>
          <w:sz w:val="20"/>
          <w:szCs w:val="20"/>
          <w:color w:val="auto"/>
        </w:rPr>
      </w:pPr>
      <w:r>
        <w:rPr>
          <w:rFonts w:ascii="Arial" w:cs="Arial" w:eastAsia="Arial" w:hAnsi="Arial"/>
          <w:sz w:val="16"/>
          <w:szCs w:val="16"/>
          <w:i w:val="1"/>
          <w:iCs w:val="1"/>
          <w:color w:val="auto"/>
        </w:rPr>
        <w:t xml:space="preserve">Warrants - </w:t>
      </w:r>
      <w:r>
        <w:rPr>
          <w:rFonts w:ascii="Arial" w:cs="Arial" w:eastAsia="Arial" w:hAnsi="Arial"/>
          <w:sz w:val="16"/>
          <w:szCs w:val="16"/>
          <w:color w:val="auto"/>
        </w:rPr>
        <w:t>In December 2018, the Company issued the December warrants to purchase up to an aggregate of 26,666,667 shares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an exercise price of $1.60 per share. During 2019, the Company repurchased 3,333,334 December warrants and modified 11,750,000 December warrants, of which 4,500,000 were subsequently exercised. In December 2019, 11,583,333 December warrants expired unexercised. As of December 31, 2019, 7,250,000 December warrants remain exercisable until June 26, 2020 at an exercise price of $1.60 per share.</w:t>
      </w:r>
    </w:p>
    <w:p>
      <w:pPr>
        <w:spacing w:after="0" w:line="128" w:lineRule="exact"/>
        <w:rPr>
          <w:sz w:val="20"/>
          <w:szCs w:val="20"/>
          <w:color w:val="auto"/>
        </w:rPr>
      </w:pPr>
    </w:p>
    <w:p>
      <w:pPr>
        <w:jc w:val="both"/>
        <w:ind w:right="180" w:firstLine="485"/>
        <w:spacing w:after="0" w:line="271" w:lineRule="auto"/>
        <w:rPr>
          <w:sz w:val="20"/>
          <w:szCs w:val="20"/>
          <w:color w:val="auto"/>
        </w:rPr>
      </w:pPr>
      <w:r>
        <w:rPr>
          <w:rFonts w:ascii="Arial" w:cs="Arial" w:eastAsia="Arial" w:hAnsi="Arial"/>
          <w:sz w:val="18"/>
          <w:szCs w:val="18"/>
          <w:color w:val="auto"/>
        </w:rPr>
        <w:t>On August 6, 2019, in connection with the MidCap Credit Facility, the Company issued warrants to purchase an aggregate of 1,171,614 shares of the Company’s common stock, at an exercise price equal to $1.11 per share, to the lenders. Additional MidCap warrants will be issued if the Company accesses additional tranches under the MidCap Credit Facility (see Note 7 — Borrowings).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ind w:firstLine="485"/>
        <w:spacing w:after="0" w:line="259"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During the second quarter of 2018, the Company entered into a lease agreement with Enterprise Fleet Management Inc. for the lease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119 vehicles. The lease requires monthly payments of approximately $83,000 per month including the cost of maintaining the vehicles, taxes and insurance. The lease commenced when the Company took possession of the majority of the vehicles in the second quarter of 2018 and expires 48 months after the delivery date.</w:t>
      </w:r>
    </w:p>
    <w:p>
      <w:pPr>
        <w:spacing w:after="0" w:line="187" w:lineRule="exact"/>
        <w:rPr>
          <w:sz w:val="20"/>
          <w:szCs w:val="20"/>
          <w:color w:val="auto"/>
        </w:rPr>
      </w:pPr>
    </w:p>
    <w:p>
      <w:pPr>
        <w:ind w:right="220" w:firstLine="485"/>
        <w:spacing w:after="0" w:line="259" w:lineRule="auto"/>
        <w:rPr>
          <w:sz w:val="20"/>
          <w:szCs w:val="20"/>
          <w:color w:val="auto"/>
        </w:rPr>
      </w:pPr>
      <w:r>
        <w:rPr>
          <w:rFonts w:ascii="Arial" w:cs="Arial" w:eastAsia="Arial" w:hAnsi="Arial"/>
          <w:sz w:val="18"/>
          <w:szCs w:val="18"/>
          <w:color w:val="auto"/>
        </w:rPr>
        <w:t>As of December 31, 2019, 29 vehicles were removed from the fleet, resulting in a fleet size of 90 vehicles; no gain or loss was recorded. The revised monthly payment inclusive of maintenance fees, insurance and taxes is $65,000 and the reduction of the right of use asset and lease obligation is approximately $0.4 million in our consolidated balance sheets. The lease expense is included in selling, general and administrative expenses in the accompanying consolidated statement of operations for the year ended December 31, 2019.</w:t>
      </w:r>
    </w:p>
    <w:p>
      <w:pPr>
        <w:spacing w:after="0" w:line="187" w:lineRule="exact"/>
        <w:rPr>
          <w:sz w:val="20"/>
          <w:szCs w:val="20"/>
          <w:color w:val="auto"/>
        </w:rPr>
      </w:pPr>
    </w:p>
    <w:p>
      <w:pPr>
        <w:jc w:val="both"/>
        <w:ind w:right="260" w:firstLine="485"/>
        <w:spacing w:after="0" w:line="286" w:lineRule="auto"/>
        <w:rPr>
          <w:sz w:val="20"/>
          <w:szCs w:val="20"/>
          <w:color w:val="auto"/>
        </w:rPr>
      </w:pPr>
      <w:r>
        <w:rPr>
          <w:rFonts w:ascii="Arial" w:cs="Arial" w:eastAsia="Arial" w:hAnsi="Arial"/>
          <w:sz w:val="17"/>
          <w:szCs w:val="17"/>
          <w:color w:val="auto"/>
        </w:rPr>
        <w:t>Upon adoption of ASC 842, the agreement was classified as an operating lease which resulted in recording right-of-use assets and lease liabilities of approximately $1.6 million and $1.9 million, respectively, as of January 1, 2019. These amounts included approximately $1.6 million of non-current other assets and approximately $0.6 million and $1.3 million of other current liabilities and operating lease liabilities, respectively.</w:t>
      </w:r>
    </w:p>
    <w:p>
      <w:pPr>
        <w:spacing w:after="0" w:line="193" w:lineRule="exact"/>
        <w:rPr>
          <w:sz w:val="20"/>
          <w:szCs w:val="20"/>
          <w:color w:val="auto"/>
        </w:rPr>
      </w:pPr>
    </w:p>
    <w:p>
      <w:pPr>
        <w:ind w:right="40" w:firstLine="485"/>
        <w:spacing w:after="0" w:line="255"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On May 5,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 month concession from October 2017 through February 2018. The lease also provides for allowances for tenant alterations and maintenance. The lease expires in January 2023 and provides the Company with a five year renewal option. The lease expense is included in selling, general and administrative expenses in the accompanying consolidated statement of operations for year ended December 31, 2019.</w:t>
      </w:r>
    </w:p>
    <w:p>
      <w:pPr>
        <w:spacing w:after="0" w:line="193" w:lineRule="exact"/>
        <w:rPr>
          <w:sz w:val="20"/>
          <w:szCs w:val="20"/>
          <w:color w:val="auto"/>
        </w:rPr>
      </w:pPr>
    </w:p>
    <w:p>
      <w:pPr>
        <w:ind w:right="60" w:firstLine="485"/>
        <w:spacing w:after="0" w:line="255" w:lineRule="auto"/>
        <w:rPr>
          <w:sz w:val="20"/>
          <w:szCs w:val="20"/>
          <w:color w:val="auto"/>
        </w:rPr>
      </w:pPr>
      <w:r>
        <w:rPr>
          <w:rFonts w:ascii="Arial" w:cs="Arial" w:eastAsia="Arial" w:hAnsi="Arial"/>
          <w:sz w:val="18"/>
          <w:szCs w:val="18"/>
          <w:color w:val="auto"/>
        </w:rPr>
        <w:t>On November 29,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 year renewal option.</w:t>
      </w:r>
    </w:p>
    <w:p>
      <w:pPr>
        <w:spacing w:after="0" w:line="193" w:lineRule="exact"/>
        <w:rPr>
          <w:sz w:val="20"/>
          <w:szCs w:val="20"/>
          <w:color w:val="auto"/>
        </w:rPr>
      </w:pPr>
    </w:p>
    <w:p>
      <w:pPr>
        <w:ind w:right="380" w:firstLine="485"/>
        <w:spacing w:after="0" w:line="264" w:lineRule="auto"/>
        <w:rPr>
          <w:sz w:val="20"/>
          <w:szCs w:val="20"/>
          <w:color w:val="auto"/>
        </w:rPr>
      </w:pPr>
      <w:r>
        <w:rPr>
          <w:rFonts w:ascii="Arial" w:cs="Arial" w:eastAsia="Arial" w:hAnsi="Arial"/>
          <w:sz w:val="18"/>
          <w:szCs w:val="18"/>
          <w:color w:val="auto"/>
        </w:rPr>
        <w:t>Upon adoption of ASC 842, this lease was classified as an operating lease which resulted in recording right-of-use assets and lease liabilities of approximately $3.2 million and $3.5 million, respectively, as of January 1, 2019. These amounts included approximately $0.9 million and $2.6 million of other current liabilities and operating lease liabilities, respectively.</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Operating lease costs under all operating leases including office space and equipment for the year ended December 31, 2019 was approximately</w:t>
      </w:r>
    </w:p>
    <w:p>
      <w:pPr>
        <w:spacing w:after="0" w:line="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$1.5 million. Cash paid for all operating leases for the year ended December 31, 2019 was $1.8 million. Variable lease costs were approximately $0.4 million for the year ended December 31, 2019. The weighted average discount rate used was 7.5%. The weighted-average remaining lease term for all operating leases is 3.0 years.</w:t>
      </w:r>
    </w:p>
    <w:p>
      <w:pPr>
        <w:spacing w:after="0" w:line="181" w:lineRule="exact"/>
        <w:rPr>
          <w:sz w:val="20"/>
          <w:szCs w:val="20"/>
          <w:color w:val="auto"/>
        </w:rPr>
      </w:pPr>
    </w:p>
    <w:p>
      <w:pPr>
        <w:ind w:right="100" w:firstLine="485"/>
        <w:spacing w:after="0" w:line="277" w:lineRule="auto"/>
        <w:rPr>
          <w:sz w:val="20"/>
          <w:szCs w:val="20"/>
          <w:color w:val="auto"/>
        </w:rPr>
      </w:pPr>
      <w:r>
        <w:rPr>
          <w:rFonts w:ascii="Arial" w:cs="Arial" w:eastAsia="Arial" w:hAnsi="Arial"/>
          <w:sz w:val="18"/>
          <w:szCs w:val="18"/>
          <w:color w:val="auto"/>
        </w:rPr>
        <w:t>Rent expense under all operating leases for the year ended December 31, 2018, including office space and equipment, was approximately $0.5 million prior to the adoption of ASC topic 842.</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minimum office and vehicle lease payments as of December 31, 2019 and 2018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jc w:val="right"/>
              <w:ind w:right="7410"/>
              <w:spacing w:after="0"/>
              <w:rPr>
                <w:sz w:val="20"/>
                <w:szCs w:val="20"/>
                <w:color w:val="auto"/>
              </w:rPr>
            </w:pPr>
            <w:r>
              <w:rPr>
                <w:rFonts w:ascii="Arial" w:cs="Arial" w:eastAsia="Arial" w:hAnsi="Arial"/>
                <w:sz w:val="18"/>
                <w:szCs w:val="18"/>
                <w:color w:val="auto"/>
                <w:w w:val="84"/>
              </w:rPr>
              <w:t>2019</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1,595,421</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jc w:val="right"/>
              <w:ind w:right="7410"/>
              <w:spacing w:after="0"/>
              <w:rPr>
                <w:sz w:val="20"/>
                <w:szCs w:val="20"/>
                <w:color w:val="auto"/>
              </w:rPr>
            </w:pPr>
            <w:r>
              <w:rPr>
                <w:rFonts w:ascii="Arial" w:cs="Arial" w:eastAsia="Arial" w:hAnsi="Arial"/>
                <w:sz w:val="18"/>
                <w:szCs w:val="18"/>
                <w:color w:val="auto"/>
                <w:w w:val="84"/>
              </w:rPr>
              <w:t>2020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1,470,217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1,623,835</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jc w:val="right"/>
              <w:ind w:right="7410"/>
              <w:spacing w:after="0"/>
              <w:rPr>
                <w:sz w:val="20"/>
                <w:szCs w:val="20"/>
                <w:color w:val="auto"/>
              </w:rPr>
            </w:pPr>
            <w:r>
              <w:rPr>
                <w:rFonts w:ascii="Arial" w:cs="Arial" w:eastAsia="Arial" w:hAnsi="Arial"/>
                <w:sz w:val="18"/>
                <w:szCs w:val="18"/>
                <w:color w:val="auto"/>
                <w:w w:val="84"/>
              </w:rPr>
              <w:t>2021</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1,499,484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1,653,101</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jc w:val="right"/>
              <w:ind w:right="7410"/>
              <w:spacing w:after="0"/>
              <w:rPr>
                <w:sz w:val="20"/>
                <w:szCs w:val="20"/>
                <w:color w:val="auto"/>
              </w:rPr>
            </w:pPr>
            <w:r>
              <w:rPr>
                <w:rFonts w:ascii="Arial" w:cs="Arial" w:eastAsia="Arial" w:hAnsi="Arial"/>
                <w:sz w:val="18"/>
                <w:szCs w:val="18"/>
                <w:color w:val="auto"/>
                <w:w w:val="84"/>
              </w:rPr>
              <w:t>2022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1,241,089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1,305,096</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jc w:val="right"/>
              <w:ind w:right="7410"/>
              <w:spacing w:after="0"/>
              <w:rPr>
                <w:sz w:val="20"/>
                <w:szCs w:val="20"/>
                <w:color w:val="auto"/>
              </w:rPr>
            </w:pPr>
            <w:r>
              <w:rPr>
                <w:rFonts w:ascii="Arial" w:cs="Arial" w:eastAsia="Arial" w:hAnsi="Arial"/>
                <w:sz w:val="18"/>
                <w:szCs w:val="18"/>
                <w:color w:val="auto"/>
                <w:w w:val="84"/>
              </w:rPr>
              <w:t>2023</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Pr>
          <w:p>
            <w:pPr>
              <w:jc w:val="right"/>
              <w:ind w:right="715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4,298,747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6,265,410</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580" w:hanging="5130"/>
        <w:spacing w:after="0" w:line="528" w:lineRule="auto"/>
        <w:rPr>
          <w:sz w:val="20"/>
          <w:szCs w:val="20"/>
          <w:color w:val="auto"/>
        </w:rPr>
      </w:pPr>
      <w:r>
        <w:rPr>
          <w:rFonts w:ascii="Arial" w:cs="Arial" w:eastAsia="Arial" w:hAnsi="Arial"/>
          <w:sz w:val="18"/>
          <w:szCs w:val="18"/>
          <w:color w:val="auto"/>
        </w:rPr>
        <w:t>The 2018 amounts above are inclusive of office and vehicle lease payments in order to conform to the current year’s presentation.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14. Employee Benefit Plans</w:t>
      </w:r>
    </w:p>
    <w:p>
      <w:pPr>
        <w:spacing w:after="0" w:line="135" w:lineRule="exact"/>
        <w:rPr>
          <w:sz w:val="20"/>
          <w:szCs w:val="20"/>
          <w:color w:val="auto"/>
        </w:rPr>
      </w:pPr>
    </w:p>
    <w:p>
      <w:pPr>
        <w:ind w:right="300" w:firstLine="485"/>
        <w:spacing w:after="0" w:line="277" w:lineRule="auto"/>
        <w:rPr>
          <w:sz w:val="20"/>
          <w:szCs w:val="20"/>
          <w:color w:val="auto"/>
        </w:rPr>
      </w:pPr>
      <w:r>
        <w:rPr>
          <w:rFonts w:ascii="Arial" w:cs="Arial" w:eastAsia="Arial" w:hAnsi="Arial"/>
          <w:sz w:val="18"/>
          <w:szCs w:val="18"/>
          <w:color w:val="auto"/>
        </w:rPr>
        <w:t>The Company administers a 401(k) savings retirement plan for its employees. The Company contributed $1.5 million and $1.0 million for the years ended December 31, 2019 and 2018,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800" w:firstLine="485"/>
        <w:spacing w:after="0" w:line="277" w:lineRule="auto"/>
        <w:rPr>
          <w:sz w:val="20"/>
          <w:szCs w:val="20"/>
          <w:color w:val="auto"/>
        </w:rPr>
      </w:pPr>
      <w:r>
        <w:rPr>
          <w:rFonts w:ascii="Arial" w:cs="Arial" w:eastAsia="Arial" w:hAnsi="Arial"/>
          <w:sz w:val="18"/>
          <w:szCs w:val="18"/>
          <w:color w:val="auto"/>
        </w:rPr>
        <w:t>Loss from continuing operations before provision for income tax for the Company’s domestic and international operations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60" w:type="dxa"/>
            <w:vAlign w:val="bottom"/>
            <w:tcBorders>
              <w:top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(51,044)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(84,207)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(2,528)</w:t>
            </w:r>
          </w:p>
        </w:tc>
      </w:tr>
      <w:tr>
        <w:trPr>
          <w:trHeight w:val="223"/>
        </w:trPr>
        <w:tc>
          <w:tcPr>
            <w:tcW w:w="7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(51,903)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(86,735)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85"/>
        <w:spacing w:after="0" w:line="280" w:lineRule="auto"/>
        <w:rPr>
          <w:sz w:val="20"/>
          <w:szCs w:val="20"/>
          <w:color w:val="auto"/>
        </w:rPr>
      </w:pPr>
      <w:r>
        <w:rPr>
          <w:rFonts w:ascii="Arial" w:cs="Arial" w:eastAsia="Arial" w:hAnsi="Arial"/>
          <w:sz w:val="17"/>
          <w:szCs w:val="17"/>
          <w:color w:val="auto"/>
        </w:rPr>
        <w:t>At December 31, 2019, the Company has concluded that it is more likely than not that the Company may not realize the benefit of its deferred tax assets due to its history of losses. There was no provision for income tax recorded for the year ended December 31, 2019 as a result of the current year losses. The provision for income taxes for the year ended December 31, 2018 was $0.2 million. The provision for income taxes relates only to withholding taxes for the year ended December 31, 2018 because the Company has incurred operating losses since inception. Accordingly, the net deferred tax assets have been fully reserved. The provision for income taxes consists of the following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4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U.S. federal</w:t>
            </w:r>
          </w:p>
        </w:tc>
        <w:tc>
          <w:tcPr>
            <w:tcW w:w="5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state</w:t>
            </w:r>
          </w:p>
        </w:tc>
        <w:tc>
          <w:tcPr>
            <w:tcW w:w="4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Non-U.S.</w:t>
            </w:r>
          </w:p>
        </w:tc>
        <w:tc>
          <w:tcPr>
            <w:tcW w:w="4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current</w:t>
            </w:r>
          </w:p>
        </w:tc>
        <w:tc>
          <w:tcPr>
            <w:tcW w:w="4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Deferred</w:t>
            </w:r>
          </w:p>
        </w:tc>
        <w:tc>
          <w:tcPr>
            <w:tcW w:w="4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federal</w:t>
            </w:r>
          </w:p>
        </w:tc>
        <w:tc>
          <w:tcPr>
            <w:tcW w:w="4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(8,551)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U.S. state</w:t>
            </w:r>
          </w:p>
        </w:tc>
        <w:tc>
          <w:tcPr>
            <w:tcW w:w="4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w:t>
            </w:r>
          </w:p>
        </w:tc>
        <w:tc>
          <w:tcPr>
            <w:tcW w:w="4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deferred</w:t>
            </w:r>
          </w:p>
        </w:tc>
        <w:tc>
          <w:tcPr>
            <w:tcW w:w="41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(5,252)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(11,067)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4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418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180" w:type="dxa"/>
            <w:vAlign w:val="bottom"/>
            <w:vMerge w:val="restart"/>
          </w:tcPr>
          <w:p>
            <w:pPr>
              <w:jc w:val="right"/>
              <w:ind w:right="1970"/>
              <w:spacing w:after="0"/>
              <w:rPr>
                <w:sz w:val="20"/>
                <w:szCs w:val="20"/>
                <w:color w:val="auto"/>
              </w:rPr>
            </w:pPr>
            <w:r>
              <w:rPr>
                <w:rFonts w:ascii="Arial" w:cs="Arial" w:eastAsia="Arial" w:hAnsi="Arial"/>
                <w:sz w:val="18"/>
                <w:szCs w:val="18"/>
                <w:color w:val="auto"/>
              </w:rPr>
              <w:t>81</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68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83" w:name="page84"/>
    <w:bookmarkEnd w:id="83"/>
    <w:p>
      <w:pPr>
        <w:jc w:val="both"/>
        <w:ind w:right="60" w:firstLine="485"/>
        <w:spacing w:after="0" w:line="28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as of December 31, 2019 and 2018, are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4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531,970</w:t>
            </w:r>
          </w:p>
        </w:tc>
        <w:tc>
          <w:tcPr>
            <w:tcW w:w="220" w:type="dxa"/>
            <w:vAlign w:val="bottom"/>
          </w:tcPr>
          <w:p>
            <w:pPr>
              <w:spacing w:after="0"/>
              <w:rPr>
                <w:sz w:val="19"/>
                <w:szCs w:val="19"/>
                <w:color w:val="auto"/>
              </w:rPr>
            </w:pP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524,377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80,488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40"/>
              <w:spacing w:after="0"/>
              <w:rPr>
                <w:sz w:val="20"/>
                <w:szCs w:val="20"/>
                <w:color w:val="auto"/>
              </w:rPr>
            </w:pPr>
            <w:r>
              <w:rPr>
                <w:rFonts w:ascii="Arial" w:cs="Arial" w:eastAsia="Arial" w:hAnsi="Arial"/>
                <w:sz w:val="18"/>
                <w:szCs w:val="18"/>
                <w:color w:val="auto"/>
              </w:rPr>
              <w:t>Capitalized research</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Milestone Rights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Loss on purchase commitment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40"/>
              <w:spacing w:after="0"/>
              <w:rPr>
                <w:sz w:val="20"/>
                <w:szCs w:val="20"/>
                <w:color w:val="auto"/>
              </w:rPr>
            </w:pPr>
            <w:r>
              <w:rPr>
                <w:rFonts w:ascii="Arial" w:cs="Arial" w:eastAsia="Arial" w:hAnsi="Arial"/>
                <w:sz w:val="18"/>
                <w:szCs w:val="18"/>
                <w:color w:val="auto"/>
              </w:rPr>
              <w:t>Non-qualified stock option expense</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Capitalized patent costs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40"/>
              <w:spacing w:after="0"/>
              <w:rPr>
                <w:sz w:val="20"/>
                <w:szCs w:val="20"/>
                <w:color w:val="auto"/>
              </w:rPr>
            </w:pPr>
            <w:r>
              <w:rPr>
                <w:rFonts w:ascii="Arial" w:cs="Arial" w:eastAsia="Arial" w:hAnsi="Arial"/>
                <w:sz w:val="18"/>
                <w:szCs w:val="18"/>
                <w:color w:val="auto"/>
              </w:rPr>
              <w:t>Interest expense limitation</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21,132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Deferred Product Revenue &amp; Costs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2,062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671,575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665,365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(670,617)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(665,365)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40"/>
              <w:spacing w:after="0"/>
              <w:rPr>
                <w:sz w:val="20"/>
                <w:szCs w:val="20"/>
                <w:color w:val="auto"/>
              </w:rPr>
            </w:pPr>
            <w:r>
              <w:rPr>
                <w:rFonts w:ascii="Arial" w:cs="Arial" w:eastAsia="Arial" w:hAnsi="Arial"/>
                <w:sz w:val="18"/>
                <w:szCs w:val="18"/>
                <w:color w:val="auto"/>
              </w:rPr>
              <w:t>Right of use asset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(751)</w:t>
            </w:r>
          </w:p>
        </w:tc>
        <w:tc>
          <w:tcPr>
            <w:tcW w:w="6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prepaids</w:t>
            </w: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gridSpan w:val="3"/>
          </w:tcPr>
          <w:p>
            <w:pPr>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400" w:type="dxa"/>
            <w:vAlign w:val="bottom"/>
            <w:gridSpan w:val="11"/>
          </w:tcPr>
          <w:p>
            <w:pPr>
              <w:ind w:left="480"/>
              <w:spacing w:after="0"/>
              <w:rPr>
                <w:sz w:val="20"/>
                <w:szCs w:val="20"/>
                <w:color w:val="auto"/>
              </w:rPr>
            </w:pPr>
            <w:r>
              <w:rPr>
                <w:rFonts w:ascii="Arial" w:cs="Arial" w:eastAsia="Arial" w:hAnsi="Arial"/>
                <w:sz w:val="18"/>
                <w:szCs w:val="18"/>
                <w:color w:val="auto"/>
                <w:w w:val="94"/>
              </w:rPr>
              <w:t>The Company’s effective income tax rate differs from the statutory federal income tax rate as follows for the years ended December 31, 2019 and</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Federal tax benefit rate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law changes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attribute expirations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Foreign withholding tax</w:t>
            </w: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5"/>
        <w:spacing w:after="0" w:line="273" w:lineRule="auto"/>
        <w:rPr>
          <w:sz w:val="20"/>
          <w:szCs w:val="20"/>
          <w:color w:val="auto"/>
        </w:rPr>
      </w:pPr>
      <w:r>
        <w:rPr>
          <w:rFonts w:ascii="Arial" w:cs="Arial" w:eastAsia="Arial" w:hAnsi="Arial"/>
          <w:sz w:val="17"/>
          <w:szCs w:val="17"/>
          <w:color w:val="auto"/>
        </w:rPr>
        <w:t xml:space="preserve">As of December 31, 2019 and 2018, management assessed the realizability of deferred tax assets. Management evaluated the need for an amount of any valuation allowance for deferred tax assets on a jurisdictional basis. This evaluation utilizes the framework contained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wherein management analyzes all positive and negative evidence available at the balance sheet date to determine whether all or some portion of the Company’s deferred tax assets will not be realized. Under this guidance, a valuation allowance must be established for deferred tax assets when it is more likely than not (a probability level of more than 50%) that the Company may not realize the benefit of its deferred tax assets. In assessing the realization of the Company’s deferred tax assets, the Company considers all available evidence, both positive and negative.</w:t>
      </w:r>
    </w:p>
    <w:p>
      <w:pPr>
        <w:spacing w:after="0" w:line="178" w:lineRule="exact"/>
        <w:rPr>
          <w:sz w:val="20"/>
          <w:szCs w:val="20"/>
          <w:color w:val="auto"/>
        </w:rPr>
      </w:pPr>
    </w:p>
    <w:p>
      <w:pPr>
        <w:ind w:right="40" w:firstLine="485"/>
        <w:spacing w:after="0" w:line="257"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it was concluded on a more-likely-than-not basis that all deferred tax assets were not realizable as of December 31, 2019. Accordingly, a valuation allowance of $670.6 million has been recorded to offset this deferred tax asset. During the years ended December 31, 2019 and 2018, the change in the valuation allowance was $5.3 million and $11.1 million,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ind w:right="260" w:firstLine="485"/>
        <w:spacing w:after="0" w:line="264" w:lineRule="auto"/>
        <w:rPr>
          <w:sz w:val="20"/>
          <w:szCs w:val="20"/>
          <w:color w:val="auto"/>
        </w:rPr>
      </w:pPr>
      <w:r>
        <w:rPr>
          <w:rFonts w:ascii="Arial" w:cs="Arial" w:eastAsia="Arial" w:hAnsi="Arial"/>
          <w:sz w:val="18"/>
          <w:szCs w:val="18"/>
          <w:color w:val="auto"/>
        </w:rPr>
        <w:t>At December 31, 2019, the Company had federal and state net operating loss carryforwards of approximately $2.1 billion and $1.3 billion available, respectively, to reduce future taxable income. $117.8 million of the federal losses do not expire and the remaining federal and state losses have started expiring, beginning in the current year through various future dates.</w:t>
      </w:r>
    </w:p>
    <w:p>
      <w:pPr>
        <w:spacing w:after="0" w:line="181" w:lineRule="exact"/>
        <w:rPr>
          <w:sz w:val="20"/>
          <w:szCs w:val="20"/>
          <w:color w:val="auto"/>
        </w:rPr>
      </w:pPr>
    </w:p>
    <w:p>
      <w:pPr>
        <w:ind w:firstLine="485"/>
        <w:spacing w:after="0" w:line="269" w:lineRule="auto"/>
        <w:rPr>
          <w:sz w:val="20"/>
          <w:szCs w:val="20"/>
          <w:color w:val="auto"/>
        </w:rPr>
      </w:pPr>
      <w:r>
        <w:rPr>
          <w:rFonts w:ascii="Arial" w:cs="Arial" w:eastAsia="Arial" w:hAnsi="Arial"/>
          <w:sz w:val="17"/>
          <w:szCs w:val="17"/>
          <w:color w:val="auto"/>
        </w:rPr>
        <w:t>Pursuant to Internal Revenue Code (“IRC”) Sections 382 and 383, annual use of the Company’s federal and state net operating loss and research and development credit carryforwards may be limited in the event a cumulative change in ownership of more than 50% occurs within a three-year period. As a result of the Company's initial public offering, an ownership change within the meaning of Internal Revenue Code Section 382 occurred in August 2004. As a result, federal net operating loss and credit carryforwards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to the end of the previous tax year regarding whether additional limitations may be placed on the net operating loss carryforwards and other tax attributes, and no additional changes in ownership that met Section 382 study ownership change threshold has been identified through December 31, 2019. There is a risk that changes in ownership may occur in tax years after December 31, 2019.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At December 31, 2019, the Company had $54.2 million of U.S. federal research and development credits which expire beginning in 2024,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$26.3 million of state research and development credits. The California credits do not expire and the New Jersey credits will begin to expire in 2020.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also had two types of credits in Connecticut of which $15.7 million do not expire and $0.9 million will begin to expire in 2020. Due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existence of the valuation allowance, the expiration of the research and development credits will not impact the Company’s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11" w:lineRule="exact"/>
        <w:rPr>
          <w:sz w:val="20"/>
          <w:szCs w:val="20"/>
          <w:color w:val="auto"/>
        </w:rPr>
      </w:pPr>
    </w:p>
    <w:p>
      <w:pPr>
        <w:ind w:right="120" w:firstLine="485"/>
        <w:spacing w:after="0" w:line="259" w:lineRule="auto"/>
        <w:rPr>
          <w:sz w:val="20"/>
          <w:szCs w:val="20"/>
          <w:color w:val="auto"/>
        </w:rPr>
      </w:pPr>
      <w:r>
        <w:rPr>
          <w:rFonts w:ascii="Arial" w:cs="Arial" w:eastAsia="Arial" w:hAnsi="Arial"/>
          <w:sz w:val="18"/>
          <w:szCs w:val="18"/>
          <w:color w:val="auto"/>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laws. The Company’s tax years since 2015 remain subject to examination by federal, state and foreign tax authorities.</w:t>
      </w:r>
    </w:p>
    <w:p>
      <w:pPr>
        <w:spacing w:after="0" w:line="187" w:lineRule="exact"/>
        <w:rPr>
          <w:sz w:val="20"/>
          <w:szCs w:val="20"/>
          <w:color w:val="auto"/>
        </w:rPr>
      </w:pPr>
    </w:p>
    <w:p>
      <w:pPr>
        <w:ind w:right="180" w:firstLine="485"/>
        <w:spacing w:after="0" w:line="308" w:lineRule="auto"/>
        <w:rPr>
          <w:sz w:val="20"/>
          <w:szCs w:val="20"/>
          <w:color w:val="auto"/>
        </w:rPr>
      </w:pPr>
      <w:r>
        <w:rPr>
          <w:rFonts w:ascii="Arial" w:cs="Arial" w:eastAsia="Arial" w:hAnsi="Arial"/>
          <w:sz w:val="17"/>
          <w:szCs w:val="17"/>
          <w:color w:val="auto"/>
        </w:rPr>
        <w:t>The Company considers its undistributed earnings of foreign subsidiaries to be permanently reinvested in foreign operations and has not provided for U.S. income taxes on such earnings. As of December 31, 2019 the Company had no undistributed earnings from its foreign subsidiaries.</w:t>
      </w:r>
    </w:p>
    <w:p>
      <w:pPr>
        <w:spacing w:after="0" w:line="147" w:lineRule="exact"/>
        <w:rPr>
          <w:sz w:val="20"/>
          <w:szCs w:val="20"/>
          <w:color w:val="auto"/>
        </w:rPr>
      </w:pPr>
    </w:p>
    <w:p>
      <w:pPr>
        <w:ind w:right="160" w:firstLine="485"/>
        <w:spacing w:after="0" w:line="257" w:lineRule="auto"/>
        <w:rPr>
          <w:sz w:val="20"/>
          <w:szCs w:val="20"/>
          <w:color w:val="auto"/>
        </w:rPr>
      </w:pPr>
      <w:r>
        <w:rPr>
          <w:rFonts w:ascii="Arial" w:cs="Arial" w:eastAsia="Arial" w:hAnsi="Arial"/>
          <w:sz w:val="18"/>
          <w:szCs w:val="18"/>
          <w:color w:val="auto"/>
        </w:rPr>
        <w:t>The Company adopted Accounting Standards Codification (“ASC”) Topic 842 – Leases, on January 1, 2019. Under Topic 842, the Company is required to recognize the assets and liabilities that arise from most operating leases on the balance sheet. Upon adoption, no change in retained earnings was recorded related to income taxes as the Company maintains a full valuation allowance. As of the implementation date, an adjustment of $0.7 million was recorded as a deferred tax liability and an adjustment of $0.7 million was recorded as a deferred tax asset. See above for more information about the non-income tax impact of the adoption of the new leasing standard.</w:t>
      </w:r>
    </w:p>
    <w:p>
      <w:pPr>
        <w:spacing w:after="0" w:line="188" w:lineRule="exact"/>
        <w:rPr>
          <w:sz w:val="20"/>
          <w:szCs w:val="20"/>
          <w:color w:val="auto"/>
        </w:rPr>
      </w:pPr>
    </w:p>
    <w:p>
      <w:pPr>
        <w:ind w:firstLine="485"/>
        <w:spacing w:after="0" w:line="261" w:lineRule="auto"/>
        <w:rPr>
          <w:sz w:val="20"/>
          <w:szCs w:val="20"/>
          <w:color w:val="auto"/>
        </w:rPr>
      </w:pPr>
      <w:r>
        <w:rPr>
          <w:rFonts w:ascii="Arial" w:cs="Arial" w:eastAsia="Arial" w:hAnsi="Arial"/>
          <w:sz w:val="18"/>
          <w:szCs w:val="18"/>
          <w:color w:val="auto"/>
        </w:rPr>
        <w:t>Legislation enacted in 2017, informally titled the Tax Cuts and Jobs Act of 2017, subjects a U.S. shareholder to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The Company has elected to account for GILTI in the year the tax is incurred.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Summarized quarterly financial data for the years ended December 31, 2019 and 2018, are set forth in the following tables: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600" w:type="dxa"/>
            <w:vAlign w:val="bottom"/>
            <w:tcBorders>
              <w:top w:val="single" w:sz="8" w:color="auto"/>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revenues</w:t>
            </w:r>
          </w:p>
        </w:tc>
        <w:tc>
          <w:tcPr>
            <w:tcW w:w="1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17,448</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15,002</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14,595</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15,993</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4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to compute</w:t>
            </w: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 per share — basic and diluted</w:t>
            </w:r>
          </w:p>
        </w:tc>
        <w:tc>
          <w:tcPr>
            <w:tcW w:w="1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187,434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199,906</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206,689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(30,385)</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(22,675)</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to compute</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net loss per share — basic and diluted</w:t>
            </w:r>
          </w:p>
        </w:tc>
        <w:tc>
          <w:tcPr>
            <w:tcW w:w="1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120,911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140,054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153,597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4.3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00" w:lineRule="exact"/>
        <w:rPr>
          <w:sz w:val="20"/>
          <w:szCs w:val="20"/>
          <w:color w:val="auto"/>
        </w:rPr>
      </w:pPr>
    </w:p>
    <w:p>
      <w:pPr>
        <w:spacing w:after="0" w:line="255" w:lineRule="exact"/>
        <w:rPr>
          <w:sz w:val="20"/>
          <w:szCs w:val="20"/>
          <w:color w:val="auto"/>
        </w:rPr>
      </w:pPr>
    </w:p>
    <w:p>
      <w:pPr>
        <w:jc w:val="both"/>
        <w:ind w:firstLine="598"/>
        <w:spacing w:after="0" w:line="238" w:lineRule="auto"/>
        <w:rPr>
          <w:sz w:val="20"/>
          <w:szCs w:val="20"/>
          <w:color w:val="auto"/>
        </w:rPr>
      </w:pPr>
      <w:r>
        <w:rPr>
          <w:rFonts w:ascii="Arial" w:cs="Arial" w:eastAsia="Arial" w:hAnsi="Arial"/>
          <w:sz w:val="22"/>
          <w:szCs w:val="22"/>
          <w:color w:val="auto"/>
        </w:rPr>
        <w:t>Our authorized capital stock consists of 280,000,000 shares of common stock, $0.01 par value, and 10,000,000 shares of preferred stock, $0.01 par value. All of our authorized preferred stock is undesignated. Our board of directors is authorized, without stockholder approval except as required by the listing standards of The Nasdaq Stock Market LLC, to issue additional shares of our capital stock.</w:t>
      </w:r>
    </w:p>
    <w:p>
      <w:pPr>
        <w:spacing w:after="0" w:line="307" w:lineRule="exact"/>
        <w:rPr>
          <w:sz w:val="20"/>
          <w:szCs w:val="20"/>
          <w:color w:val="auto"/>
        </w:rPr>
      </w:pPr>
    </w:p>
    <w:p>
      <w:pPr>
        <w:jc w:val="both"/>
        <w:ind w:firstLine="598"/>
        <w:spacing w:after="0" w:line="252" w:lineRule="auto"/>
        <w:rPr>
          <w:sz w:val="20"/>
          <w:szCs w:val="20"/>
          <w:color w:val="auto"/>
        </w:rPr>
      </w:pPr>
      <w:r>
        <w:rPr>
          <w:rFonts w:ascii="Arial" w:cs="Arial" w:eastAsia="Arial" w:hAnsi="Arial"/>
          <w:sz w:val="21"/>
          <w:szCs w:val="21"/>
          <w:color w:val="auto"/>
        </w:rPr>
        <w:t>The following summary description of our common stock is based on the provisions of our amended and restated certificate of incorporation, as amended, or our Certificate of Incorporation, and amended and restated bylaws, or our Bylaws, and the applicable provisions of the Delaware General Corporation Law, or DGCL. This information is qualified entirely by reference to the applicable provisions of our Certificate of Incorporation, Bylaws and the DGCL.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00" w:lineRule="exact"/>
        <w:rPr>
          <w:sz w:val="20"/>
          <w:szCs w:val="20"/>
          <w:color w:val="auto"/>
        </w:rPr>
      </w:pPr>
    </w:p>
    <w:p>
      <w:pPr>
        <w:spacing w:after="0" w:line="255" w:lineRule="exact"/>
        <w:rPr>
          <w:sz w:val="20"/>
          <w:szCs w:val="20"/>
          <w:color w:val="auto"/>
        </w:rPr>
      </w:pPr>
    </w:p>
    <w:p>
      <w:pPr>
        <w:jc w:val="both"/>
        <w:ind w:firstLine="598"/>
        <w:spacing w:after="0" w:line="235" w:lineRule="auto"/>
        <w:rPr>
          <w:sz w:val="20"/>
          <w:szCs w:val="20"/>
          <w:color w:val="auto"/>
        </w:rPr>
      </w:pPr>
      <w:r>
        <w:rPr>
          <w:rFonts w:ascii="Arial" w:cs="Arial" w:eastAsia="Arial" w:hAnsi="Arial"/>
          <w:sz w:val="22"/>
          <w:szCs w:val="22"/>
          <w:color w:val="auto"/>
        </w:rPr>
        <w:t>Each holder of our common stock is entitled to one vote for each share on all matters submitted to a vote of our stockholders, including the election of our directors. Under our Certificate of Incorporation and Bylaws, our stockholders will not have cumulative voting rights. Accordingly, the holders of a majority of our outstanding shares of common stock entitled to vote in any election of directors can elect all of the directors standing for election, if they should so choose. In all other matters, an action by our common stockholders requires the affirmative vote of the holders of a majority of our outstanding shares of common stock entitled to vote.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334" w:lineRule="exact"/>
        <w:rPr>
          <w:sz w:val="20"/>
          <w:szCs w:val="20"/>
          <w:color w:val="auto"/>
        </w:rPr>
      </w:pPr>
    </w:p>
    <w:p>
      <w:pPr>
        <w:jc w:val="both"/>
        <w:ind w:firstLine="598"/>
        <w:spacing w:after="0"/>
        <w:rPr>
          <w:sz w:val="20"/>
          <w:szCs w:val="20"/>
          <w:color w:val="auto"/>
        </w:rPr>
      </w:pPr>
      <w:r>
        <w:rPr>
          <w:rFonts w:ascii="Arial" w:cs="Arial" w:eastAsia="Arial" w:hAnsi="Arial"/>
          <w:sz w:val="22"/>
          <w:szCs w:val="22"/>
          <w:color w:val="auto"/>
        </w:rPr>
        <w:t>Subject to preferences that may be applicable to any outstanding shares of our preferred stock, holders of our common stock are entitled to receive ratably any dividends our board of directors declares out of funds legally available for that purpose. Any dividends on our common stock will be non-cumulative.</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Dissolution or Winding Up</w:t>
      </w:r>
    </w:p>
    <w:p>
      <w:pPr>
        <w:spacing w:after="0" w:line="334"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If we liquidate, dissolve or wind up, the holders of our common stock are entitled to share ratably in all assets legally available for distribution to our stockholders after the payment of all of our debts and other liabilities and the satisfaction of any liquidation preference granted to the holders of any outstanding shares of our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Rights and Preferences</w:t>
      </w:r>
    </w:p>
    <w:p>
      <w:pPr>
        <w:spacing w:after="0" w:line="334" w:lineRule="exact"/>
        <w:rPr>
          <w:sz w:val="20"/>
          <w:szCs w:val="20"/>
          <w:color w:val="auto"/>
        </w:rPr>
      </w:pPr>
    </w:p>
    <w:p>
      <w:pPr>
        <w:jc w:val="both"/>
        <w:ind w:firstLine="598"/>
        <w:spacing w:after="0" w:line="238" w:lineRule="auto"/>
        <w:rPr>
          <w:sz w:val="20"/>
          <w:szCs w:val="20"/>
          <w:color w:val="auto"/>
        </w:rPr>
      </w:pPr>
      <w:r>
        <w:rPr>
          <w:rFonts w:ascii="Arial" w:cs="Arial" w:eastAsia="Arial" w:hAnsi="Arial"/>
          <w:sz w:val="22"/>
          <w:szCs w:val="22"/>
          <w:color w:val="auto"/>
        </w:rPr>
        <w:t>Our common stock has no preemptive, conversion or subscription rights. There are no redemption or sinking fund provisions applicable to our common stock. The rights, preferences and privileges of the holders of our common stock are subject to, and may be adversely affected by, the rights of the holders of any outstanding shares of our preferred stock, which we may designate and issue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“MNKD.”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Anti-Takeover Effects of Provisions of Our Certificate of Incorporation, Our Bylaws and Delaware Law</w:t>
      </w:r>
    </w:p>
    <w:p>
      <w:pPr>
        <w:spacing w:after="0" w:line="200" w:lineRule="exact"/>
        <w:rPr>
          <w:sz w:val="20"/>
          <w:szCs w:val="20"/>
          <w:color w:val="auto"/>
        </w:rPr>
      </w:pPr>
    </w:p>
    <w:p>
      <w:pPr>
        <w:spacing w:after="0" w:line="255" w:lineRule="exact"/>
        <w:rPr>
          <w:sz w:val="20"/>
          <w:szCs w:val="20"/>
          <w:color w:val="auto"/>
        </w:rPr>
      </w:pPr>
    </w:p>
    <w:p>
      <w:pPr>
        <w:ind w:left="560"/>
        <w:spacing w:after="0"/>
        <w:rPr>
          <w:sz w:val="20"/>
          <w:szCs w:val="20"/>
          <w:color w:val="auto"/>
        </w:rPr>
      </w:pPr>
      <w:r>
        <w:rPr>
          <w:rFonts w:ascii="Arial" w:cs="Arial" w:eastAsia="Arial" w:hAnsi="Arial"/>
          <w:sz w:val="22"/>
          <w:szCs w:val="22"/>
          <w:b w:val="1"/>
          <w:bCs w:val="1"/>
          <w:i w:val="1"/>
          <w:iCs w:val="1"/>
          <w:color w:val="auto"/>
        </w:rPr>
        <w:t>Delaware Anti-Takeover Law</w:t>
      </w:r>
    </w:p>
    <w:p>
      <w:pPr>
        <w:spacing w:after="0" w:line="200" w:lineRule="exact"/>
        <w:rPr>
          <w:sz w:val="20"/>
          <w:szCs w:val="20"/>
          <w:color w:val="auto"/>
        </w:rPr>
      </w:pPr>
    </w:p>
    <w:p>
      <w:pPr>
        <w:spacing w:after="0" w:line="249" w:lineRule="exact"/>
        <w:rPr>
          <w:sz w:val="20"/>
          <w:szCs w:val="20"/>
          <w:color w:val="auto"/>
        </w:rPr>
      </w:pPr>
    </w:p>
    <w:p>
      <w:pPr>
        <w:jc w:val="both"/>
        <w:ind w:firstLine="549"/>
        <w:spacing w:after="0"/>
        <w:rPr>
          <w:sz w:val="20"/>
          <w:szCs w:val="20"/>
          <w:color w:val="auto"/>
        </w:rPr>
      </w:pPr>
      <w:r>
        <w:rPr>
          <w:rFonts w:ascii="Arial" w:cs="Arial" w:eastAsia="Arial" w:hAnsi="Arial"/>
          <w:sz w:val="22"/>
          <w:szCs w:val="22"/>
          <w:color w:val="auto"/>
        </w:rPr>
        <w:t>We are subject to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308" w:lineRule="exact"/>
        <w:rPr>
          <w:sz w:val="20"/>
          <w:szCs w:val="20"/>
          <w:color w:val="auto"/>
        </w:rPr>
      </w:pPr>
    </w:p>
    <w:p>
      <w:pPr>
        <w:ind w:left="900" w:hanging="446"/>
        <w:spacing w:after="0" w:line="251" w:lineRule="auto"/>
        <w:tabs>
          <w:tab w:leader="none" w:pos="9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prior to the date of the transaction, the board of directors of the corporation approved either the business combination or the transaction which resulted in the stockholder becoming an interested stockholder;</w:t>
      </w:r>
    </w:p>
    <w:p>
      <w:pPr>
        <w:spacing w:after="0" w:line="315" w:lineRule="exact"/>
        <w:rPr>
          <w:rFonts w:ascii="Arial" w:cs="Arial" w:eastAsia="Arial" w:hAnsi="Arial"/>
          <w:sz w:val="22"/>
          <w:szCs w:val="22"/>
          <w:color w:val="auto"/>
        </w:rPr>
      </w:pPr>
    </w:p>
    <w:p>
      <w:pPr>
        <w:ind w:left="900" w:hanging="446"/>
        <w:spacing w:after="0"/>
        <w:tabs>
          <w:tab w:leader="none" w:pos="900" w:val="left"/>
        </w:tabs>
        <w:numPr>
          <w:ilvl w:val="0"/>
          <w:numId w:val="30"/>
        </w:numPr>
        <w:rPr>
          <w:rFonts w:ascii="Arial" w:cs="Arial" w:eastAsia="Arial" w:hAnsi="Arial"/>
          <w:sz w:val="19"/>
          <w:szCs w:val="19"/>
          <w:color w:val="auto"/>
        </w:rPr>
      </w:pPr>
      <w:r>
        <w:rPr>
          <w:rFonts w:ascii="Arial" w:cs="Arial" w:eastAsia="Arial" w:hAnsi="Arial"/>
          <w:sz w:val="16"/>
          <w:szCs w:val="16"/>
          <w:color w:val="auto"/>
        </w:rPr>
        <w:t>the interested stockholder owned at least 85% of the voting stock of the corporation outstanding upon consummation of the transaction, excluding</w:t>
      </w:r>
    </w:p>
    <w:p>
      <w:pPr>
        <w:spacing w:after="0" w:line="14" w:lineRule="exact"/>
        <w:rPr>
          <w:sz w:val="20"/>
          <w:szCs w:val="20"/>
          <w:color w:val="auto"/>
        </w:rPr>
      </w:pPr>
    </w:p>
    <w:p>
      <w:pPr>
        <w:ind w:left="900" w:right="180"/>
        <w:spacing w:after="0" w:line="254" w:lineRule="auto"/>
        <w:rPr>
          <w:sz w:val="20"/>
          <w:szCs w:val="20"/>
          <w:color w:val="auto"/>
        </w:rPr>
      </w:pPr>
      <w:r>
        <w:rPr>
          <w:rFonts w:ascii="Arial" w:cs="Arial" w:eastAsia="Arial" w:hAnsi="Arial"/>
          <w:sz w:val="18"/>
          <w:szCs w:val="18"/>
          <w:color w:val="auto"/>
        </w:rPr>
        <w:t>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19" w:lineRule="exact"/>
        <w:rPr>
          <w:sz w:val="20"/>
          <w:szCs w:val="20"/>
          <w:color w:val="auto"/>
        </w:rPr>
      </w:pPr>
    </w:p>
    <w:p>
      <w:pPr>
        <w:jc w:val="both"/>
        <w:ind w:left="900" w:hanging="446"/>
        <w:spacing w:after="0" w:line="297" w:lineRule="auto"/>
        <w:tabs>
          <w:tab w:leader="none" w:pos="9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on or subsequent to the consummation of the transaction,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8" w:name="page89"/>
    <w:bookmarkEnd w:id="88"/>
    <w:p>
      <w:pPr>
        <w:ind w:left="600"/>
        <w:spacing w:after="0"/>
        <w:rPr>
          <w:sz w:val="20"/>
          <w:szCs w:val="20"/>
          <w:color w:val="auto"/>
        </w:rPr>
      </w:pPr>
      <w:r>
        <w:rPr>
          <w:rFonts w:ascii="Arial" w:cs="Arial" w:eastAsia="Arial" w:hAnsi="Arial"/>
          <w:sz w:val="22"/>
          <w:szCs w:val="22"/>
          <w:color w:val="auto"/>
        </w:rPr>
        <w:t>Section 203 of the DGCL defines a business combination to include:</w:t>
      </w:r>
    </w:p>
    <w:p>
      <w:pPr>
        <w:spacing w:after="0" w:line="200" w:lineRule="exact"/>
        <w:rPr>
          <w:sz w:val="20"/>
          <w:szCs w:val="20"/>
          <w:color w:val="auto"/>
        </w:rPr>
      </w:pPr>
    </w:p>
    <w:p>
      <w:pPr>
        <w:spacing w:after="0" w:line="23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22"/>
          <w:szCs w:val="22"/>
          <w:color w:val="auto"/>
        </w:rPr>
      </w:pPr>
      <w:r>
        <w:rPr>
          <w:rFonts w:ascii="Arial" w:cs="Arial" w:eastAsia="Arial" w:hAnsi="Arial"/>
          <w:sz w:val="18"/>
          <w:szCs w:val="18"/>
          <w:color w:val="auto"/>
        </w:rPr>
        <w:t>any merger or consolidation involving the corporation and the interested stockholder;</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900" w:hanging="446"/>
        <w:spacing w:after="0"/>
        <w:tabs>
          <w:tab w:leader="none" w:pos="900" w:val="left"/>
        </w:tabs>
        <w:numPr>
          <w:ilvl w:val="0"/>
          <w:numId w:val="32"/>
        </w:numPr>
        <w:rPr>
          <w:rFonts w:ascii="Arial" w:cs="Arial" w:eastAsia="Arial" w:hAnsi="Arial"/>
          <w:sz w:val="22"/>
          <w:szCs w:val="22"/>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200" w:lineRule="exact"/>
        <w:rPr>
          <w:rFonts w:ascii="Arial" w:cs="Arial" w:eastAsia="Arial" w:hAnsi="Arial"/>
          <w:sz w:val="22"/>
          <w:szCs w:val="22"/>
          <w:color w:val="auto"/>
        </w:rPr>
      </w:pPr>
    </w:p>
    <w:p>
      <w:pPr>
        <w:spacing w:after="0" w:line="271" w:lineRule="exact"/>
        <w:rPr>
          <w:rFonts w:ascii="Arial" w:cs="Arial" w:eastAsia="Arial" w:hAnsi="Arial"/>
          <w:sz w:val="22"/>
          <w:szCs w:val="22"/>
          <w:color w:val="auto"/>
        </w:rPr>
      </w:pPr>
    </w:p>
    <w:p>
      <w:pPr>
        <w:ind w:left="900" w:right="180" w:hanging="446"/>
        <w:spacing w:after="0" w:line="232" w:lineRule="auto"/>
        <w:tabs>
          <w:tab w:leader="none" w:pos="900" w:val="left"/>
        </w:tabs>
        <w:numPr>
          <w:ilvl w:val="0"/>
          <w:numId w:val="32"/>
        </w:numPr>
        <w:rPr>
          <w:rFonts w:ascii="Arial" w:cs="Arial" w:eastAsia="Arial" w:hAnsi="Arial"/>
          <w:sz w:val="22"/>
          <w:szCs w:val="22"/>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338" w:lineRule="exact"/>
        <w:rPr>
          <w:rFonts w:ascii="Arial" w:cs="Arial" w:eastAsia="Arial" w:hAnsi="Arial"/>
          <w:sz w:val="22"/>
          <w:szCs w:val="22"/>
          <w:color w:val="auto"/>
        </w:rPr>
      </w:pPr>
    </w:p>
    <w:p>
      <w:pPr>
        <w:ind w:left="900" w:right="280" w:hanging="446"/>
        <w:spacing w:after="0" w:line="232" w:lineRule="auto"/>
        <w:tabs>
          <w:tab w:leader="none" w:pos="900" w:val="left"/>
        </w:tabs>
        <w:numPr>
          <w:ilvl w:val="0"/>
          <w:numId w:val="32"/>
        </w:numPr>
        <w:rPr>
          <w:rFonts w:ascii="Arial" w:cs="Arial" w:eastAsia="Arial" w:hAnsi="Arial"/>
          <w:sz w:val="22"/>
          <w:szCs w:val="22"/>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338" w:lineRule="exact"/>
        <w:rPr>
          <w:rFonts w:ascii="Arial" w:cs="Arial" w:eastAsia="Arial" w:hAnsi="Arial"/>
          <w:sz w:val="22"/>
          <w:szCs w:val="22"/>
          <w:color w:val="auto"/>
        </w:rPr>
      </w:pPr>
    </w:p>
    <w:p>
      <w:pPr>
        <w:ind w:left="900" w:right="460" w:hanging="446"/>
        <w:spacing w:after="0" w:line="232" w:lineRule="auto"/>
        <w:tabs>
          <w:tab w:leader="none" w:pos="90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332" w:lineRule="exact"/>
        <w:rPr>
          <w:sz w:val="20"/>
          <w:szCs w:val="20"/>
          <w:color w:val="auto"/>
        </w:rPr>
      </w:pPr>
    </w:p>
    <w:p>
      <w:pPr>
        <w:jc w:val="both"/>
        <w:ind w:firstLine="598"/>
        <w:spacing w:after="0"/>
        <w:rPr>
          <w:sz w:val="20"/>
          <w:szCs w:val="20"/>
          <w:color w:val="auto"/>
        </w:rPr>
      </w:pPr>
      <w:r>
        <w:rPr>
          <w:rFonts w:ascii="Arial" w:cs="Arial" w:eastAsia="Arial" w:hAnsi="Arial"/>
          <w:sz w:val="22"/>
          <w:szCs w:val="22"/>
          <w:color w:val="auto"/>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spacing w:after="0" w:line="200" w:lineRule="exact"/>
        <w:rPr>
          <w:sz w:val="20"/>
          <w:szCs w:val="20"/>
          <w:color w:val="auto"/>
        </w:rPr>
      </w:pPr>
    </w:p>
    <w:p>
      <w:pPr>
        <w:spacing w:after="0" w:line="230" w:lineRule="exact"/>
        <w:rPr>
          <w:sz w:val="20"/>
          <w:szCs w:val="20"/>
          <w:color w:val="auto"/>
        </w:rPr>
      </w:pPr>
    </w:p>
    <w:p>
      <w:pPr>
        <w:ind w:left="560"/>
        <w:spacing w:after="0"/>
        <w:rPr>
          <w:sz w:val="20"/>
          <w:szCs w:val="20"/>
          <w:color w:val="auto"/>
        </w:rPr>
      </w:pPr>
      <w:r>
        <w:rPr>
          <w:rFonts w:ascii="Arial" w:cs="Arial" w:eastAsia="Arial" w:hAnsi="Arial"/>
          <w:sz w:val="22"/>
          <w:szCs w:val="22"/>
          <w:b w:val="1"/>
          <w:bCs w:val="1"/>
          <w:i w:val="1"/>
          <w:iCs w:val="1"/>
          <w:color w:val="auto"/>
        </w:rPr>
        <w:t>Certificate of Incorporation and Bylaws</w:t>
      </w:r>
    </w:p>
    <w:p>
      <w:pPr>
        <w:spacing w:after="0" w:line="200" w:lineRule="exact"/>
        <w:rPr>
          <w:sz w:val="20"/>
          <w:szCs w:val="20"/>
          <w:color w:val="auto"/>
        </w:rPr>
      </w:pPr>
    </w:p>
    <w:p>
      <w:pPr>
        <w:spacing w:after="0" w:line="249" w:lineRule="exact"/>
        <w:rPr>
          <w:sz w:val="20"/>
          <w:szCs w:val="20"/>
          <w:color w:val="auto"/>
        </w:rPr>
      </w:pPr>
    </w:p>
    <w:p>
      <w:pPr>
        <w:jc w:val="both"/>
        <w:ind w:firstLine="549"/>
        <w:spacing w:after="0" w:line="287" w:lineRule="auto"/>
        <w:rPr>
          <w:sz w:val="20"/>
          <w:szCs w:val="20"/>
          <w:color w:val="auto"/>
        </w:rPr>
      </w:pPr>
      <w:r>
        <w:rPr>
          <w:rFonts w:ascii="Arial" w:cs="Arial" w:eastAsia="Arial" w:hAnsi="Arial"/>
          <w:sz w:val="19"/>
          <w:szCs w:val="19"/>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386" w:lineRule="exact"/>
        <w:rPr>
          <w:sz w:val="20"/>
          <w:szCs w:val="20"/>
          <w:color w:val="auto"/>
        </w:rPr>
      </w:pPr>
    </w:p>
    <w:p>
      <w:pPr>
        <w:ind w:left="900" w:right="20" w:hanging="325"/>
        <w:spacing w:after="0" w:line="251" w:lineRule="auto"/>
        <w:tabs>
          <w:tab w:leader="none" w:pos="9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permit our board of directors to issue up to 10,000,000 shares of preferred stock, with any rights, preferences and privileges as they may designate;</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jc w:val="both"/>
        <w:ind w:left="900" w:hanging="325"/>
        <w:spacing w:after="0"/>
        <w:tabs>
          <w:tab w:leader="none" w:pos="9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provide that, subject to the rights of the holders of any outstanding series of preferred stock, all vacancies, including newly created directorships, may, except as otherwise required by law, be filled by the affirmative vote of a majority of directors then in office, even if less than a quorum;</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900" w:hanging="325"/>
        <w:spacing w:after="0"/>
        <w:tabs>
          <w:tab w:leader="none" w:pos="9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provide that our board of directors may fix the number of directors by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ind w:left="325" w:hanging="325"/>
        <w:spacing w:after="0" w:line="251" w:lineRule="auto"/>
        <w:tabs>
          <w:tab w:leader="none" w:pos="325"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require that any action to be taken by our stockholders must be effected at a duly called annual or special meeting of stockholders and not be taken by written consent or electronic transmission;</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jc w:val="both"/>
        <w:ind w:left="325" w:hanging="325"/>
        <w:spacing w:after="0"/>
        <w:tabs>
          <w:tab w:leader="none" w:pos="325" w:val="left"/>
        </w:tabs>
        <w:numPr>
          <w:ilvl w:val="0"/>
          <w:numId w:val="34"/>
        </w:numPr>
        <w:rPr>
          <w:rFonts w:ascii="Arial" w:cs="Arial" w:eastAsia="Arial" w:hAnsi="Arial"/>
          <w:sz w:val="22"/>
          <w:szCs w:val="22"/>
          <w:color w:val="auto"/>
        </w:rPr>
      </w:pPr>
      <w:r>
        <w:rPr>
          <w:rFonts w:ascii="Arial" w:cs="Arial" w:eastAsia="Arial" w:hAnsi="Arial"/>
          <w:sz w:val="22"/>
          <w:szCs w:val="22"/>
          <w:color w:val="auto"/>
        </w:rPr>
        <w:t>provide that stockholders seeking to present proposals before a meeting of stockholders or to nominate candidates for election as directors at a meeting of stockholders must provide timely notice in writing and also specify requirements as to the form and content of a stockholder’s notice;</w:t>
      </w: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jc w:val="both"/>
        <w:ind w:left="325" w:hanging="325"/>
        <w:spacing w:after="0" w:line="328" w:lineRule="auto"/>
        <w:tabs>
          <w:tab w:leader="none" w:pos="325" w:val="left"/>
        </w:tabs>
        <w:numPr>
          <w:ilvl w:val="0"/>
          <w:numId w:val="34"/>
        </w:numPr>
        <w:rPr>
          <w:rFonts w:ascii="Arial" w:cs="Arial" w:eastAsia="Arial" w:hAnsi="Arial"/>
          <w:sz w:val="19"/>
          <w:szCs w:val="19"/>
          <w:color w:val="auto"/>
        </w:rPr>
      </w:pPr>
      <w:r>
        <w:rPr>
          <w:rFonts w:ascii="Arial" w:cs="Arial" w:eastAsia="Arial" w:hAnsi="Arial"/>
          <w:sz w:val="19"/>
          <w:szCs w:val="19"/>
          <w:color w:val="auto"/>
        </w:rPr>
        <w:t>do not provide for cumulative voting rights (therefore allowing the holders of a majority of the shares of common stock entitled to vote in any election of directors to elect all of the directors standing for election, if they should so choose); and</w:t>
      </w:r>
    </w:p>
    <w:p>
      <w:pPr>
        <w:spacing w:after="0" w:line="348" w:lineRule="exact"/>
        <w:rPr>
          <w:rFonts w:ascii="Arial" w:cs="Arial" w:eastAsia="Arial" w:hAnsi="Arial"/>
          <w:sz w:val="19"/>
          <w:szCs w:val="19"/>
          <w:color w:val="auto"/>
        </w:rPr>
      </w:pPr>
    </w:p>
    <w:p>
      <w:pPr>
        <w:jc w:val="both"/>
        <w:ind w:left="325" w:hanging="325"/>
        <w:spacing w:after="0" w:line="297" w:lineRule="auto"/>
        <w:tabs>
          <w:tab w:leader="none" w:pos="325" w:val="left"/>
        </w:tabs>
        <w:numPr>
          <w:ilvl w:val="0"/>
          <w:numId w:val="34"/>
        </w:numPr>
        <w:rPr>
          <w:rFonts w:ascii="Arial" w:cs="Arial" w:eastAsia="Arial" w:hAnsi="Arial"/>
          <w:sz w:val="19"/>
          <w:szCs w:val="19"/>
          <w:color w:val="auto"/>
        </w:rPr>
      </w:pPr>
      <w:r>
        <w:rPr>
          <w:rFonts w:ascii="Arial" w:cs="Arial" w:eastAsia="Arial" w:hAnsi="Arial"/>
          <w:sz w:val="19"/>
          <w:szCs w:val="19"/>
          <w:color w:val="auto"/>
        </w:rPr>
        <w:t>provide that special meetings of our stockholders may be called only by the Chairman of our board of directors, by our Chief Executive Officer, by our board of directors upon a resolution adopted by a majority of the total number of authorized directors or, under certain limited circumstances, by the holders of at least 5% of our outstanding voting stock.</w:t>
      </w:r>
    </w:p>
    <w:p>
      <w:pPr>
        <w:sectPr>
          <w:pgSz w:w="11900" w:h="16838" w:orient="portrait"/>
          <w:cols w:equalWidth="0" w:num="1">
            <w:col w:w="10845"/>
          </w:cols>
          <w:pgMar w:left="815" w:top="118"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Nos. 333-117811, 333-127876, 333-137332, 333-149049, 333-160225, 333-176409, 333-182457, 333-188790, 333-213366, 333-225428 and 333-226648 on Form S-8, and Registration Statement Nos. 333-210792 and 333-230633 on Form S-3 of our reports dated February 25, 2020, relating to the consolidated financial statements of MannKind Corporation and subsidiaries (“MannKind Corporation”) (which report expresses an unqualified opinion and includes an explanatory paragraph relating to the Company’s ability to continue as a going concern), and the effectiveness of MannKind Corporation’s internal control over financial reporting, appearing in this Annual Report on Form 10-K of MannKind Corporation for the year ended December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8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E. Castagna</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80" w:firstLine="8"/>
        <w:spacing w:after="0" w:line="26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 Binder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3" w:lineRule="exact"/>
        <w:rPr>
          <w:sz w:val="20"/>
          <w:szCs w:val="20"/>
          <w:color w:val="auto"/>
        </w:rPr>
      </w:pPr>
    </w:p>
    <w:p>
      <w:pPr>
        <w:ind w:left="560" w:right="320" w:hanging="552"/>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2019,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60" w:right="620" w:hanging="552"/>
        <w:spacing w:after="0" w:line="27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25th day of February,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519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50" w:lineRule="exact"/>
        <w:rPr>
          <w:sz w:val="20"/>
          <w:szCs w:val="20"/>
          <w:color w:val="auto"/>
        </w:rPr>
      </w:pPr>
    </w:p>
    <w:p>
      <w:pPr>
        <w:ind w:left="560" w:hanging="552"/>
        <w:spacing w:after="0" w:line="259" w:lineRule="auto"/>
        <w:tabs>
          <w:tab w:leader="none" w:pos="560" w:val="left"/>
        </w:tabs>
        <w:numPr>
          <w:ilvl w:val="0"/>
          <w:numId w:val="44"/>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3" w:lineRule="exact"/>
        <w:rPr>
          <w:sz w:val="20"/>
          <w:szCs w:val="20"/>
          <w:color w:val="auto"/>
        </w:rPr>
      </w:pPr>
    </w:p>
    <w:p>
      <w:pPr>
        <w:ind w:left="560" w:right="320" w:hanging="552"/>
        <w:spacing w:after="0" w:line="277"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2019, to which this Certification is attached as Exhibit 32.2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60" w:right="620" w:hanging="552"/>
        <w:spacing w:after="0" w:line="277"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25th day of February,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519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50" w:lineRule="exact"/>
        <w:rPr>
          <w:sz w:val="20"/>
          <w:szCs w:val="20"/>
          <w:color w:val="auto"/>
        </w:rPr>
      </w:pPr>
    </w:p>
    <w:p>
      <w:pPr>
        <w:ind w:left="560" w:hanging="552"/>
        <w:spacing w:after="0" w:line="259" w:lineRule="auto"/>
        <w:tabs>
          <w:tab w:leader="none" w:pos="560" w:val="left"/>
        </w:tabs>
        <w:numPr>
          <w:ilvl w:val="0"/>
          <w:numId w:val="46"/>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lvl w:ilvl="1">
      <w:lvlJc w:val="left"/>
      <w:lvlText w:val="•"/>
      <w:numFmt w:val="bullet"/>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1"/>
    </w:lvl>
    <w:lvl w:ilvl="1">
      <w:lvlJc w:val="left"/>
      <w:lvlText w:val="(%2)"/>
      <w:numFmt w:val="decimal"/>
      <w:start w:val="3"/>
    </w:lvl>
  </w:abstractNum>
  <w:abstractNum w:abstractNumId="23">
    <w:nsid w:val="5577F8E1"/>
    <w:multiLevelType w:val="hybridMultilevel"/>
    <w:lvl w:ilvl="0">
      <w:lvlJc w:val="left"/>
      <w:lvlText w:val="(%1)"/>
      <w:numFmt w:val="lowerLetter"/>
      <w:start w:val="2"/>
    </w:lvl>
    <w:lvl w:ilvl="1">
      <w:lvlJc w:val="left"/>
      <w:lvlText w:val="%2"/>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decimal"/>
      <w:start w:val="5"/>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5"/>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22" Type="http://schemas.openxmlformats.org/officeDocument/2006/relationships/image" Target="media/image63.png"/><Relationship Id="rId123" Type="http://schemas.openxmlformats.org/officeDocument/2006/relationships/image" Target="media/image64.png"/><Relationship Id="rId125" Type="http://schemas.openxmlformats.org/officeDocument/2006/relationships/image" Target="media/image65.png"/><Relationship Id="rId126" Type="http://schemas.openxmlformats.org/officeDocument/2006/relationships/image" Target="media/image66.png"/><Relationship Id="rId127" Type="http://schemas.openxmlformats.org/officeDocument/2006/relationships/image" Target="media/image67.png"/><Relationship Id="rId128" Type="http://schemas.openxmlformats.org/officeDocument/2006/relationships/image" Target="media/image68.png"/><Relationship Id="rId129" Type="http://schemas.openxmlformats.org/officeDocument/2006/relationships/image" Target="media/image69.png"/><Relationship Id="rId130" Type="http://schemas.openxmlformats.org/officeDocument/2006/relationships/image" Target="media/image70.png"/><Relationship Id="rId131" Type="http://schemas.openxmlformats.org/officeDocument/2006/relationships/image" Target="media/image71.png"/><Relationship Id="rId132" Type="http://schemas.openxmlformats.org/officeDocument/2006/relationships/image" Target="media/image72.png"/><Relationship Id="rId133" Type="http://schemas.openxmlformats.org/officeDocument/2006/relationships/image" Target="media/image73.png"/><Relationship Id="rId134" Type="http://schemas.openxmlformats.org/officeDocument/2006/relationships/image" Target="media/image74.png"/><Relationship Id="rId135" Type="http://schemas.openxmlformats.org/officeDocument/2006/relationships/image" Target="media/image75.png"/><Relationship Id="rId136" Type="http://schemas.openxmlformats.org/officeDocument/2006/relationships/image" Target="media/image76.png"/><Relationship Id="rId137" Type="http://schemas.openxmlformats.org/officeDocument/2006/relationships/image" Target="media/image77.png"/><Relationship Id="rId138" Type="http://schemas.openxmlformats.org/officeDocument/2006/relationships/image" Target="media/image78.png"/><Relationship Id="rId139" Type="http://schemas.openxmlformats.org/officeDocument/2006/relationships/image" Target="media/image79.png"/><Relationship Id="rId140" Type="http://schemas.openxmlformats.org/officeDocument/2006/relationships/image" Target="media/image80.png"/><Relationship Id="rId141" Type="http://schemas.openxmlformats.org/officeDocument/2006/relationships/image" Target="media/image81.png"/><Relationship Id="rId142" Type="http://schemas.openxmlformats.org/officeDocument/2006/relationships/image" Target="media/image82.png"/><Relationship Id="rId143" Type="http://schemas.openxmlformats.org/officeDocument/2006/relationships/image" Target="media/image83.png"/><Relationship Id="rId144" Type="http://schemas.openxmlformats.org/officeDocument/2006/relationships/image" Target="media/image84.png"/><Relationship Id="rId145" Type="http://schemas.openxmlformats.org/officeDocument/2006/relationships/image" Target="media/image85.png"/><Relationship Id="rId146" Type="http://schemas.openxmlformats.org/officeDocument/2006/relationships/image" Target="media/image86.png"/><Relationship Id="rId147" Type="http://schemas.openxmlformats.org/officeDocument/2006/relationships/image" Target="media/image87.png"/><Relationship Id="rId148" Type="http://schemas.openxmlformats.org/officeDocument/2006/relationships/image" Target="media/image88.png"/><Relationship Id="rId149" Type="http://schemas.openxmlformats.org/officeDocument/2006/relationships/image" Target="media/image89.png"/><Relationship Id="rId150" Type="http://schemas.openxmlformats.org/officeDocument/2006/relationships/image" Target="media/image90.png"/><Relationship Id="rId151" Type="http://schemas.openxmlformats.org/officeDocument/2006/relationships/image" Target="media/image91.png"/><Relationship Id="rId152" Type="http://schemas.openxmlformats.org/officeDocument/2006/relationships/image" Target="media/image92.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66" Type="http://schemas.openxmlformats.org/officeDocument/2006/relationships/hyperlink" Target="http://www.sec.gov/Archives/edgar/data/899460/000119312516676980/d225552dex31.htm" TargetMode="External"/><Relationship Id="rId67" Type="http://schemas.openxmlformats.org/officeDocument/2006/relationships/hyperlink" Target="http://www.sec.gov/Archives/edgar/data/899460/000119312517066630/d313758dex31.htm" TargetMode="External"/><Relationship Id="rId68" Type="http://schemas.openxmlformats.org/officeDocument/2006/relationships/hyperlink" Target="http://www.sec.gov/Archives/edgar/data/899460/000119312517368329/d511527dex31.htm" TargetMode="External"/><Relationship Id="rId69" Type="http://schemas.openxmlformats.org/officeDocument/2006/relationships/hyperlink" Target="http://www.sec.gov/Archives/edgar/data/899460/000095012407005941/v35880exv3w1.htm" TargetMode="External"/><Relationship Id="rId70" Type="http://schemas.openxmlformats.org/officeDocument/2006/relationships/hyperlink" Target="http://www.sec.gov/Archives/edgar/data/899460/000119312517085519/d305327dex42.htm" TargetMode="External"/><Relationship Id="rId71" Type="http://schemas.openxmlformats.org/officeDocument/2006/relationships/hyperlink" Target="http://www.sec.gov/Archives/edgar/data/899460/000119312513279522/d562665dex993.htm" TargetMode="External"/><Relationship Id="rId72" Type="http://schemas.openxmlformats.org/officeDocument/2006/relationships/hyperlink" Target="http://www.sec.gov/Archives/edgar/data/899460/000119312516505366/d107849dex417.htm" TargetMode="External"/><Relationship Id="rId73" Type="http://schemas.openxmlformats.org/officeDocument/2006/relationships/hyperlink" Target="http://www.sec.gov/Archives/edgar/data/899460/000119312518109958/d562642dex41.htm" TargetMode="External"/><Relationship Id="rId74" Type="http://schemas.openxmlformats.org/officeDocument/2006/relationships/hyperlink" Target="http://www.sec.gov/Archives/edgar/data/899460/000119312519321379/d839460dex41.htm" TargetMode="External"/><Relationship Id="rId75" Type="http://schemas.openxmlformats.org/officeDocument/2006/relationships/hyperlink" Target="http://www.sec.gov/Archives/edgar/data/899460/000119312519215305/d757696dex41.htm" TargetMode="External"/><Relationship Id="rId76" Type="http://schemas.openxmlformats.org/officeDocument/2006/relationships/hyperlink" Target="http://www.sec.gov/Archives/edgar/data/899460/000119312519215305/d757696dex43.htm" TargetMode="External"/><Relationship Id="rId79" Type="http://schemas.openxmlformats.org/officeDocument/2006/relationships/hyperlink" Target="http://www.sec.gov/Archives/edgar/data/899460/000119312519215305/d757696dex44.htm" TargetMode="External"/><Relationship Id="rId80" Type="http://schemas.openxmlformats.org/officeDocument/2006/relationships/hyperlink" Target="http://www.sec.gov/Archives/edgar/data/899460/000119312519215305/d757696dex45.htm" TargetMode="External"/><Relationship Id="rId81" Type="http://schemas.openxmlformats.org/officeDocument/2006/relationships/hyperlink" Target="http://www.sec.gov/Archives/edgar/data/899460/000119312519215305/d757696dex46.htm" TargetMode="External"/><Relationship Id="rId82" Type="http://schemas.openxmlformats.org/officeDocument/2006/relationships/hyperlink" Target="http://www.sec.gov/Archives/edgar/data/899460/000119312519215305/d757696dex47.htm" TargetMode="External"/><Relationship Id="rId83" Type="http://schemas.openxmlformats.org/officeDocument/2006/relationships/hyperlink" Target="http://www.sec.gov/Archives/edgar/data/899460/000119312517229404/d406524dex991.htm" TargetMode="External"/><Relationship Id="rId84" Type="http://schemas.openxmlformats.org/officeDocument/2006/relationships/hyperlink" Target="http://www.sec.gov/Archives/edgar/data/899460/000119312516505366/d107849dex1038.htm" TargetMode="External"/><Relationship Id="rId85" Type="http://schemas.openxmlformats.org/officeDocument/2006/relationships/hyperlink" Target="http://www.sec.gov/Archives/edgar/data/899460/000119312517085519/d305327dex1036.htm" TargetMode="External"/><Relationship Id="rId86" Type="http://schemas.openxmlformats.org/officeDocument/2006/relationships/hyperlink" Target="http://www.sec.gov/Archives/edgar/data/899460/000156459018003510/mnkd-ex105_446.htm" TargetMode="External"/><Relationship Id="rId87" Type="http://schemas.openxmlformats.org/officeDocument/2006/relationships/hyperlink" Target="http://www.sec.gov/Archives/edgar/data/899460/000156459018003510/mnkd-ex106_444.htm" TargetMode="External"/><Relationship Id="rId88" Type="http://schemas.openxmlformats.org/officeDocument/2006/relationships/hyperlink" Target="http://www.sec.gov/Archives/edgar/data/899460/000095012407005167/v34640aexv99w1.htm" TargetMode="External"/><Relationship Id="rId89" Type="http://schemas.openxmlformats.org/officeDocument/2006/relationships/hyperlink" Target="http://www.sec.gov/Archives/edgar/data/899460/000095014804000827/v98169orexv10w1.txt" TargetMode="External"/><Relationship Id="rId90" Type="http://schemas.openxmlformats.org/officeDocument/2006/relationships/hyperlink" Target="http://www.sec.gov/Archives/edgar/data/899460/000119312517116178/d350284dex991.htm" TargetMode="External"/><Relationship Id="rId91" Type="http://schemas.openxmlformats.org/officeDocument/2006/relationships/hyperlink" Target="http://www.sec.gov/Archives/edgar/data/899460/000095014806000014/v18231exv10w5.htm" TargetMode="External"/><Relationship Id="rId92" Type="http://schemas.openxmlformats.org/officeDocument/2006/relationships/hyperlink" Target="http://www.sec.gov/Archives/edgar/data/899460/000119312512153102/d328382ddef14a.htm" TargetMode="External"/><Relationship Id="rId93" Type="http://schemas.openxmlformats.org/officeDocument/2006/relationships/hyperlink" Target="http://www.sec.gov/Archives/edgar/data/899460/000095014804000827/v98169orexv10w2.txt" TargetMode="External"/><Relationship Id="rId94" Type="http://schemas.openxmlformats.org/officeDocument/2006/relationships/hyperlink" Target="http://www.sec.gov/Archives/edgar/data/899460/000095012905011954/v15351exv99w1.htm" TargetMode="External"/><Relationship Id="rId95" Type="http://schemas.openxmlformats.org/officeDocument/2006/relationships/hyperlink" Target="http://www.sec.gov/Archives/edgar/data/899460/000095014806000014/v18231exv10w20.htm" TargetMode="External"/><Relationship Id="rId96" Type="http://schemas.openxmlformats.org/officeDocument/2006/relationships/hyperlink" Target="http://www.sec.gov/Archives/edgar/data/899460/000156459019004263/mnkd-ex1015_871.htm" TargetMode="External"/><Relationship Id="rId97" Type="http://schemas.openxmlformats.org/officeDocument/2006/relationships/hyperlink" Target="http://www.sec.gov/Archives/edgar/data/899460/000119312516676980/d225552dex101.htm" TargetMode="External"/><Relationship Id="rId98" Type="http://schemas.openxmlformats.org/officeDocument/2006/relationships/hyperlink" Target="http://www.sec.gov/Archives/edgar/data/899460/000119312513232988/d543380dex992.htm" TargetMode="External"/><Relationship Id="rId99" Type="http://schemas.openxmlformats.org/officeDocument/2006/relationships/hyperlink" Target="http://www.sec.gov/Archives/edgar/data/899460/000119312513232988/d543380dex993.htm" TargetMode="External"/><Relationship Id="rId100" Type="http://schemas.openxmlformats.org/officeDocument/2006/relationships/hyperlink" Target="http://www.sec.gov/Archives/edgar/data/899460/000119312518241209/d576776dex991.htm" TargetMode="External"/><Relationship Id="rId101" Type="http://schemas.openxmlformats.org/officeDocument/2006/relationships/hyperlink" Target="http://www.sec.gov/Archives/edgar/data/899460/000119312518241209/d576776dex992.htm" TargetMode="External"/><Relationship Id="rId104" Type="http://schemas.openxmlformats.org/officeDocument/2006/relationships/hyperlink" Target="http://www.sec.gov/Archives/edgar/data/899460/000119312518241209/d576776dex993.htm" TargetMode="External"/><Relationship Id="rId105" Type="http://schemas.openxmlformats.org/officeDocument/2006/relationships/hyperlink" Target="http://www.sec.gov/Archives/edgar/data/899460/000119312518183644/d578515dex991.htm" TargetMode="External"/><Relationship Id="rId106" Type="http://schemas.openxmlformats.org/officeDocument/2006/relationships/hyperlink" Target="http://www.sec.gov/Archives/edgar/data/899460/000119312514406347/d783199dex103.htm" TargetMode="External"/><Relationship Id="rId107" Type="http://schemas.openxmlformats.org/officeDocument/2006/relationships/hyperlink" Target="http://www.sec.gov/Archives/edgar/data/899460/000119312517085519/d305327dex1032.htm" TargetMode="External"/><Relationship Id="rId108" Type="http://schemas.openxmlformats.org/officeDocument/2006/relationships/hyperlink" Target="http://www.sec.gov/Archives/edgar/data/899460/000119312517085519/d305327dex1033.htm" TargetMode="External"/><Relationship Id="rId109" Type="http://schemas.openxmlformats.org/officeDocument/2006/relationships/hyperlink" Target="http://www.sec.gov/Archives/edgar/data/899460/000156459018012419/mnkd-ex108_456.htm" TargetMode="External"/><Relationship Id="rId110" Type="http://schemas.openxmlformats.org/officeDocument/2006/relationships/hyperlink" Target="http://www.sec.gov/Archives/edgar/data/899460/000156459019004263/mnkd-ex1050_1079.htm" TargetMode="External"/><Relationship Id="rId111" Type="http://schemas.openxmlformats.org/officeDocument/2006/relationships/hyperlink" Target="http://www.sec.gov/Archives/edgar/data/899460/000119312519215305/d757696dex995.htm" TargetMode="External"/><Relationship Id="rId112" Type="http://schemas.openxmlformats.org/officeDocument/2006/relationships/hyperlink" Target="http://www.sec.gov/Archives/edgar/data/899460/000119312516505366/d107849dex1037.htm" TargetMode="External"/><Relationship Id="rId113" Type="http://schemas.openxmlformats.org/officeDocument/2006/relationships/hyperlink" Target="http://www.sec.gov/Archives/edgar/data/899460/000119312517249866/d412831dex103.htm" TargetMode="External"/><Relationship Id="rId114" Type="http://schemas.openxmlformats.org/officeDocument/2006/relationships/hyperlink" Target="http://www.sec.gov/Archives/edgar/data/899460/000156459018003510/mnkd-ex1047_871.htm" TargetMode="External"/><Relationship Id="rId115" Type="http://schemas.openxmlformats.org/officeDocument/2006/relationships/hyperlink" Target="http://www.sec.gov/Archives/edgar/data/899460/000156459018026006/mnkd-ex108_399.htm" TargetMode="External"/><Relationship Id="rId116" Type="http://schemas.openxmlformats.org/officeDocument/2006/relationships/hyperlink" Target="http://www.sec.gov/Archives/edgar/data/899460/000156459018026006/mnkd-ex109_400.htm" TargetMode="External"/><Relationship Id="rId117" Type="http://schemas.openxmlformats.org/officeDocument/2006/relationships/hyperlink" Target="http://www.sec.gov/Archives/edgar/data/899460/000119312519196070/d779609dex991.htm" TargetMode="External"/><Relationship Id="rId118" Type="http://schemas.openxmlformats.org/officeDocument/2006/relationships/hyperlink" Target="http://www.sec.gov/Archives/edgar/data/899460/000119312519215305/d757696dex993.htm" TargetMode="External"/><Relationship Id="rId119" Type="http://schemas.openxmlformats.org/officeDocument/2006/relationships/hyperlink" Target="http://www.sec.gov/Archives/edgar/data/899460/000119312519215305/d757696dex994.htm" TargetMode="External"/><Relationship Id="rId120" Type="http://schemas.openxmlformats.org/officeDocument/2006/relationships/hyperlink" Target="http://www.sec.gov/Archives/edgar/data/899460/000119312519215305/d757696dex992.htm" TargetMode="External"/><Relationship Id="rId121" Type="http://schemas.openxmlformats.org/officeDocument/2006/relationships/hyperlink" Target="http://www.sec.gov/Archives/edgar/data/899460/000119312519215305/d757696dex991.htm" TargetMode="External"/><Relationship Id="rId124" Type="http://schemas.openxmlformats.org/officeDocument/2006/relationships/hyperlink" Target="http://www.sec.gov/Archives/edgar/data/899460/000119312519317492/d78097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2020-02-25T07:17:19Z</dcterms:created>
  <dcterms:modified xsi:type="dcterms:W3CDTF">2020-02-25T07:17:19Z</dcterms:modified>
</cp:coreProperties>
</file>