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18419d8k.htm"/>
      <w:bookmarkStart w:id="1" w:name="ksd11841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40" w:after="0"/>
        <w:jc w:val="center"/>
        <w:rPr>
          <w:rFonts w:ascii="Times New Roman" w:hAnsi="Times New Roman"/>
          <w:b/>
          <w:sz w:val="24"/>
        </w:rPr>
      </w:pPr>
      <w:r>
        <w:rPr>
          <w:rFonts w:ascii="Times New Roman" w:hAnsi="Times New Roman"/>
          <w:b/>
          <w:sz w:val="24"/>
        </w:rPr>
        <w:t>Date of Report (Date of earliest event reported): August 21,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MannKind Corporation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000-50865</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13-3607736</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4070"/>
        <w:gridCol w:w="60"/>
        <w:gridCol w:w="1145"/>
      </w:tblGrid>
      <w:tr>
        <w:trPr/>
        <w:tc>
          <w:tcPr>
            <w:tcW w:w="4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1 Casper Street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70" w:type="dxa"/>
            <w:tcBorders/>
            <w:vAlign w:val="center"/>
          </w:tcPr>
          <w:p>
            <w:pPr>
              <w:pStyle w:val="TableContents"/>
              <w:bidi w:val="0"/>
              <w:spacing w:before="0" w:after="283"/>
              <w:jc w:val="center"/>
              <w:rPr>
                <w:b/>
              </w:rPr>
            </w:pPr>
            <w:r>
              <w:rPr>
                <w:b/>
              </w:rPr>
              <w:t>Danbury, Connecticut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06810</w:t>
            </w:r>
          </w:p>
        </w:tc>
      </w:tr>
      <w:tr>
        <w:trPr/>
        <w:tc>
          <w:tcPr>
            <w:tcW w:w="4070" w:type="dxa"/>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40" w:after="0"/>
        <w:jc w:val="center"/>
        <w:rPr>
          <w:rFonts w:ascii="Times New Roman" w:hAnsi="Times New Roman"/>
          <w:b/>
          <w:sz w:val="20"/>
        </w:rPr>
      </w:pPr>
      <w:r>
        <w:rPr>
          <w:rFonts w:ascii="Times New Roman" w:hAnsi="Times New Roman"/>
          <w:b/>
          <w:sz w:val="20"/>
        </w:rPr>
        <w:t>Registrant’s Telephone Number, Including Area Code: (818) 661-5000</w:t>
      </w:r>
    </w:p>
    <w:p>
      <w:pPr>
        <w:pStyle w:val="TextBody"/>
        <w:bidi w:val="0"/>
        <w:spacing w:before="240" w:after="0"/>
        <w:jc w:val="center"/>
        <w:rPr>
          <w:rFonts w:ascii="Times New Roman" w:hAnsi="Times New Roman"/>
          <w:b/>
          <w:sz w:val="20"/>
        </w:rPr>
      </w:pPr>
      <w:r>
        <w:rPr>
          <w:rFonts w:ascii="Times New Roman" w:hAnsi="Times New Roman"/>
          <w:b/>
          <w:sz w:val="20"/>
        </w:rPr>
        <w:t>N/A</w:t>
      </w:r>
    </w:p>
    <w:p>
      <w:pPr>
        <w:pStyle w:val="TextBody"/>
        <w:bidi w:val="0"/>
        <w:spacing w:before="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4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65" w:type="dxa"/>
        <w:jc w:val="left"/>
        <w:tblInd w:w="0" w:type="dxa"/>
        <w:tblLayout w:type="fixed"/>
        <w:tblCellMar>
          <w:top w:w="0" w:type="dxa"/>
          <w:left w:w="0" w:type="dxa"/>
          <w:bottom w:w="0" w:type="dxa"/>
          <w:right w:w="0" w:type="dxa"/>
        </w:tblCellMar>
      </w:tblPr>
      <w:tblGrid>
        <w:gridCol w:w="4025"/>
        <w:gridCol w:w="60"/>
        <w:gridCol w:w="770"/>
        <w:gridCol w:w="60"/>
        <w:gridCol w:w="3050"/>
      </w:tblGrid>
      <w:tr>
        <w:trPr/>
        <w:tc>
          <w:tcPr>
            <w:tcW w:w="40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r>
      <w:tr>
        <w:trPr/>
        <w:tc>
          <w:tcPr>
            <w:tcW w:w="402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7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Trading</w:t>
            </w:r>
          </w:p>
          <w:p>
            <w:pPr>
              <w:pStyle w:val="TableContents"/>
              <w:bidi w:val="0"/>
              <w:spacing w:before="0" w:after="20"/>
              <w:jc w:val="center"/>
              <w:rPr>
                <w:rFonts w:ascii="Times New Roman" w:hAnsi="Times New Roman"/>
                <w:b/>
                <w:sz w:val="16"/>
              </w:rPr>
            </w:pPr>
            <w:r>
              <w:rPr>
                <w:rFonts w:ascii="Times New Roman" w:hAnsi="Times New Roman"/>
                <w:b/>
                <w:sz w:val="16"/>
              </w:rPr>
              <w:t>Symbol(s)</w:t>
            </w:r>
          </w:p>
        </w:tc>
        <w:tc>
          <w:tcPr>
            <w:tcW w:w="60" w:type="dxa"/>
            <w:tcBorders/>
            <w:vAlign w:val="center"/>
          </w:tcPr>
          <w:p>
            <w:pPr>
              <w:pStyle w:val="TableContents"/>
              <w:bidi w:val="0"/>
              <w:spacing w:before="0" w:after="283"/>
              <w:jc w:val="left"/>
              <w:rPr/>
            </w:pPr>
            <w:r>
              <w:rPr/>
              <w:t> </w:t>
            </w:r>
          </w:p>
        </w:tc>
        <w:tc>
          <w:tcPr>
            <w:tcW w:w="3050"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025" w:type="dxa"/>
            <w:tcBorders/>
            <w:vAlign w:val="center"/>
          </w:tcPr>
          <w:p>
            <w:pPr>
              <w:pStyle w:val="TableContents"/>
              <w:bidi w:val="0"/>
              <w:spacing w:before="0" w:after="283"/>
              <w:jc w:val="center"/>
              <w:rPr/>
            </w:pPr>
            <w:r>
              <w:rPr/>
              <w:t>Common Stock, par value $0.01 per share</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MNKD</w:t>
            </w:r>
          </w:p>
        </w:tc>
        <w:tc>
          <w:tcPr>
            <w:tcW w:w="60" w:type="dxa"/>
            <w:tcBorders/>
            <w:vAlign w:val="center"/>
          </w:tcPr>
          <w:p>
            <w:pPr>
              <w:pStyle w:val="TableContents"/>
              <w:bidi w:val="0"/>
              <w:spacing w:before="0" w:after="283"/>
              <w:jc w:val="left"/>
              <w:rPr/>
            </w:pPr>
            <w:r>
              <w:rPr/>
              <w:t> </w:t>
            </w:r>
          </w:p>
        </w:tc>
        <w:tc>
          <w:tcPr>
            <w:tcW w:w="3050" w:type="dxa"/>
            <w:tcBorders/>
            <w:vAlign w:val="center"/>
          </w:tcPr>
          <w:p>
            <w:pPr>
              <w:pStyle w:val="TableContents"/>
              <w:bidi w:val="0"/>
              <w:spacing w:before="0" w:after="283"/>
              <w:jc w:val="center"/>
              <w:rPr/>
            </w:pPr>
            <w:r>
              <w:rPr/>
              <w:t>The Nasdaq Stock Market LLC</w:t>
            </w:r>
          </w:p>
        </w:tc>
      </w:tr>
    </w:tbl>
    <w:p>
      <w:pPr>
        <w:pStyle w:val="TextBody"/>
        <w:bidi w:val="0"/>
        <w:spacing w:before="24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40" w:after="0"/>
        <w:jc w:val="left"/>
        <w:rPr>
          <w:rFonts w:ascii="Times New Roman" w:hAnsi="Times New Roman"/>
          <w:sz w:val="20"/>
        </w:rPr>
      </w:pPr>
      <w:r>
        <w:rPr>
          <w:rFonts w:ascii="Times New Roman" w:hAnsi="Times New Roman"/>
          <w:sz w:val="20"/>
        </w:rPr>
        <w:t>Emerging growth company ☐</w:t>
      </w:r>
    </w:p>
    <w:p>
      <w:pPr>
        <w:pStyle w:val="TextBody"/>
        <w:bidi w:val="0"/>
        <w:spacing w:before="24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2200" w:type="dxa"/>
        <w:jc w:val="left"/>
        <w:tblInd w:w="0" w:type="dxa"/>
        <w:tblLayout w:type="fixed"/>
        <w:tblCellMar>
          <w:top w:w="0" w:type="dxa"/>
          <w:left w:w="0" w:type="dxa"/>
          <w:bottom w:w="0" w:type="dxa"/>
          <w:right w:w="0" w:type="dxa"/>
        </w:tblCellMar>
      </w:tblPr>
      <w:tblGrid>
        <w:gridCol w:w="965"/>
        <w:gridCol w:w="1235"/>
      </w:tblGrid>
      <w:tr>
        <w:trPr/>
        <w:tc>
          <w:tcPr>
            <w:tcW w:w="965" w:type="dxa"/>
            <w:tcBorders/>
            <w:vAlign w:val="center"/>
          </w:tcPr>
          <w:p>
            <w:pPr>
              <w:pStyle w:val="TableContents"/>
              <w:bidi w:val="0"/>
              <w:spacing w:before="0" w:after="283"/>
              <w:jc w:val="left"/>
              <w:rPr>
                <w:b/>
              </w:rPr>
            </w:pPr>
            <w:r>
              <w:rPr>
                <w:b/>
              </w:rPr>
              <w:t>Item 8.01</w:t>
            </w:r>
          </w:p>
        </w:tc>
        <w:tc>
          <w:tcPr>
            <w:tcW w:w="123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Other Events.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August 21, 2026, MannKind Corporation (the “Company”) filed a prospectus supplement to its automatic shelf registration statement on Form S-3 (Registration No. 333-285286) with the Securities and Exchange Commission. This Current Report on Form 8-K is being filed for the purpose of filing the opinion of Cooley LLP relating to the legality of the issuance and sale of the shares of common stock of the Company set forth in the prospectus supplement, which opinion is filed as Exhibit 5.1 hereto.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Financial Statements and 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(d) Exhibits. </w:t>
      </w:r>
    </w:p>
    <w:p>
      <w:pPr>
        <w:pStyle w:val="TextBody"/>
        <w:bidi w:val="0"/>
        <w:spacing w:before="0" w:after="0"/>
        <w:jc w:val="left"/>
        <w:rPr/>
      </w:pPr>
      <w:r>
        <w:rPr/>
        <w:t> </w:t>
      </w:r>
    </w:p>
    <w:tbl>
      <w:tblPr>
        <w:tblW w:w="8590" w:type="dxa"/>
        <w:jc w:val="left"/>
        <w:tblInd w:w="0" w:type="dxa"/>
        <w:tblLayout w:type="fixed"/>
        <w:tblCellMar>
          <w:top w:w="0" w:type="dxa"/>
          <w:left w:w="0" w:type="dxa"/>
          <w:bottom w:w="0" w:type="dxa"/>
          <w:right w:w="0" w:type="dxa"/>
        </w:tblCellMar>
      </w:tblPr>
      <w:tblGrid>
        <w:gridCol w:w="785"/>
        <w:gridCol w:w="120"/>
        <w:gridCol w:w="7685"/>
      </w:tblGrid>
      <w:tr>
        <w:trPr/>
        <w:tc>
          <w:tcPr>
            <w:tcW w:w="78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85" w:type="dxa"/>
            <w:tcBorders/>
            <w:vAlign w:val="center"/>
          </w:tcPr>
          <w:p>
            <w:pPr>
              <w:pStyle w:val="TableContents"/>
              <w:bidi w:val="0"/>
              <w:spacing w:before="0" w:after="283"/>
              <w:jc w:val="left"/>
              <w:rPr>
                <w:sz w:val="4"/>
                <w:szCs w:val="4"/>
              </w:rPr>
            </w:pPr>
            <w:r>
              <w:rPr>
                <w:sz w:val="4"/>
                <w:szCs w:val="4"/>
              </w:rPr>
            </w:r>
          </w:p>
        </w:tc>
      </w:tr>
      <w:tr>
        <w:trPr/>
        <w:tc>
          <w:tcPr>
            <w:tcW w:w="785" w:type="dxa"/>
            <w:tcBorders>
              <w:bottom w:val="single" w:sz="8" w:space="0" w:color="000000"/>
            </w:tcBorders>
            <w:tcMar>
              <w:bottom w:w="28" w:type="dxa"/>
            </w:tcMar>
            <w:vAlign w:val="center"/>
          </w:tcPr>
          <w:p>
            <w:pPr>
              <w:pStyle w:val="TableContents"/>
              <w:bidi w:val="0"/>
              <w:spacing w:before="0" w:after="283"/>
              <w:jc w:val="center"/>
              <w:rPr/>
            </w:pPr>
            <w:r>
              <w:rPr>
                <w:b/>
              </w:rPr>
              <w:t>Exhibit</w:t>
            </w:r>
            <w:r>
              <w:rPr/>
              <w:br/>
            </w:r>
            <w:r>
              <w:rPr>
                <w:b/>
              </w:rPr>
              <w:t>No.</w:t>
            </w:r>
          </w:p>
        </w:tc>
        <w:tc>
          <w:tcPr>
            <w:tcW w:w="120" w:type="dxa"/>
            <w:tcBorders/>
            <w:vAlign w:val="center"/>
          </w:tcPr>
          <w:p>
            <w:pPr>
              <w:pStyle w:val="TableContents"/>
              <w:bidi w:val="0"/>
              <w:spacing w:before="0" w:after="283"/>
              <w:jc w:val="left"/>
              <w:rPr/>
            </w:pPr>
            <w:r>
              <w:rPr/>
              <w:t>  </w:t>
            </w:r>
          </w:p>
        </w:tc>
        <w:tc>
          <w:tcPr>
            <w:tcW w:w="7685" w:type="dxa"/>
            <w:tcBorders>
              <w:bottom w:val="single" w:sz="8" w:space="0" w:color="000000"/>
            </w:tcBorders>
            <w:tcMar>
              <w:bottom w:w="28" w:type="dxa"/>
            </w:tcMar>
            <w:vAlign w:val="center"/>
          </w:tcPr>
          <w:p>
            <w:pPr>
              <w:pStyle w:val="TableContents"/>
              <w:bidi w:val="0"/>
              <w:spacing w:before="0" w:after="20"/>
              <w:jc w:val="left"/>
              <w:rPr>
                <w:rFonts w:ascii="Times New Roman" w:hAnsi="Times New Roman"/>
                <w:b/>
                <w:sz w:val="16"/>
              </w:rPr>
            </w:pPr>
            <w:r>
              <w:rPr>
                <w:rFonts w:ascii="Times New Roman" w:hAnsi="Times New Roman"/>
                <w:b/>
                <w:sz w:val="16"/>
              </w:rPr>
              <w:t>Description</w:t>
            </w:r>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5.1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8419dex51.htm">
              <w:r>
                <w:rPr>
                  <w:rStyle w:val="InternetLink"/>
                </w:rPr>
                <w:t xml:space="preserve">Opinion of Cooley LLP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23.1</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hyperlink w:anchor="d118419dex51.htm">
              <w:r>
                <w:rPr>
                  <w:rStyle w:val="InternetLink"/>
                </w:rPr>
                <w:t xml:space="preserve">Consent of Cooley LLP (included in Exhibit 5.1) </w:t>
              </w:r>
            </w:hyperlink>
          </w:p>
        </w:tc>
      </w:tr>
      <w:tr>
        <w:trPr/>
        <w:tc>
          <w:tcPr>
            <w:tcW w:w="785" w:type="dxa"/>
            <w:tcBorders/>
            <w:vAlign w:val="center"/>
          </w:tcPr>
          <w:p>
            <w:pPr>
              <w:pStyle w:val="TableContents"/>
              <w:bidi w:val="0"/>
              <w:spacing w:before="0" w:after="283"/>
              <w:jc w:val="left"/>
              <w:rPr>
                <w:sz w:val="4"/>
                <w:szCs w:val="4"/>
              </w:rPr>
            </w:pPr>
            <w:r>
              <w:rPr>
                <w:sz w:val="4"/>
                <w:szCs w:val="4"/>
              </w:rPr>
            </w:r>
          </w:p>
        </w:tc>
        <w:tc>
          <w:tcPr>
            <w:tcW w:w="7805" w:type="dxa"/>
            <w:gridSpan w:val="2"/>
            <w:tcBorders/>
            <w:vAlign w:val="center"/>
          </w:tcPr>
          <w:p>
            <w:pPr>
              <w:pStyle w:val="TableContents"/>
              <w:bidi w:val="0"/>
              <w:spacing w:before="0" w:after="283"/>
              <w:jc w:val="left"/>
              <w:rPr>
                <w:sz w:val="4"/>
                <w:szCs w:val="4"/>
              </w:rPr>
            </w:pPr>
            <w:r>
              <w:rPr>
                <w:sz w:val="4"/>
                <w:szCs w:val="4"/>
              </w:rPr>
            </w:r>
          </w:p>
        </w:tc>
      </w:tr>
      <w:tr>
        <w:trPr/>
        <w:tc>
          <w:tcPr>
            <w:tcW w:w="785"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8243" w:type="dxa"/>
        <w:jc w:val="left"/>
        <w:tblInd w:w="0" w:type="dxa"/>
        <w:tblLayout w:type="fixed"/>
        <w:tblCellMar>
          <w:top w:w="0" w:type="dxa"/>
          <w:left w:w="0" w:type="dxa"/>
          <w:bottom w:w="0" w:type="dxa"/>
          <w:right w:w="0" w:type="dxa"/>
        </w:tblCellMar>
      </w:tblPr>
      <w:tblGrid>
        <w:gridCol w:w="2195"/>
        <w:gridCol w:w="60"/>
        <w:gridCol w:w="23"/>
        <w:gridCol w:w="60"/>
        <w:gridCol w:w="365"/>
        <w:gridCol w:w="60"/>
        <w:gridCol w:w="5480"/>
      </w:tblGrid>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48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905" w:type="dxa"/>
            <w:gridSpan w:val="3"/>
            <w:tcBorders/>
            <w:vAlign w:val="center"/>
          </w:tcPr>
          <w:p>
            <w:pPr>
              <w:pStyle w:val="TableContents"/>
              <w:bidi w:val="0"/>
              <w:spacing w:before="0" w:after="283"/>
              <w:jc w:val="left"/>
              <w:rPr>
                <w:b/>
              </w:rPr>
            </w:pPr>
            <w:r>
              <w:rPr>
                <w:b/>
              </w:rPr>
              <w:t>MannKind Corporation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5540" w:type="dxa"/>
            <w:gridSpan w:val="2"/>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Date: August 21,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David Thomson</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David Thomson, Ph.D., J.D.</w:t>
            </w:r>
          </w:p>
        </w:tc>
      </w:tr>
      <w:tr>
        <w:trPr/>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283"/>
              <w:jc w:val="left"/>
              <w:rPr/>
            </w:pPr>
            <w:r>
              <w:rPr/>
              <w:t>Executive Vice President, General Counsel and Secretary</w:t>
            </w:r>
          </w:p>
        </w:tc>
      </w:tr>
    </w:tbl>
    <w:p>
      <w:pPr>
        <w:pStyle w:val="TextBody"/>
        <w:bidi w:val="0"/>
        <w:spacing w:before="0" w:after="0"/>
        <w:jc w:val="right"/>
        <w:rPr>
          <w:rFonts w:ascii="Times New Roman" w:hAnsi="Times New Roman"/>
          <w:b/>
          <w:sz w:val="20"/>
        </w:rPr>
      </w:pPr>
      <w:bookmarkStart w:id="2" w:name="d118419dex51.htm"/>
      <w:bookmarkStart w:id="3" w:name="ksd118419dex51"/>
      <w:bookmarkEnd w:id="2"/>
      <w:bookmarkEnd w:id="3"/>
      <w:r>
        <w:rPr>
          <w:rFonts w:ascii="Times New Roman" w:hAnsi="Times New Roman"/>
          <w:b/>
          <w:sz w:val="20"/>
        </w:rPr>
        <w:t xml:space="preserve">Exhibit 5.1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95400" cy="4191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Asa M. Henin </w:t>
      </w:r>
    </w:p>
    <w:p>
      <w:pPr>
        <w:pStyle w:val="TextBody"/>
        <w:bidi w:val="0"/>
        <w:spacing w:before="0" w:after="0"/>
        <w:jc w:val="left"/>
        <w:rPr>
          <w:rFonts w:ascii="Times New Roman" w:hAnsi="Times New Roman"/>
          <w:sz w:val="20"/>
        </w:rPr>
      </w:pPr>
      <w:r>
        <w:rPr>
          <w:rFonts w:ascii="Times New Roman" w:hAnsi="Times New Roman"/>
          <w:sz w:val="20"/>
        </w:rPr>
        <w:t xml:space="preserve">+1 858 550 6104 </w:t>
      </w:r>
    </w:p>
    <w:p>
      <w:pPr>
        <w:pStyle w:val="TextBody"/>
        <w:bidi w:val="0"/>
        <w:spacing w:before="0" w:after="0"/>
        <w:jc w:val="left"/>
        <w:rPr>
          <w:rFonts w:ascii="Times New Roman" w:hAnsi="Times New Roman"/>
          <w:sz w:val="20"/>
        </w:rPr>
      </w:pPr>
      <w:r>
        <w:rPr>
          <w:rFonts w:ascii="Times New Roman" w:hAnsi="Times New Roman"/>
          <w:sz w:val="20"/>
        </w:rPr>
        <w:t xml:space="preserve">ahenin@cooley.com  </w:t>
      </w:r>
    </w:p>
    <w:p>
      <w:pPr>
        <w:pStyle w:val="TextBody"/>
        <w:bidi w:val="0"/>
        <w:spacing w:before="240" w:after="0"/>
        <w:jc w:val="left"/>
        <w:rPr>
          <w:rFonts w:ascii="Times New Roman" w:hAnsi="Times New Roman"/>
          <w:sz w:val="20"/>
        </w:rPr>
      </w:pPr>
      <w:r>
        <w:rPr>
          <w:rFonts w:ascii="Times New Roman" w:hAnsi="Times New Roman"/>
          <w:sz w:val="20"/>
        </w:rPr>
        <w:t xml:space="preserve">August 21, 2026 </w:t>
      </w:r>
    </w:p>
    <w:p>
      <w:pPr>
        <w:pStyle w:val="TextBody"/>
        <w:bidi w:val="0"/>
        <w:spacing w:before="240" w:after="0"/>
        <w:jc w:val="left"/>
        <w:rPr>
          <w:rFonts w:ascii="Times New Roman" w:hAnsi="Times New Roman"/>
          <w:sz w:val="20"/>
        </w:rPr>
      </w:pPr>
      <w:r>
        <w:rPr>
          <w:rFonts w:ascii="Times New Roman" w:hAnsi="Times New Roman"/>
          <w:sz w:val="20"/>
        </w:rPr>
        <w:t xml:space="preserve">MannKind Corporation </w:t>
      </w:r>
    </w:p>
    <w:p>
      <w:pPr>
        <w:pStyle w:val="TextBody"/>
        <w:bidi w:val="0"/>
        <w:spacing w:before="0" w:after="0"/>
        <w:jc w:val="left"/>
        <w:rPr>
          <w:rFonts w:ascii="Times New Roman" w:hAnsi="Times New Roman"/>
          <w:sz w:val="20"/>
        </w:rPr>
      </w:pPr>
      <w:r>
        <w:rPr>
          <w:rFonts w:ascii="Times New Roman" w:hAnsi="Times New Roman"/>
          <w:sz w:val="20"/>
        </w:rPr>
        <w:t xml:space="preserve">1 Casper Street </w:t>
      </w:r>
    </w:p>
    <w:p>
      <w:pPr>
        <w:pStyle w:val="TextBody"/>
        <w:bidi w:val="0"/>
        <w:spacing w:before="0" w:after="0"/>
        <w:jc w:val="left"/>
        <w:rPr>
          <w:rFonts w:ascii="Times New Roman" w:hAnsi="Times New Roman"/>
          <w:sz w:val="20"/>
        </w:rPr>
      </w:pPr>
      <w:r>
        <w:rPr>
          <w:rFonts w:ascii="Times New Roman" w:hAnsi="Times New Roman"/>
          <w:sz w:val="20"/>
        </w:rPr>
        <w:t xml:space="preserve">Danbury, CT 06810 </w:t>
      </w:r>
    </w:p>
    <w:p>
      <w:pPr>
        <w:pStyle w:val="TextBody"/>
        <w:bidi w:val="0"/>
        <w:spacing w:before="240" w:after="0"/>
        <w:jc w:val="left"/>
        <w:rPr>
          <w:rFonts w:ascii="Times New Roman" w:hAnsi="Times New Roman"/>
          <w:sz w:val="20"/>
        </w:rPr>
      </w:pPr>
      <w:r>
        <w:rPr>
          <w:rFonts w:ascii="Times New Roman" w:hAnsi="Times New Roman"/>
          <w:sz w:val="20"/>
        </w:rPr>
        <w:t xml:space="preserve">Ladies and Gentlemen: </w:t>
      </w:r>
    </w:p>
    <w:p>
      <w:pPr>
        <w:pStyle w:val="TextBody"/>
        <w:bidi w:val="0"/>
        <w:spacing w:before="240" w:after="0"/>
        <w:jc w:val="left"/>
        <w:rPr>
          <w:rFonts w:ascii="Times New Roman" w:hAnsi="Times New Roman"/>
          <w:sz w:val="20"/>
        </w:rPr>
      </w:pPr>
      <w:r>
        <w:rPr>
          <w:rFonts w:ascii="Times New Roman" w:hAnsi="Times New Roman"/>
          <w:sz w:val="20"/>
        </w:rPr>
        <w:t>We have acted as counsel to MannKind Corporation, a Delaware corporation (the “</w:t>
      </w:r>
      <w:r>
        <w:rPr>
          <w:rFonts w:ascii="Times New Roman" w:hAnsi="Times New Roman"/>
          <w:b/>
          <w:i/>
          <w:sz w:val="20"/>
        </w:rPr>
        <w:t>Company</w:t>
      </w:r>
      <w:r>
        <w:rPr>
          <w:rFonts w:ascii="Times New Roman" w:hAnsi="Times New Roman"/>
          <w:sz w:val="20"/>
        </w:rPr>
        <w:t>”), in connection with the registration for resale by the selling stockholders named in the Prospectus (defined below) of up to 12,853,470 shares of the Company’s common stock, $0.01 par value per share (“</w:t>
      </w:r>
      <w:r>
        <w:rPr>
          <w:rFonts w:ascii="Times New Roman" w:hAnsi="Times New Roman"/>
          <w:b/>
          <w:i/>
          <w:sz w:val="20"/>
        </w:rPr>
        <w:t>Common Stock</w:t>
      </w:r>
      <w:r>
        <w:rPr>
          <w:rFonts w:ascii="Times New Roman" w:hAnsi="Times New Roman"/>
          <w:sz w:val="20"/>
        </w:rPr>
        <w:t>”), consisting of (i) 10,440,838 shares of Common Stock (the “</w:t>
      </w:r>
      <w:r>
        <w:rPr>
          <w:rFonts w:ascii="Times New Roman" w:hAnsi="Times New Roman"/>
          <w:b/>
          <w:i/>
          <w:sz w:val="20"/>
        </w:rPr>
        <w:t>Shares</w:t>
      </w:r>
      <w:r>
        <w:rPr>
          <w:rFonts w:ascii="Times New Roman" w:hAnsi="Times New Roman"/>
          <w:sz w:val="20"/>
        </w:rPr>
        <w:t>”) currently outstanding and (ii) up to 2,412,632 shares of Common Stock (the “</w:t>
      </w:r>
      <w:r>
        <w:rPr>
          <w:rFonts w:ascii="Times New Roman" w:hAnsi="Times New Roman"/>
          <w:b/>
          <w:i/>
          <w:sz w:val="20"/>
        </w:rPr>
        <w:t>Warrant Shares</w:t>
      </w:r>
      <w:r>
        <w:rPr>
          <w:rFonts w:ascii="Times New Roman" w:hAnsi="Times New Roman"/>
          <w:sz w:val="20"/>
        </w:rPr>
        <w:t>”) issuable upon the exercise of pre-funded warrants to purchase shares of Common Stock (the “</w:t>
      </w:r>
      <w:r>
        <w:rPr>
          <w:rFonts w:ascii="Times New Roman" w:hAnsi="Times New Roman"/>
          <w:b/>
          <w:i/>
          <w:sz w:val="20"/>
        </w:rPr>
        <w:t>Warrants</w:t>
      </w:r>
      <w:r>
        <w:rPr>
          <w:rFonts w:ascii="Times New Roman" w:hAnsi="Times New Roman"/>
          <w:sz w:val="20"/>
        </w:rPr>
        <w:t>”). The resale of the Shares and the Warrant Shares is being registered on a registration statement on Form S-3 under the Securities Act of 1933, as amended (the “</w:t>
      </w:r>
      <w:r>
        <w:rPr>
          <w:rFonts w:ascii="Times New Roman" w:hAnsi="Times New Roman"/>
          <w:b/>
          <w:i/>
          <w:sz w:val="20"/>
        </w:rPr>
        <w:t>Securities Act</w:t>
      </w:r>
      <w:r>
        <w:rPr>
          <w:rFonts w:ascii="Times New Roman" w:hAnsi="Times New Roman"/>
          <w:sz w:val="20"/>
        </w:rPr>
        <w:t>”), filed with the Securities and Exchange Commission (the “</w:t>
      </w:r>
      <w:r>
        <w:rPr>
          <w:rFonts w:ascii="Times New Roman" w:hAnsi="Times New Roman"/>
          <w:b/>
          <w:i/>
          <w:sz w:val="20"/>
        </w:rPr>
        <w:t>Commission</w:t>
      </w:r>
      <w:r>
        <w:rPr>
          <w:rFonts w:ascii="Times New Roman" w:hAnsi="Times New Roman"/>
          <w:sz w:val="20"/>
        </w:rPr>
        <w:t>”) on February 26, 2025 (Registration No. 333-285286) (the “</w:t>
      </w:r>
      <w:r>
        <w:rPr>
          <w:rFonts w:ascii="Times New Roman" w:hAnsi="Times New Roman"/>
          <w:b/>
          <w:i/>
          <w:sz w:val="20"/>
        </w:rPr>
        <w:t>Registration Statement</w:t>
      </w:r>
      <w:r>
        <w:rPr>
          <w:rFonts w:ascii="Times New Roman" w:hAnsi="Times New Roman"/>
          <w:sz w:val="20"/>
        </w:rPr>
        <w:t>”), a base prospectus, dated February 26, 2025, included in the Registration Statement at the time it became effective (the “</w:t>
      </w:r>
      <w:r>
        <w:rPr>
          <w:rFonts w:ascii="Times New Roman" w:hAnsi="Times New Roman"/>
          <w:b/>
          <w:i/>
          <w:sz w:val="20"/>
        </w:rPr>
        <w:t>Base Prospectus</w:t>
      </w:r>
      <w:r>
        <w:rPr>
          <w:rFonts w:ascii="Times New Roman" w:hAnsi="Times New Roman"/>
          <w:sz w:val="20"/>
        </w:rPr>
        <w:t>”), and a prospectus supplement to the Base Prospectus, dated August 21, 2026, filed with the Commission pursuant to Rule 424(b) under the Act (together with the Base Prospectus, the “</w:t>
      </w:r>
      <w:r>
        <w:rPr>
          <w:rFonts w:ascii="Times New Roman" w:hAnsi="Times New Roman"/>
          <w:b/>
          <w:i/>
          <w:sz w:val="20"/>
        </w:rPr>
        <w:t>Prospectus</w:t>
      </w:r>
      <w:r>
        <w:rPr>
          <w:rFonts w:ascii="Times New Roman" w:hAnsi="Times New Roman"/>
          <w:sz w:val="20"/>
        </w:rPr>
        <w:t>”). The Shares and the Warrants were issued by the Company pursuant to that certain Securities Purchase Agreement (the “</w:t>
      </w:r>
      <w:r>
        <w:rPr>
          <w:rFonts w:ascii="Times New Roman" w:hAnsi="Times New Roman"/>
          <w:b/>
          <w:i/>
          <w:sz w:val="20"/>
        </w:rPr>
        <w:t>Agreement</w:t>
      </w:r>
      <w:r>
        <w:rPr>
          <w:rFonts w:ascii="Times New Roman" w:hAnsi="Times New Roman"/>
          <w:sz w:val="20"/>
        </w:rPr>
        <w:t xml:space="preserve">”) dated July 23, 2026.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this opinion, we have examined and relied upon the Registration Statement, the Prospectus, the Agreement, the Warrants, the Company’s certificate of incorporation and bylaws, each as currently in effect, and such other records, documents, opinions, certificates, memoranda and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 accuracy, completeness and authenticity of certificates of public officials and the due authorization, execution and delivery of all documents by all persons other than the Company. As to certain factual matters, we have relied upon a certificate of an officer of the Company and have not independently verified such matters. </w:t>
      </w:r>
    </w:p>
    <w:p>
      <w:pPr>
        <w:pStyle w:val="TextBody"/>
        <w:bidi w:val="0"/>
        <w:spacing w:before="240" w:after="0"/>
        <w:jc w:val="left"/>
        <w:rPr>
          <w:rFonts w:ascii="Times New Roman" w:hAnsi="Times New Roman"/>
          <w:sz w:val="20"/>
        </w:rPr>
      </w:pPr>
      <w:r>
        <w:rPr>
          <w:rFonts w:ascii="Times New Roman" w:hAnsi="Times New Roman"/>
          <w:sz w:val="20"/>
        </w:rPr>
        <w:t xml:space="preserve">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Warrant Shares, we express no opinion to the extent that future issuances of securities of the Company, adjustments to outstanding securities of the Company or other matters cause the Warrants to be exercisable for more shares of Common Stock than the number available for issuance by the Company or that the consideration paid upon exercise of the Warrants is below the par value per share of the Common Stock. </w:t>
      </w:r>
    </w:p>
    <w:p>
      <w:pPr>
        <w:pStyle w:val="TextBody"/>
        <w:bidi w:val="0"/>
        <w:spacing w:before="240" w:after="0"/>
        <w:jc w:val="left"/>
        <w:rPr>
          <w:rFonts w:ascii="Times New Roman" w:hAnsi="Times New Roman"/>
          <w:sz w:val="20"/>
        </w:rPr>
      </w:pPr>
      <w:r>
        <w:rPr>
          <w:rFonts w:ascii="Times New Roman" w:hAnsi="Times New Roman"/>
          <w:sz w:val="20"/>
        </w:rPr>
        <w:t xml:space="preserve">On the basis of the foregoing, and in reliance thereon, and subject to the assumption, qualifications, limitations and exceptions set forth herein, we are of the opinion that (i) the Shares are validly issued, fully paid and nonassessable, and (ii) the Warrant Shares, when issued and paid for in accordance with the terms of the Warrants, will be validly issued, fully paid and nonassessable. </w:t>
      </w:r>
    </w:p>
    <w:p>
      <w:pPr>
        <w:pStyle w:val="TextBody"/>
        <w:bidi w:val="0"/>
        <w:spacing w:before="240" w:after="0"/>
        <w:jc w:val="center"/>
        <w:rPr>
          <w:rFonts w:ascii="Times New Roman" w:hAnsi="Times New Roman"/>
          <w:sz w:val="16"/>
        </w:rPr>
      </w:pPr>
      <w:r>
        <w:rPr>
          <w:rFonts w:ascii="Times New Roman" w:hAnsi="Times New Roman"/>
          <w:sz w:val="16"/>
        </w:rPr>
        <w:t xml:space="preserve">Cooley LLP 10265 Science Center Drive San Diego, CA 92121-1117 </w:t>
      </w:r>
    </w:p>
    <w:p>
      <w:pPr>
        <w:pStyle w:val="TextBody"/>
        <w:bidi w:val="0"/>
        <w:spacing w:before="0" w:after="0"/>
        <w:jc w:val="center"/>
        <w:rPr>
          <w:rFonts w:ascii="Times New Roman" w:hAnsi="Times New Roman"/>
          <w:sz w:val="16"/>
        </w:rPr>
      </w:pPr>
      <w:r>
        <w:rPr>
          <w:rFonts w:ascii="Times New Roman" w:hAnsi="Times New Roman"/>
          <w:sz w:val="16"/>
        </w:rPr>
        <w:t xml:space="preserve">t: +1 858 550-6000 f: +1 858 550-6420 cooley.com </w:t>
      </w:r>
      <w:r>
        <w:br w:type="page"/>
      </w:r>
    </w:p>
    <w:p>
      <w:pPr>
        <w:pStyle w:val="HorizontalLine"/>
        <w:pBdr>
          <w:bottom w:val="double" w:sz="6" w:space="0" w:color="808080"/>
        </w:pBdr>
        <w:bidi w:val="0"/>
        <w:jc w:val="left"/>
        <w:rPr/>
      </w:pPr>
      <w:r>
        <w:rPr/>
      </w:r>
    </w:p>
    <w:p>
      <w:pPr>
        <w:pStyle w:val="TextBody"/>
        <w:bidi w:val="0"/>
        <w:spacing w:before="0" w:after="0"/>
        <w:jc w:val="left"/>
        <w:rPr/>
      </w:pPr>
      <w:r>
        <w:rPr/>
        <w:drawing>
          <wp:inline distT="0" distB="0" distL="0" distR="0">
            <wp:extent cx="1295400" cy="4191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19100"/>
                    </a:xfrm>
                    <a:prstGeom prst="rect">
                      <a:avLst/>
                    </a:prstGeom>
                  </pic:spPr>
                </pic:pic>
              </a:graphicData>
            </a:graphic>
          </wp:inline>
        </w:drawing>
      </w:r>
      <w:r>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MannKind Corporation </w:t>
      </w:r>
    </w:p>
    <w:p>
      <w:pPr>
        <w:pStyle w:val="TextBody"/>
        <w:bidi w:val="0"/>
        <w:spacing w:before="0" w:after="0"/>
        <w:jc w:val="left"/>
        <w:rPr>
          <w:rFonts w:ascii="Times New Roman" w:hAnsi="Times New Roman"/>
          <w:sz w:val="20"/>
        </w:rPr>
      </w:pPr>
      <w:r>
        <w:rPr>
          <w:rFonts w:ascii="Times New Roman" w:hAnsi="Times New Roman"/>
          <w:sz w:val="20"/>
        </w:rPr>
        <w:t xml:space="preserve">August 21, 2026 </w:t>
      </w:r>
    </w:p>
    <w:p>
      <w:pPr>
        <w:pStyle w:val="TextBody"/>
        <w:bidi w:val="0"/>
        <w:spacing w:before="0" w:after="0"/>
        <w:jc w:val="left"/>
        <w:rPr>
          <w:rFonts w:ascii="Times New Roman" w:hAnsi="Times New Roman"/>
          <w:sz w:val="20"/>
        </w:rPr>
      </w:pPr>
      <w:r>
        <w:rPr>
          <w:rFonts w:ascii="Times New Roman" w:hAnsi="Times New Roman"/>
          <w:sz w:val="20"/>
        </w:rPr>
        <w:t xml:space="preserve">Page Two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sz w:val="20"/>
        </w:rPr>
        <w:t xml:space="preserve">Our opinion is limited to the matters expressly set forth in this letter, and no opinion has been or should be implied, or may be inferred, beyond the matters expressly stated. This opinion speaks only as to law and facts in effect or existing as of the date hereof, and we have no obligation or responsibility to update or supplement this letter to reflect any facts or circumstances that may hereafter come to our attention or any changes in law that may hereafter occur.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reference to our firm under the caption “Legal Matters” in the Prospectus and to the filing of this opinion as an exhibit to a Current Report on Form 8-K to be filed with the Commission for incorporation by reference into the Registration Statement. In giving such consents, we do not thereby admit that we are in the category of persons whose consent is required under Section 7 of the Securities Act or the rules and regulations of the Commission thereunder. </w:t>
      </w:r>
    </w:p>
    <w:p>
      <w:pPr>
        <w:pStyle w:val="TextBody"/>
        <w:bidi w:val="0"/>
        <w:spacing w:before="240" w:after="0"/>
        <w:jc w:val="left"/>
        <w:rPr>
          <w:rFonts w:ascii="Times New Roman" w:hAnsi="Times New Roman"/>
          <w:sz w:val="20"/>
        </w:rPr>
      </w:pPr>
      <w:r>
        <w:rPr>
          <w:rFonts w:ascii="Times New Roman" w:hAnsi="Times New Roman"/>
          <w:sz w:val="20"/>
        </w:rPr>
        <w:t xml:space="preserve">Very truly yours, </w:t>
      </w:r>
    </w:p>
    <w:p>
      <w:pPr>
        <w:pStyle w:val="TextBody"/>
        <w:bidi w:val="0"/>
        <w:spacing w:before="240" w:after="0"/>
        <w:jc w:val="left"/>
        <w:rPr>
          <w:rFonts w:ascii="Times New Roman" w:hAnsi="Times New Roman"/>
          <w:b/>
          <w:sz w:val="20"/>
        </w:rPr>
      </w:pPr>
      <w:r>
        <w:rPr>
          <w:rFonts w:ascii="Times New Roman" w:hAnsi="Times New Roman"/>
          <w:b/>
          <w:sz w:val="20"/>
        </w:rPr>
        <w:t xml:space="preserve">COOLEY LLP </w:t>
      </w:r>
    </w:p>
    <w:p>
      <w:pPr>
        <w:pStyle w:val="TextBody"/>
        <w:bidi w:val="0"/>
        <w:spacing w:before="0" w:after="0"/>
        <w:jc w:val="left"/>
        <w:rPr/>
      </w:pPr>
      <w:r>
        <w:rPr/>
        <w:t> </w:t>
      </w:r>
    </w:p>
    <w:tbl>
      <w:tblPr>
        <w:tblW w:w="2000" w:type="pct"/>
        <w:jc w:val="left"/>
        <w:tblInd w:w="0" w:type="dxa"/>
        <w:tblLayout w:type="fixed"/>
        <w:tblCellMar>
          <w:top w:w="0" w:type="dxa"/>
          <w:left w:w="0" w:type="dxa"/>
          <w:bottom w:w="0" w:type="dxa"/>
          <w:right w:w="0" w:type="dxa"/>
        </w:tblCellMar>
      </w:tblPr>
      <w:tblGrid>
        <w:gridCol w:w="376"/>
        <w:gridCol w:w="60"/>
        <w:gridCol w:w="3646"/>
      </w:tblGrid>
      <w:tr>
        <w:trPr/>
        <w:tc>
          <w:tcPr>
            <w:tcW w:w="376"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46" w:type="dxa"/>
            <w:tcBorders/>
            <w:vAlign w:val="center"/>
          </w:tcPr>
          <w:p>
            <w:pPr>
              <w:pStyle w:val="TableContents"/>
              <w:bidi w:val="0"/>
              <w:spacing w:before="0" w:after="283"/>
              <w:jc w:val="left"/>
              <w:rPr>
                <w:sz w:val="4"/>
                <w:szCs w:val="4"/>
              </w:rPr>
            </w:pPr>
            <w:r>
              <w:rPr>
                <w:sz w:val="4"/>
                <w:szCs w:val="4"/>
              </w:rPr>
            </w:r>
          </w:p>
        </w:tc>
      </w:tr>
      <w:tr>
        <w:trPr/>
        <w:tc>
          <w:tcPr>
            <w:tcW w:w="376"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pBdr>
                <w:bottom w:val="single" w:sz="2" w:space="1" w:color="000000"/>
              </w:pBdr>
              <w:bidi w:val="0"/>
              <w:spacing w:before="0" w:after="20"/>
              <w:jc w:val="left"/>
              <w:rPr>
                <w:rFonts w:ascii="Times New Roman" w:hAnsi="Times New Roman"/>
                <w:i/>
                <w:sz w:val="20"/>
              </w:rPr>
            </w:pPr>
            <w:r>
              <w:rPr>
                <w:rFonts w:ascii="Times New Roman" w:hAnsi="Times New Roman"/>
                <w:i/>
                <w:sz w:val="20"/>
              </w:rPr>
              <w:t>/s Asa M. Henin</w:t>
            </w:r>
          </w:p>
        </w:tc>
      </w:tr>
      <w:tr>
        <w:trPr/>
        <w:tc>
          <w:tcPr>
            <w:tcW w:w="376"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46" w:type="dxa"/>
            <w:tcBorders/>
          </w:tcPr>
          <w:p>
            <w:pPr>
              <w:pStyle w:val="TableContents"/>
              <w:bidi w:val="0"/>
              <w:spacing w:before="0" w:after="283"/>
              <w:jc w:val="left"/>
              <w:rPr/>
            </w:pPr>
            <w:r>
              <w:rPr/>
              <w:t>Asa M. Henin</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1250</Words>
  <Characters>6617</Characters>
  <CharactersWithSpaces>7867</CharactersWithSpaces>
  <Paragraphs>155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EX-5.1</dc:title>
</cp:coreProperties>
</file>