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104775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7" w:lineRule="exact"/>
        <w:rPr>
          <w:sz w:val="24"/>
          <w:szCs w:val="24"/>
          <w:color w:val="auto"/>
        </w:rPr>
      </w:pPr>
    </w:p>
    <w:p>
      <w:pPr>
        <w:ind w:left="3800" w:right="1740" w:hanging="3792"/>
        <w:spacing w:after="0" w:line="328" w:lineRule="auto"/>
        <w:tabs>
          <w:tab w:leader="none" w:pos="3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60"/>
        <w:spacing w:after="0"/>
        <w:tabs>
          <w:tab w:leader="none" w:pos="6660" w:val="left"/>
          <w:tab w:leader="none" w:pos="75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3761740</wp:posOffset>
            </wp:positionH>
            <wp:positionV relativeFrom="paragraph">
              <wp:posOffset>-5080</wp:posOffset>
            </wp:positionV>
            <wp:extent cx="1064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96520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jc w:val="right"/>
              <w:ind w:right="2297"/>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20"/>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20" w:type="dxa"/>
            <w:vAlign w:val="bottom"/>
          </w:tcPr>
          <w:p>
            <w:pPr>
              <w:jc w:val="center"/>
              <w:ind w:right="1917"/>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jc w:val="center"/>
              <w:ind w:right="1897"/>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42"/>
        </w:trPr>
        <w:tc>
          <w:tcPr>
            <w:tcW w:w="4500" w:type="dxa"/>
            <w:vAlign w:val="bottom"/>
            <w:gridSpan w:val="2"/>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1 Casper Street</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20" w:type="dxa"/>
            <w:vAlign w:val="bottom"/>
          </w:tcPr>
          <w:p>
            <w:pPr>
              <w:jc w:val="right"/>
              <w:ind w:right="2497"/>
              <w:spacing w:after="0"/>
              <w:rPr>
                <w:sz w:val="20"/>
                <w:szCs w:val="20"/>
                <w:color w:val="auto"/>
              </w:rPr>
            </w:pPr>
            <w:r>
              <w:rPr>
                <w:rFonts w:ascii="Times New Roman" w:cs="Times New Roman" w:eastAsia="Times New Roman" w:hAnsi="Times New Roman"/>
                <w:sz w:val="18"/>
                <w:szCs w:val="18"/>
                <w:b w:val="1"/>
                <w:bCs w:val="1"/>
                <w:color w:val="auto"/>
              </w:rPr>
              <w:t>06810</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20" w:type="dxa"/>
            <w:vAlign w:val="bottom"/>
          </w:tcPr>
          <w:p>
            <w:pPr>
              <w:jc w:val="center"/>
              <w:ind w:right="191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4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(818) 661-5000</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620" w:type="dxa"/>
            <w:vAlign w:val="bottom"/>
            <w:gridSpan w:val="7"/>
          </w:tcPr>
          <w:p>
            <w:pPr>
              <w:jc w:val="center"/>
              <w:ind w:left="349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640" w:type="dxa"/>
            <w:vAlign w:val="bottom"/>
            <w:vMerge w:val="restart"/>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56"/>
        </w:trPr>
        <w:tc>
          <w:tcPr>
            <w:tcW w:w="7620" w:type="dxa"/>
            <w:vAlign w:val="bottom"/>
            <w:gridSpan w:val="7"/>
          </w:tcPr>
          <w:p>
            <w:pPr>
              <w:jc w:val="center"/>
              <w:ind w:left="353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9"/>
                <w:szCs w:val="19"/>
                <w:color w:val="auto"/>
              </w:rPr>
            </w:pPr>
          </w:p>
        </w:tc>
        <w:tc>
          <w:tcPr>
            <w:tcW w:w="310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20" w:type="dxa"/>
            <w:vAlign w:val="bottom"/>
            <w:vMerge w:val="restart"/>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MNKD</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tcPr>
          <w:p>
            <w:pPr>
              <w:jc w:val="center"/>
              <w:ind w:right="557"/>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9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jc w:val="both"/>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2023, there were 264,305,532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290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8"/>
              </w:rPr>
              <w:t>PART I: FINANCIAL INFORMATION</w:t>
            </w:r>
          </w:p>
        </w:tc>
        <w:tc>
          <w:tcPr>
            <w:tcW w:w="784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r>
      <w:tr>
        <w:trPr>
          <w:trHeight w:val="465"/>
        </w:trPr>
        <w:tc>
          <w:tcPr>
            <w:tcW w:w="2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1. Financial Statements (Unaudited)</w:t>
            </w:r>
          </w:p>
        </w:tc>
        <w:tc>
          <w:tcPr>
            <w:tcW w:w="20" w:type="dxa"/>
            <w:vAlign w:val="bottom"/>
            <w:tcBorders>
              <w:bottom w:val="single" w:sz="8" w:color="0000EE"/>
            </w:tcBorders>
          </w:tcPr>
          <w:p>
            <w:pPr>
              <w:spacing w:after="0"/>
              <w:rPr>
                <w:sz w:val="24"/>
                <w:szCs w:val="24"/>
                <w:color w:val="auto"/>
              </w:rPr>
            </w:pPr>
          </w:p>
        </w:tc>
        <w:tc>
          <w:tcPr>
            <w:tcW w:w="774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Three months ended March 31, 2023 and 2022</w:t>
            </w:r>
          </w:p>
        </w:tc>
        <w:tc>
          <w:tcPr>
            <w:tcW w:w="362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9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March 31, 2023 and December 31, 2022</w:t>
            </w:r>
          </w:p>
        </w:tc>
        <w:tc>
          <w:tcPr>
            <w:tcW w:w="20" w:type="dxa"/>
            <w:vAlign w:val="bottom"/>
            <w:tcBorders>
              <w:bottom w:val="single" w:sz="8" w:color="0000EE"/>
            </w:tcBorders>
          </w:tcPr>
          <w:p>
            <w:pPr>
              <w:spacing w:after="0"/>
              <w:rPr>
                <w:sz w:val="19"/>
                <w:szCs w:val="19"/>
                <w:color w:val="auto"/>
              </w:rPr>
            </w:pPr>
          </w:p>
        </w:tc>
        <w:tc>
          <w:tcPr>
            <w:tcW w:w="4780" w:type="dxa"/>
            <w:vAlign w:val="bottom"/>
            <w:gridSpan w:val="6"/>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8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Three months ended March 31, 2023 and 2022</w:t>
            </w:r>
          </w:p>
        </w:tc>
        <w:tc>
          <w:tcPr>
            <w:tcW w:w="20" w:type="dxa"/>
            <w:vAlign w:val="bottom"/>
            <w:tcBorders>
              <w:bottom w:val="single" w:sz="8" w:color="0000EE"/>
            </w:tcBorders>
          </w:tcPr>
          <w:p>
            <w:pPr>
              <w:spacing w:after="0"/>
              <w:rPr>
                <w:sz w:val="19"/>
                <w:szCs w:val="19"/>
                <w:color w:val="auto"/>
              </w:rPr>
            </w:pPr>
          </w:p>
        </w:tc>
        <w:tc>
          <w:tcPr>
            <w:tcW w:w="2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Three months ended March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8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Three months ended March 31, 2023 and 2022</w:t>
            </w:r>
          </w:p>
        </w:tc>
        <w:tc>
          <w:tcPr>
            <w:tcW w:w="2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1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58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9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3740" w:type="dxa"/>
            <w:vAlign w:val="bottom"/>
            <w:gridSpan w:val="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1"/>
        </w:trPr>
        <w:tc>
          <w:tcPr>
            <w:tcW w:w="2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16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71"/>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860" w:type="dxa"/>
            <w:vAlign w:val="bottom"/>
            <w:gridSpan w:val="17"/>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4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84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860" w:type="dxa"/>
            <w:vAlign w:val="bottom"/>
            <w:gridSpan w:val="1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2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400" w:type="dxa"/>
            <w:vAlign w:val="bottom"/>
            <w:gridSpan w:val="16"/>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19"/>
                <w:szCs w:val="19"/>
                <w:color w:val="auto"/>
              </w:rPr>
            </w:pPr>
          </w:p>
        </w:tc>
        <w:tc>
          <w:tcPr>
            <w:tcW w:w="8880" w:type="dxa"/>
            <w:vAlign w:val="bottom"/>
            <w:gridSpan w:val="18"/>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71"/>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20" w:type="dxa"/>
            <w:vAlign w:val="bottom"/>
            <w:tcBorders>
              <w:bottom w:val="single" w:sz="8" w:color="0000EE"/>
            </w:tcBorders>
          </w:tcPr>
          <w:p>
            <w:pPr>
              <w:spacing w:after="0"/>
              <w:rPr>
                <w:sz w:val="24"/>
                <w:szCs w:val="24"/>
                <w:color w:val="auto"/>
              </w:rPr>
            </w:pPr>
          </w:p>
        </w:tc>
        <w:tc>
          <w:tcPr>
            <w:tcW w:w="9620" w:type="dxa"/>
            <w:vAlign w:val="bottom"/>
            <w:gridSpan w:val="21"/>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38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400" w:type="dxa"/>
            <w:vAlign w:val="bottom"/>
          </w:tcPr>
          <w:p>
            <w:pPr>
              <w:jc w:val="right"/>
              <w:ind w:right="12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17,562</w:t>
            </w:r>
          </w:p>
        </w:tc>
        <w:tc>
          <w:tcPr>
            <w:tcW w:w="240" w:type="dxa"/>
            <w:vAlign w:val="bottom"/>
          </w:tcPr>
          <w:p>
            <w:pPr>
              <w:spacing w:after="0"/>
              <w:rPr>
                <w:sz w:val="20"/>
                <w:szCs w:val="20"/>
                <w:color w:val="auto"/>
              </w:rPr>
            </w:pPr>
          </w:p>
        </w:tc>
        <w:tc>
          <w:tcPr>
            <w:tcW w:w="138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1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Royalties – collaborations</w:t>
            </w:r>
          </w:p>
        </w:tc>
        <w:tc>
          <w:tcPr>
            <w:tcW w:w="1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w:t>
            </w:r>
          </w:p>
        </w:tc>
        <w:tc>
          <w:tcPr>
            <w:tcW w:w="1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1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(1,983 )</w:t>
            </w:r>
          </w:p>
        </w:tc>
        <w:tc>
          <w:tcPr>
            <w:tcW w:w="0" w:type="dxa"/>
            <w:vAlign w:val="bottom"/>
          </w:tcPr>
          <w:p>
            <w:pPr>
              <w:spacing w:after="0"/>
              <w:rPr>
                <w:sz w:val="1"/>
                <w:szCs w:val="1"/>
                <w:color w:val="auto"/>
              </w:rPr>
            </w:pPr>
          </w:p>
        </w:tc>
      </w:tr>
      <w:tr>
        <w:trPr>
          <w:trHeight w:val="236"/>
        </w:trPr>
        <w:tc>
          <w:tcPr>
            <w:tcW w:w="65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140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(5,998 )</w:t>
            </w:r>
          </w:p>
        </w:tc>
        <w:tc>
          <w:tcPr>
            <w:tcW w:w="13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(21,256 )</w:t>
            </w:r>
          </w:p>
        </w:tc>
        <w:tc>
          <w:tcPr>
            <w:tcW w:w="0" w:type="dxa"/>
            <w:vAlign w:val="bottom"/>
          </w:tcPr>
          <w:p>
            <w:pPr>
              <w:spacing w:after="0"/>
              <w:rPr>
                <w:sz w:val="1"/>
                <w:szCs w:val="1"/>
                <w:color w:val="auto"/>
              </w:rPr>
            </w:pPr>
          </w:p>
        </w:tc>
      </w:tr>
      <w:tr>
        <w:trPr>
          <w:trHeight w:val="24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4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1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(2,424 )</w:t>
            </w:r>
          </w:p>
        </w:tc>
        <w:tc>
          <w:tcPr>
            <w:tcW w:w="13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(2,371 )</w:t>
            </w:r>
          </w:p>
        </w:tc>
        <w:tc>
          <w:tcPr>
            <w:tcW w:w="0" w:type="dxa"/>
            <w:vAlign w:val="bottom"/>
          </w:tcPr>
          <w:p>
            <w:pPr>
              <w:spacing w:after="0"/>
              <w:rPr>
                <w:sz w:val="1"/>
                <w:szCs w:val="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on notes</w:t>
            </w:r>
          </w:p>
        </w:tc>
        <w:tc>
          <w:tcPr>
            <w:tcW w:w="140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(2,786 )</w:t>
            </w:r>
          </w:p>
        </w:tc>
        <w:tc>
          <w:tcPr>
            <w:tcW w:w="13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(2,748 )</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140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(3,797 )</w:t>
            </w:r>
          </w:p>
        </w:tc>
        <w:tc>
          <w:tcPr>
            <w:tcW w:w="13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(4,742 )</w:t>
            </w:r>
          </w:p>
        </w:tc>
        <w:tc>
          <w:tcPr>
            <w:tcW w:w="0" w:type="dxa"/>
            <w:vAlign w:val="bottom"/>
          </w:tcPr>
          <w:p>
            <w:pPr>
              <w:spacing w:after="0"/>
              <w:rPr>
                <w:sz w:val="1"/>
                <w:szCs w:val="1"/>
                <w:color w:val="auto"/>
              </w:rPr>
            </w:pPr>
          </w:p>
        </w:tc>
      </w:tr>
      <w:tr>
        <w:trPr>
          <w:trHeight w:val="24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4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400" w:type="dxa"/>
            <w:vAlign w:val="bottom"/>
          </w:tcPr>
          <w:p>
            <w:pPr>
              <w:spacing w:after="0"/>
              <w:rPr>
                <w:sz w:val="20"/>
                <w:szCs w:val="20"/>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auto"/>
              <w:bottom w:val="single" w:sz="8" w:color="auto"/>
            </w:tcBorders>
            <w:shd w:val="clear" w:color="auto" w:fill="CFF0FC"/>
          </w:tcPr>
          <w:p>
            <w:pPr>
              <w:jc w:val="right"/>
              <w:ind w:right="12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FF0FC"/>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0" w:type="dxa"/>
            <w:vAlign w:val="bottom"/>
          </w:tcPr>
          <w:p>
            <w:pPr>
              <w:jc w:val="right"/>
              <w:ind w:right="12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(0.04 )</w:t>
            </w:r>
          </w:p>
        </w:tc>
        <w:tc>
          <w:tcPr>
            <w:tcW w:w="138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Shares used to compute net loss per share</w:t>
            </w:r>
          </w:p>
        </w:tc>
        <w:tc>
          <w:tcPr>
            <w:tcW w:w="140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263,969</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basic and diluted</w:t>
            </w:r>
          </w:p>
        </w:tc>
        <w:tc>
          <w:tcPr>
            <w:tcW w:w="14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-3329940</wp:posOffset>
            </wp:positionV>
            <wp:extent cx="685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-2255520</wp:posOffset>
            </wp:positionV>
            <wp:extent cx="7145020" cy="346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34671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-1137920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-495935</wp:posOffset>
            </wp:positionV>
            <wp:extent cx="159258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2580" cy="20574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gridSpan w:val="2"/>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5"/>
                <w:szCs w:val="15"/>
                <w:color w:val="auto"/>
              </w:rPr>
            </w:pP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2"/>
              </w:rPr>
              <w:t>share</w:t>
            </w:r>
          </w:p>
        </w:tc>
        <w:tc>
          <w:tcPr>
            <w:tcW w:w="2160" w:type="dxa"/>
            <w:vAlign w:val="bottom"/>
            <w:gridSpan w:val="2"/>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100" w:type="dxa"/>
            <w:vAlign w:val="bottom"/>
          </w:tcPr>
          <w:p>
            <w:pPr>
              <w:spacing w:after="0"/>
              <w:rPr>
                <w:sz w:val="14"/>
                <w:szCs w:val="14"/>
                <w:color w:val="auto"/>
              </w:rPr>
            </w:pPr>
          </w:p>
        </w:tc>
      </w:tr>
      <w:tr>
        <w:trPr>
          <w:trHeight w:val="243"/>
        </w:trPr>
        <w:tc>
          <w:tcPr>
            <w:tcW w:w="6560" w:type="dxa"/>
            <w:vAlign w:val="bottom"/>
            <w:shd w:val="clear" w:color="auto" w:fill="CFF0FC"/>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85,869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69,767</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101,079</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21,772</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223,299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234,896</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45,126</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298,137</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295,282</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65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24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32,995</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Midcap credit facility – current</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Recognized loss on purchase commitments – current</w:t>
            </w:r>
          </w:p>
        </w:tc>
        <w:tc>
          <w:tcPr>
            <w:tcW w:w="4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67,296</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 Mann Group convertible note</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94,441</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94,512</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Midcap credit facility</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225,761</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225,397</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Milestone liabilities</w:t>
            </w:r>
          </w:p>
        </w:tc>
        <w:tc>
          <w:tcPr>
            <w:tcW w:w="4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shd w:val="clear" w:color="auto" w:fill="CFF0FC"/>
          </w:tcPr>
          <w:p>
            <w:pPr>
              <w:spacing w:after="0"/>
              <w:rPr>
                <w:sz w:val="21"/>
                <w:szCs w:val="21"/>
                <w:color w:val="auto"/>
              </w:rPr>
            </w:pPr>
          </w:p>
        </w:tc>
      </w:tr>
      <w:tr>
        <w:trPr>
          <w:trHeight w:val="232"/>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553,533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545,820</w:t>
            </w:r>
          </w:p>
        </w:tc>
        <w:tc>
          <w:tcPr>
            <w:tcW w:w="100" w:type="dxa"/>
            <w:vAlign w:val="bottom"/>
          </w:tcPr>
          <w:p>
            <w:pPr>
              <w:spacing w:after="0"/>
              <w:rPr>
                <w:sz w:val="20"/>
                <w:szCs w:val="20"/>
                <w:color w:val="auto"/>
              </w:rPr>
            </w:pPr>
          </w:p>
        </w:tc>
      </w:tr>
      <w:tr>
        <w:trPr>
          <w:trHeight w:val="24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4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Undesignated preferred stock, $0.01 par value – 10,000,000 shares</w:t>
            </w:r>
          </w:p>
        </w:tc>
        <w:tc>
          <w:tcPr>
            <w:tcW w:w="4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authorized; no shares issued or outstanding as of March 31, 2023</w:t>
            </w:r>
          </w:p>
        </w:tc>
        <w:tc>
          <w:tcPr>
            <w:tcW w:w="4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December 31, 2022</w:t>
            </w:r>
          </w:p>
        </w:tc>
        <w:tc>
          <w:tcPr>
            <w:tcW w:w="44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$0.01 par value – 400,000,000 shares authorized,</w:t>
            </w: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264,278,760 and 263,793,305 shares issued and outstanding as of</w:t>
            </w: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2023 and December 31, 2022, respectively</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2,969,225</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2,964,293</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0"/>
                <w:szCs w:val="20"/>
                <w:color w:val="auto"/>
              </w:rPr>
            </w:pPr>
          </w:p>
        </w:tc>
        <w:tc>
          <w:tcPr>
            <w:tcW w:w="19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(3,227,264 )</w:t>
            </w:r>
          </w:p>
        </w:tc>
        <w:tc>
          <w:tcPr>
            <w:tcW w:w="3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(3,217,469 )</w:t>
            </w:r>
          </w:p>
        </w:tc>
      </w:tr>
      <w:tr>
        <w:trPr>
          <w:trHeight w:val="20"/>
        </w:trPr>
        <w:tc>
          <w:tcPr>
            <w:tcW w:w="65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40" w:type="dxa"/>
            <w:vAlign w:val="bottom"/>
          </w:tcPr>
          <w:p>
            <w:pPr>
              <w:spacing w:after="0"/>
              <w:rPr>
                <w:sz w:val="20"/>
                <w:szCs w:val="20"/>
                <w:color w:val="auto"/>
              </w:rPr>
            </w:pPr>
          </w:p>
        </w:tc>
        <w:tc>
          <w:tcPr>
            <w:tcW w:w="198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(255,396 )</w:t>
            </w:r>
          </w:p>
        </w:tc>
        <w:tc>
          <w:tcPr>
            <w:tcW w:w="38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(250,538 )</w:t>
            </w:r>
          </w:p>
        </w:tc>
      </w:tr>
      <w:tr>
        <w:trPr>
          <w:trHeight w:val="276"/>
        </w:trPr>
        <w:tc>
          <w:tcPr>
            <w:tcW w:w="6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298,137</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-6207125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-6207125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-5273675</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-5273675</wp:posOffset>
            </wp:positionV>
            <wp:extent cx="685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-3698240</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-3698240</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-2161540</wp:posOffset>
            </wp:positionV>
            <wp:extent cx="161798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17980" cy="19685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-350520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COMPREHENSIVE LOSS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(9,795 )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(25,998 )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(1,076 )</w:t>
            </w:r>
          </w:p>
        </w:tc>
      </w:tr>
      <w:tr>
        <w:trPr>
          <w:trHeight w:val="20"/>
        </w:trPr>
        <w:tc>
          <w:tcPr>
            <w:tcW w:w="7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(9,795 )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(27,074 )</w:t>
            </w: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STOCKHOLDERS’ DEFICIT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60" w:type="dxa"/>
            <w:vAlign w:val="bottom"/>
          </w:tcPr>
          <w:p>
            <w:pPr>
              <w:spacing w:after="0"/>
              <w:rPr>
                <w:sz w:val="13"/>
                <w:szCs w:val="13"/>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55"/>
        </w:trPr>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5"/>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251,478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2,918,205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(3,130,069 )</w:t>
            </w: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(209,349 )</w:t>
            </w:r>
          </w:p>
        </w:tc>
      </w:tr>
      <w:tr>
        <w:trPr>
          <w:trHeight w:val="130"/>
        </w:trPr>
        <w:tc>
          <w:tcPr>
            <w:tcW w:w="37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4"/>
                <w:szCs w:val="14"/>
                <w:color w:val="auto"/>
              </w:rPr>
            </w:pPr>
          </w:p>
        </w:tc>
      </w:tr>
      <w:tr>
        <w:trPr>
          <w:trHeight w:val="131"/>
        </w:trPr>
        <w:tc>
          <w:tcPr>
            <w:tcW w:w="37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under the employee</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 purchase plan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00" w:type="dxa"/>
            <w:vAlign w:val="bottom"/>
            <w:shd w:val="clear" w:color="auto" w:fill="CFF0FC"/>
          </w:tcPr>
          <w:p>
            <w:pPr>
              <w:spacing w:after="0"/>
              <w:rPr>
                <w:sz w:val="14"/>
                <w:szCs w:val="14"/>
                <w:color w:val="auto"/>
              </w:rPr>
            </w:pPr>
          </w:p>
        </w:tc>
      </w:tr>
      <w:tr>
        <w:trPr>
          <w:trHeight w:val="162"/>
        </w:trPr>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100" w:type="dxa"/>
            <w:vAlign w:val="bottom"/>
          </w:tcPr>
          <w:p>
            <w:pPr>
              <w:spacing w:after="0"/>
              <w:rPr>
                <w:sz w:val="14"/>
                <w:szCs w:val="14"/>
                <w:color w:val="auto"/>
              </w:rPr>
            </w:pPr>
          </w:p>
        </w:tc>
      </w:tr>
      <w:tr>
        <w:trPr>
          <w:trHeight w:val="130"/>
        </w:trPr>
        <w:tc>
          <w:tcPr>
            <w:tcW w:w="37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FF0FC"/>
          </w:tcPr>
          <w:p>
            <w:pPr>
              <w:spacing w:after="0"/>
              <w:rPr>
                <w:sz w:val="14"/>
                <w:szCs w:val="14"/>
                <w:color w:val="auto"/>
              </w:rPr>
            </w:pPr>
          </w:p>
        </w:tc>
      </w:tr>
      <w:tr>
        <w:trPr>
          <w:trHeight w:val="162"/>
        </w:trPr>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Cumulative loss on available-for-sale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(1,076 )</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(1,076 )</w:t>
            </w:r>
          </w:p>
        </w:tc>
      </w:tr>
      <w:tr>
        <w:trPr>
          <w:trHeight w:val="162"/>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(25,998 )</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(25,998 )</w:t>
            </w:r>
          </w:p>
        </w:tc>
      </w:tr>
      <w:tr>
        <w:trPr>
          <w:trHeight w:val="20"/>
        </w:trPr>
        <w:tc>
          <w:tcPr>
            <w:tcW w:w="37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3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2022</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252,413</w:t>
            </w:r>
          </w:p>
        </w:tc>
        <w:tc>
          <w:tcPr>
            <w:tcW w:w="24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2,524</w:t>
            </w:r>
          </w:p>
        </w:tc>
        <w:tc>
          <w:tcPr>
            <w:tcW w:w="22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2,922,555</w:t>
            </w:r>
          </w:p>
        </w:tc>
        <w:tc>
          <w:tcPr>
            <w:tcW w:w="220" w:type="dxa"/>
            <w:vAlign w:val="bottom"/>
          </w:tcPr>
          <w:p>
            <w:pPr>
              <w:spacing w:after="0"/>
              <w:rPr>
                <w:sz w:val="13"/>
                <w:szCs w:val="13"/>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(1,076 )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(3,156,067 )</w:t>
            </w:r>
          </w:p>
        </w:tc>
        <w:tc>
          <w:tcPr>
            <w:tcW w:w="2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(232,064 )</w:t>
            </w:r>
          </w:p>
        </w:tc>
      </w:tr>
      <w:tr>
        <w:trPr>
          <w:trHeight w:val="20"/>
        </w:trPr>
        <w:tc>
          <w:tcPr>
            <w:tcW w:w="3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-136525</wp:posOffset>
            </wp:positionV>
            <wp:extent cx="7683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-136525</wp:posOffset>
            </wp:positionV>
            <wp:extent cx="7683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-136525</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-136525</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-136525</wp:posOffset>
            </wp:positionV>
            <wp:extent cx="6858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60" w:type="dxa"/>
            <w:vAlign w:val="bottom"/>
          </w:tcPr>
          <w:p>
            <w:pPr>
              <w:spacing w:after="0"/>
              <w:rPr>
                <w:sz w:val="13"/>
                <w:szCs w:val="13"/>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55"/>
        </w:trPr>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4"/>
          </w:tcPr>
          <w:p>
            <w:pPr>
              <w:ind w:left="9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263,793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2,964,293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(3,217,469 )</w:t>
            </w: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(250,538 )</w:t>
            </w:r>
          </w:p>
        </w:tc>
      </w:tr>
      <w:tr>
        <w:trPr>
          <w:trHeight w:val="162"/>
        </w:trPr>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Issuance of at-the-market placement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ind w:left="10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100" w:type="dxa"/>
            <w:vAlign w:val="bottom"/>
          </w:tcPr>
          <w:p>
            <w:pPr>
              <w:spacing w:after="0"/>
              <w:rPr>
                <w:sz w:val="14"/>
                <w:szCs w:val="14"/>
                <w:color w:val="auto"/>
              </w:rPr>
            </w:pPr>
          </w:p>
        </w:tc>
      </w:tr>
      <w:tr>
        <w:trPr>
          <w:trHeight w:val="162"/>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Issuance costs associated with at-the-market placement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(24 )</w:t>
            </w:r>
          </w:p>
        </w:tc>
      </w:tr>
      <w:tr>
        <w:trPr>
          <w:trHeight w:val="130"/>
        </w:trPr>
        <w:tc>
          <w:tcPr>
            <w:tcW w:w="37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7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ind w:left="10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r>
      <w:tr>
        <w:trPr>
          <w:trHeight w:val="131"/>
        </w:trPr>
        <w:tc>
          <w:tcPr>
            <w:tcW w:w="37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76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FF0FC"/>
          </w:tcPr>
          <w:p>
            <w:pPr>
              <w:spacing w:after="0"/>
              <w:rPr>
                <w:sz w:val="14"/>
                <w:szCs w:val="14"/>
                <w:color w:val="auto"/>
              </w:rPr>
            </w:pPr>
          </w:p>
        </w:tc>
      </w:tr>
      <w:tr>
        <w:trPr>
          <w:trHeight w:val="162"/>
        </w:trPr>
        <w:tc>
          <w:tcPr>
            <w:tcW w:w="3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ind w:left="10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w:t>
            </w:r>
          </w:p>
        </w:tc>
        <w:tc>
          <w:tcPr>
            <w:tcW w:w="100" w:type="dxa"/>
            <w:vAlign w:val="bottom"/>
          </w:tcPr>
          <w:p>
            <w:pPr>
              <w:spacing w:after="0"/>
              <w:rPr>
                <w:sz w:val="14"/>
                <w:szCs w:val="14"/>
                <w:color w:val="auto"/>
              </w:rPr>
            </w:pPr>
          </w:p>
        </w:tc>
      </w:tr>
      <w:tr>
        <w:trPr>
          <w:trHeight w:val="162"/>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(9,795 )</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(9,795 )</w:t>
            </w:r>
          </w:p>
        </w:tc>
      </w:tr>
      <w:tr>
        <w:trPr>
          <w:trHeight w:val="20"/>
        </w:trPr>
        <w:tc>
          <w:tcPr>
            <w:tcW w:w="37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3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2023</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264,279</w:t>
            </w:r>
          </w:p>
        </w:tc>
        <w:tc>
          <w:tcPr>
            <w:tcW w:w="24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2,643</w:t>
            </w:r>
          </w:p>
        </w:tc>
        <w:tc>
          <w:tcPr>
            <w:tcW w:w="220" w:type="dxa"/>
            <w:vAlign w:val="bottom"/>
          </w:tcPr>
          <w:p>
            <w:pPr>
              <w:spacing w:after="0"/>
              <w:rPr>
                <w:sz w:val="13"/>
                <w:szCs w:val="13"/>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2,969,225</w:t>
            </w:r>
          </w:p>
        </w:tc>
        <w:tc>
          <w:tcPr>
            <w:tcW w:w="220" w:type="dxa"/>
            <w:vAlign w:val="bottom"/>
          </w:tcPr>
          <w:p>
            <w:pPr>
              <w:spacing w:after="0"/>
              <w:rPr>
                <w:sz w:val="13"/>
                <w:szCs w:val="13"/>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ind w:left="106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(3,227,264 )</w:t>
            </w:r>
          </w:p>
        </w:tc>
        <w:tc>
          <w:tcPr>
            <w:tcW w:w="2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(255,396 )</w:t>
            </w:r>
          </w:p>
        </w:tc>
      </w:tr>
      <w:tr>
        <w:trPr>
          <w:trHeight w:val="20"/>
        </w:trPr>
        <w:tc>
          <w:tcPr>
            <w:tcW w:w="3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-136525</wp:posOffset>
            </wp:positionV>
            <wp:extent cx="7683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-136525</wp:posOffset>
            </wp:positionV>
            <wp:extent cx="7683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-136525</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-136525</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-136525</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MANNKIND CORPORATION AND SUBSIDIARIES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680" w:type="dxa"/>
            <w:vAlign w:val="bottom"/>
          </w:tcPr>
          <w:p>
            <w:pPr>
              <w:spacing w:after="0"/>
              <w:rPr>
                <w:sz w:val="13"/>
                <w:szCs w:val="13"/>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(In</w:t>
            </w:r>
          </w:p>
        </w:tc>
        <w:tc>
          <w:tcPr>
            <w:tcW w:w="1300" w:type="dxa"/>
            <w:vAlign w:val="bottom"/>
            <w:gridSpan w:val="2"/>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w w:val="82"/>
              </w:rPr>
              <w:t>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(9,795 )</w:t>
            </w:r>
          </w:p>
        </w:tc>
        <w:tc>
          <w:tcPr>
            <w:tcW w:w="1020" w:type="dxa"/>
            <w:vAlign w:val="bottom"/>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(25,998 )</w:t>
            </w:r>
          </w:p>
        </w:tc>
      </w:tr>
      <w:tr>
        <w:trPr>
          <w:trHeight w:val="139"/>
        </w:trPr>
        <w:tc>
          <w:tcPr>
            <w:tcW w:w="76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10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operating activities:</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expense on financing liability</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2,371</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Write-off of inventory</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expense on Mann Group convertible note</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(gain) on foreign currency transaction</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(1,983 )</w:t>
            </w: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net</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80" w:type="dxa"/>
            <w:vAlign w:val="bottom"/>
          </w:tcPr>
          <w:p>
            <w:pPr>
              <w:spacing w:after="0"/>
              <w:rPr>
                <w:sz w:val="15"/>
                <w:szCs w:val="15"/>
                <w:color w:val="auto"/>
              </w:rPr>
            </w:pPr>
          </w:p>
        </w:tc>
        <w:tc>
          <w:tcPr>
            <w:tcW w:w="8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(2,913 )</w:t>
            </w:r>
          </w:p>
        </w:tc>
        <w:tc>
          <w:tcPr>
            <w:tcW w:w="10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(4,829 )</w:t>
            </w: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Inventory</w:t>
            </w:r>
          </w:p>
        </w:tc>
        <w:tc>
          <w:tcPr>
            <w:tcW w:w="10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(2,641 )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(892 )</w:t>
            </w: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(470 )</w:t>
            </w: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assets</w:t>
            </w:r>
          </w:p>
        </w:tc>
        <w:tc>
          <w:tcPr>
            <w:tcW w:w="10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(320 )</w:t>
            </w: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(5,975 )</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8,558</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7,053</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Recognized loss on purchase commitments</w:t>
            </w:r>
          </w:p>
        </w:tc>
        <w:tc>
          <w:tcPr>
            <w:tcW w:w="10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(2,074 )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(1,502 )</w:t>
            </w:r>
          </w:p>
        </w:tc>
      </w:tr>
      <w:tr>
        <w:trPr>
          <w:trHeight w:val="175"/>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80" w:type="dxa"/>
            <w:vAlign w:val="bottom"/>
          </w:tcPr>
          <w:p>
            <w:pPr>
              <w:spacing w:after="0"/>
              <w:rPr>
                <w:sz w:val="15"/>
                <w:szCs w:val="15"/>
                <w:color w:val="auto"/>
              </w:rPr>
            </w:pPr>
          </w:p>
        </w:tc>
        <w:tc>
          <w:tcPr>
            <w:tcW w:w="8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(686 )</w:t>
            </w:r>
          </w:p>
        </w:tc>
        <w:tc>
          <w:tcPr>
            <w:tcW w:w="10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(572 )</w:t>
            </w:r>
          </w:p>
        </w:tc>
      </w:tr>
      <w:tr>
        <w:trPr>
          <w:trHeight w:val="162"/>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Deposits from customer</w:t>
            </w:r>
          </w:p>
        </w:tc>
        <w:tc>
          <w:tcPr>
            <w:tcW w:w="10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8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(18,248 )</w:t>
            </w: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maturity of debt securities</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22,103</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26,538</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(8,311 )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(5,056 )</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held-to-maturity debt securities</w:t>
            </w:r>
          </w:p>
        </w:tc>
        <w:tc>
          <w:tcPr>
            <w:tcW w:w="1080" w:type="dxa"/>
            <w:vAlign w:val="bottom"/>
          </w:tcPr>
          <w:p>
            <w:pPr>
              <w:spacing w:after="0"/>
              <w:rPr>
                <w:sz w:val="15"/>
                <w:szCs w:val="15"/>
                <w:color w:val="auto"/>
              </w:rPr>
            </w:pPr>
          </w:p>
        </w:tc>
        <w:tc>
          <w:tcPr>
            <w:tcW w:w="8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(55,988 )</w:t>
            </w:r>
          </w:p>
        </w:tc>
      </w:tr>
      <w:tr>
        <w:trPr>
          <w:trHeight w:val="16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(5,000 )</w:t>
            </w:r>
          </w:p>
        </w:tc>
      </w:tr>
      <w:tr>
        <w:trPr>
          <w:trHeight w:val="20"/>
        </w:trPr>
        <w:tc>
          <w:tcPr>
            <w:tcW w:w="76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68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13,792</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(39,506 )</w:t>
            </w: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at-the-market-offering</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costs associated with at-the-market offering</w:t>
            </w:r>
          </w:p>
        </w:tc>
        <w:tc>
          <w:tcPr>
            <w:tcW w:w="10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(24 )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9"/>
        </w:trPr>
        <w:tc>
          <w:tcPr>
            <w:tcW w:w="76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issuance of common stock associated with stock options and</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restricted stock units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6"/>
                <w:szCs w:val="16"/>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on financing liability</w:t>
            </w:r>
          </w:p>
        </w:tc>
        <w:tc>
          <w:tcPr>
            <w:tcW w:w="10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(72 )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market price stock purchase plan</w:t>
            </w:r>
          </w:p>
        </w:tc>
        <w:tc>
          <w:tcPr>
            <w:tcW w:w="1080" w:type="dxa"/>
            <w:vAlign w:val="bottom"/>
          </w:tcPr>
          <w:p>
            <w:pPr>
              <w:spacing w:after="0"/>
              <w:rPr>
                <w:sz w:val="15"/>
                <w:szCs w:val="15"/>
                <w:color w:val="auto"/>
              </w:rPr>
            </w:pPr>
          </w:p>
        </w:tc>
        <w:tc>
          <w:tcPr>
            <w:tcW w:w="8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tcPr>
          <w:p>
            <w:pPr>
              <w:spacing w:after="0"/>
              <w:rPr>
                <w:sz w:val="15"/>
                <w:szCs w:val="15"/>
                <w:color w:val="auto"/>
              </w:rPr>
            </w:pPr>
          </w:p>
        </w:tc>
      </w:tr>
      <w:tr>
        <w:trPr>
          <w:trHeight w:val="155"/>
        </w:trPr>
        <w:tc>
          <w:tcPr>
            <w:tcW w:w="7680" w:type="dxa"/>
            <w:vAlign w:val="bottom"/>
            <w:tcBorders>
              <w:top w:val="single" w:sz="8" w:color="CFF0FC"/>
              <w:bottom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8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55"/>
        </w:trPr>
        <w:tc>
          <w:tcPr>
            <w:tcW w:w="76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0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16,102</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(56,941 )</w:t>
            </w:r>
          </w:p>
        </w:tc>
      </w:tr>
      <w:tr>
        <w:trPr>
          <w:trHeight w:val="155"/>
        </w:trPr>
        <w:tc>
          <w:tcPr>
            <w:tcW w:w="76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108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69,767</w:t>
            </w:r>
          </w:p>
        </w:tc>
        <w:tc>
          <w:tcPr>
            <w:tcW w:w="2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124,184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6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8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85,869</w:t>
            </w:r>
          </w:p>
        </w:tc>
        <w:tc>
          <w:tcPr>
            <w:tcW w:w="280" w:type="dxa"/>
            <w:vAlign w:val="bottom"/>
          </w:tcPr>
          <w:p>
            <w:pPr>
              <w:spacing w:after="0"/>
              <w:rPr>
                <w:sz w:val="13"/>
                <w:szCs w:val="13"/>
                <w:color w:val="auto"/>
              </w:rPr>
            </w:pPr>
          </w:p>
        </w:tc>
        <w:tc>
          <w:tcPr>
            <w:tcW w:w="102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67,243</w:t>
            </w:r>
          </w:p>
        </w:tc>
        <w:tc>
          <w:tcPr>
            <w:tcW w:w="100" w:type="dxa"/>
            <w:vAlign w:val="bottom"/>
          </w:tcPr>
          <w:p>
            <w:pPr>
              <w:spacing w:after="0"/>
              <w:rPr>
                <w:sz w:val="13"/>
                <w:szCs w:val="13"/>
                <w:color w:val="auto"/>
              </w:rPr>
            </w:pPr>
          </w:p>
        </w:tc>
      </w:tr>
      <w:tr>
        <w:trPr>
          <w:trHeight w:val="20"/>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-2019935</wp:posOffset>
            </wp:positionV>
            <wp:extent cx="685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-1351915</wp:posOffset>
            </wp:positionV>
            <wp:extent cx="6858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145020" cy="243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020" cy="24384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-136525</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2900" w:type="dxa"/>
            <w:vAlign w:val="bottom"/>
            <w:tcBorders>
              <w:bottom w:val="single" w:sz="8" w:color="auto"/>
            </w:tcBorders>
            <w:gridSpan w:val="4"/>
          </w:tcPr>
          <w:p>
            <w:pPr>
              <w:jc w:val="center"/>
              <w:ind w:left="437"/>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720" w:type="dxa"/>
            <w:vAlign w:val="bottom"/>
          </w:tcPr>
          <w:p>
            <w:pPr>
              <w:spacing w:after="0"/>
              <w:rPr>
                <w:sz w:val="13"/>
                <w:szCs w:val="13"/>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gridSpan w:val="3"/>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DISCLOSURES: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paid in cash</w:t>
            </w:r>
          </w:p>
        </w:tc>
        <w:tc>
          <w:tcPr>
            <w:tcW w:w="1080" w:type="dxa"/>
            <w:vAlign w:val="bottom"/>
          </w:tcPr>
          <w:p>
            <w:pPr>
              <w:jc w:val="right"/>
              <w:ind w:right="9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3,700</w:t>
            </w:r>
          </w:p>
        </w:tc>
        <w:tc>
          <w:tcPr>
            <w:tcW w:w="1300" w:type="dxa"/>
            <w:vAlign w:val="bottom"/>
            <w:gridSpan w:val="2"/>
          </w:tcPr>
          <w:p>
            <w:pPr>
              <w:jc w:val="right"/>
              <w:ind w:right="95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Midcap credit facility from long-term to current</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r>
      <w:tr>
        <w:trPr>
          <w:trHeight w:val="139"/>
        </w:trPr>
        <w:tc>
          <w:tcPr>
            <w:tcW w:w="772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Reclassification of Thirona convertible notes and interest receivable</w:t>
            </w:r>
          </w:p>
        </w:tc>
        <w:tc>
          <w:tcPr>
            <w:tcW w:w="10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from current to long-term</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7,726</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r>
      <w:tr>
        <w:trPr>
          <w:trHeight w:val="175"/>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construction in progress, property and equipment</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2,438</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 of investments from long-term to current</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14,813</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 modification</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Goodwill adjustment for a reduction in rebate-related liabilities</w:t>
            </w: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r>
      <w:tr>
        <w:trPr>
          <w:trHeight w:val="18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00" w:type="dxa"/>
            <w:vAlign w:val="bottom"/>
          </w:tcPr>
          <w:p>
            <w:pPr>
              <w:spacing w:after="0"/>
              <w:rPr>
                <w:sz w:val="16"/>
                <w:szCs w:val="16"/>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2022, filed with the SEC on February 23, 2023 (the “Annual Report”).</w:t>
      </w:r>
    </w:p>
    <w:p>
      <w:pPr>
        <w:spacing w:after="0" w:line="18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2023 may not be indicative of the results that may be expected for the full year.</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is a biopharmaceutical company focused on the development and commercialization of innovative therapeutic products and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address serious unmet medical needs for those living with endocrine and orphan lung diseases. The Company’s signature technologies—Technosphere dry-powder formulations and Dreamboat inhalation devices—offer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United Therapeutics ("UT") began commercializing Tyvaso DPI in June 2022 and is obligated to pay the Company a royalty on net sales of the product. The Company also receives a margin on supplies of Tyvaso DPI that it manufactures for UT.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4"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prior year reported amounts have been reclassified to conform with the current year presentation. Changes were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statements of cash flows to present the amortization of debt discount and issuance costs separately and to disclose net investment accretion under other, net.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7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it is entitled to in exchange for the goods or services it transfers to the customer.</w:t>
      </w:r>
    </w:p>
    <w:p>
      <w:pPr>
        <w:spacing w:after="0" w:line="18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its products to a limited number of wholesale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and retail pharmacies, and durable medical equipment suppliers (“DME”)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below.</w:t>
      </w:r>
    </w:p>
    <w:p>
      <w:pPr>
        <w:spacing w:after="0" w:line="18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Free Goods Program — </w:t>
      </w:r>
      <w:r>
        <w:rPr>
          <w:rFonts w:ascii="Times New Roman" w:cs="Times New Roman" w:eastAsia="Times New Roman" w:hAnsi="Times New Roman"/>
          <w:sz w:val="18"/>
          <w:szCs w:val="18"/>
          <w:color w:val="auto"/>
        </w:rPr>
        <w:t>From time to time, the Company offers programs to potential new patients that allow them to obtain free goods (prescription fills)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spacing w:after="0" w:line="19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ind w:right="640"/>
        <w:spacing w:after="0" w:line="281" w:lineRule="auto"/>
        <w:rPr>
          <w:sz w:val="20"/>
          <w:szCs w:val="20"/>
          <w:color w:val="auto"/>
        </w:rPr>
      </w:pPr>
      <w:r>
        <w:rPr>
          <w:rFonts w:ascii="Times New Roman" w:cs="Times New Roman" w:eastAsia="Times New Roman" w:hAnsi="Times New Roman"/>
          <w:sz w:val="18"/>
          <w:szCs w:val="18"/>
          <w:color w:val="auto"/>
        </w:rPr>
        <w:t>estimates, the Company will adjust these estimates, which would affect net revenue from commercial product sales and earnings in the period such variances become known.</w:t>
      </w:r>
    </w:p>
    <w:p>
      <w:pPr>
        <w:spacing w:after="0" w:line="161"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Trade Discounts and Allowances </w:t>
      </w:r>
      <w:r>
        <w:rPr>
          <w:rFonts w:ascii="Times New Roman" w:cs="Times New Roman" w:eastAsia="Times New Roman" w:hAnsi="Times New Roman"/>
          <w:sz w:val="17"/>
          <w:szCs w:val="17"/>
          <w:color w:val="auto"/>
        </w:rPr>
        <w:t>— The Company generally provides Customers with discounts which include incentives, such as prompt pay discounts,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the Company’s assumptions.</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8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ind w:right="1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Revenue – Collaborations and Services </w:t>
      </w:r>
      <w:r>
        <w:rPr>
          <w:rFonts w:ascii="Times New Roman" w:cs="Times New Roman" w:eastAsia="Times New Roman" w:hAnsi="Times New Roman"/>
          <w:sz w:val="18"/>
          <w:szCs w:val="18"/>
          <w:color w:val="auto"/>
        </w:rPr>
        <w:t>— The Company enters into licensing, research or other agreements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10 – </w:t>
      </w:r>
      <w:r>
        <w:rPr>
          <w:rFonts w:ascii="Times New Roman" w:cs="Times New Roman" w:eastAsia="Times New Roman" w:hAnsi="Times New Roman"/>
          <w:sz w:val="18"/>
          <w:szCs w:val="18"/>
          <w:i w:val="1"/>
          <w:iCs w:val="1"/>
          <w:color w:val="auto"/>
        </w:rPr>
        <w:t>Collaboration, Licensing and Other Arrangements.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10 – Collaboration, Licensing and Other Arrangements.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spacing w:after="0" w:line="18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spacing w:after="0" w:line="18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1" w:name="page12"/>
    <w:bookmarkEnd w:id="11"/>
    <w:p>
      <w:pPr>
        <w:ind w:right="80"/>
        <w:spacing w:after="0" w:line="270" w:lineRule="auto"/>
        <w:rPr>
          <w:sz w:val="20"/>
          <w:szCs w:val="20"/>
          <w:color w:val="auto"/>
        </w:rPr>
      </w:pPr>
      <w:r>
        <w:rPr>
          <w:rFonts w:ascii="Times New Roman" w:cs="Times New Roman" w:eastAsia="Times New Roman" w:hAnsi="Times New Roman"/>
          <w:sz w:val="17"/>
          <w:szCs w:val="17"/>
          <w:color w:val="auto"/>
        </w:rPr>
        <w:t>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w:t>
      </w:r>
    </w:p>
    <w:p>
      <w:pPr>
        <w:spacing w:after="0" w:line="2" w:lineRule="exact"/>
        <w:rPr>
          <w:sz w:val="20"/>
          <w:szCs w:val="20"/>
          <w:color w:val="auto"/>
        </w:rPr>
      </w:pPr>
    </w:p>
    <w:p>
      <w:pPr>
        <w:ind w:right="60" w:firstLine="8"/>
        <w:spacing w:after="0" w:line="260"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evaluates grants of additional licensing rights upon option exercises to determine whether such should be accounted for as separate contracts.</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Royalties — </w:t>
      </w:r>
      <w:r>
        <w:rPr>
          <w:rFonts w:ascii="Times New Roman" w:cs="Times New Roman" w:eastAsia="Times New Roman" w:hAnsi="Times New Roman"/>
          <w:sz w:val="18"/>
          <w:szCs w:val="18"/>
          <w:color w:val="auto"/>
        </w:rPr>
        <w:t>The Company recognizes royalty revenue for a sales-based or usage-based royalty if it is promised in exchange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license. The royalty revenue is recognized as the latter of the subsequent sale of the product occurs or if the performance obligation to which the royalty has been allocated has been satisfied or partially satisfied. The Company’s collaborative agreement with UT entitles it to receive low double-digit royalties on net sales of Tyvaso DPI for the license of the Company’s IP that was considered to be interdependent with the development activities that supported the approval of Tyvaso DPI.</w:t>
      </w:r>
    </w:p>
    <w:p>
      <w:pPr>
        <w:spacing w:after="0" w:line="18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Company’s net revenue and cost of revenue and goods sold as shown on the condensed consolidated statement of operations is comprised of revenue generated from product sales, services and royalties as shown below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40" w:type="dxa"/>
            <w:vAlign w:val="bottom"/>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3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Product sales </w:t>
            </w:r>
            <w:r>
              <w:rPr>
                <w:rFonts w:ascii="Times New Roman" w:cs="Times New Roman" w:eastAsia="Times New Roman" w:hAnsi="Times New Roman"/>
                <w:sz w:val="24"/>
                <w:szCs w:val="24"/>
                <w:color w:val="auto"/>
                <w:vertAlign w:val="superscript"/>
              </w:rPr>
              <w:t>(1)</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8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21"/>
                <w:szCs w:val="21"/>
                <w:color w:val="auto"/>
              </w:rPr>
            </w:pPr>
          </w:p>
        </w:tc>
      </w:tr>
      <w:tr>
        <w:trPr>
          <w:trHeight w:val="243"/>
        </w:trPr>
        <w:tc>
          <w:tcPr>
            <w:tcW w:w="734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FF0FC"/>
          </w:tcPr>
          <w:p>
            <w:pPr>
              <w:spacing w:after="0"/>
              <w:rPr>
                <w:sz w:val="21"/>
                <w:szCs w:val="21"/>
                <w:color w:val="auto"/>
              </w:rPr>
            </w:pPr>
          </w:p>
        </w:tc>
      </w:tr>
      <w:tr>
        <w:trPr>
          <w:trHeight w:val="243"/>
        </w:trPr>
        <w:tc>
          <w:tcPr>
            <w:tcW w:w="73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4"/>
                <w:szCs w:val="24"/>
                <w:color w:val="auto"/>
                <w:vertAlign w:val="superscript"/>
              </w:rPr>
              <w:t>(3)</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28"/>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net sales of Afrezza and V-Go to wholesalers and specialty pharmacies and Tyvaso DPI to UT.</w:t>
      </w:r>
    </w:p>
    <w:p>
      <w:pPr>
        <w:spacing w:after="0" w:line="8" w:lineRule="exact"/>
        <w:rPr>
          <w:rFonts w:ascii="Times New Roman" w:cs="Times New Roman" w:eastAsia="Times New Roman" w:hAnsi="Times New Roman"/>
          <w:sz w:val="13"/>
          <w:szCs w:val="13"/>
          <w:color w:val="auto"/>
        </w:rPr>
      </w:pPr>
    </w:p>
    <w:p>
      <w:pPr>
        <w:ind w:left="380" w:right="200" w:hanging="372"/>
        <w:spacing w:after="0" w:line="263" w:lineRule="auto"/>
        <w:tabs>
          <w:tab w:leader="none" w:pos="3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Amounts represent revenue generated from the Company's collaboration arrangements, including Next-Gen R&amp;D Services (as defined in Note 10) for UT as well as arrangements with other collaboration partners. See Note 10 – </w:t>
      </w:r>
      <w:r>
        <w:rPr>
          <w:rFonts w:ascii="Times New Roman" w:cs="Times New Roman" w:eastAsia="Times New Roman" w:hAnsi="Times New Roman"/>
          <w:sz w:val="16"/>
          <w:szCs w:val="16"/>
          <w:i w:val="1"/>
          <w:iCs w:val="1"/>
          <w:color w:val="auto"/>
        </w:rPr>
        <w:t>Collaboration, Licensing and Other Arrangements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royalties on UT’s net sales of Tyvaso DPI.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40" w:type="dxa"/>
            <w:vAlign w:val="bottom"/>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 and cost of revenue:</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goods sold and cost of revenue</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0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-187960</wp:posOffset>
            </wp:positionV>
            <wp:extent cx="6858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6" w:lineRule="exact"/>
        <w:rPr>
          <w:sz w:val="20"/>
          <w:szCs w:val="20"/>
          <w:color w:val="auto"/>
        </w:rPr>
      </w:pPr>
    </w:p>
    <w:p>
      <w:pPr>
        <w:jc w:val="both"/>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material, labor costs and manufacturing overhead. Cost of goods sold also includes a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period manufacturing costs in excess of costs capitalized into inventory (“excess capacity costs”). These costs, in addition to the impact of the revaluation of inventory for standard costing, and write-offs of inventory are recorded as expenses 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line="260" w:lineRule="auto"/>
        <w:rPr>
          <w:sz w:val="20"/>
          <w:szCs w:val="20"/>
          <w:color w:val="auto"/>
        </w:rPr>
      </w:pPr>
      <w:r>
        <w:rPr>
          <w:rFonts w:ascii="Times New Roman" w:cs="Times New Roman" w:eastAsia="Times New Roman" w:hAnsi="Times New Roman"/>
          <w:sz w:val="18"/>
          <w:szCs w:val="18"/>
          <w:color w:val="auto"/>
        </w:rPr>
        <w:t>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 Collaborations and Services </w:t>
      </w:r>
      <w:r>
        <w:rPr>
          <w:rFonts w:ascii="Times New Roman" w:cs="Times New Roman" w:eastAsia="Times New Roman" w:hAnsi="Times New Roman"/>
          <w:sz w:val="18"/>
          <w:szCs w:val="18"/>
          <w:color w:val="auto"/>
        </w:rPr>
        <w:t>— Cost of revenues for collaborations and services includes material, labor costs, manufacturing overhead,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spacing w:after="0" w:line="172"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or remaining maturities of 90 days or less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that are readily convertible into cash to be cash equivalents. As of March 31, 2023 and December 31, 2022, cash equivalents were comprised of money market funds, corporate bonds and commercial paper with original maturities less than 90 days from the date of purchase.</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The Company’s investments generally consist of commercial paper, corporate notes or bonds and U.S. Treasury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2023 and December 31, 2022,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w:t>
      </w:r>
      <w:r>
        <w:rPr>
          <w:rFonts w:ascii="Times New Roman" w:cs="Times New Roman" w:eastAsia="Times New Roman" w:hAnsi="Times New Roman"/>
          <w:sz w:val="18"/>
          <w:szCs w:val="18"/>
          <w:color w:val="auto"/>
        </w:rPr>
        <w:t>— In June 2021, the Company purchased a $3.0 million convertible promissory note (the “Thirona convertible note”)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Thirona Bio, Inc. (“Thirona”). In January 2022, the Company purchased an additional $5.0 million convertible promissory note issued by Thirona. Unless earlier converted into conversion shares pursuant to the note purchase agreement, the principal and accrued interest shall be due and payable by Thirona on demand by the Company at any time after the maturity date. The Thirona convertible notes were amended in February 2023, which extended the maturity date from December 31, 2022 to June 30, 2024. The Thirona convertible notes are general unsecured obligations of Thirona and accrue interest at a rate of 6% per annum. The Thirona convertible notes are classified as available-for-sale securities and are included in other assets in the condensed consolidated balance sheet. The Company assesses whether it has any intention to sell the investment, determines fair value of its available-for-sale investments using level 3 inputs as well as assesses whether there were other-than-temporary impairments associated with the available-for-sale investment. Unrealized holding gains and losses are excluded from earnings and reported in other comprehensive income until realized. In June 2021, the Company and Thirona also entered into a collaboration agreement to develop a compound for the treatment of fibrotic lung diseases. See Note 10–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Licensing and Other Arrangements </w:t>
      </w:r>
      <w:r>
        <w:rPr>
          <w:rFonts w:ascii="Times New Roman" w:cs="Times New Roman" w:eastAsia="Times New Roman" w:hAnsi="Times New Roman"/>
          <w:sz w:val="18"/>
          <w:szCs w:val="18"/>
          <w:color w:val="auto"/>
        </w:rPr>
        <w:t>for additional information.</w:t>
      </w:r>
    </w:p>
    <w:p>
      <w:pPr>
        <w:spacing w:after="0" w:line="18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Concentration of Credit Risk </w:t>
      </w:r>
      <w:r>
        <w:rPr>
          <w:rFonts w:ascii="Times New Roman" w:cs="Times New Roman" w:eastAsia="Times New Roman" w:hAnsi="Times New Roman"/>
          <w:sz w:val="17"/>
          <w:szCs w:val="17"/>
          <w:color w:val="auto"/>
        </w:rPr>
        <w:t>— Financial instruments that potentially subject the Company to concentration of credit risk consist of cash and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equivalents and investments. Cash and cash equivalents are held in high credit quality institutions. Cash equivalents consist of interest-bearing money market funds and U.S. Treasury securities with original or remaining maturities of 90 days or less at the time of purchase. Investments generally consist of commercial paper, corporate notes or bonds and U.S. Treasury securities. The cash equivalents and investments are regularly monitored by management.</w:t>
      </w:r>
    </w:p>
    <w:p>
      <w:pPr>
        <w:spacing w:after="0" w:line="16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ind w:right="220"/>
        <w:spacing w:after="0" w:line="258" w:lineRule="auto"/>
        <w:rPr>
          <w:sz w:val="20"/>
          <w:szCs w:val="20"/>
          <w:color w:val="auto"/>
        </w:rPr>
      </w:pPr>
      <w:r>
        <w:rPr>
          <w:rFonts w:ascii="Times New Roman" w:cs="Times New Roman" w:eastAsia="Times New Roman" w:hAnsi="Times New Roman"/>
          <w:sz w:val="18"/>
          <w:szCs w:val="18"/>
          <w:color w:val="auto"/>
        </w:rPr>
        <w:t>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5"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recorded at historical cost, net of accumulated depreciation. Depreciation expense is recorded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useful lives on a straight-line basis. See Note 6 –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Long-lived assets include property and equipment, operating lease right-of-use assets and other intangible assets.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research and development (“IPR&amp;D”) projects, and liabilities assumed are recorded at their respective fair values as of the acquisition date in the Company’s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2 – Acquisition.</w:t>
      </w:r>
    </w:p>
    <w:p>
      <w:pPr>
        <w:spacing w:after="0" w:line="18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an income-based approach referred to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w:t>
      </w:r>
    </w:p>
    <w:p>
      <w:pPr>
        <w:spacing w:after="0" w:line="17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7"/>
          <w:szCs w:val="17"/>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assesses whether losses on long-term purchase commitments should be accrued. Losses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SÁRL (the “Original Milestone Purchasers”). The foregoing milestone rights provided the Original Milestone Purchasers certain rights to receive payments of up to $90.0 million upon the occurrence of specified strategic and Afrezza sales milestones, $60.0 million of which remains payable as of March 31, 2023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is now entitled to all rights under the Milestone Rights Agreement. The Milestone Rights liability is reported at fair value at the date of the agreement which is periodically offset against payments. (See Note 11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80"/>
        <w:spacing w:after="0" w:line="281"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 w:name="page16"/>
    <w:bookmarkEnd w:id="15"/>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("RSUs,") performance-based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w:t>
      </w:r>
    </w:p>
    <w:p>
      <w:pPr>
        <w:spacing w:after="0" w:line="187"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Clinical Trial Expenses </w:t>
      </w:r>
      <w:r>
        <w:rPr>
          <w:rFonts w:ascii="Times New Roman" w:cs="Times New Roman" w:eastAsia="Times New Roman" w:hAnsi="Times New Roman"/>
          <w:sz w:val="18"/>
          <w:szCs w:val="18"/>
          <w:color w:val="auto"/>
        </w:rPr>
        <w:t>— Clinical trial expenses, which are primarily reflected in research and development expenses in the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result from obligations under contracts with vendors, consultants and clinical site agreements in addition to internal costs associated with conducting clinical trials.</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of Common Stock </w:t>
      </w:r>
      <w:r>
        <w:rPr>
          <w:rFonts w:ascii="Times New Roman" w:cs="Times New Roman" w:eastAsia="Times New Roman" w:hAnsi="Times New Roman"/>
          <w:sz w:val="18"/>
          <w:szCs w:val="18"/>
          <w:color w:val="auto"/>
        </w:rPr>
        <w:t>— Basic net income or loss per share excludes dilution for potentially dilutive securities and is computed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From time to time, new accounting pronouncements are issued by the FASB or other standard setting bodies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 May 2022, the Company purchased certain assets and assumed certain liabilities associated with the V-Go wearable insulin delivery device from Zealand Pharma A/S and Zealand Pharma US, Inc. (together “Zealand”).</w:t>
      </w:r>
    </w:p>
    <w:p>
      <w:pPr>
        <w:spacing w:after="0" w:line="16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Under the terms of the agreement with Zealand, the Company paid up-front consideration of $15.3 million for certain assets and assumed liabilities related to V-Go. In addition, the Company will be obligated to make one-time, sales-based milestone payments to Zealand totaling up to a maximum of $10.0 million upon the achievement of specified annual revenue milestones between $40 million and $100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preliminary purchase consideration for V-Go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w:t>
            </w:r>
          </w:p>
        </w:tc>
        <w:tc>
          <w:tcPr>
            <w:tcW w:w="5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0"/>
                <w:szCs w:val="20"/>
                <w:color w:val="auto"/>
              </w:rPr>
            </w:pPr>
          </w:p>
        </w:tc>
      </w:tr>
      <w:tr>
        <w:trPr>
          <w:trHeight w:val="23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consideration</w:t>
            </w:r>
          </w:p>
        </w:tc>
        <w:tc>
          <w:tcPr>
            <w:tcW w:w="50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100" w:type="dxa"/>
            <w:vAlign w:val="bottom"/>
            <w:shd w:val="clear" w:color="auto" w:fill="CFF0FC"/>
          </w:tcPr>
          <w:p>
            <w:pPr>
              <w:spacing w:after="0"/>
              <w:rPr>
                <w:sz w:val="20"/>
                <w:szCs w:val="20"/>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50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r>
      <w:tr>
        <w:trPr>
          <w:trHeight w:val="276"/>
        </w:trPr>
        <w:tc>
          <w:tcPr>
            <w:tcW w:w="4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4240" w:type="dxa"/>
            <w:vAlign w:val="bottom"/>
          </w:tcPr>
          <w:p>
            <w:pPr>
              <w:spacing w:after="0"/>
              <w:rPr>
                <w:sz w:val="24"/>
                <w:szCs w:val="24"/>
                <w:color w:val="auto"/>
              </w:rPr>
            </w:pPr>
          </w:p>
        </w:tc>
        <w:tc>
          <w:tcPr>
            <w:tcW w:w="500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 w:name="page17"/>
    <w:bookmarkEnd w:id="16"/>
    <w:p>
      <w:pPr>
        <w:ind w:right="40"/>
        <w:spacing w:after="0" w:line="254"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which requires, among other things, the assets acquired and liabilities assumed to be recognized at their respective fair values as of the acquisition date. The excess of the purchase price over those fair values was recorded as goodwill, which will be amortized over a period of 15 years for tax purposes. The estimates and assumptions used include the projected timing and amount of future cash flows and discount rates to reflect the risk inherent in the future cash flows. The estimated fair values of assets acquired and liabilities assumed and resulting goodwill are subject to adjustment as the Company finalizes its purchase price accounting. The significant items for which a final fair value has not been determined include, but are not limited to the valuation of the intangible asset and assumed liabilities for rebates and return reserves. The Company does not expect its fair value determinations to materially change; however, there may be differences between the amounts recorded at the acquisition date and the final fair value analysis, which is expected to be complete no later than the second quarter of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reflects the amounts of identifiable assets acquired and liabilities assumed as of March 31,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FF0FC"/>
          </w:tcPr>
          <w:p>
            <w:pPr>
              <w:spacing w:after="0"/>
              <w:rPr>
                <w:sz w:val="21"/>
                <w:szCs w:val="21"/>
                <w:color w:val="auto"/>
              </w:rPr>
            </w:pPr>
          </w:p>
        </w:tc>
      </w:tr>
      <w:tr>
        <w:trPr>
          <w:trHeight w:val="243"/>
        </w:trPr>
        <w:tc>
          <w:tcPr>
            <w:tcW w:w="92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21"/>
                <w:szCs w:val="21"/>
                <w:color w:val="auto"/>
              </w:rPr>
            </w:pPr>
          </w:p>
        </w:tc>
      </w:tr>
      <w:tr>
        <w:trPr>
          <w:trHeight w:val="243"/>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 Developed technology</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0"/>
                <w:szCs w:val="20"/>
                <w:color w:val="auto"/>
              </w:rPr>
            </w:pPr>
          </w:p>
        </w:tc>
      </w:tr>
      <w:tr>
        <w:trPr>
          <w:trHeight w:val="236"/>
        </w:trPr>
        <w:tc>
          <w:tcPr>
            <w:tcW w:w="9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9240" w:type="dxa"/>
            <w:vAlign w:val="bottom"/>
            <w:shd w:val="clear" w:color="auto" w:fill="CFF0FC"/>
          </w:tcPr>
          <w:p>
            <w:pPr>
              <w:ind w:left="200"/>
              <w:spacing w:after="0" w:line="245" w:lineRule="exact"/>
              <w:rPr>
                <w:sz w:val="20"/>
                <w:szCs w:val="20"/>
                <w:color w:val="auto"/>
              </w:rPr>
            </w:pPr>
            <w:r>
              <w:rPr>
                <w:rFonts w:ascii="Times New Roman" w:cs="Times New Roman" w:eastAsia="Times New Roman" w:hAnsi="Times New Roman"/>
                <w:sz w:val="18"/>
                <w:szCs w:val="18"/>
                <w:color w:val="auto"/>
              </w:rPr>
              <w:t>Liabilities assumed</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0"/>
                <w:szCs w:val="20"/>
                <w:color w:val="auto"/>
              </w:rPr>
            </w:pPr>
          </w:p>
        </w:tc>
      </w:tr>
      <w:tr>
        <w:trPr>
          <w:trHeight w:val="236"/>
        </w:trPr>
        <w:tc>
          <w:tcPr>
            <w:tcW w:w="9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9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-789940</wp:posOffset>
            </wp:positionV>
            <wp:extent cx="685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-156845</wp:posOffset>
            </wp:positionV>
            <wp:extent cx="127571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5715"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-79375</wp:posOffset>
            </wp:positionV>
            <wp:extent cx="12071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380" w:right="160" w:hanging="372"/>
        <w:spacing w:after="0" w:line="274" w:lineRule="auto"/>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three months ended March 31, 2023, goodwill related to the acquisition of V-Go was adjusted for a reduction in rebate-related liabilities established at the time of acquisition.</w:t>
      </w:r>
    </w:p>
    <w:p>
      <w:pPr>
        <w:spacing w:after="0" w:line="1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Inventory of $11.2 million consisted of raw materials, semi-finished goods and finished goods. The fair value of the inventory was determined based on the estimated selling price to be generated from the finished goods, less costs to sell, including a reasonable margin, which are level 3 inputs not observable in the market. Property and equipment and assumed liabilities were recorded at their carrying amounts which were deemed to approximate their fair values based on level 3 unobservable inputs. The fair values of the right-of-use assets and lease liabilities for assumed operating leases were assessed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based on discounted cash flow from lease payments, utilizing the Company’s incremental borrowing rate of 7.25%.</w:t>
      </w:r>
    </w:p>
    <w:p>
      <w:pPr>
        <w:spacing w:after="0" w:line="18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fair value of the intangible asset was determined by applying the income approach based on significant level 3 unobservable inputs. The income approach estimates fair value based on the present value of cash flow that the assets could be expected to generate in the future. We developed internal estimates for expected cash flows in the present value calculation using inputs and significant assumptions that include historical revenues and earnings, long-term growth rate, discount rate, contributory asset charges and future tax rates, among others.</w:t>
      </w:r>
    </w:p>
    <w:p>
      <w:pPr>
        <w:spacing w:after="0" w:line="18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The fair value of the contingent milestone liability was estimated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2.95%, dividend yield of 0%, volatility of 65%, period of 15 years and credit risk of 12%.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acquisition-related costs incurred during the three months ended March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 (unaudited)</w:t>
      </w:r>
    </w:p>
    <w:p>
      <w:pPr>
        <w:spacing w:after="0" w:line="229"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Net revenue for the three months ended March 31, 2023 was $5.1 million and loss from operations for the three months ended March 31, 2023 was $1.0 million. The following unaudited pro forma summary presents consolidated information of the Company as if the acquisition had occurred on January 1, 2022 (in thousands):</w:t>
      </w:r>
    </w:p>
    <w:p>
      <w:pPr>
        <w:spacing w:after="0" w:line="184"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5080</wp:posOffset>
            </wp:positionV>
            <wp:extent cx="2696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684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3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18,090</w:t>
            </w:r>
          </w:p>
        </w:tc>
        <w:tc>
          <w:tcPr>
            <w:tcW w:w="100" w:type="dxa"/>
            <w:vAlign w:val="bottom"/>
            <w:shd w:val="clear" w:color="auto" w:fill="CFF0FC"/>
          </w:tcPr>
          <w:p>
            <w:pPr>
              <w:spacing w:after="0"/>
              <w:rPr>
                <w:sz w:val="20"/>
                <w:szCs w:val="20"/>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(9,795 )</w:t>
            </w:r>
          </w:p>
        </w:tc>
        <w:tc>
          <w:tcPr>
            <w:tcW w:w="46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(25,741 )</w:t>
            </w:r>
          </w:p>
        </w:tc>
      </w:tr>
      <w:tr>
        <w:trPr>
          <w:trHeight w:val="247"/>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(0.04 )</w:t>
            </w:r>
          </w:p>
        </w:tc>
        <w:tc>
          <w:tcPr>
            <w:tcW w:w="4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(0.10 )</w:t>
            </w:r>
          </w:p>
        </w:tc>
      </w:tr>
    </w:tbl>
    <w:p>
      <w:pPr>
        <w:spacing w:after="0" w:line="19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beginning January 1, 2022. The Company did not have any other material nonrecurring pro forma adjustments directly attributable to the acquisition included in the reported pro forma revenue and loss.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19"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or remaining maturities of 90 days or less at the time of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readily convertible into cash.</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w:t>
      </w:r>
      <w:r>
        <w:rPr>
          <w:rFonts w:ascii="Times New Roman" w:cs="Times New Roman" w:eastAsia="Times New Roman" w:hAnsi="Times New Roman"/>
          <w:sz w:val="18"/>
          <w:szCs w:val="18"/>
          <w:color w:val="auto"/>
        </w:rPr>
        <w:t>— The Thirona convertible notes are classified as available-for-sale securities and are included in other assets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 Available-for-sale investments are subsequently measured at fair value. Unrealized holding gains and losses are excluded from earnings and reported in other comprehensive income until realized. The Company determines fair value of its available-for-sale investments using level 3 inputs. The Company evaluates the fair value of its investment in Thirona by applying a Monte Carlo simulation model. As of March 31, 2023 and December 31, 2022, the fair value of the Company's investment in Thirona was $7.1 million.</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Investments consist of highly liquid investments that are intended to facilitate liquidity and capital preservation.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amortization or accretion of the Company’s investments is recognized as interest income in the condensed consolidated statements of operations. For the three months ended March 31, 2023, the Company recognized $1.2 million of interest income on investments and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amortization on certain investments. For the three months ended March 31, 2022, the Company recognized $0.4 million of interest income on investments and $0.3 million of amortization on certain investments. No allowance for credit losses on held-to-maturity securities was required as of March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Company’s held to maturity investments are summarized below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131"/>
        </w:trPr>
        <w:tc>
          <w:tcPr>
            <w:tcW w:w="4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33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6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Due in one year or less</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154,569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154,314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152,862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156,976</w:t>
            </w:r>
          </w:p>
        </w:tc>
        <w:tc>
          <w:tcPr>
            <w:tcW w:w="100" w:type="dxa"/>
            <w:vAlign w:val="bottom"/>
            <w:shd w:val="clear" w:color="auto" w:fill="CFF0FC"/>
          </w:tcPr>
          <w:p>
            <w:pPr>
              <w:spacing w:after="0"/>
              <w:rPr>
                <w:sz w:val="20"/>
                <w:szCs w:val="20"/>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0"/>
                <w:szCs w:val="20"/>
                <w:color w:val="auto"/>
              </w:rPr>
            </w:pPr>
          </w:p>
        </w:tc>
      </w:tr>
      <w:tr>
        <w:trPr>
          <w:trHeight w:val="234"/>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155,061</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154,810</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154,823</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investments due in one year or less include cash equivalents of $74.3 million as of March 31, 2023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$51.8 million as of December 31,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cash equivalents, long-term and short-term investments are disclosed below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125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right"/>
              <w:ind w:right="35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14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1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(317 )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(586 )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equivalents</w:t>
            </w:r>
          </w:p>
        </w:tc>
        <w:tc>
          <w:tcPr>
            <w:tcW w:w="1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74,296</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5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vMerge w:val="restart"/>
          </w:tcPr>
          <w:p>
            <w:pPr>
              <w:jc w:val="right"/>
              <w:ind w:right="454"/>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-992505</wp:posOffset>
            </wp:positionV>
            <wp:extent cx="7683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-992505</wp:posOffset>
            </wp:positionV>
            <wp:extent cx="6858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-675640</wp:posOffset>
            </wp:positionV>
            <wp:extent cx="7683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-675640</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11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right"/>
              <w:ind w:right="35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14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1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66,762</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(587 )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(1,181 )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cash equivalents</w:t>
            </w:r>
          </w:p>
        </w:tc>
        <w:tc>
          <w:tcPr>
            <w:tcW w:w="1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51,783</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5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(1,181 )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-504825</wp:posOffset>
            </wp:positionV>
            <wp:extent cx="7683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685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-187960</wp:posOffset>
            </wp:positionV>
            <wp:extent cx="768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As of March 31, 2023, there was $0.7 million of amounts receivable included in our condensed consolidated balance sheets as prepaid expenses and other current assets, which consisted of $0.6 million of accrued interest receivable and $0.1 million of amount receivable on matured investment. As of December 31, 2022, there was $0.6 million of accrued interest receivable and $5.1 million of amount receivable on matured investment.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(2,338 )</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returns</w:t>
            </w:r>
          </w:p>
        </w:tc>
        <w:tc>
          <w:tcPr>
            <w:tcW w:w="20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(4,111 )</w:t>
            </w: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(4,108 )</w:t>
            </w: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 collaborations and services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Borders>
              <w:bottom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2023 and December 31, 2022, the allowance for doubtful accounts for commercial accounts receivable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The Company had three wholesale distributors representing approximately 57% of commercial accounts receivable as of March 31, 2023 and approximately 72% of gross sales for the three months ended March 31, 2023. As of December 31, 2022, the Company had three wholesale distributors representing approximately 79% of commercial accounts receivables.</w:t>
      </w:r>
    </w:p>
    <w:p>
      <w:pPr>
        <w:spacing w:after="0" w:line="180"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As of March 31, 2023 and December 31, 2022, there was no allowances for credit losses for accounts receivable for collaborations and services. The Company had one collaboration partner, United Therapeutics, that comprised 100% of the collaboration and services net accounts receivable as of March 31, 2023 and December 31, 2022 and approximately 100% of gross revenue from collaborations and services for the three months ended March 31, 2023.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Work-in-process and finished goods as of March 31, 2023 and December 31, 2022 include conversion costs and exclude the cost of insulin. All insulin inventory on hand was written off and the projected loss on the purchase commitment contract to purchase future insulin was accrued as of the end of 2016. Raw materials inventory included $0.8 million of pre-launch inventory as of March 31, 2023 and December 31, 2022, which consisted of FDKP received in November 2019. The Company expects to request approval from the FDA for the new source of FDKP in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9" w:name="page20"/>
    <w:bookmarkEnd w:id="19"/>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March 31, 2023 and December 31, 2022. Inventory that was forecasted to become obsolete due to expiration as well as inventory that does not meet acceptable standards is recorded in costs of goods sold in the condensed consolidated statements of operations. There was an inventory write-off of $2.4 million for the three months ended March 31, 2023, which was primarily recognized as cost of revenue from collaborations in our condensed consolidated statements of operations. There were no inventory write-offs for the three months ended March 31,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84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184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43,113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22,804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(99,553 )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(98,560 )</w:t>
            </w:r>
          </w:p>
        </w:tc>
        <w:tc>
          <w:tcPr>
            <w:tcW w:w="0" w:type="dxa"/>
            <w:vAlign w:val="bottom"/>
          </w:tcPr>
          <w:p>
            <w:pPr>
              <w:spacing w:after="0"/>
              <w:rPr>
                <w:sz w:val="1"/>
                <w:szCs w:val="1"/>
                <w:color w:val="auto"/>
              </w:rPr>
            </w:pPr>
          </w:p>
        </w:tc>
      </w:tr>
      <w:tr>
        <w:trPr>
          <w:trHeight w:val="234"/>
        </w:trPr>
        <w:tc>
          <w:tcPr>
            <w:tcW w:w="5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7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54,837</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as follows (in thousands):</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5"/>
          </w:tcPr>
          <w:p>
            <w:pPr>
              <w:jc w:val="center"/>
              <w:ind w:left="77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7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-1437640</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-1120775</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2021, the Company sold certain land, building and improvements located in Danbury, CT (the “Property”) to an affiliate of Creative Manufacturing Properties (the “Purchaser”) for a sales price of $102.3 million, subject to terms and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a finance lease and the Property remains as a long-lived asset of the Company and is depreciated at its remaining useful life of 20 years or less. See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arising from business combinations. The balance of goodwill was approximately $2.0 million and $2.4 million as of March 31, 2023 and December 31, 2022, respectively, as a result of the Company's acquisition of V-Go in May 2022. During the three months ended March 31, 2023, goodwill related to the acquisition of V-Go was adjusted for a reduction in rebate-related liabilities established at the time of acquisition. Goodwill is tested at least annually for impairment by assessing qualitative factors in determining whether it is more likely than not that the fair value of net assets is below their carrying amounts.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 </w:t>
      </w:r>
      <w:r>
        <w:rPr>
          <w:rFonts w:ascii="Times New Roman" w:cs="Times New Roman" w:eastAsia="Times New Roman" w:hAnsi="Times New Roman"/>
          <w:sz w:val="18"/>
          <w:szCs w:val="18"/>
          <w:color w:val="auto"/>
        </w:rPr>
        <w:t>— Other intangible asset consisted of the following (dollars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2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1"/>
                <w:szCs w:val="11"/>
                <w:color w:val="auto"/>
              </w:rPr>
            </w:pPr>
          </w:p>
        </w:tc>
        <w:tc>
          <w:tcPr>
            <w:tcW w:w="1320" w:type="dxa"/>
            <w:vAlign w:val="bottom"/>
            <w:gridSpan w:val="4"/>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1"/>
                <w:szCs w:val="11"/>
                <w:color w:val="auto"/>
              </w:rPr>
            </w:pPr>
          </w:p>
        </w:tc>
        <w:tc>
          <w:tcPr>
            <w:tcW w:w="1300" w:type="dxa"/>
            <w:vAlign w:val="bottom"/>
            <w:gridSpan w:val="4"/>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4"/>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Amortization expense related to the other intangible asset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months ended March 31, 2023.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160"/>
        <w:spacing w:after="0" w:line="281" w:lineRule="auto"/>
        <w:rPr>
          <w:sz w:val="20"/>
          <w:szCs w:val="20"/>
          <w:color w:val="auto"/>
        </w:rPr>
      </w:pPr>
      <w:r>
        <w:rPr>
          <w:rFonts w:ascii="Times New Roman" w:cs="Times New Roman" w:eastAsia="Times New Roman" w:hAnsi="Times New Roman"/>
          <w:sz w:val="18"/>
          <w:szCs w:val="18"/>
          <w:color w:val="auto"/>
        </w:rPr>
        <w:t>The estimated annual amortization expense for the other intangible asset for the years ended December 31, 2023 through 2027 will be approximately $0.1 million per year and $0.7 million, thereafter.</w:t>
      </w:r>
    </w:p>
    <w:p>
      <w:pPr>
        <w:spacing w:after="0" w:line="16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 for potential impairment when events or changes in circumstances indicate that the carrying amount of an asset or asset group may not be recoverable.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2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Pr>
          <w:p>
            <w:pPr>
              <w:spacing w:after="0"/>
              <w:rPr>
                <w:sz w:val="16"/>
                <w:szCs w:val="16"/>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Returns reserve for acquired product</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liability</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milestone rights liability</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Danbury facility buildout</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gridSpan w:val="3"/>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32,995</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Borrowings</w:t>
            </w: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31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Carrying amount of the Company's borrowings consist of the following (in thousands):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Pr>
          <w:p>
            <w:pPr>
              <w:spacing w:after="0"/>
              <w:rPr>
                <w:sz w:val="24"/>
                <w:szCs w:val="24"/>
                <w:color w:val="auto"/>
              </w:rPr>
            </w:pPr>
          </w:p>
        </w:tc>
        <w:tc>
          <w:tcPr>
            <w:tcW w:w="16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225,761</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MidCap credit facility</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1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gridSpan w:val="3"/>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273,961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principal balance of debt and key terms: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180" w:type="dxa"/>
            <w:vAlign w:val="bottom"/>
          </w:tcPr>
          <w:p>
            <w:pPr>
              <w:spacing w:after="0"/>
              <w:rPr>
                <w:sz w:val="24"/>
                <w:szCs w:val="24"/>
                <w:color w:val="auto"/>
              </w:rPr>
            </w:pPr>
          </w:p>
        </w:tc>
        <w:tc>
          <w:tcPr>
            <w:tcW w:w="3360" w:type="dxa"/>
            <w:vAlign w:val="bottom"/>
            <w:tcBorders>
              <w:bottom w:val="single" w:sz="8" w:color="auto"/>
            </w:tcBorders>
            <w:gridSpan w:val="3"/>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1"/>
                <w:szCs w:val="11"/>
                <w:color w:val="auto"/>
              </w:rPr>
            </w:pPr>
          </w:p>
        </w:tc>
        <w:tc>
          <w:tcPr>
            <w:tcW w:w="1240" w:type="dxa"/>
            <w:vAlign w:val="bottom"/>
            <w:gridSpan w:val="3"/>
          </w:tcPr>
          <w:p>
            <w:pPr>
              <w:jc w:val="center"/>
              <w:ind w:left="33"/>
              <w:spacing w:after="0" w:line="131" w:lineRule="exact"/>
              <w:rPr>
                <w:sz w:val="20"/>
                <w:szCs w:val="20"/>
                <w:color w:val="auto"/>
              </w:rPr>
            </w:pPr>
            <w:r>
              <w:rPr>
                <w:rFonts w:ascii="Times New Roman" w:cs="Times New Roman" w:eastAsia="Times New Roman" w:hAnsi="Times New Roman"/>
                <w:sz w:val="14"/>
                <w:szCs w:val="14"/>
                <w:b w:val="1"/>
                <w:bCs w:val="1"/>
                <w:color w:val="auto"/>
              </w:rPr>
              <w:t>Annual Interest</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00" w:type="dxa"/>
            <w:vAlign w:val="bottom"/>
          </w:tcPr>
          <w:p>
            <w:pPr>
              <w:spacing w:after="0"/>
              <w:rPr>
                <w:sz w:val="11"/>
                <w:szCs w:val="11"/>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Senior convertible notes</w:t>
            </w:r>
          </w:p>
        </w:tc>
        <w:tc>
          <w:tcPr>
            <w:tcW w:w="152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$230.0 million</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$230.0 million</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center"/>
              <w:ind w:left="293"/>
              <w:spacing w:after="0" w:line="204" w:lineRule="exact"/>
              <w:rPr>
                <w:sz w:val="20"/>
                <w:szCs w:val="20"/>
                <w:color w:val="auto"/>
              </w:rPr>
            </w:pPr>
            <w:r>
              <w:rPr>
                <w:rFonts w:ascii="Times New Roman" w:cs="Times New Roman" w:eastAsia="Times New Roman" w:hAnsi="Times New Roman"/>
                <w:sz w:val="18"/>
                <w:szCs w:val="18"/>
                <w:color w:val="auto"/>
                <w:w w:val="98"/>
              </w:rPr>
              <w:t>2.50%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rPr>
              <w:t>March 2026</w:t>
            </w: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$5.21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11"/>
        </w:trPr>
        <w:tc>
          <w:tcPr>
            <w:tcW w:w="318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24"/>
                <w:szCs w:val="24"/>
                <w:color w:val="auto"/>
                <w:vertAlign w:val="superscript"/>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 million</w:t>
            </w: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 million</w:t>
            </w:r>
          </w:p>
        </w:tc>
        <w:tc>
          <w:tcPr>
            <w:tcW w:w="180" w:type="dxa"/>
            <w:vAlign w:val="bottom"/>
          </w:tcPr>
          <w:p>
            <w:pPr>
              <w:spacing w:after="0"/>
              <w:rPr>
                <w:sz w:val="18"/>
                <w:szCs w:val="18"/>
                <w:color w:val="auto"/>
              </w:rPr>
            </w:pPr>
          </w:p>
        </w:tc>
        <w:tc>
          <w:tcPr>
            <w:tcW w:w="124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w w:val="99"/>
              </w:rPr>
              <w:t>one-month</w:t>
            </w:r>
          </w:p>
        </w:tc>
        <w:tc>
          <w:tcPr>
            <w:tcW w:w="120" w:type="dxa"/>
            <w:vAlign w:val="bottom"/>
          </w:tcPr>
          <w:p>
            <w:pPr>
              <w:spacing w:after="0"/>
              <w:rPr>
                <w:sz w:val="18"/>
                <w:szCs w:val="18"/>
                <w:color w:val="auto"/>
              </w:rPr>
            </w:pPr>
          </w:p>
        </w:tc>
        <w:tc>
          <w:tcPr>
            <w:tcW w:w="1500" w:type="dxa"/>
            <w:vAlign w:val="bottom"/>
            <w:gridSpan w:val="5"/>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perscript"/>
              </w:rPr>
              <w:t>(1 )</w:t>
            </w:r>
            <w:r>
              <w:rPr>
                <w:rFonts w:ascii="Times New Roman" w:cs="Times New Roman" w:eastAsia="Times New Roman" w:hAnsi="Times New Roman"/>
                <w:sz w:val="16"/>
                <w:szCs w:val="16"/>
                <w:color w:val="auto"/>
              </w:rPr>
              <w:t xml:space="preserve">  August 2025</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w w:val="97"/>
              </w:rPr>
              <w:t>SOFR</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rPr>
              <w:t>(1% floor)</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w w:val="99"/>
              </w:rPr>
              <w:t>plus 6.25%;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rPr>
              <w:t>cap of 8.25%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$8.8 million</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$8.8 million</w:t>
            </w:r>
          </w:p>
        </w:tc>
        <w:tc>
          <w:tcPr>
            <w:tcW w:w="1180" w:type="dxa"/>
            <w:vAlign w:val="bottom"/>
            <w:gridSpan w:val="3"/>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8"/>
              </w:rPr>
              <w:t>2.50%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December</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4"/>
            <w:shd w:val="clear" w:color="auto" w:fill="CFF0FC"/>
          </w:tcPr>
          <w:p>
            <w:pPr>
              <w:jc w:val="center"/>
              <w:ind w:left="751"/>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647"/>
        </w:trPr>
        <w:tc>
          <w:tcPr>
            <w:tcW w:w="3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-4255135</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-4255135</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-2705100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-2705100</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120" w:hanging="372"/>
        <w:spacing w:after="0" w:line="274" w:lineRule="auto"/>
        <w:tabs>
          <w:tab w:leader="none" w:pos="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 August 2022, the Company amended the MidCap credit facility and transitioned the benchmark interest rate from LIBOR to the Secured Overnight Financing Rate (“SOFR”). The interest rate prior to the amendment was one-month LIBOR (1% floor) plus 6.25% (capped at a total of 8.25%).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March 31, 2023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4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5"/>
        </w:trPr>
        <w:tc>
          <w:tcPr>
            <w:tcW w:w="8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FF0FC"/>
          </w:tcPr>
          <w:p>
            <w:pPr>
              <w:spacing w:after="0"/>
              <w:rPr>
                <w:sz w:val="20"/>
                <w:szCs w:val="20"/>
                <w:color w:val="auto"/>
              </w:rPr>
            </w:pPr>
          </w:p>
        </w:tc>
      </w:tr>
      <w:tr>
        <w:trPr>
          <w:trHeight w:val="238"/>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r>
      <w:tr>
        <w:trPr>
          <w:trHeight w:val="247"/>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100" w:type="dxa"/>
            <w:vAlign w:val="bottom"/>
            <w:shd w:val="clear" w:color="auto" w:fill="CFF0FC"/>
          </w:tcPr>
          <w:p>
            <w:pPr>
              <w:spacing w:after="0"/>
              <w:rPr>
                <w:sz w:val="21"/>
                <w:szCs w:val="21"/>
                <w:color w:val="auto"/>
              </w:rPr>
            </w:pPr>
          </w:p>
        </w:tc>
      </w:tr>
      <w:tr>
        <w:trPr>
          <w:trHeight w:val="238"/>
        </w:trPr>
        <w:tc>
          <w:tcPr>
            <w:tcW w:w="8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Borders>
              <w:bottom w:val="single" w:sz="8" w:color="CFF0FC"/>
            </w:tcBorders>
          </w:tcPr>
          <w:p>
            <w:pPr>
              <w:spacing w:after="0"/>
              <w:rPr>
                <w:sz w:val="20"/>
                <w:szCs w:val="20"/>
                <w:color w:val="auto"/>
              </w:rPr>
            </w:pPr>
          </w:p>
        </w:tc>
      </w:tr>
      <w:tr>
        <w:trPr>
          <w:trHeight w:val="240"/>
        </w:trPr>
        <w:tc>
          <w:tcPr>
            <w:tcW w:w="8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0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278,830</w:t>
            </w:r>
          </w:p>
        </w:tc>
        <w:tc>
          <w:tcPr>
            <w:tcW w:w="100" w:type="dxa"/>
            <w:vAlign w:val="bottom"/>
            <w:shd w:val="clear" w:color="auto" w:fill="CFF0FC"/>
          </w:tcPr>
          <w:p>
            <w:pPr>
              <w:spacing w:after="0"/>
              <w:rPr>
                <w:sz w:val="20"/>
                <w:szCs w:val="20"/>
                <w:color w:val="auto"/>
              </w:rPr>
            </w:pPr>
          </w:p>
        </w:tc>
      </w:tr>
      <w:tr>
        <w:trPr>
          <w:trHeight w:val="238"/>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50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r>
      <w:tr>
        <w:trPr>
          <w:trHeight w:val="243"/>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5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(4,668 )</w:t>
            </w:r>
          </w:p>
        </w:tc>
      </w:tr>
      <w:tr>
        <w:trPr>
          <w:trHeight w:val="236"/>
        </w:trPr>
        <w:tc>
          <w:tcPr>
            <w:tcW w:w="8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273,961</w:t>
            </w:r>
          </w:p>
        </w:tc>
        <w:tc>
          <w:tcPr>
            <w:tcW w:w="100" w:type="dxa"/>
            <w:vAlign w:val="bottom"/>
            <w:tcBorders>
              <w:top w:val="single" w:sz="8" w:color="CFF0FC"/>
            </w:tcBorders>
          </w:tcPr>
          <w:p>
            <w:pPr>
              <w:spacing w:after="0"/>
              <w:rPr>
                <w:sz w:val="20"/>
                <w:szCs w:val="20"/>
                <w:color w:val="auto"/>
              </w:rPr>
            </w:pPr>
          </w:p>
        </w:tc>
      </w:tr>
      <w:tr>
        <w:trPr>
          <w:trHeight w:val="20"/>
        </w:trPr>
        <w:tc>
          <w:tcPr>
            <w:tcW w:w="8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w:t>
      </w:r>
      <w:r>
        <w:rPr>
          <w:rFonts w:ascii="Times New Roman" w:cs="Times New Roman" w:eastAsia="Times New Roman" w:hAnsi="Times New Roman"/>
          <w:sz w:val="18"/>
          <w:szCs w:val="18"/>
          <w:color w:val="auto"/>
        </w:rPr>
        <w:t>– In March 2021, the Company issued $230.0 million aggregate principal amount of Senior convertible notes in a private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convertible notes were issued pursuant to an indenture, dated March 4, 2021 (the “Indenture”), between the Company and U.S. Bank National Association, as trustee.</w:t>
      </w:r>
    </w:p>
    <w:p>
      <w:pPr>
        <w:spacing w:after="0" w:line="1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right="140"/>
        <w:spacing w:after="0" w:line="260"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Company’s net proceeds from the offering were approximately $222.7 million, after deducting the initial purchasers’ discounts and commissions and the estimated offering expenses payable by the Company. As of March 31, 2023, the unamortized debt issuance cost was $4.2 million.</w:t>
      </w:r>
    </w:p>
    <w:p>
      <w:pPr>
        <w:spacing w:after="0" w:line="1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MidCap credit facility </w:t>
      </w:r>
      <w:r>
        <w:rPr>
          <w:rFonts w:ascii="Times New Roman" w:cs="Times New Roman" w:eastAsia="Times New Roman" w:hAnsi="Times New Roman"/>
          <w:sz w:val="18"/>
          <w:szCs w:val="18"/>
          <w:color w:val="auto"/>
        </w:rPr>
        <w:t>— In August 2019, the Company entered into the MidCap credit facility and borrowed the first advance of $40.0 million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 in August 2019 and the second advance of $10.0 million (“Tranche 2”) in December 2020. In April 2021, $10.0 million was prepaid. Under the terms of the MidCap credit facility, a third advance of $60.0 million (“Tranche 3”) became available to the Company after the Tyvaso DPI approval by the FDA through June 30, 2022 (see Note 10 –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 The Company did not exercise its right to borrow Tranche 3.</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MidCap credit facility has been amended several times, including in April 2021 when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prepayment penalty of $1.0 million related to the payment of $10.0 million was capitalized and will be amortized over the remaining life of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the unamortized debt discount was $0.2 million and the unamortized prepayment penalty was $0.4 million.</w:t>
      </w:r>
    </w:p>
    <w:p>
      <w:pPr>
        <w:spacing w:after="0" w:line="20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In August 2022, the Company entered into the tenth amendment to the MidCap credit facility to change the benchmark interest rate from LIBOR to the Secured Overnight Financing Rate (“SOFR”).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Tranche 1 and Tranche 2 accrue interest at an annual rate equal to the lesser of (i) 8.25% and (ii) the one-month SOFR (subject to a one-month SOFR floor of 1.00%) plus 6.25%. Interest on each term loan advance is due and payable monthly in arrears. Principal on each term loan advance under Tranche 1 and Tranche 2 are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w:t>
      </w:r>
    </w:p>
    <w:p>
      <w:pPr>
        <w:spacing w:after="0" w:line="186"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The Company’s obligations under the MidCap credit facility are secured by a security interest on substantially all of its assets, including intellectual property.</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As of March 31, 2023, the Company was in compliance with the financial covenant.</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80"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Mann Group convertible note </w:t>
      </w:r>
      <w:r>
        <w:rPr>
          <w:rFonts w:ascii="Times New Roman" w:cs="Times New Roman" w:eastAsia="Times New Roman" w:hAnsi="Times New Roman"/>
          <w:sz w:val="18"/>
          <w:szCs w:val="18"/>
          <w:color w:val="auto"/>
        </w:rPr>
        <w:t>— In August 2019, the Company issued a $35.0 million note that is convertible into shares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$2.50 per share (the “Mann Group convertible note”) as part of a restructuring of its then existing indebtedness to Mann Group.</w:t>
      </w:r>
    </w:p>
    <w:p>
      <w:pPr>
        <w:spacing w:after="0" w:line="16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Mann Group convertible note originally accrued interest at the rate of 7.00% per year on the principal amount, payable quarterly in arrears on the first day of each calendar quarter beginning October 1, 2019. In April 2021, the Company and Mann Group amended the Mann Group convertible note, pursuant to which the parties agreed to (i) reduce the interest rate from 7.0% to 2.5% effective on April 22, 2021, and (ii) extend the maturity date from November 3, 2024 to December 31, 2025.</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premium and accretion of debt issuance costs related to all borrowings were as follows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7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0"/>
                <w:szCs w:val="20"/>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r>
      <w:tr>
        <w:trPr>
          <w:trHeight w:val="656"/>
        </w:trPr>
        <w:tc>
          <w:tcPr>
            <w:tcW w:w="4020" w:type="dxa"/>
            <w:vAlign w:val="bottom"/>
          </w:tcPr>
          <w:p>
            <w:pPr>
              <w:spacing w:after="0"/>
              <w:rPr>
                <w:sz w:val="24"/>
                <w:szCs w:val="24"/>
                <w:color w:val="auto"/>
              </w:rPr>
            </w:pPr>
          </w:p>
        </w:tc>
        <w:tc>
          <w:tcPr>
            <w:tcW w:w="37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Rights </w:t>
      </w:r>
      <w:r>
        <w:rPr>
          <w:rFonts w:ascii="Times New Roman" w:cs="Times New Roman" w:eastAsia="Times New Roman" w:hAnsi="Times New Roman"/>
          <w:sz w:val="18"/>
          <w:szCs w:val="18"/>
          <w:color w:val="auto"/>
        </w:rPr>
        <w:t>— As of March 31, 2023 and December 31, 2022, the remaining Milestone Rights liability balance was $4.8 million, which was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fair value estimates calculated using the income approach and reduced by milestone achievement payments made. As of March 31, 2023 and December 31, 2022, the Milestone Rights liability consisted of $0.9 million of current liability which was presented as accrued expenses and other current liabilities, and $3.9 million of long-term liability which was presented as milestone liabilities in our condensed consolidated balance sheets.</w:t>
      </w:r>
    </w:p>
    <w:p>
      <w:pPr>
        <w:spacing w:after="0" w:line="18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Licensing and Other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were as follows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UT CSA Agreement </w:t>
            </w:r>
            <w:r>
              <w:rPr>
                <w:rFonts w:ascii="Times New Roman" w:cs="Times New Roman" w:eastAsia="Times New Roman" w:hAnsi="Times New Roman"/>
                <w:sz w:val="24"/>
                <w:szCs w:val="24"/>
                <w:color w:val="auto"/>
                <w:vertAlign w:val="superscript"/>
              </w:rPr>
              <w:t>(1)</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UT License Agreement </w:t>
            </w:r>
            <w:r>
              <w:rPr>
                <w:rFonts w:ascii="Times New Roman" w:cs="Times New Roman" w:eastAsia="Times New Roman" w:hAnsi="Times New Roman"/>
                <w:sz w:val="24"/>
                <w:szCs w:val="24"/>
                <w:color w:val="auto"/>
                <w:vertAlign w:val="superscript"/>
              </w:rPr>
              <w:t>(2)</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 consists of revenue recognized for Manufacturing Services and sales of product to UT for the periods presented.</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Next-Gen R&amp;D Services and R&amp;D Services and License for the periods presented.</w:t>
      </w:r>
    </w:p>
    <w:p>
      <w:pPr>
        <w:spacing w:after="0" w:line="22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 The Company is responsible for manufacturing Tyvaso DPI.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UT was as follows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UT Revenue</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 CSA Agreement</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 License Agreement</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Royalties — Collaborations </w:t>
            </w:r>
            <w:r>
              <w:rPr>
                <w:rFonts w:ascii="Times New Roman" w:cs="Times New Roman" w:eastAsia="Times New Roman" w:hAnsi="Times New Roman"/>
                <w:sz w:val="24"/>
                <w:szCs w:val="24"/>
                <w:color w:val="auto"/>
                <w:vertAlign w:val="superscript"/>
              </w:rPr>
              <w:t>(1)</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2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 from UT</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220" w:hanging="372"/>
        <w:spacing w:after="0" w:line="274" w:lineRule="auto"/>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 consists of royalties associated with the UT License Agreement. The contract assets related to the royalties is included in prepaid expense and other current assets in the condensed consolidated balance sheets.</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2018, the Company and UT entered into the UT License Agreement for the collaboration and development of Tyvaso DPI. Pursuant to this agreement, the Company also receives low double-digit royalties on net sales of Tyvaso DPI as well as a manufacturing margin on commercial supplies of the product. In August 2021, the Company and UT entered into a commercial supply agreement (the “CSA”), pursuant to which the Company is responsible for manufacturing and supplying to UT, and UT is responsible for purchasing from the Company on a cost-plus basis. There have been various amendments to the UT License Agreement and the CSA since inception. The terms of the amendments and related accounting treatment are disclosed in the Company's Form 10-K for the fiscal year ended December 31, 2022, filed with the SEC on February 23, 2023.</w:t>
      </w:r>
    </w:p>
    <w:p>
      <w:pPr>
        <w:spacing w:after="0" w:line="186"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In December 2022, the Company and UT agreed to fund an additional $39.5 million to support capital and continuous improvement activities and $2.3 million in the development of alternative manufacturing processes. The Company determined that the capital and continuous improvements should be combined with the manufacturing services performance obligation and the alternative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5" w:name="page26"/>
    <w:bookmarkEnd w:id="25"/>
    <w:p>
      <w:pPr>
        <w:ind w:right="600"/>
        <w:spacing w:after="0" w:line="281" w:lineRule="auto"/>
        <w:rPr>
          <w:sz w:val="20"/>
          <w:szCs w:val="20"/>
          <w:color w:val="auto"/>
        </w:rPr>
      </w:pPr>
      <w:r>
        <w:rPr>
          <w:rFonts w:ascii="Times New Roman" w:cs="Times New Roman" w:eastAsia="Times New Roman" w:hAnsi="Times New Roman"/>
          <w:sz w:val="18"/>
          <w:szCs w:val="18"/>
          <w:color w:val="auto"/>
        </w:rPr>
        <w:t>manufacturing processes should be combined with the Next-Gen R&amp;D Services. The total revised anticipated cash flows of $722.3 million from the transaction was allocated to the three distinct performance obligations as follows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80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10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Progress</w:t>
            </w:r>
          </w:p>
        </w:tc>
        <w:tc>
          <w:tcPr>
            <w:tcW w:w="120" w:type="dxa"/>
            <w:vAlign w:val="bottom"/>
          </w:tcPr>
          <w:p>
            <w:pPr>
              <w:spacing w:after="0"/>
              <w:rPr>
                <w:sz w:val="11"/>
                <w:szCs w:val="11"/>
                <w:color w:val="auto"/>
              </w:rPr>
            </w:pPr>
          </w:p>
        </w:tc>
        <w:tc>
          <w:tcPr>
            <w:tcW w:w="1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anticipated cash flow</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vMerge w:val="continue"/>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Distinct Performance Obligation</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Services and License</w:t>
            </w:r>
          </w:p>
        </w:tc>
        <w:tc>
          <w:tcPr>
            <w:tcW w:w="1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time</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Ratably</w:t>
            </w:r>
          </w:p>
        </w:tc>
        <w:tc>
          <w:tcPr>
            <w:tcW w:w="120" w:type="dxa"/>
            <w:vAlign w:val="bottom"/>
          </w:tcPr>
          <w:p>
            <w:pPr>
              <w:spacing w:after="0"/>
              <w:rPr>
                <w:sz w:val="18"/>
                <w:szCs w:val="18"/>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 2021 - Oct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Next-Gen R&amp;D Services</w:t>
            </w: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Over time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Input</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of completion of</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Manufacturing Services and</w:t>
            </w:r>
          </w:p>
        </w:tc>
        <w:tc>
          <w:tcPr>
            <w:tcW w:w="120" w:type="dxa"/>
            <w:vAlign w:val="bottom"/>
          </w:tcPr>
          <w:p>
            <w:pPr>
              <w:spacing w:after="0"/>
              <w:rPr>
                <w:sz w:val="16"/>
                <w:szCs w:val="16"/>
                <w:color w:val="auto"/>
              </w:rPr>
            </w:pPr>
          </w:p>
        </w:tc>
        <w:tc>
          <w:tcPr>
            <w:tcW w:w="1200" w:type="dxa"/>
            <w:vAlign w:val="bottom"/>
            <w:gridSpan w:val="3"/>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712.3</w:t>
            </w:r>
          </w:p>
        </w:tc>
        <w:tc>
          <w:tcPr>
            <w:tcW w:w="26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Point in time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Transfer of control</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740" w:type="dxa"/>
            <w:vAlign w:val="bottom"/>
          </w:tcPr>
          <w:p>
            <w:pPr>
              <w:ind w:left="160"/>
              <w:spacing w:after="0" w:line="266" w:lineRule="exact"/>
              <w:rPr>
                <w:sz w:val="20"/>
                <w:szCs w:val="20"/>
                <w:color w:val="auto"/>
              </w:rPr>
            </w:pPr>
            <w:r>
              <w:rPr>
                <w:rFonts w:ascii="Times New Roman" w:cs="Times New Roman" w:eastAsia="Times New Roman" w:hAnsi="Times New Roman"/>
                <w:sz w:val="18"/>
                <w:szCs w:val="18"/>
                <w:color w:val="auto"/>
              </w:rPr>
              <w:t>Product Sales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 w:lineRule="exact"/>
        <w:rPr>
          <w:sz w:val="20"/>
          <w:szCs w:val="20"/>
          <w:color w:val="auto"/>
        </w:rPr>
      </w:pPr>
    </w:p>
    <w:p>
      <w:pPr>
        <w:ind w:left="380" w:right="320" w:hanging="372"/>
        <w:spacing w:after="0" w:line="257"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total anticipated cash flow includes a transaction price of $120.0 million for the contractual obligations under the CSA for the Manufacturing Services and the Next-Gen R&amp;D Services performance obligations and $602.3 million for future supply of Tyvaso DPI over the remaining term of the CSA.</w:t>
      </w:r>
    </w:p>
    <w:p>
      <w:pPr>
        <w:ind w:left="380" w:right="140" w:hanging="372"/>
        <w:spacing w:after="0" w:line="269"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$220.8 million. The Company will sell product to UT under individual purchase orders, which represent distinct performance obligations. The ultimate cash flows may vary as manufacturing purchase orders are received.</w:t>
      </w:r>
    </w:p>
    <w:p>
      <w:pPr>
        <w:spacing w:after="0" w:line="18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As of March 31, 2023, deferred revenue consisted of $46.5 million, of which $2.2 million was classified as current and $44.3 million was classified as long-term on the condensed consolidated balance sheet. As of December 31, 2022, deferred revenue consisted of $37.9 million, of which $1.6 million was classified as current and $36.3 million was classified as long-term on the condensed consolidated balance sheet.</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Collaborative Agreements; however, no consideration was exchanged between the parties. The costs incurred by the Company were expensed as research and development in the condensed consolidated statements of operations. On February 28, 2023, the collaboration agreement was amended to extend the term through June 2024. In accordance with the amendment, the Company will fund a minimum of $1.1 million to be expended on a revised development plan prepared by Thirona.</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S.A. ("Biomm") entered into a supply and distribution agreement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There were no shipments of product to Biomm in 2022 or the first quarter of 2023.</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8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March 31, 2023, the deferred revenue balance was $1.5 million, of which $0.2 million is classified as current and $1.3 million is classified as long term in the condensed consolidated balance sheets.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660" w:right="40"/>
        <w:spacing w:after="0" w:line="281"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and Financing liability are disclosed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jc w:val="center"/>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40" w:type="dxa"/>
            <w:vAlign w:val="bottom"/>
          </w:tcPr>
          <w:p>
            <w:pPr>
              <w:spacing w:after="0"/>
              <w:rPr>
                <w:sz w:val="12"/>
                <w:szCs w:val="12"/>
                <w:color w:val="auto"/>
              </w:rPr>
            </w:pPr>
          </w:p>
        </w:tc>
        <w:tc>
          <w:tcPr>
            <w:tcW w:w="158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8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225,761</w:t>
            </w:r>
          </w:p>
        </w:tc>
        <w:tc>
          <w:tcPr>
            <w:tcW w:w="3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24"/>
                <w:szCs w:val="24"/>
                <w:color w:val="auto"/>
                <w:vertAlign w:val="superscript"/>
              </w:rPr>
              <w:t>(3)</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(4)</w:t>
            </w: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200"/>
              <w:spacing w:after="0" w:line="218" w:lineRule="exact"/>
              <w:rPr>
                <w:sz w:val="20"/>
                <w:szCs w:val="20"/>
                <w:color w:val="auto"/>
              </w:rPr>
            </w:pPr>
            <w:r>
              <w:rPr>
                <w:rFonts w:ascii="Times New Roman" w:cs="Times New Roman" w:eastAsia="Times New Roman" w:hAnsi="Times New Roman"/>
                <w:sz w:val="18"/>
                <w:szCs w:val="18"/>
                <w:color w:val="auto"/>
              </w:rPr>
              <w:t>Contingent milestone liability</w:t>
            </w:r>
            <w:r>
              <w:rPr>
                <w:rFonts w:ascii="Times New Roman" w:cs="Times New Roman" w:eastAsia="Times New Roman" w:hAnsi="Times New Roman"/>
                <w:sz w:val="24"/>
                <w:szCs w:val="24"/>
                <w:color w:val="auto"/>
                <w:vertAlign w:val="superscript"/>
              </w:rPr>
              <w:t>(4)</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820" w:type="dxa"/>
            <w:vAlign w:val="bottom"/>
          </w:tcPr>
          <w:p>
            <w:pPr>
              <w:ind w:left="200"/>
              <w:spacing w:after="0" w:line="266"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(5)</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104,067</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300" w:hanging="372"/>
        <w:spacing w:after="0" w:line="257"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11%, volatility of 74.3% and a Monte Carlo simulation for the value of the conversion feature. A change in yield of + or – 2% would result in a fair value of $230.2 million and $249.0 million, respectively.</w:t>
      </w:r>
    </w:p>
    <w:p>
      <w:pPr>
        <w:ind w:left="380" w:right="60" w:hanging="372"/>
        <w:spacing w:after="0" w:line="263"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12%. A change in yield of + or – 2% would result in a fair value of $40.3 million and $42.4 million, respectively.</w:t>
      </w:r>
    </w:p>
    <w:p>
      <w:pPr>
        <w:spacing w:after="0" w:line="1" w:lineRule="exact"/>
        <w:rPr>
          <w:rFonts w:ascii="Times New Roman" w:cs="Times New Roman" w:eastAsia="Times New Roman" w:hAnsi="Times New Roman"/>
          <w:sz w:val="13"/>
          <w:szCs w:val="13"/>
          <w:color w:val="auto"/>
        </w:rPr>
      </w:pPr>
    </w:p>
    <w:p>
      <w:pPr>
        <w:ind w:left="380" w:right="60" w:hanging="372"/>
        <w:spacing w:after="0" w:line="287"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fair value was determined by applying a discounted cash flow analysis with a hypothetical yield of 13% and volatility of 73.6% to the straight note and a binomial option pricing model for the value of the conversion feature. A change in yield of + or – 2% would result in a fair value of $16.0 million and $16.7 million, respectively.</w:t>
      </w:r>
    </w:p>
    <w:p>
      <w:pPr>
        <w:spacing w:after="0" w:line="16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w:t>
      </w:r>
    </w:p>
    <w:p>
      <w:pPr>
        <w:spacing w:after="0" w:line="1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jc w:val="center"/>
              <w:ind w:right="33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0" w:type="dxa"/>
            <w:vAlign w:val="bottom"/>
          </w:tcPr>
          <w:p>
            <w:pPr>
              <w:spacing w:after="0"/>
              <w:rPr>
                <w:sz w:val="12"/>
                <w:szCs w:val="12"/>
                <w:color w:val="auto"/>
              </w:rPr>
            </w:pPr>
          </w:p>
        </w:tc>
        <w:tc>
          <w:tcPr>
            <w:tcW w:w="1520" w:type="dxa"/>
            <w:vAlign w:val="bottom"/>
          </w:tcPr>
          <w:p>
            <w:pPr>
              <w:jc w:val="center"/>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2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225,761</w:t>
            </w:r>
          </w:p>
        </w:tc>
        <w:tc>
          <w:tcPr>
            <w:tcW w:w="3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(4)</w:t>
            </w:r>
          </w:p>
        </w:tc>
        <w:tc>
          <w:tcPr>
            <w:tcW w:w="3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200"/>
              <w:spacing w:after="0" w:line="218" w:lineRule="exact"/>
              <w:rPr>
                <w:sz w:val="20"/>
                <w:szCs w:val="20"/>
                <w:color w:val="auto"/>
              </w:rPr>
            </w:pPr>
            <w:r>
              <w:rPr>
                <w:rFonts w:ascii="Times New Roman" w:cs="Times New Roman" w:eastAsia="Times New Roman" w:hAnsi="Times New Roman"/>
                <w:sz w:val="18"/>
                <w:szCs w:val="18"/>
                <w:color w:val="auto"/>
              </w:rPr>
              <w:t>Contingent milestone liability</w:t>
            </w:r>
            <w:r>
              <w:rPr>
                <w:rFonts w:ascii="Times New Roman" w:cs="Times New Roman" w:eastAsia="Times New Roman" w:hAnsi="Times New Roman"/>
                <w:sz w:val="24"/>
                <w:szCs w:val="24"/>
                <w:color w:val="auto"/>
                <w:vertAlign w:val="superscript"/>
              </w:rPr>
              <w:t>(4)</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820" w:type="dxa"/>
            <w:vAlign w:val="bottom"/>
          </w:tcPr>
          <w:p>
            <w:pPr>
              <w:ind w:left="200"/>
              <w:spacing w:after="0" w:line="266" w:lineRule="exact"/>
              <w:rPr>
                <w:sz w:val="20"/>
                <w:szCs w:val="20"/>
                <w:color w:val="auto"/>
              </w:rPr>
            </w:pPr>
            <w:r>
              <w:rPr>
                <w:rFonts w:ascii="Times New Roman" w:cs="Times New Roman" w:eastAsia="Times New Roman" w:hAnsi="Times New Roman"/>
                <w:sz w:val="18"/>
                <w:szCs w:val="18"/>
                <w:color w:val="auto"/>
              </w:rPr>
              <w:t>Financing liability</w:t>
            </w:r>
            <w:r>
              <w:rPr>
                <w:rFonts w:ascii="Times New Roman" w:cs="Times New Roman" w:eastAsia="Times New Roman" w:hAnsi="Times New Roman"/>
                <w:sz w:val="24"/>
                <w:szCs w:val="24"/>
                <w:color w:val="auto"/>
                <w:vertAlign w:val="superscript"/>
              </w:rPr>
              <w:t>(5)</w:t>
            </w:r>
          </w:p>
        </w:tc>
        <w:tc>
          <w:tcPr>
            <w:tcW w:w="3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104,077</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300" w:hanging="372"/>
        <w:spacing w:after="0" w:line="274"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13%, volatility of 75.8% and a Monte Carlo simulation for the value of the conversion feature. A change in yield of + or – 2% would result in a fair value of $245.0 million and $263.4 million, 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7" w:name="page28"/>
    <w:bookmarkEnd w:id="27"/>
    <w:p>
      <w:pPr>
        <w:ind w:left="380" w:right="60" w:hanging="372"/>
        <w:spacing w:after="0" w:line="268"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12%. A change in yield of + or – 2% would result in a fair value of $40.0 million and $42.4 million, respectively.</w:t>
      </w:r>
    </w:p>
    <w:p>
      <w:pPr>
        <w:spacing w:after="0" w:line="1" w:lineRule="exact"/>
        <w:rPr>
          <w:rFonts w:ascii="Times New Roman" w:cs="Times New Roman" w:eastAsia="Times New Roman" w:hAnsi="Times New Roman"/>
          <w:sz w:val="13"/>
          <w:szCs w:val="13"/>
          <w:color w:val="auto"/>
        </w:rPr>
      </w:pPr>
    </w:p>
    <w:p>
      <w:pPr>
        <w:ind w:left="380" w:right="320" w:hanging="372"/>
        <w:spacing w:after="0" w:line="263"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13% and volatility of 77.8% to the straight note and a binomial option pricing model for the value of the conversion feature. A change in yield of + or – 2% would result in a fair value of $20.5 million and $21.2 million, respectively.</w:t>
      </w:r>
    </w:p>
    <w:p>
      <w:pPr>
        <w:spacing w:after="0" w:line="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w:t>
      </w:r>
    </w:p>
    <w:p>
      <w:pPr>
        <w:spacing w:after="0" w:line="1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10%.</w:t>
      </w:r>
    </w:p>
    <w:p>
      <w:pPr>
        <w:spacing w:after="0" w:line="2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milestone liability — </w:t>
      </w:r>
      <w:r>
        <w:rPr>
          <w:rFonts w:ascii="Times New Roman" w:cs="Times New Roman" w:eastAsia="Times New Roman" w:hAnsi="Times New Roman"/>
          <w:sz w:val="18"/>
          <w:szCs w:val="18"/>
          <w:color w:val="auto"/>
        </w:rPr>
        <w:t>The acquisition of V-Go in May 2022 resulted in a contingent milestone liability which could result in obligations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seller if certain revenue thresholds are met. The initial fair value of the contingent milestone liability was recorded as an adjustment to the purchase price. Subsequent changes in the fair value are reported in selling, general and administrative expenses. See Note 3 – </w:t>
      </w:r>
      <w:r>
        <w:rPr>
          <w:rFonts w:ascii="Times New Roman" w:cs="Times New Roman" w:eastAsia="Times New Roman" w:hAnsi="Times New Roman"/>
          <w:sz w:val="18"/>
          <w:szCs w:val="18"/>
          <w:i w:val="1"/>
          <w:iCs w:val="1"/>
          <w:color w:val="auto"/>
        </w:rPr>
        <w:t>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See Note 15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and Preferred Stock</w:t>
      </w:r>
    </w:p>
    <w:p>
      <w:pPr>
        <w:spacing w:after="0" w:line="12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March 31, 2023 and December 31, 2022, 264,278,760 and 263,793,305 shares of common stock, respectively, were issued and outstanding and no shares of preferred stock were outstanding.</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For the three months ended March 31, 2023, the Company sold 269,383 shares of common stock at a weighted average purchase price of $4.45 per share for gross proceeds of approximately $1.2 million pursuant to the CF Sales Agreement. There were no sales under the CF Sales Agreement for the three months ended March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the Company received $0.7 million from the market price stock purchase plan (“MPSPP”) for 252,176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MPSPP transactions during the three months ended March 31, 2023.</w:t>
      </w:r>
    </w:p>
    <w:p>
      <w:pPr>
        <w:spacing w:after="0" w:line="22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color w:val="auto"/>
        </w:rPr>
        <w:t xml:space="preserve">For shares of common stock issued pursuant to the Company's 2004 employee stock purchase plan ("ESPP"), see Note 14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Common Share (“EPS”)</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EPS — basic and diluted:</w:t>
            </w:r>
          </w:p>
        </w:tc>
        <w:tc>
          <w:tcPr>
            <w:tcW w:w="30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(numerator)</w:t>
            </w:r>
          </w:p>
        </w:tc>
        <w:tc>
          <w:tcPr>
            <w:tcW w:w="40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(25,998 )</w:t>
            </w:r>
          </w:p>
        </w:tc>
        <w:tc>
          <w:tcPr>
            <w:tcW w:w="0" w:type="dxa"/>
            <w:vAlign w:val="bottom"/>
          </w:tcPr>
          <w:p>
            <w:pPr>
              <w:spacing w:after="0"/>
              <w:rPr>
                <w:sz w:val="1"/>
                <w:szCs w:val="1"/>
                <w:color w:val="auto"/>
              </w:rPr>
            </w:pPr>
          </w:p>
        </w:tc>
      </w:tr>
      <w:tr>
        <w:trPr>
          <w:trHeight w:val="247"/>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30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263,969</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share</w:t>
            </w:r>
          </w:p>
        </w:tc>
        <w:tc>
          <w:tcPr>
            <w:tcW w:w="40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8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-675640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ind w:right="260"/>
        <w:spacing w:after="0" w:line="281" w:lineRule="auto"/>
        <w:rPr>
          <w:sz w:val="20"/>
          <w:szCs w:val="20"/>
          <w:color w:val="auto"/>
        </w:rPr>
      </w:pPr>
      <w:r>
        <w:rPr>
          <w:rFonts w:ascii="Times New Roman" w:cs="Times New Roman" w:eastAsia="Times New Roman" w:hAnsi="Times New Roman"/>
          <w:sz w:val="18"/>
          <w:szCs w:val="18"/>
          <w:color w:val="auto"/>
        </w:rPr>
        <w:t>Common shares issuable represents incremental shares of common stock which consist of RSUs, options, warrants, and shares that could be issued upon conversion of the Senior convertible notes and the Mann Group convertible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 outstanding that are considered antidilutive are summarized as follows (in shares):</w:t>
      </w:r>
    </w:p>
    <w:p>
      <w:pPr>
        <w:spacing w:after="0" w:line="232"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62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60" w:type="dxa"/>
            <w:vAlign w:val="bottom"/>
            <w:tcBorders>
              <w:top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convertible notes</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24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100" w:type="dxa"/>
            <w:vAlign w:val="bottom"/>
            <w:shd w:val="clear" w:color="auto" w:fill="CFF0FC"/>
          </w:tcPr>
          <w:p>
            <w:pPr>
              <w:spacing w:after="0"/>
              <w:rPr>
                <w:sz w:val="20"/>
                <w:szCs w:val="20"/>
                <w:color w:val="auto"/>
              </w:rPr>
            </w:pPr>
          </w:p>
        </w:tc>
      </w:tr>
      <w:tr>
        <w:trPr>
          <w:trHeight w:val="243"/>
        </w:trPr>
        <w:tc>
          <w:tcPr>
            <w:tcW w:w="76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RSUs and Market RSUs</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15,468,000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11,472,698</w:t>
            </w: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and PNQs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8,943,899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10,335,424</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Mann Group convertible 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7,370,000</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71,902,362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73,384,218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-156845</wp:posOffset>
            </wp:positionV>
            <wp:extent cx="227774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77745"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-79375</wp:posOffset>
            </wp:positionV>
            <wp:extent cx="22091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ind w:left="380" w:right="520" w:hanging="372"/>
        <w:spacing w:after="0" w:line="274"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Market RSUs issued in 2020, 2021 and 2022 are included at the share delivery of 300%, 0% and 210%, respectively, in accordance with a valuation assessment obtained as of March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Expense</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2023, the Company granted 179,905 RSUs which had a weighted average grant date fair value of $4.16 per share, of which 91,900 RSUs had a cliff vesting period of three years, 42,000 RSUs had a cliff vesting period of two years, and 46,005 RSUs had a vesting period of 25% annually over four years.</w:t>
      </w:r>
    </w:p>
    <w:p>
      <w:pPr>
        <w:spacing w:after="0" w:line="177"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color w:val="auto"/>
        </w:rPr>
        <w:t>As of March 31, 2023, there was $0.4 million of unrecognized stock-based compensation expense related to options and PNQs, which is expected to be recognized over a weighted average period of approximately 2.47 years, and $13.9 million and $8.5 million of unrecognized stock-based compensation expense related to RSUs and Market RSUs, respectively, which is expected to be recognized over a weighted average period of approximately 2.30 and 1.08 years, respectively.</w:t>
      </w:r>
    </w:p>
    <w:p>
      <w:pPr>
        <w:spacing w:after="0" w:line="182"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as cost of goods sold, cost of revenue – collaborations and services, research and development and selling, general and administrative expense was as follows (in thousands):</w:t>
      </w:r>
    </w:p>
    <w:p>
      <w:pPr>
        <w:spacing w:after="0" w:line="17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options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FF0FC"/>
          </w:tcPr>
          <w:p>
            <w:pPr>
              <w:spacing w:after="0"/>
              <w:rPr>
                <w:sz w:val="20"/>
                <w:szCs w:val="20"/>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r>
      <w:tr>
        <w:trPr>
          <w:trHeight w:val="276"/>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Company’s 2004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0.4 million shares of common stock available for issuance under the ESPP as of March 31,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right="380"/>
        <w:spacing w:after="0" w:line="281" w:lineRule="auto"/>
        <w:rPr>
          <w:sz w:val="20"/>
          <w:szCs w:val="20"/>
          <w:color w:val="auto"/>
        </w:rPr>
      </w:pPr>
      <w:r>
        <w:rPr>
          <w:rFonts w:ascii="Times New Roman" w:cs="Times New Roman" w:eastAsia="Times New Roman" w:hAnsi="Times New Roman"/>
          <w:sz w:val="18"/>
          <w:szCs w:val="18"/>
          <w:color w:val="auto"/>
        </w:rPr>
        <w:t>contingent liability, including those that may arise from indemnification provisions, when future payment is probable and the amount can be reasonably estimated. No such losses have been recorded to date.</w:t>
      </w:r>
    </w:p>
    <w:p>
      <w:pPr>
        <w:spacing w:after="0" w:line="16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As of March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believes that the final disposition of such matters will not have a material adverse effect on the results of operations, financial position,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In July 2013, the Company entered into the Milestone Rights Agreement with the Original Milestone Purchasers,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granted the Milestone Rights to receive payments up to $90.0 million upon the occurrence of specified strategic and sales milestones, $60.0 million of which remains payable to the Milestone Purchasers upon achievement of such milestones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the Property to the Purchaser for a sales price of $102.3 million, subject to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conditions contained in a purchase and sale agreement.</w:t>
      </w:r>
    </w:p>
    <w:p>
      <w:pPr>
        <w:spacing w:after="0" w:line="16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8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As of March 31, 2023, the related financing liability was $104.0 million, which was recognized in the condensed consolidated balance sheet and of which $94.4 million was long-term and $9.6 million was current. As of December 31, 2022, the related financing liability was $104.1 million, of which $94.5 million was long-term and $9.6 million was current.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4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469"/>
        </w:trPr>
        <w:tc>
          <w:tcPr>
            <w:tcW w:w="4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4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60" w:type="dxa"/>
            <w:vAlign w:val="bottom"/>
            <w:gridSpan w:val="2"/>
          </w:tcPr>
          <w:p>
            <w:pPr>
              <w:spacing w:after="0"/>
              <w:rPr>
                <w:sz w:val="16"/>
                <w:szCs w:val="16"/>
                <w:color w:val="auto"/>
              </w:rPr>
            </w:pPr>
          </w:p>
        </w:tc>
      </w:tr>
      <w:tr>
        <w:trPr>
          <w:trHeight w:val="223"/>
        </w:trPr>
        <w:tc>
          <w:tcPr>
            <w:tcW w:w="4560" w:type="dxa"/>
            <w:vAlign w:val="bottom"/>
          </w:tcPr>
          <w:p>
            <w:pPr>
              <w:spacing w:after="0"/>
              <w:rPr>
                <w:sz w:val="19"/>
                <w:szCs w:val="19"/>
                <w:color w:val="auto"/>
              </w:rPr>
            </w:pPr>
          </w:p>
        </w:tc>
        <w:tc>
          <w:tcPr>
            <w:tcW w:w="39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580" w:type="dxa"/>
            <w:vAlign w:val="bottom"/>
            <w:gridSpan w:val="2"/>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8"/>
              </w:rPr>
              <w:t>2,424</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647"/>
        </w:trPr>
        <w:tc>
          <w:tcPr>
            <w:tcW w:w="4560" w:type="dxa"/>
            <w:vAlign w:val="bottom"/>
          </w:tcPr>
          <w:p>
            <w:pPr>
              <w:spacing w:after="0"/>
              <w:rPr>
                <w:sz w:val="24"/>
                <w:szCs w:val="24"/>
                <w:color w:val="auto"/>
              </w:rPr>
            </w:pPr>
          </w:p>
        </w:tc>
        <w:tc>
          <w:tcPr>
            <w:tcW w:w="248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229"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Company's remaining financing liability payments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8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shd w:val="clear" w:color="auto" w:fill="CFF0FC"/>
          </w:tcPr>
          <w:p>
            <w:pPr>
              <w:spacing w:after="0"/>
              <w:rPr>
                <w:sz w:val="20"/>
                <w:szCs w:val="20"/>
                <w:color w:val="auto"/>
              </w:rPr>
            </w:pP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20"/>
                <w:szCs w:val="20"/>
                <w:color w:val="auto"/>
              </w:rPr>
            </w:pPr>
          </w:p>
        </w:tc>
      </w:tr>
      <w:tr>
        <w:trPr>
          <w:trHeight w:val="247"/>
        </w:trPr>
        <w:tc>
          <w:tcPr>
            <w:tcW w:w="8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shd w:val="clear" w:color="auto" w:fill="CFF0FC"/>
          </w:tcPr>
          <w:p>
            <w:pPr>
              <w:spacing w:after="0"/>
              <w:rPr>
                <w:sz w:val="21"/>
                <w:szCs w:val="21"/>
                <w:color w:val="auto"/>
              </w:rPr>
            </w:pP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20"/>
                <w:szCs w:val="20"/>
                <w:color w:val="auto"/>
              </w:rPr>
            </w:pPr>
          </w:p>
        </w:tc>
      </w:tr>
      <w:tr>
        <w:trPr>
          <w:trHeight w:val="247"/>
        </w:trPr>
        <w:tc>
          <w:tcPr>
            <w:tcW w:w="8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shd w:val="clear" w:color="auto" w:fill="CFF0FC"/>
          </w:tcPr>
          <w:p>
            <w:pPr>
              <w:spacing w:after="0"/>
              <w:rPr>
                <w:sz w:val="21"/>
                <w:szCs w:val="21"/>
                <w:color w:val="auto"/>
              </w:rPr>
            </w:pP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188,453</w:t>
            </w:r>
          </w:p>
        </w:tc>
        <w:tc>
          <w:tcPr>
            <w:tcW w:w="100" w:type="dxa"/>
            <w:vAlign w:val="bottom"/>
          </w:tcPr>
          <w:p>
            <w:pPr>
              <w:spacing w:after="0"/>
              <w:rPr>
                <w:sz w:val="20"/>
                <w:szCs w:val="20"/>
                <w:color w:val="auto"/>
              </w:rPr>
            </w:pPr>
          </w:p>
        </w:tc>
      </w:tr>
      <w:tr>
        <w:trPr>
          <w:trHeight w:val="240"/>
        </w:trPr>
        <w:tc>
          <w:tcPr>
            <w:tcW w:w="8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00" w:type="dxa"/>
            <w:vAlign w:val="bottom"/>
            <w:shd w:val="clear" w:color="auto" w:fill="CFF0FC"/>
          </w:tcPr>
          <w:p>
            <w:pPr>
              <w:spacing w:after="0"/>
              <w:rPr>
                <w:sz w:val="20"/>
                <w:szCs w:val="20"/>
                <w:color w:val="auto"/>
              </w:rPr>
            </w:pPr>
          </w:p>
        </w:tc>
      </w:tr>
      <w:tr>
        <w:trPr>
          <w:trHeight w:val="23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400" w:type="dxa"/>
            <w:vAlign w:val="bottom"/>
          </w:tcPr>
          <w:p>
            <w:pPr>
              <w:spacing w:after="0"/>
              <w:rPr>
                <w:sz w:val="20"/>
                <w:szCs w:val="20"/>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(130,563 )</w:t>
            </w:r>
          </w:p>
        </w:tc>
      </w:tr>
      <w:tr>
        <w:trPr>
          <w:trHeight w:val="243"/>
        </w:trPr>
        <w:tc>
          <w:tcPr>
            <w:tcW w:w="8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(2,832 )</w:t>
            </w:r>
          </w:p>
        </w:tc>
      </w:tr>
      <w:tr>
        <w:trPr>
          <w:trHeight w:val="236"/>
        </w:trPr>
        <w:tc>
          <w:tcPr>
            <w:tcW w:w="8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financing liability</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104,067</w:t>
            </w:r>
          </w:p>
        </w:tc>
        <w:tc>
          <w:tcPr>
            <w:tcW w:w="100" w:type="dxa"/>
            <w:vAlign w:val="bottom"/>
            <w:tcBorders>
              <w:top w:val="single" w:sz="8" w:color="CFF0FC"/>
            </w:tcBorders>
          </w:tcPr>
          <w:p>
            <w:pPr>
              <w:spacing w:after="0"/>
              <w:rPr>
                <w:sz w:val="20"/>
                <w:szCs w:val="20"/>
                <w:color w:val="auto"/>
              </w:rPr>
            </w:pP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with Amphastar pursuant to which Amphastar manufactures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2021, the Company and Amphastar amended the Insulin Supply Agreement to extend the term and restructure the annual purchase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remaining purchase commitments were as follows (€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60" w:type="dxa"/>
            <w:vAlign w:val="bottom"/>
          </w:tcPr>
          <w:p>
            <w:pPr>
              <w:spacing w:after="0"/>
              <w:rPr>
                <w:sz w:val="16"/>
                <w:szCs w:val="16"/>
                <w:color w:val="auto"/>
              </w:rPr>
            </w:pPr>
          </w:p>
        </w:tc>
        <w:tc>
          <w:tcPr>
            <w:tcW w:w="1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r>
      <w:tr>
        <w:trPr>
          <w:trHeight w:val="236"/>
        </w:trPr>
        <w:tc>
          <w:tcPr>
            <w:tcW w:w="9160" w:type="dxa"/>
            <w:vAlign w:val="bottom"/>
            <w:shd w:val="clear" w:color="auto" w:fill="CFF0FC"/>
          </w:tcPr>
          <w:p>
            <w:pPr>
              <w:jc w:val="right"/>
              <w:ind w:right="8690"/>
              <w:spacing w:after="0"/>
              <w:rPr>
                <w:sz w:val="20"/>
                <w:szCs w:val="20"/>
                <w:color w:val="auto"/>
              </w:rPr>
            </w:pPr>
            <w:r>
              <w:rPr>
                <w:rFonts w:ascii="Times New Roman" w:cs="Times New Roman" w:eastAsia="Times New Roman" w:hAnsi="Times New Roman"/>
                <w:sz w:val="18"/>
                <w:szCs w:val="18"/>
                <w:color w:val="auto"/>
                <w:w w:val="99"/>
              </w:rPr>
              <w:t>2023</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0"/>
                <w:szCs w:val="20"/>
                <w:color w:val="auto"/>
              </w:rPr>
            </w:pPr>
          </w:p>
        </w:tc>
      </w:tr>
      <w:tr>
        <w:trPr>
          <w:trHeight w:val="238"/>
        </w:trPr>
        <w:tc>
          <w:tcPr>
            <w:tcW w:w="9160" w:type="dxa"/>
            <w:vAlign w:val="bottom"/>
          </w:tcPr>
          <w:p>
            <w:pPr>
              <w:jc w:val="right"/>
              <w:ind w:right="8690"/>
              <w:spacing w:after="0"/>
              <w:rPr>
                <w:sz w:val="20"/>
                <w:szCs w:val="20"/>
                <w:color w:val="auto"/>
              </w:rPr>
            </w:pPr>
            <w:r>
              <w:rPr>
                <w:rFonts w:ascii="Times New Roman" w:cs="Times New Roman" w:eastAsia="Times New Roman" w:hAnsi="Times New Roman"/>
                <w:sz w:val="18"/>
                <w:szCs w:val="18"/>
                <w:color w:val="auto"/>
                <w:w w:val="99"/>
              </w:rPr>
              <w:t>2024</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r>
      <w:tr>
        <w:trPr>
          <w:trHeight w:val="247"/>
        </w:trPr>
        <w:tc>
          <w:tcPr>
            <w:tcW w:w="9160" w:type="dxa"/>
            <w:vAlign w:val="bottom"/>
            <w:shd w:val="clear" w:color="auto" w:fill="CFF0FC"/>
          </w:tcPr>
          <w:p>
            <w:pPr>
              <w:jc w:val="right"/>
              <w:ind w:right="8690"/>
              <w:spacing w:after="0"/>
              <w:rPr>
                <w:sz w:val="20"/>
                <w:szCs w:val="20"/>
                <w:color w:val="auto"/>
              </w:rPr>
            </w:pPr>
            <w:r>
              <w:rPr>
                <w:rFonts w:ascii="Times New Roman" w:cs="Times New Roman" w:eastAsia="Times New Roman" w:hAnsi="Times New Roman"/>
                <w:sz w:val="18"/>
                <w:szCs w:val="18"/>
                <w:color w:val="auto"/>
                <w:w w:val="99"/>
              </w:rPr>
              <w:t>2025</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r>
      <w:tr>
        <w:trPr>
          <w:trHeight w:val="238"/>
        </w:trPr>
        <w:tc>
          <w:tcPr>
            <w:tcW w:w="9160" w:type="dxa"/>
            <w:vAlign w:val="bottom"/>
          </w:tcPr>
          <w:p>
            <w:pPr>
              <w:jc w:val="right"/>
              <w:ind w:right="8690"/>
              <w:spacing w:after="0"/>
              <w:rPr>
                <w:sz w:val="20"/>
                <w:szCs w:val="20"/>
                <w:color w:val="auto"/>
              </w:rPr>
            </w:pPr>
            <w:r>
              <w:rPr>
                <w:rFonts w:ascii="Times New Roman" w:cs="Times New Roman" w:eastAsia="Times New Roman" w:hAnsi="Times New Roman"/>
                <w:sz w:val="18"/>
                <w:szCs w:val="18"/>
                <w:color w:val="auto"/>
                <w:w w:val="99"/>
              </w:rPr>
              <w:t>2026</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r>
      <w:tr>
        <w:trPr>
          <w:trHeight w:val="247"/>
        </w:trPr>
        <w:tc>
          <w:tcPr>
            <w:tcW w:w="9160" w:type="dxa"/>
            <w:vAlign w:val="bottom"/>
            <w:shd w:val="clear" w:color="auto" w:fill="CFF0FC"/>
          </w:tcPr>
          <w:p>
            <w:pPr>
              <w:jc w:val="right"/>
              <w:ind w:right="8690"/>
              <w:spacing w:after="0"/>
              <w:rPr>
                <w:sz w:val="20"/>
                <w:szCs w:val="20"/>
                <w:color w:val="auto"/>
              </w:rPr>
            </w:pPr>
            <w:r>
              <w:rPr>
                <w:rFonts w:ascii="Times New Roman" w:cs="Times New Roman" w:eastAsia="Times New Roman" w:hAnsi="Times New Roman"/>
                <w:sz w:val="18"/>
                <w:szCs w:val="18"/>
                <w:color w:val="auto"/>
                <w:w w:val="99"/>
              </w:rPr>
              <w:t>2027</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8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Vehicle Leases – </w:t>
      </w:r>
      <w:r>
        <w:rPr>
          <w:rFonts w:ascii="Times New Roman" w:cs="Times New Roman" w:eastAsia="Times New Roman" w:hAnsi="Times New Roman"/>
          <w:sz w:val="18"/>
          <w:szCs w:val="18"/>
          <w:color w:val="auto"/>
        </w:rPr>
        <w:t>During the second quarter of 2018, the Company entered into a master lease agreement with Enterprise Fleet Management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payment inclusive of maintenance fees, insurance and taxes is approximately $0.1 million. The lease expense is included in selling expenses in the condensed consolidated statements of operations.</w:t>
      </w:r>
    </w:p>
    <w:p>
      <w:pPr>
        <w:spacing w:after="0" w:line="1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The office lease commenced in August 2017. In November 2017, the Company executed an office lease with Russell Ranch Road II LLC to expand the office space for the Company’s corporate offices in Westlake Village, California which was renewed in April 2022. Pursuant to the renewal, the monthly payments of $79,543 began in February 2023, subject to 3% annual increases, plus the estimated cost of maintaining the property and common areas by the landlord, and further subject to a six-month base rent concession beginning February 2023. The Company is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spacing w:after="0" w:line="19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spacing w:after="0" w:line="17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is manufactured using Company-owned equipment located at the manufacturing facility. The Company determined that this arrangement results in an embedded lease which</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right="340"/>
        <w:spacing w:after="0" w:line="281" w:lineRule="auto"/>
        <w:rPr>
          <w:sz w:val="20"/>
          <w:szCs w:val="20"/>
          <w:color w:val="auto"/>
        </w:rPr>
      </w:pPr>
      <w:r>
        <w:rPr>
          <w:rFonts w:ascii="Times New Roman" w:cs="Times New Roman" w:eastAsia="Times New Roman" w:hAnsi="Times New Roman"/>
          <w:sz w:val="18"/>
          <w:szCs w:val="18"/>
          <w:color w:val="auto"/>
        </w:rPr>
        <w:t>granted the Company exclusive use of space within the manufacturing facility. The Company assessed the embedded lease cost to be $14,370 per month through February 28,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information was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76"/>
        </w:trPr>
        <w:tc>
          <w:tcPr>
            <w:tcW w:w="676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4"/>
                <w:szCs w:val="24"/>
                <w:color w:val="auto"/>
                <w:vertAlign w:val="superscript"/>
              </w:rPr>
              <w:t>(1)</w:t>
            </w:r>
          </w:p>
        </w:tc>
        <w:tc>
          <w:tcPr>
            <w:tcW w:w="1560" w:type="dxa"/>
            <w:vAlign w:val="bottom"/>
            <w:tcBorders>
              <w:top w:val="single" w:sz="8" w:color="auto"/>
              <w:bottom w:val="single" w:sz="8" w:color="auto"/>
            </w:tcBorders>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liability-current</w:t>
            </w:r>
            <w:r>
              <w:rPr>
                <w:rFonts w:ascii="Times New Roman" w:cs="Times New Roman" w:eastAsia="Times New Roman" w:hAnsi="Times New Roman"/>
                <w:sz w:val="24"/>
                <w:szCs w:val="24"/>
                <w:color w:val="auto"/>
                <w:vertAlign w:val="superscript"/>
              </w:rPr>
              <w:t>(2)</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15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7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26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139"/>
        </w:trPr>
        <w:tc>
          <w:tcPr>
            <w:tcW w:w="67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-1174750</wp:posOffset>
            </wp:positionV>
            <wp:extent cx="1550035" cy="3340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50035" cy="33401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-687070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-687070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80" w:hanging="372"/>
        <w:spacing w:after="0"/>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right-of-use assets related to vehicles, offices and the manufacturing facility are included in other assets in the condensed consolidated balance sheets.</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lease liability – current are included in accrued expenses and other current liabilities in the condensed consolidated balance sheets.</w:t>
      </w:r>
    </w:p>
    <w:p>
      <w:pPr>
        <w:spacing w:after="0" w:line="229"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5"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5080</wp:posOffset>
            </wp:positionV>
            <wp:extent cx="27571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5717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440" w:type="dxa"/>
            <w:vAlign w:val="bottom"/>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20"/>
                <w:szCs w:val="20"/>
                <w:color w:val="auto"/>
              </w:rPr>
            </w:pPr>
          </w:p>
        </w:tc>
      </w:t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21"/>
                <w:szCs w:val="21"/>
                <w:color w:val="auto"/>
              </w:rPr>
            </w:pPr>
          </w:p>
        </w:tc>
      </w:tr>
      <w:tr>
        <w:trPr>
          <w:trHeight w:val="432"/>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future minimum office and vehicle lease payments were as follows (in thousands):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FF0FC"/>
          </w:tcPr>
          <w:p>
            <w:pPr>
              <w:spacing w:after="0"/>
              <w:rPr>
                <w:sz w:val="20"/>
                <w:szCs w:val="20"/>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0"/>
                <w:szCs w:val="20"/>
                <w:color w:val="auto"/>
              </w:rPr>
            </w:pPr>
          </w:p>
        </w:tc>
      </w:tr>
      <w:tr>
        <w:trPr>
          <w:trHeight w:val="251"/>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FF0FC"/>
          </w:tcPr>
          <w:p>
            <w:pPr>
              <w:spacing w:after="0"/>
              <w:rPr>
                <w:sz w:val="21"/>
                <w:szCs w:val="2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0"/>
                <w:szCs w:val="20"/>
                <w:color w:val="auto"/>
              </w:rPr>
            </w:pPr>
          </w:p>
        </w:tc>
      </w:tr>
      <w:tr>
        <w:trPr>
          <w:trHeight w:val="251"/>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21"/>
                <w:szCs w:val="21"/>
                <w:color w:val="auto"/>
              </w:rPr>
            </w:pPr>
          </w:p>
        </w:tc>
      </w:t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0"/>
                <w:szCs w:val="20"/>
                <w:color w:val="auto"/>
              </w:rPr>
            </w:pPr>
          </w:p>
        </w:tc>
      </w:tr>
      <w:tr>
        <w:trPr>
          <w:trHeight w:val="240"/>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shd w:val="clear" w:color="auto" w:fill="CFF0FC"/>
          </w:tcPr>
          <w:p>
            <w:pPr>
              <w:spacing w:after="0"/>
              <w:rPr>
                <w:sz w:val="20"/>
                <w:szCs w:val="20"/>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(1,144 )</w:t>
            </w:r>
          </w:p>
        </w:tc>
      </w:tr>
      <w:tr>
        <w:trPr>
          <w:trHeight w:val="272"/>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44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gridSpan w:val="2"/>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3"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8"/>
          <w:szCs w:val="18"/>
          <w:color w:val="auto"/>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three months ended March 31, 2023, the Company did not recognize any interest or penalties. The Company’s tax years since 2018 remain subject to examination by tax authorities.</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2022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 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spacing w:after="0" w:line="186"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had an accumulated deficit of $3.2 billion and a stockholders’ deficit of $255.4 million. We had net loss of $9.8 million and</w:t>
      </w:r>
    </w:p>
    <w:p>
      <w:pPr>
        <w:spacing w:after="0" w:line="27"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7"/>
          <w:szCs w:val="17"/>
          <w:color w:val="auto"/>
        </w:rPr>
        <w:t>$26.0 million for the three months ended March 31, 2023 and 2022,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as well as from proceeds of the sale-leaseback of our manufacturing facility in Danbury, CT.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can be found in Item 7. Management’s Discussion and Analysis of Financial Condition and Results of Operations in our Annual Report.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 xml:space="preserve"> in the condensed consolidated financial statements included in Part I – Financial Statements (Unaudited) for descriptions of the new accounting policies and impact of adoption.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collaborative agreement with UT entitles us to receive low double-digit royalties on net sales of Tyvaso DPI. Our royalty revenue continues to increase, which reflects the upward trend in demand for Tyvaso DPI in the marketplace.</w:t>
      </w:r>
    </w:p>
    <w:p>
      <w:pPr>
        <w:spacing w:after="0" w:line="16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We continue to maintain an elevated level of safety stock of certain raw materials due to concerns that supply chain interruptions may interfere with the manufacture of Afrezza, V-Go and Tyvaso DPI.</w:t>
      </w:r>
    </w:p>
    <w:p>
      <w:pPr>
        <w:spacing w:after="0" w:line="1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Manufacturing risks may adversely affect our ability to manufacture our products and could reduce our gross margin or impact our collaboration with UT.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right="180"/>
        <w:spacing w:after="0" w:line="260" w:lineRule="auto"/>
        <w:rPr>
          <w:sz w:val="20"/>
          <w:szCs w:val="20"/>
          <w:color w:val="auto"/>
        </w:rPr>
      </w:pPr>
      <w:r>
        <w:rPr>
          <w:rFonts w:ascii="Times New Roman" w:cs="Times New Roman" w:eastAsia="Times New Roman" w:hAnsi="Times New Roman"/>
          <w:sz w:val="18"/>
          <w:szCs w:val="18"/>
          <w:color w:val="auto"/>
        </w:rPr>
        <w:t>Our future success is dependent on our, and our current and future collaboration partners’, ability to effectively commercialize our approved products. Our future success is also dependent on our pipeline of new products. There is a high rate of failure inherent in the research and development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three months ended March 31, 2023 and 2022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revenue from product sales</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3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2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9"/>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8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discounts</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2"/>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17,562</w:t>
            </w:r>
          </w:p>
        </w:tc>
        <w:tc>
          <w:tcPr>
            <w:tcW w:w="3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2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8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8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39 %</w:t>
            </w: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0" w:type="dxa"/>
            <w:vAlign w:val="bottom"/>
          </w:tcPr>
          <w:p>
            <w:pPr>
              <w:spacing w:after="0"/>
              <w:rPr>
                <w:sz w:val="1"/>
                <w:szCs w:val="1"/>
                <w:color w:val="auto"/>
              </w:rPr>
            </w:pPr>
          </w:p>
        </w:tc>
      </w:tr>
      <w:tr>
        <w:trPr>
          <w:trHeight w:val="247"/>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Royalties – collaborations</w:t>
            </w: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3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40,626</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2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28,634</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5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-1433830</wp:posOffset>
            </wp:positionV>
            <wp:extent cx="7132320" cy="5822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58229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-389255</wp:posOffset>
            </wp:positionV>
            <wp:extent cx="7683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-389255</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Afrezza </w:t>
      </w:r>
      <w:r>
        <w:rPr>
          <w:rFonts w:ascii="Times New Roman" w:cs="Times New Roman" w:eastAsia="Times New Roman" w:hAnsi="Times New Roman"/>
          <w:sz w:val="17"/>
          <w:szCs w:val="17"/>
          <w:color w:val="auto"/>
        </w:rPr>
        <w:t>— Gross revenue from sales of Afrezza increased by $3.9 million, or 24% for the three months ended March 31, 2023 compared to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prior year. The increase reflects a combination of higher product demand, higher price (including a more favorable gross-to-net adjustment), and a favorable cartridge mix. The gross-to-net adjustment was 38% of gross revenue, or $7.5 million, for the three months ended March 31, 2023, compared to 39% of gross revenue or $6.2 million, for the three months ended March 31, 2022. The decrease in the gross-to-net percentage was primarily driven by a decrease in wholesaler distribution fees (as a percentage of gross sales) due to an increased mix of specialty pharmacy sales. As a result, net revenue from sales of Afrezza increased by $2.6 million, or 26%, for the three months ended March 31, 2023 compared to the same period in the prior year.</w:t>
      </w:r>
    </w:p>
    <w:p>
      <w:pPr>
        <w:spacing w:after="0" w:line="171"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The acquisition of V-Go in May 2022 resulted in an increase in gross revenue from commercial product sales of $10.5 million and net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 million for the three months ended March 31, 2023. The gross-to-net adjustment of 51% of gross revenue was mainly attributable to commercial and government rebates and product distribution fees.</w:t>
      </w:r>
    </w:p>
    <w:p>
      <w:pPr>
        <w:spacing w:after="0" w:line="1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increased by $9.2 million, or 426%,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2023 compared to the same period in the prior year. The increase in collaborations and services revenue was primarily attributable to the commercial supply agreement with UT (the “CSA”). Revenue associated with the CSA was deferred until we began manufacturing and subsequently selling Tyvaso DPI in June 2022. During the three months ended March 31, 2023, we recognized $11.2 million of revenue under the CSA and $11.7 million of royalty revenue. See Note 10 –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three months ended March 31, 2023 and 2022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3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17,562</w:t>
            </w:r>
          </w:p>
        </w:tc>
        <w:tc>
          <w:tcPr>
            <w:tcW w:w="300" w:type="dxa"/>
            <w:vAlign w:val="bottom"/>
          </w:tcPr>
          <w:p>
            <w:pPr>
              <w:spacing w:after="0"/>
              <w:rPr>
                <w:sz w:val="20"/>
                <w:szCs w:val="20"/>
                <w:color w:val="auto"/>
              </w:rPr>
            </w:pP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9,826</w:t>
            </w:r>
          </w:p>
        </w:tc>
        <w:tc>
          <w:tcPr>
            <w:tcW w:w="3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51"/>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Cost of goods sold</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3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2,284</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36"/>
        </w:trPr>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300" w:type="dxa"/>
            <w:vAlign w:val="bottom"/>
          </w:tcPr>
          <w:p>
            <w:pPr>
              <w:spacing w:after="0"/>
              <w:rPr>
                <w:sz w:val="20"/>
                <w:szCs w:val="20"/>
                <w:color w:val="auto"/>
              </w:rPr>
            </w:pP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7,542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5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647"/>
        </w:trPr>
        <w:tc>
          <w:tcPr>
            <w:tcW w:w="5380" w:type="dxa"/>
            <w:vAlign w:val="bottom"/>
          </w:tcPr>
          <w:p>
            <w:pPr>
              <w:spacing w:after="0"/>
              <w:rPr>
                <w:sz w:val="24"/>
                <w:szCs w:val="24"/>
                <w:color w:val="auto"/>
              </w:rPr>
            </w:pPr>
          </w:p>
        </w:tc>
        <w:tc>
          <w:tcPr>
            <w:tcW w:w="88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3422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34" w:name="page35"/>
    <w:bookmarkEnd w:id="34"/>
    <w:p>
      <w:pPr>
        <w:ind w:right="80"/>
        <w:spacing w:after="0" w:line="255" w:lineRule="auto"/>
        <w:rPr>
          <w:sz w:val="20"/>
          <w:szCs w:val="20"/>
          <w:color w:val="auto"/>
        </w:rPr>
      </w:pPr>
      <w:r>
        <w:rPr>
          <w:rFonts w:ascii="Times New Roman" w:cs="Times New Roman" w:eastAsia="Times New Roman" w:hAnsi="Times New Roman"/>
          <w:sz w:val="18"/>
          <w:szCs w:val="18"/>
          <w:color w:val="auto"/>
        </w:rPr>
        <w:t>Commercial product gross profit increased by $4.5 million, or 60%, for the three months ended March 31, 2023, compared to the same period in the prior year. Gross margin for the three months ended March 31, 2023 was 69% compared to 77% for the same period in the prior year. The increase in gross profit was primarily attributable to an increase in Afrezza sales as well as a related decrease in cost of goods sold due to an increase in manufacturing activities, resulting in more costs being capitalized into inventory, and a decrease in costs associated with commercial product sales. The acquisition of V-Go in May 2022 resulted in an increase in commercial product sales and related cost of goods sold for the three months ended March 31, 2023. The decrease in gross margin primarily related to the addition of V-Go in the second quarter of 2022, which had a lower gross margin than Afrezza for the three months ended March 31, 2023.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three months ended March 31, 2023 and 2022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6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8"/>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26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6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43"/>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6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9"/>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6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(1,983 )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(2,937 )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46,624</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26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-1160145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-851535</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Cost of revenue – collaborations and services increased by $2.0 million, or 23%, for the three months ended March 31, 2023 compared to the same period in the prior year. The increase was attributable to an increase in manufacturing activities for the sale of Tyvaso DPI product to UT which began in the second quarter of 2022.</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increased by $2.1 million, or 59%, for the three months ended March 31, 2023 compared to the same period in the prior year. The increase was primarily attributable to development activities for MNKD-101 (inhaled clofazimine) and the Afrezza pediatrics clinical study (INHALE-1).</w:t>
      </w:r>
    </w:p>
    <w:p>
      <w:pPr>
        <w:spacing w:after="0" w:line="1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Selling expenses increased by $0.6 million, or 5%, for the three months ended March 31, 2023, compared to the same period in the prior year. The increase was primarily attributable to V-Go promotional efforts and increased headcount after the acquisition in the second quarter of 2022 and an increase in Afrezza promotional activities, partially offset by the termination of an Afrezza pilot promotional effort targeting primary care physicians, which ended in the third quarter of 2022.</w:t>
      </w:r>
    </w:p>
    <w:p>
      <w:pPr>
        <w:spacing w:after="0" w:line="182"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increased by $2.6 million, or 32%, for the three months ended March 31, 2023, compared to the same period in the prior year. This increase was primarily attributable to higher stock-based compensation, increased headcount and higher professional fees.</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35" w:name="page36"/>
    <w:bookmarkEnd w:id="35"/>
    <w:p>
      <w:pPr>
        <w:ind w:right="320"/>
        <w:spacing w:after="0" w:line="260" w:lineRule="auto"/>
        <w:rPr>
          <w:sz w:val="20"/>
          <w:szCs w:val="20"/>
          <w:color w:val="auto"/>
        </w:rPr>
      </w:pPr>
      <w:r>
        <w:rPr>
          <w:rFonts w:ascii="Times New Roman" w:cs="Times New Roman" w:eastAsia="Times New Roman" w:hAnsi="Times New Roman"/>
          <w:sz w:val="18"/>
          <w:szCs w:val="18"/>
          <w:color w:val="auto"/>
        </w:rPr>
        <w:t>Under the Insulin Supply Agreement with Amphastar, payment obligations are denominated in Euros. We are required to record the non-cash foreign currency transaction impact of the U.S. dollar to Euro exchange rate associated with the recognized gain or loss on purchase commitments. The foreign currency transaction loss was $1.0 million for the three months ended March 31, 2023 compared to a gain of $2.0 million for the same period in the prior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three months ended March 31, 2023 and 2022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Pr>
          <w:p>
            <w:pPr>
              <w:spacing w:after="0"/>
              <w:rPr>
                <w:sz w:val="19"/>
                <w:szCs w:val="19"/>
                <w:color w:val="auto"/>
              </w:rPr>
            </w:pPr>
          </w:p>
        </w:tc>
        <w:tc>
          <w:tcPr>
            <w:tcW w:w="3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(2,424 )</w:t>
            </w:r>
          </w:p>
        </w:tc>
        <w:tc>
          <w:tcPr>
            <w:tcW w:w="26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(2,371 )</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notes</w:t>
            </w:r>
          </w:p>
        </w:tc>
        <w:tc>
          <w:tcPr>
            <w:tcW w:w="260" w:type="dxa"/>
            <w:vAlign w:val="bottom"/>
          </w:tcPr>
          <w:p>
            <w:pPr>
              <w:spacing w:after="0"/>
              <w:rPr>
                <w:sz w:val="21"/>
                <w:szCs w:val="21"/>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(2,786 )</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(2,748 )</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-697865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Interest income, consisting of interest on investments net of amortization, increased by $0.9 million for the three months ended March 31, 2023 compared to the same period in the prior year primarily due to higher yields on our marketable securities and money market funds.</w:t>
      </w:r>
    </w:p>
    <w:p>
      <w:pPr>
        <w:spacing w:after="0" w:line="163"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 xml:space="preserve">Interest expense on financing liability was $2.4 million for the three months ended March 31, 2023 and remained consistent with the same period in the prior year. See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 xml:space="preserve">Interest expense on notes was $2.8 million for the three months ended March 31, 2023 and remained consistent with the same period in the prior year.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Other income for the three months ended March 31, 2023 consisted primarily of a gain associated with a foreign currency hedging transaction which was entered into to mitigate our exposure to the foreign currency exchange risk associated with our Insulin Supply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interest expense on our financing liability and debt.</w:t>
      </w:r>
    </w:p>
    <w:p>
      <w:pPr>
        <w:spacing w:after="0" w:line="177" w:lineRule="exact"/>
        <w:rPr>
          <w:sz w:val="20"/>
          <w:szCs w:val="20"/>
          <w:color w:val="auto"/>
        </w:rPr>
      </w:pPr>
    </w:p>
    <w:p>
      <w:pPr>
        <w:jc w:val="both"/>
        <w:ind w:right="560"/>
        <w:spacing w:after="0" w:line="265" w:lineRule="auto"/>
        <w:rPr>
          <w:sz w:val="20"/>
          <w:szCs w:val="20"/>
          <w:color w:val="auto"/>
        </w:rPr>
      </w:pPr>
      <w:r>
        <w:rPr>
          <w:rFonts w:ascii="Times New Roman" w:cs="Times New Roman" w:eastAsia="Times New Roman" w:hAnsi="Times New Roman"/>
          <w:sz w:val="18"/>
          <w:szCs w:val="18"/>
          <w:color w:val="auto"/>
        </w:rPr>
        <w:t>To date, we have funded our operations primarily through the sale of equity and convertible debt securities, from the receipt of upfront and milestone payments from collaborations, from borrowings, from sales of Afrezza and V-Go, from royalties and manufacturing revenue from UT as well as from proceeds from the sale-leaseback transaction.</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believe we will be able to meet our liquidity needs over the next twelve months, as well as longer-term needs, based on the balance of cash, cash equivalents and investments on hand, projected sales of Afrezza and V-Go, and projected royalties and manufacturing revenue from the production and sale of Tyvaso DPI.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had $71.2 million in insulin purchase commitments and $278.8 million principal amount of outstanding debt, consisting of:</w:t>
      </w:r>
    </w:p>
    <w:p>
      <w:pPr>
        <w:spacing w:after="0" w:line="117" w:lineRule="exact"/>
        <w:rPr>
          <w:sz w:val="20"/>
          <w:szCs w:val="20"/>
          <w:color w:val="auto"/>
        </w:rPr>
      </w:pPr>
    </w:p>
    <w:p>
      <w:pPr>
        <w:ind w:left="760" w:right="12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3" w:lineRule="exact"/>
        <w:rPr>
          <w:rFonts w:ascii="Times New Roman" w:cs="Times New Roman" w:eastAsia="Times New Roman" w:hAnsi="Times New Roman"/>
          <w:sz w:val="18"/>
          <w:szCs w:val="18"/>
          <w:color w:val="auto"/>
        </w:rPr>
      </w:pPr>
    </w:p>
    <w:p>
      <w:pPr>
        <w:ind w:left="760" w:right="72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principal amount under the MidCap credit facility, bearing interest at an annual rate equal to one-month Secured Overnight Financing Rate (“SOFR”) plus 6.25% (capped at a total of 8.25%), subject to a one-month SOFR floor of</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7" w:right="239" w:bottom="1440" w:gutter="0" w:footer="0" w:header="0"/>
        </w:sectPr>
      </w:pPr>
    </w:p>
    <w:bookmarkStart w:id="36" w:name="page37"/>
    <w:bookmarkEnd w:id="36"/>
    <w:p>
      <w:pPr>
        <w:ind w:left="760" w:right="140"/>
        <w:spacing w:after="0" w:line="281" w:lineRule="auto"/>
        <w:rPr>
          <w:sz w:val="20"/>
          <w:szCs w:val="20"/>
          <w:color w:val="auto"/>
        </w:rPr>
      </w:pPr>
      <w:r>
        <w:rPr>
          <w:rFonts w:ascii="Times New Roman" w:cs="Times New Roman" w:eastAsia="Times New Roman" w:hAnsi="Times New Roman"/>
          <w:sz w:val="18"/>
          <w:szCs w:val="18"/>
          <w:color w:val="auto"/>
        </w:rPr>
        <w:t>1.00%. Interest is payable monthly in arrears. Principal is payable in equal monthly installments beginning in September 2023 through maturity in August 2025.</w:t>
      </w:r>
    </w:p>
    <w:p>
      <w:pPr>
        <w:spacing w:after="0" w:line="55" w:lineRule="exact"/>
        <w:rPr>
          <w:sz w:val="20"/>
          <w:szCs w:val="20"/>
          <w:color w:val="auto"/>
        </w:rPr>
      </w:pPr>
    </w:p>
    <w:p>
      <w:pPr>
        <w:ind w:left="760" w:right="120" w:hanging="378"/>
        <w:spacing w:after="0" w:line="26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payable quarterly in arrears in-kind or in shares at our option.</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date, we have been able to timely make our required interest payments, but we cannot guarantee that we will be able to do so in the future. If we fail to repay, repurchase or redeem our outstanding notes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July 2013, we issued certain milestone rights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$60.0 million of which remain payable upon achievement of such milestones as of March 31, 2023. A $5.0 million milestone payment was made in the third quarter of 2022. See Note 15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and Note 9 –</w:t>
      </w:r>
      <w:r>
        <w:rPr>
          <w:rFonts w:ascii="Times New Roman" w:cs="Times New Roman" w:eastAsia="Times New Roman" w:hAnsi="Times New Roman"/>
          <w:sz w:val="18"/>
          <w:szCs w:val="18"/>
          <w:i w:val="1"/>
          <w:iCs w:val="1"/>
          <w:color w:val="auto"/>
        </w:rPr>
        <w:t xml:space="preserve"> Borrowings </w:t>
      </w:r>
      <w:r>
        <w:rPr>
          <w:rFonts w:ascii="Times New Roman" w:cs="Times New Roman" w:eastAsia="Times New Roman" w:hAnsi="Times New Roman"/>
          <w:sz w:val="18"/>
          <w:szCs w:val="18"/>
          <w:color w:val="auto"/>
        </w:rPr>
        <w:t>for further information related to the Milestone Rights.</w:t>
      </w:r>
    </w:p>
    <w:p>
      <w:pPr>
        <w:spacing w:after="0" w:line="182"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2023, we generated $1.2 million of cash from our operating activities, which consisted of $45.6 million of revenue, partially offset by $17.1 million of selling, general and administrative expenses, $19.4 million of cost of goods sold, $7.3 million of costs for research and development and $3.7 million of cash paid for interest.</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2022, we used $18.2 million of cash for our operating activities, which primarily consisted of $16.3 million of selling, general and administrative expenses, $9.0 million of cost of goods sold, $5.1 million of costs for research and development and $3.6 million of cash paid for interest, partially offset by $15.7 million of revenue.</w:t>
      </w:r>
    </w:p>
    <w:p>
      <w:pPr>
        <w:spacing w:after="0" w:line="17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Cash provided by investing activities of $13.8 million for the three months ended March 31, 2023 was primarily due to $22.1 million of proceeds from debt securities partially offset by $8.3 million for the purchase of property and equipment.</w:t>
      </w:r>
    </w:p>
    <w:p>
      <w:pPr>
        <w:spacing w:after="0" w:line="163"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of $39.5 million for the three months ended March 31, 2022 was primarily due to the purchase of $56.0 million of debt securities, $5.0 million purchase of available-for-sale securities, and $5.1 million purchase of property and equipment, partially offset by the maturity of $26.5 million of debt securities.</w:t>
      </w:r>
    </w:p>
    <w:p>
      <w:pPr>
        <w:spacing w:after="0" w:line="177"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Cash provided by financing activities of $1.2 million for the three months ended March 31, 2023 was primarily due to proceeds from at-the-market offerings.</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Cash provided by financing activities of $0.8 million for the three months ended March 31, 2022 was primarily due to proceeds from the market price stock purchase plan of $0.7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Liquidity Needs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are not currently profitable and have rarely generated positive net cash flow from operations. In addition, we expect to continue to incur expenditures for the foreseeable future in support of our manufacturing operations, sales and marketing costs for our products and development costs for other product candidates in our pipeline. We believe we will be able to meet our liquidity needs based on our cash, cash equivalents and investments on hand, sales of Afrezza and V-Go, royalties and manufacturing revenue from the production and sale of Tyvaso DPI. As of March 31, 2023, we had capital resources comprised of $85.9 million in cash and cash equivalents, $80.3 million in short-term investments and $0.5 million in long-term investments, and total principal amount of outstanding borrowings of $278.8 million.</w:t>
      </w:r>
    </w:p>
    <w:p>
      <w:pPr>
        <w:spacing w:after="0" w:line="186"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the next twelve months from the date of issuance of our condensed consolidated financial statements included in Part I – Financial Statements (Unaudited).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ind w:right="4080"/>
        <w:spacing w:after="0" w:line="377"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Interest on borrowings under the MidCap credit facility accrues interest at an annual rate equal to the lesser of (i) 8.25% and (ii) the one-month SOFR (subject to a one-month SOFR floor of 1.00%) plus 6.25%. Accordingly, our interest expense under the MidCap credit facility is subject to changes in the one-month SOFR rate.</w:t>
      </w:r>
    </w:p>
    <w:p>
      <w:pPr>
        <w:spacing w:after="0" w:line="17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 xml:space="preserve">All other debt has fixed interest rates, so the interest expense associated with such debt is not exposed to changes in market interest rates. Specifically, the interest rate on the amount borrowed under the Mann Group convertible note is fixed at 2.50% and the interest rate under the Senior convertible notes is fixed at 2.50%.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17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If a hypothetical 10% change in the one-month SOFR interest rates on March 31, 2023 were to have occurred, this change would not have had a material effect on our interest payment obligation.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January 2023, we entered into a 90-day foreign currency hedging transaction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€4.4 million. We realized a $0.1 million gain during the three months ended March 31, 2023. This amount is recorded in other income and expense.</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three months ended March 31, 2023, we realized a $1.0 million currency loss, which was included in loss on foreign currency transaction in the accompanying condensed consolidated statements of operations.</w:t>
      </w:r>
    </w:p>
    <w:p>
      <w:pPr>
        <w:spacing w:after="0" w:line="1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March 31, 2023 were to have occurred, this change would have resulted in a foreign currency impact to our pre-tax loss of approximately $7.1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2023, our Chief Executive Officer and our Chief Financial Officer have concluded, as of such date, that our disclosure controls and procedures were effective.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4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We face risks and uncertainties related to our business, many of which are beyond our control. In particular, risks associated with our business include: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or our collaboration partner are commercializing may only achieve a limited degree of commercial success.</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Tyvaso DPI, which could reduce our gross margin and profitability.</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9"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16" w:lineRule="exact"/>
        <w:rPr>
          <w:rFonts w:ascii="Times New Roman" w:cs="Times New Roman" w:eastAsia="Times New Roman" w:hAnsi="Times New Roman"/>
          <w:sz w:val="18"/>
          <w:szCs w:val="18"/>
          <w:color w:val="auto"/>
        </w:rPr>
      </w:pPr>
    </w:p>
    <w:p>
      <w:pPr>
        <w:ind w:left="1020" w:right="94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We expect to incur losses in the future and we may not generate positive cash flow from operations in the future.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commitments.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9"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safety and efficacy of approved products may differ from clinical studies, which could negatively impact sales and could lead to reputational harm or other negative effects.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ind w:left="1020" w:right="120" w:hanging="504"/>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1020" w:right="2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4" w:lineRule="exact"/>
        <w:rPr>
          <w:rFonts w:ascii="Times New Roman" w:cs="Times New Roman" w:eastAsia="Times New Roman" w:hAnsi="Times New Roman"/>
          <w:sz w:val="18"/>
          <w:szCs w:val="18"/>
          <w:color w:val="auto"/>
        </w:rPr>
      </w:pPr>
    </w:p>
    <w:p>
      <w:pPr>
        <w:ind w:left="1020" w:right="40" w:hanging="504"/>
        <w:spacing w:after="0" w:line="26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20" w:right="40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that we or our collaboration partner are commercializing may only achieve a limited degree of commercial success.*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The products, including products that we commercialize ourselves and any products that we may develop or acquire in the future, and the product that is commercialized by our collaboration partner and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w:t>
      </w:r>
    </w:p>
    <w:p>
      <w:pPr>
        <w:spacing w:after="0" w:line="78"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ind w:left="1020" w:right="18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or our current or any future collaboration partner may need to enhance our/their commercialization capabilities in order to successfully commercialize such products in the United States or any other jurisdiction in which the product is approved for commercial sale, and we or the collaboration partner may not have sufficient resources to do so.</w:t>
      </w:r>
    </w:p>
    <w:p>
      <w:pPr>
        <w:spacing w:after="0" w:line="17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successfully commercialize our products in the United States, we have built a sales force that promotes Afrezza and V-Go to endocrinologists and selected primary care physicians. In order to successfully commercialize any approved products, we must continue to build our sales, marketing, distribution, managerial and other non-technical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spacing w:after="0" w:line="74"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retain and effectively manage adequate numbers of effective sales personnel;</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complementary products to be offered by sales personnel, which may put us at a competitive disadvantage relative to companies that have more extensive product lines;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costs and expenses associated with maintaining our sales organization.</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are unable to maintain an effective sales force for our products, including any other potential future approved products, we may not be able to generate sufficient product revenue in the United States. We are required to expend significant time and resources to train our sales force to be credible and persuasive in convincing physicians to prescribe and pharmacists to dispense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187" w:lineRule="exact"/>
        <w:rPr>
          <w:sz w:val="20"/>
          <w:szCs w:val="20"/>
          <w:color w:val="auto"/>
        </w:rPr>
      </w:pPr>
    </w:p>
    <w:p>
      <w:pPr>
        <w:ind w:right="1040"/>
        <w:spacing w:after="0" w:line="281" w:lineRule="auto"/>
        <w:rPr>
          <w:sz w:val="20"/>
          <w:szCs w:val="20"/>
          <w:color w:val="auto"/>
        </w:rPr>
      </w:pPr>
      <w:r>
        <w:rPr>
          <w:rFonts w:ascii="Times New Roman" w:cs="Times New Roman" w:eastAsia="Times New Roman" w:hAnsi="Times New Roman"/>
          <w:sz w:val="18"/>
          <w:szCs w:val="18"/>
          <w:color w:val="auto"/>
        </w:rPr>
        <w:t>Similarly, if United Therapeutics does not effectively engage or maintain its sales force for Tyvaso DPI, our ability to recognize royalties and manufacturing revenue from this collaboration will be adversely affected.</w:t>
      </w:r>
    </w:p>
    <w:p>
      <w:pPr>
        <w:spacing w:after="0" w:line="15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Tyvaso DPI, which and could reduce our gross margin and profitability.*</w:t>
      </w:r>
    </w:p>
    <w:p>
      <w:pPr>
        <w:spacing w:after="0" w:line="50"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experience shortages of qualified personnel, which could impact our ability to meet manufacturing requirements. There is also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2" w:name="page43"/>
    <w:bookmarkEnd w:id="42"/>
    <w:p>
      <w:pPr>
        <w:ind w:right="40"/>
        <w:spacing w:after="0" w:line="256"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186"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spacing w:after="0" w:line="74" w:lineRule="exact"/>
        <w:rPr>
          <w:sz w:val="20"/>
          <w:szCs w:val="20"/>
          <w:color w:val="auto"/>
        </w:rPr>
      </w:pPr>
    </w:p>
    <w:p>
      <w:pPr>
        <w:ind w:left="1020" w:right="4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11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These risks are likely to be exacerbated by our limited experience with V-Go and its manufacturing processes. As demand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17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(“cGMP”) for drug products, and the molding of the inhaler and cartridges components in accordance with quality system regulations (“QSRs”).</w:t>
      </w:r>
    </w:p>
    <w:p>
      <w:pPr>
        <w:spacing w:after="0" w:line="18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Because we do not have long-standing relationships with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w:t>
      </w:r>
    </w:p>
    <w:p>
      <w:pPr>
        <w:spacing w:after="0" w:line="18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or IRA, which was signed into law in August 2022, limits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8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4"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products that we or a collaboration partner commercialize;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Afrezza and of commercializing Afrezza and V-Go on our own in the United States;</w:t>
      </w:r>
    </w:p>
    <w:p>
      <w:pPr>
        <w:spacing w:after="0" w:line="116" w:lineRule="exact"/>
        <w:rPr>
          <w:rFonts w:ascii="Times New Roman" w:cs="Times New Roman" w:eastAsia="Times New Roman" w:hAnsi="Times New Roman"/>
          <w:sz w:val="18"/>
          <w:szCs w:val="18"/>
          <w:color w:val="auto"/>
        </w:rPr>
      </w:pPr>
    </w:p>
    <w:p>
      <w:pPr>
        <w:ind w:left="1020" w:right="66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revenue from Afrezza exceeds or does not exceed the minimum revenue covenants under our credit and security agreement with MidCap Financial Trust (the “MidCap credit facility”), if applicable;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debt instruments to require us to repay or repurchase such debt securities if and when required;</w:t>
      </w:r>
    </w:p>
    <w:p>
      <w:pPr>
        <w:spacing w:after="0" w:line="116"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lease payments and milestone payments;</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4"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our product candidates or competitive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16"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1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5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5" w:name="page46"/>
    <w:bookmarkEnd w:id="45"/>
    <w:p>
      <w:pPr>
        <w:ind w:right="420"/>
        <w:spacing w:after="0" w:line="281" w:lineRule="auto"/>
        <w:rPr>
          <w:sz w:val="20"/>
          <w:szCs w:val="20"/>
          <w:color w:val="auto"/>
        </w:rPr>
      </w:pPr>
      <w:r>
        <w:rPr>
          <w:rFonts w:ascii="Times New Roman" w:cs="Times New Roman" w:eastAsia="Times New Roman" w:hAnsi="Times New Roman"/>
          <w:sz w:val="18"/>
          <w:szCs w:val="18"/>
          <w:color w:val="auto"/>
        </w:rPr>
        <w:t>“Risk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6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operating losses. We expect to incur losses in the future and we may not generate positive cash flow from operations in the future.*</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not currently profitable and have rarely generated positive net cash flow from operations. As of March 31, 2023, we had an accumulated deficit of $3.2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commercializing our products and to advance development of product candidates in our pipeline. In addition, under our Insulin Supply Agreement with Amphastar, we agreed to purchase certain annual minimum quantities of insulin through 2027. As of March 31, 2023, there was approximately $71.2 million remaining in aggregate purchase commitments under this agreement. We may not have the necessary capital resources to service this contractual commitment.</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our products, and we cannot be sure when, if ever, we will generate positive cash flow from operations or become profitable.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had $71.2 million in insulin purchase commitments and $278.8 million principal amount of outstanding debt, consisting of:</w:t>
      </w:r>
    </w:p>
    <w:p>
      <w:pPr>
        <w:spacing w:after="0" w:line="117" w:lineRule="exact"/>
        <w:rPr>
          <w:sz w:val="20"/>
          <w:szCs w:val="20"/>
          <w:color w:val="auto"/>
        </w:rPr>
      </w:pPr>
    </w:p>
    <w:p>
      <w:pPr>
        <w:ind w:left="1020" w:right="60" w:hanging="504"/>
        <w:spacing w:after="0" w:line="26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3" w:lineRule="exact"/>
        <w:rPr>
          <w:rFonts w:ascii="Times New Roman" w:cs="Times New Roman" w:eastAsia="Times New Roman" w:hAnsi="Times New Roman"/>
          <w:sz w:val="18"/>
          <w:szCs w:val="18"/>
          <w:color w:val="auto"/>
        </w:rPr>
      </w:pPr>
    </w:p>
    <w:p>
      <w:pPr>
        <w:ind w:left="1020" w:right="80" w:hanging="504"/>
        <w:spacing w:after="0" w:line="26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principal amount under the MidCap credit facility, bearing interest at an annual rate equal to one-month Secured Overnight Financing Rate (“SOFR”) plus 6.25% (capped at a total of 8.25%), subject to a one-month SOFR floor of 1.00%. Interest is payable monthly in arrears. Principal is payable in equal monthly installments beginning in September 2023 through maturity in August 2025.</w:t>
      </w:r>
    </w:p>
    <w:p>
      <w:pPr>
        <w:spacing w:after="0" w:line="69" w:lineRule="exact"/>
        <w:rPr>
          <w:rFonts w:ascii="Times New Roman" w:cs="Times New Roman" w:eastAsia="Times New Roman" w:hAnsi="Times New Roman"/>
          <w:sz w:val="18"/>
          <w:szCs w:val="18"/>
          <w:color w:val="auto"/>
        </w:rPr>
      </w:pPr>
    </w:p>
    <w:p>
      <w:pPr>
        <w:ind w:left="1020" w:right="40" w:hanging="504"/>
        <w:spacing w:after="0" w:line="26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principal amount of indebtedness under a $35.0 million note that we issued to The Mann Group LLC (“Mann Group”) in August 2019 that is convertible into shares of our common stock at the option of Mann Group at a conversion price of $2.50 per share (the “Mann Group convertible note”), bearing interest at a fixed rate of 2.50% per annum compounded quarterly and maturing in December 2025. Interest is payable quarterly in arrears in-kind or in shares at our option.</w:t>
      </w:r>
    </w:p>
    <w:p>
      <w:pPr>
        <w:spacing w:after="0" w:line="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ability to make scheduled payments on our purchase commitments and debt obligations will depend on our financial and operating performance, which is subject to the commercial success of our products, the extent to which we are able to successfully develop and commercialize additional products,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we fail to pay interest on, or repay, our outstanding term loan under the MidCap credit facility or borrowings under the Senior convertible notes or the Mann Group convertible note when required, we will be in default under the instrument for such debt securities or loans, and may also suffer an event of default under the terms of other borrowing arrangements that we may enter into from time to time.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 Any of these events could have a material adverse effect on our business, results of operations and financial condition, up to and including the noteholders initiating bankruptcy proceedings or causing us to cease operations altogether.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ind w:right="460"/>
        <w:spacing w:after="0" w:line="281" w:lineRule="auto"/>
        <w:rPr>
          <w:sz w:val="20"/>
          <w:szCs w:val="20"/>
          <w:color w:val="auto"/>
        </w:rPr>
      </w:pPr>
      <w:r>
        <w:rPr>
          <w:rFonts w:ascii="Times New Roman" w:cs="Times New Roman" w:eastAsia="Times New Roman" w:hAnsi="Times New Roman"/>
          <w:sz w:val="18"/>
          <w:szCs w:val="18"/>
          <w:color w:val="auto"/>
        </w:rPr>
        <w:t>In addition, the MidCap credit facility requires us, and any debt arrangements we may enter into in the future may require us, to comply with various covenants that limit our ability to, among other things:</w:t>
      </w:r>
    </w:p>
    <w:p>
      <w:pPr>
        <w:spacing w:after="0" w:line="55"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or acquisitions;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modify existing debt agreements;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additional lines of business;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holders of our capital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certain key management personnel or organizational documents;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our affiliates.</w:t>
      </w:r>
    </w:p>
    <w:p>
      <w:pPr>
        <w:spacing w:after="0" w:line="1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may be required to comply with additional covenants in the future under certain circumstances. The restrictive covenants in the MidCap credit facility could prevent us from pursuing business opportunities that we or our stockholders may consider beneficial.</w:t>
      </w:r>
    </w:p>
    <w:p>
      <w:pPr>
        <w:spacing w:after="0" w:line="1" w:lineRule="exact"/>
        <w:rPr>
          <w:sz w:val="20"/>
          <w:szCs w:val="20"/>
          <w:color w:val="auto"/>
        </w:rPr>
      </w:pPr>
    </w:p>
    <w:p>
      <w:pPr>
        <w:jc w:val="both"/>
        <w:ind w:right="240"/>
        <w:spacing w:after="0" w:line="277" w:lineRule="auto"/>
        <w:rPr>
          <w:sz w:val="20"/>
          <w:szCs w:val="20"/>
          <w:color w:val="auto"/>
        </w:rPr>
      </w:pPr>
      <w:r>
        <w:rPr>
          <w:rFonts w:ascii="Times New Roman" w:cs="Times New Roman" w:eastAsia="Times New Roman" w:hAnsi="Times New Roman"/>
          <w:sz w:val="17"/>
          <w:szCs w:val="17"/>
          <w:color w:val="auto"/>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p>
    <w:p>
      <w:pPr>
        <w:spacing w:after="0" w:line="1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MidCap credit facility. If we default on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previously adversely affected by the global COVID-19 pandemic, and a resurgence of the COVID-19 pandemic or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In particular, our contract manufacturers in China could be impacted by that country’s recent policy of strict lockdowns in order to reduce the spread of disease. Disruptions in sales and demand for our products would be expected to occur:</w:t>
      </w:r>
    </w:p>
    <w:p>
      <w:pPr>
        <w:spacing w:after="0" w:line="81"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chronic disease management,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6"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our products to be prescribed and reimbursed.</w:t>
      </w:r>
    </w:p>
    <w:p>
      <w:pPr>
        <w:spacing w:after="0" w:line="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In addition, clinical trials of our products previously experienced delays as a result of the COVID-19 pandemic and may be affected by a resurgence in the COVID-19 pandemic or a future health pandemic or epidemic. Clinical site initiation and patient enrollment</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7" w:name="page48"/>
    <w:bookmarkEnd w:id="47"/>
    <w:p>
      <w:pPr>
        <w:ind w:right="120"/>
        <w:spacing w:after="0" w:line="265" w:lineRule="auto"/>
        <w:rPr>
          <w:sz w:val="20"/>
          <w:szCs w:val="20"/>
          <w:color w:val="auto"/>
        </w:rPr>
      </w:pPr>
      <w:r>
        <w:rPr>
          <w:rFonts w:ascii="Times New Roman" w:cs="Times New Roman" w:eastAsia="Times New Roman" w:hAnsi="Times New Roman"/>
          <w:sz w:val="18"/>
          <w:szCs w:val="18"/>
          <w:color w:val="auto"/>
        </w:rPr>
        <w:t>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17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18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5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spacing w:after="0" w:line="1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9" w:lineRule="exact"/>
        <w:rPr>
          <w:sz w:val="20"/>
          <w:szCs w:val="20"/>
          <w:color w:val="auto"/>
        </w:rPr>
      </w:pPr>
    </w:p>
    <w:p>
      <w:pPr>
        <w:ind w:left="1020" w:right="20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9"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8" w:name="page49"/>
    <w:bookmarkEnd w:id="48"/>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7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4"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16"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17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V-Go received pre-market clearance in 2010 under Section 510(k) of the U.S. Federal Food, Drug, and Cosmetic Act, or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1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 of our recent acquisition of V-Go or any future acquisition or strategic transaction; we may be unable to successfully integrate new products or businesses we may acquire.*</w:t>
      </w:r>
    </w:p>
    <w:p>
      <w:pPr>
        <w:spacing w:after="0" w:line="50"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We periodically evaluate and pursue acquisition of therapeutic products. We completed the acquisition of V-Go in May 2022 and it remains to be seen whether the acquisition will further our business strategy as anticipated or generate significant revenues. Moreover, the integration of any acquired business, product or other assets into our company may be complex and time-consuming and, if such</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ind w:right="200"/>
        <w:spacing w:after="0" w:line="281" w:lineRule="auto"/>
        <w:rPr>
          <w:sz w:val="20"/>
          <w:szCs w:val="20"/>
          <w:color w:val="auto"/>
        </w:rPr>
      </w:pPr>
      <w:r>
        <w:rPr>
          <w:rFonts w:ascii="Times New Roman" w:cs="Times New Roman" w:eastAsia="Times New Roman" w:hAnsi="Times New Roman"/>
          <w:sz w:val="18"/>
          <w:szCs w:val="18"/>
          <w:color w:val="auto"/>
        </w:rPr>
        <w:t>businesses, products or assets are not successfully integrated, we may not achieve the anticipated benefits, cost-savings or growth opportunities. Potential difficulties that may be encountered in the integration process include the following:</w:t>
      </w:r>
    </w:p>
    <w:p>
      <w:pPr>
        <w:spacing w:after="0" w:line="55"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7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2"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0"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1" w:name="page52"/>
    <w:bookmarkEnd w:id="51"/>
    <w:p>
      <w:pPr>
        <w:ind w:right="40"/>
        <w:spacing w:after="0" w:line="258" w:lineRule="auto"/>
        <w:rPr>
          <w:sz w:val="20"/>
          <w:szCs w:val="20"/>
          <w:color w:val="auto"/>
        </w:rPr>
      </w:pPr>
      <w:r>
        <w:rPr>
          <w:rFonts w:ascii="Times New Roman" w:cs="Times New Roman" w:eastAsia="Times New Roman" w:hAnsi="Times New Roman"/>
          <w:sz w:val="18"/>
          <w:szCs w:val="18"/>
          <w:color w:val="auto"/>
        </w:rPr>
        <w:t>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1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21"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As of December 31, 2022, the Company had federal and state net operating loss carryforwards of approximately $2.2 billion and $1.7 billion available, respectively, to reduce future taxable income. $499.6 million of the federal losses do not expire and the remaining federal losses have started expiring, beginning in the current year through various future dates.</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2022, to determine whether additional limitations may be placed on the net operating loss carryforwards and other tax attributes, and no additional changes in ownership that met Section 382 study ownership change threshold has been identified through December 31, 2022. There is a risk that changes in ownership may occur in tax years after December 31, 2022.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17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or other catastrophic events, including interruptions in the supply of natural resources, political and governmental changes, severe weather conditions, public health pandemics or epidemics, wars, conflicts (including the current Russia-Ukraine conflict),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also produce hazardous waste products. We are subject to federal, state and local laws and regulations (i) governing how we use, manufacture,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handle and dispose of these materials (ii) imposing liability for costs of cleaning up, and damages to natural resources from past spills, waste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disposals on and off-site, or other releases of hazardous materials or regulated substances, and (iii) regulating workplace safety. Moreover, the risk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accidental contamination or injury from hazardous materials cannot be completely eliminated, and in the event of an accident, we could be held liable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damages that may result, and any liability could fall outside the coverage or exceed the limits of our insurance. Currently, our general liability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coverage up to $1.0 million per occurrence and $2.0 million in the aggregate and is supplemented by an umbrella policy that provides a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million of coverage; however, our insurance policy excludes pollution liability coverage and we do not carry a separate hazardous materials policy.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we could be required to incur significant costs to comply with environmental laws and regulations in the future. Finally, current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regulations may impair our research, development or production efforts or have an adverse impact on our business,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financial condition.</w:t>
      </w: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182"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4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7"/>
          <w:szCs w:val="17"/>
          <w:color w:val="auto"/>
        </w:rPr>
        <w:t>We, and third parties acting on our behalf,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w:t>
      </w:r>
    </w:p>
    <w:p>
      <w:pPr>
        <w:spacing w:after="0" w:line="16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(such as through theft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ind w:right="60"/>
        <w:spacing w:after="0" w:line="267" w:lineRule="auto"/>
        <w:rPr>
          <w:sz w:val="20"/>
          <w:szCs w:val="20"/>
          <w:color w:val="auto"/>
        </w:rPr>
      </w:pPr>
      <w:r>
        <w:rPr>
          <w:rFonts w:ascii="Times New Roman" w:cs="Times New Roman" w:eastAsia="Times New Roman" w:hAnsi="Times New Roman"/>
          <w:sz w:val="17"/>
          <w:szCs w:val="17"/>
          <w:color w:val="auto"/>
        </w:rPr>
        <w:t>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20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may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We may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because such threats and techniques change frequently, are often sophisticated in nature, and may not be detected until after a security incident has occurred.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At the time, we used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spacing w:after="0" w:line="18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t>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19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recently took control of SVB, Signature Bank, Silvergate Capital Corp and First Republic Bank.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9"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8" w:lineRule="exact"/>
        <w:rPr>
          <w:sz w:val="20"/>
          <w:szCs w:val="20"/>
          <w:color w:val="auto"/>
        </w:rPr>
      </w:pPr>
    </w:p>
    <w:p>
      <w:pPr>
        <w:ind w:left="1020" w:right="66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part of the approval of Afrezza, the FDA required us to conduct certain additional clinical studies of Afrezza. We have initiated one of these studies, a Phase 3 clinical trial to evaluate the safety and efficacy of Afrezza in 4-17 year-old children and adolescents. We have engaged a clinical research organization to assist us with conducting this study and have budgeted the projected costs of the study in our operating plans.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right="40"/>
        <w:spacing w:after="0" w:line="254" w:lineRule="auto"/>
        <w:rPr>
          <w:sz w:val="20"/>
          <w:szCs w:val="20"/>
          <w:color w:val="auto"/>
        </w:rPr>
      </w:pPr>
      <w:r>
        <w:rPr>
          <w:rFonts w:ascii="Times New Roman" w:cs="Times New Roman" w:eastAsia="Times New Roman" w:hAnsi="Times New Roman"/>
          <w:sz w:val="18"/>
          <w:szCs w:val="18"/>
          <w:color w:val="auto"/>
        </w:rPr>
        <w:t>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Patient Protection and Affordable Care Act, as amended by the Health Care Education and Reconciliation Act (collectively,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caps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line="252" w:lineRule="auto"/>
        <w:rPr>
          <w:sz w:val="20"/>
          <w:szCs w:val="20"/>
          <w:color w:val="auto"/>
        </w:rPr>
      </w:pPr>
      <w:r>
        <w:rPr>
          <w:rFonts w:ascii="Times New Roman" w:cs="Times New Roman" w:eastAsia="Times New Roman" w:hAnsi="Times New Roman"/>
          <w:sz w:val="18"/>
          <w:szCs w:val="18"/>
          <w:color w:val="auto"/>
        </w:rPr>
        <w:t>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expect that PPACA, the IRA,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7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4" w:lineRule="exact"/>
        <w:rPr>
          <w:sz w:val="20"/>
          <w:szCs w:val="20"/>
          <w:color w:val="auto"/>
        </w:rPr>
      </w:pPr>
    </w:p>
    <w:p>
      <w:pPr>
        <w:ind w:left="1020" w:right="160" w:hanging="504"/>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7" w:lineRule="exact"/>
        <w:rPr>
          <w:rFonts w:ascii="Times New Roman" w:cs="Times New Roman" w:eastAsia="Times New Roman" w:hAnsi="Times New Roman"/>
          <w:sz w:val="18"/>
          <w:szCs w:val="18"/>
          <w:color w:val="auto"/>
        </w:rPr>
      </w:pPr>
    </w:p>
    <w:p>
      <w:pPr>
        <w:ind w:left="1020" w:right="140" w:hanging="504"/>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7" w:lineRule="exact"/>
        <w:rPr>
          <w:rFonts w:ascii="Times New Roman" w:cs="Times New Roman" w:eastAsia="Times New Roman" w:hAnsi="Times New Roman"/>
          <w:sz w:val="18"/>
          <w:szCs w:val="18"/>
          <w:color w:val="auto"/>
        </w:rPr>
      </w:pPr>
    </w:p>
    <w:p>
      <w:pPr>
        <w:ind w:left="1020" w:right="20" w:hanging="504"/>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Centers for Medicare &amp; Medicaid Services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4" w:lineRule="exact"/>
        <w:rPr>
          <w:rFonts w:ascii="Times New Roman" w:cs="Times New Roman" w:eastAsia="Times New Roman" w:hAnsi="Times New Roman"/>
          <w:sz w:val="18"/>
          <w:szCs w:val="18"/>
          <w:color w:val="auto"/>
        </w:rPr>
      </w:pPr>
    </w:p>
    <w:p>
      <w:pPr>
        <w:ind w:left="1020" w:right="600" w:hanging="504"/>
        <w:spacing w:after="0" w:line="265"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9" w:lineRule="exact"/>
        <w:rPr>
          <w:rFonts w:ascii="Times New Roman" w:cs="Times New Roman" w:eastAsia="Times New Roman" w:hAnsi="Times New Roman"/>
          <w:sz w:val="18"/>
          <w:szCs w:val="18"/>
          <w:color w:val="auto"/>
        </w:rPr>
      </w:pPr>
    </w:p>
    <w:p>
      <w:pPr>
        <w:ind w:left="1020" w:right="60" w:hanging="504"/>
        <w:spacing w:after="0" w:line="265"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ind w:left="1020" w:right="60"/>
        <w:spacing w:after="0" w:line="281" w:lineRule="auto"/>
        <w:rPr>
          <w:sz w:val="20"/>
          <w:szCs w:val="20"/>
          <w:color w:val="auto"/>
        </w:rPr>
      </w:pPr>
      <w:r>
        <w:rPr>
          <w:rFonts w:ascii="Times New Roman" w:cs="Times New Roman" w:eastAsia="Times New Roman" w:hAnsi="Times New Roman"/>
          <w:sz w:val="18"/>
          <w:szCs w:val="18"/>
          <w:color w:val="auto"/>
        </w:rPr>
        <w:t>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55" w:lineRule="exact"/>
        <w:rPr>
          <w:sz w:val="20"/>
          <w:szCs w:val="20"/>
          <w:color w:val="auto"/>
        </w:rPr>
      </w:pPr>
    </w:p>
    <w:p>
      <w:pPr>
        <w:ind w:left="1020" w:right="20" w:hanging="504"/>
        <w:spacing w:after="0" w:line="254"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With Afrezza approved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19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7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addition, the CCPA imposes obligations on covered businesses. These obligations include, but are not limited to, providing specific disclosures in privacy notices and affording California residents certain rights related to their personal data. The CCPA provides for civil penalties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operative January 1, 2023, expands the CCPA’s requirements, including by applying to personal information of business representatives and employees. Additionally, the CPRA establishes a new California Privacy Protection Agency to implement and enforce the CPRA, which could increase the risk of enforcement. Other states also have enacted comprehensive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9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General Data Protection Regulation (“GDPR”) and, the United Kingdom’s GDPR (“UK GDPR”), Brazil’s General Data Protection Law (Lei Geral de Proteção de Dados Pessoais, or “LGPD”) (Law No. 13,709/2018), and Australia’s Privacy Act 1988 impose strict requirements for processing personal data. For example, under the EU GDPR, companies may face temporary or definitive bans on data processing and other corrective actions; fines of up to 20 million euros or 4% of annual global revenue,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0" w:name="page61"/>
    <w:bookmarkEnd w:id="60"/>
    <w:p>
      <w:pPr>
        <w:ind w:right="20"/>
        <w:spacing w:after="0" w:line="281" w:lineRule="auto"/>
        <w:rPr>
          <w:sz w:val="20"/>
          <w:szCs w:val="20"/>
          <w:color w:val="auto"/>
        </w:rPr>
      </w:pPr>
      <w:r>
        <w:rPr>
          <w:rFonts w:ascii="Times New Roman" w:cs="Times New Roman" w:eastAsia="Times New Roman" w:hAnsi="Times New Roman"/>
          <w:sz w:val="18"/>
          <w:szCs w:val="18"/>
          <w:color w:val="auto"/>
        </w:rPr>
        <w:t>whichever is greater; or private litigation related to the processing of personal data brought by classes of data subjects or consumer protection organizations authorized at law to represent their interests.</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reasons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also be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w:t>
      </w:r>
    </w:p>
    <w:p>
      <w:pPr>
        <w:spacing w:after="0" w:line="18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9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in March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ind w:right="140"/>
        <w:spacing w:after="0" w:line="265" w:lineRule="auto"/>
        <w:rPr>
          <w:sz w:val="20"/>
          <w:szCs w:val="20"/>
          <w:color w:val="auto"/>
        </w:rPr>
      </w:pPr>
      <w:r>
        <w:rPr>
          <w:rFonts w:ascii="Times New Roman" w:cs="Times New Roman" w:eastAsia="Times New Roman" w:hAnsi="Times New Roman"/>
          <w:sz w:val="18"/>
          <w:szCs w:val="18"/>
          <w:color w:val="auto"/>
        </w:rPr>
        <w:t>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(ESG) matters or our reporting of such matters.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2" w:name="page63"/>
    <w:bookmarkEnd w:id="62"/>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right="180"/>
        <w:spacing w:after="0" w:line="281" w:lineRule="auto"/>
        <w:rPr>
          <w:sz w:val="20"/>
          <w:szCs w:val="20"/>
          <w:color w:val="auto"/>
        </w:rPr>
      </w:pPr>
      <w:r>
        <w:rPr>
          <w:rFonts w:ascii="Times New Roman" w:cs="Times New Roman" w:eastAsia="Times New Roman" w:hAnsi="Times New Roman"/>
          <w:sz w:val="18"/>
          <w:szCs w:val="18"/>
          <w:color w:val="auto"/>
        </w:rPr>
        <w:t>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5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ind w:right="180"/>
        <w:spacing w:after="0" w:line="281" w:lineRule="auto"/>
        <w:rPr>
          <w:sz w:val="20"/>
          <w:szCs w:val="20"/>
          <w:color w:val="auto"/>
        </w:rPr>
      </w:pPr>
      <w:r>
        <w:rPr>
          <w:rFonts w:ascii="Times New Roman" w:cs="Times New Roman" w:eastAsia="Times New Roman" w:hAnsi="Times New Roman"/>
          <w:sz w:val="18"/>
          <w:szCs w:val="18"/>
          <w:color w:val="auto"/>
        </w:rPr>
        <w:t>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9" w:lineRule="exact"/>
        <w:rPr>
          <w:sz w:val="20"/>
          <w:szCs w:val="20"/>
          <w:color w:val="auto"/>
        </w:rPr>
      </w:pPr>
    </w:p>
    <w:p>
      <w:pPr>
        <w:ind w:left="1020" w:right="96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royalties, prescriptions or other operating metrics;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 based on our Technosphere drug delivery platform;</w:t>
      </w:r>
    </w:p>
    <w:p>
      <w:pPr>
        <w:spacing w:after="0" w:line="116"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especially for emerging growth and pharmaceutical market sectors;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the current Russia-Ukraine conflict;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65" w:name="page66"/>
    <w:bookmarkEnd w:id="65"/>
    <w:p>
      <w:pPr>
        <w:ind w:left="1020" w:right="220" w:hanging="504"/>
        <w:spacing w:after="0" w:line="26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p>
    <w:p>
      <w:pPr>
        <w:spacing w:after="0" w:line="17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9"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4" w:lineRule="exact"/>
        <w:rPr>
          <w:rFonts w:ascii="Times New Roman" w:cs="Times New Roman" w:eastAsia="Times New Roman" w:hAnsi="Times New Roman"/>
          <w:sz w:val="18"/>
          <w:szCs w:val="18"/>
          <w:color w:val="auto"/>
        </w:rPr>
      </w:pPr>
    </w:p>
    <w:p>
      <w:pPr>
        <w:jc w:val="both"/>
        <w:ind w:left="1020" w:right="220" w:hanging="504"/>
        <w:spacing w:after="0" w:line="265"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9"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4"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line="265" w:lineRule="auto"/>
        <w:rPr>
          <w:sz w:val="20"/>
          <w:szCs w:val="20"/>
          <w:color w:val="auto"/>
        </w:rPr>
      </w:pPr>
      <w:r>
        <w:rPr>
          <w:rFonts w:ascii="Times New Roman" w:cs="Times New Roman" w:eastAsia="Times New Roman" w:hAnsi="Times New Roman"/>
          <w:sz w:val="18"/>
          <w:szCs w:val="18"/>
          <w:color w:val="auto"/>
        </w:rPr>
        <w:t>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77"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17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p>
    <w:p>
      <w:pPr>
        <w:spacing w:after="0" w:line="182"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Likewise, the issuance of additional shares of our common stock upon the exchange or conversion of the Mann Group convertible note, or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spacing w:after="0" w:line="15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 addition, a substantial number of shares of our common stock is reserved for issuance upon the exercise of stock options, the vesting of restricted stock unit awards and purchases under our employee stock purchase program. The issuance or sale of substantial amounts of common stock, or the perception that such issuances or sales may occur, could adversely affect the market price of our common stock and other securities.</w:t>
      </w:r>
    </w:p>
    <w:p>
      <w:pPr>
        <w:spacing w:after="0" w:line="17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line="254" w:lineRule="auto"/>
        <w:rPr>
          <w:sz w:val="20"/>
          <w:szCs w:val="20"/>
          <w:color w:val="auto"/>
        </w:rPr>
      </w:pPr>
      <w:r>
        <w:rPr>
          <w:rFonts w:ascii="Times New Roman" w:cs="Times New Roman" w:eastAsia="Times New Roman" w:hAnsi="Times New Roman"/>
          <w:sz w:val="18"/>
          <w:szCs w:val="18"/>
          <w:color w:val="auto"/>
        </w:rPr>
        <w:t>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actual or anticipated bank failures,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 xml:space="preserve">In January 2023, we elected to pay quarterly interest under the Mann Group convertible note of approximately $0.1 million by issuing the Mann Group 10,491 shares of common stock.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relied on an exemption from registration provided by Section 3(a)(9) or 4(a)(2) of the Securities Act of 1933, as amended, for the issuance of the shares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140" w:type="dxa"/>
            <w:vAlign w:val="bottom"/>
            <w:gridSpan w:val="28"/>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10080" w:type="dxa"/>
            <w:vAlign w:val="bottom"/>
            <w:gridSpan w:val="44"/>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Certificate of Incorporation (incorporated by reference to Exhibit 3.1 to MannKind’s Quarterly Report on Form 10-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tcBorders>
              <w:top w:val="single" w:sz="8" w:color="0000FF"/>
            </w:tcBorders>
            <w:gridSpan w:val="42"/>
          </w:tcPr>
          <w:p>
            <w:pPr>
              <w:spacing w:after="0" w:line="195"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Q (File No. 000-50865), filed with the SEC on August 9, 2016).</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99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Exhibit 3.1 to MannKind’s Current Report on Form 8-K (File No. 000-50865), filed with the SEC on March 2, 2017).</w:t>
              </w:r>
            </w:hyperlink>
          </w:p>
        </w:tc>
        <w:tc>
          <w:tcPr>
            <w:tcW w:w="20" w:type="dxa"/>
            <w:vAlign w:val="bottom"/>
            <w:tcBorders>
              <w:bottom w:val="single" w:sz="8" w:color="0000EE"/>
            </w:tcBorders>
          </w:tcPr>
          <w:p>
            <w:pPr>
              <w:spacing w:after="0"/>
              <w:rPr>
                <w:sz w:val="17"/>
                <w:szCs w:val="17"/>
                <w:color w:val="auto"/>
              </w:rPr>
            </w:pPr>
          </w:p>
        </w:tc>
        <w:tc>
          <w:tcPr>
            <w:tcW w:w="16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99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Exhibit 3.1 to MannKind’s Current Report on Form 8-K (File No. 000-50865), filed with the SEC on December 13, 2017).</w:t>
              </w:r>
            </w:hyperlink>
          </w:p>
        </w:tc>
        <w:tc>
          <w:tcPr>
            <w:tcW w:w="20" w:type="dxa"/>
            <w:vAlign w:val="bottom"/>
            <w:tcBorders>
              <w:bottom w:val="single" w:sz="8" w:color="0000EE"/>
            </w:tcBorders>
          </w:tcPr>
          <w:p>
            <w:pPr>
              <w:spacing w:after="0"/>
              <w:rPr>
                <w:sz w:val="17"/>
                <w:szCs w:val="17"/>
                <w:color w:val="auto"/>
              </w:rPr>
            </w:pPr>
          </w:p>
        </w:tc>
        <w:tc>
          <w:tcPr>
            <w:tcW w:w="12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99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44"/>
          </w:tcPr>
          <w:p>
            <w:pPr>
              <w:spacing w:after="0" w:line="195"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95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Amended and Restated Bylaws (incorporated by reference to Exhibit 3.2 to MannKind’s Current Report on Form 8-K (File No. 000-</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44"/>
          </w:tcPr>
          <w:p>
            <w:pPr>
              <w:spacing w:after="0" w:line="195"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50865)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0080" w:type="dxa"/>
            <w:vAlign w:val="bottom"/>
            <w:gridSpan w:val="4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05">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color w:val="0000FF"/>
                </w:rPr>
                <w:t>3.3</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color w:val="0000FF"/>
                </w:rPr>
                <w:t>3.4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09">
              <w:r>
                <w:rPr>
                  <w:rFonts w:ascii="Times New Roman" w:cs="Times New Roman" w:eastAsia="Times New Roman" w:hAnsi="Times New Roman"/>
                  <w:sz w:val="18"/>
                  <w:szCs w:val="18"/>
                  <w:color w:val="0000FF"/>
                </w:rPr>
                <w:t>3.5</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98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Form of common stock certificate (incorporated by reference to Exhibit 4.2 to MannKind’s Annual Report on Form 10-K (File No. 000-</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44"/>
          </w:tcPr>
          <w:p>
            <w:pPr>
              <w:spacing w:after="0" w:line="195"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50865)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March 16,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6"/>
            <w:shd w:val="clear" w:color="auto" w:fill="0000FF"/>
          </w:tcPr>
          <w:p>
            <w:pPr>
              <w:spacing w:after="0" w:line="20" w:lineRule="exact"/>
              <w:rPr>
                <w:sz w:val="1"/>
                <w:szCs w:val="1"/>
                <w:color w:val="auto"/>
              </w:rPr>
            </w:pPr>
          </w:p>
        </w:tc>
        <w:tc>
          <w:tcPr>
            <w:tcW w:w="4160" w:type="dxa"/>
            <w:vAlign w:val="bottom"/>
            <w:tcBorders>
              <w:left w:val="single" w:sz="8" w:color="0000FF"/>
            </w:tcBorders>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96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Milestone Rights Purchase Agreement, dated as of July 1, 2013, by and among MannKind, Deerfield Private Design Fund II, L.P. and</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Borders>
              <w:bottom w:val="single" w:sz="8" w:color="0000FF"/>
            </w:tcBorders>
            <w:gridSpan w:val="43"/>
          </w:tcPr>
          <w:p>
            <w:pPr>
              <w:spacing w:after="0" w:line="195"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Horizon Santé FLML SÁRL (incorporated by reference to Exhibit 99.3 to MannKind’s Current Report on Form 8-K (File No. 000-50865),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44"/>
          </w:tcPr>
          <w:p>
            <w:pPr>
              <w:spacing w:after="0" w:line="195"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filed with the SEC on July 1, 2013).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95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Form of Warrant to Purchase Stock issued to MidCap Financial Trust on August 6, 2019 (incorporated by reference to Exhibit 4.1 to</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44"/>
          </w:tcPr>
          <w:p>
            <w:pPr>
              <w:spacing w:after="0" w:line="195"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10"/>
            <w:shd w:val="clear" w:color="auto" w:fill="0000FF"/>
          </w:tcPr>
          <w:p>
            <w:pPr>
              <w:spacing w:after="0" w:line="20" w:lineRule="exact"/>
              <w:rPr>
                <w:sz w:val="1"/>
                <w:szCs w:val="1"/>
                <w:color w:val="auto"/>
              </w:rPr>
            </w:pPr>
          </w:p>
        </w:tc>
        <w:tc>
          <w:tcPr>
            <w:tcW w:w="41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98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Convertible Promissory Note made by MannKind Corporation in favor of The Mann Group LLC, dated August 6, 2019 (incorporated by</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6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reference to Exhibit 4.6 to MannKind’s Current Report on Form 8-K (File No. 000-50865), filed with the SEC on August 7, 2019).</w:t>
              </w:r>
            </w:hyperlink>
          </w:p>
        </w:tc>
        <w:tc>
          <w:tcPr>
            <w:tcW w:w="20" w:type="dxa"/>
            <w:vAlign w:val="bottom"/>
            <w:tcBorders>
              <w:bottom w:val="single" w:sz="8" w:color="0000EE"/>
            </w:tcBorders>
          </w:tcPr>
          <w:p>
            <w:pPr>
              <w:spacing w:after="0"/>
              <w:rPr>
                <w:sz w:val="17"/>
                <w:szCs w:val="17"/>
                <w:color w:val="auto"/>
              </w:rPr>
            </w:pPr>
          </w:p>
        </w:tc>
        <w:tc>
          <w:tcPr>
            <w:tcW w:w="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98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Amendment No. 1 to Convertible Promissory Note, dated April 22, 2021, by and between MannKind Corporation and The Mann Group</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FF"/>
            </w:tcBorders>
            <w:gridSpan w:val="39"/>
          </w:tcPr>
          <w:p>
            <w:pPr>
              <w:spacing w:after="0" w:line="195"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LLC (incorporated by reference to Exhibit 99.2 to MannKind’s Current Report on Form 8-K (File No. 000-50865), filed with the SEC 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April 26, 2021).</w:t>
              </w:r>
            </w:hyperlink>
          </w:p>
        </w:tc>
        <w:tc>
          <w:tcPr>
            <w:tcW w:w="20" w:type="dxa"/>
            <w:vAlign w:val="bottom"/>
            <w:tcBorders>
              <w:bottom w:val="single" w:sz="8" w:color="0000EE"/>
            </w:tcBorders>
          </w:tcPr>
          <w:p>
            <w:pPr>
              <w:spacing w:after="0"/>
              <w:rPr>
                <w:sz w:val="17"/>
                <w:szCs w:val="17"/>
                <w:color w:val="auto"/>
              </w:rPr>
            </w:pPr>
          </w:p>
        </w:tc>
        <w:tc>
          <w:tcPr>
            <w:tcW w:w="8900" w:type="dxa"/>
            <w:vAlign w:val="bottom"/>
            <w:gridSpan w:val="40"/>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990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Promissory Note made by MannKind Corporation in favor of The Mann Group LLC, dated August 6, 2019 (incorporated by reference to</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Exhibit 4.7 to MannKind’s Current Report on Form 8-K (File No. 000-50865), filed with the SEC on August 7, 2019).</w:t>
              </w:r>
            </w:hyperlink>
          </w:p>
        </w:tc>
        <w:tc>
          <w:tcPr>
            <w:tcW w:w="20" w:type="dxa"/>
            <w:vAlign w:val="bottom"/>
            <w:tcBorders>
              <w:bottom w:val="single" w:sz="8" w:color="0000EE"/>
            </w:tcBorders>
          </w:tcPr>
          <w:p>
            <w:pPr>
              <w:spacing w:after="0"/>
              <w:rPr>
                <w:sz w:val="17"/>
                <w:szCs w:val="17"/>
                <w:color w:val="auto"/>
              </w:rPr>
            </w:pPr>
          </w:p>
        </w:tc>
        <w:tc>
          <w:tcPr>
            <w:tcW w:w="15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91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Indenture, dated as of March 4, 2021, by and between MannKind Corporation and U.S. Bank National Association, as Trustee</w:t>
              </w:r>
            </w:hyperlink>
          </w:p>
        </w:tc>
        <w:tc>
          <w:tcPr>
            <w:tcW w:w="9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bottom w:val="single" w:sz="8" w:color="0000FF"/>
            </w:tcBorders>
            <w:gridSpan w:val="41"/>
          </w:tcPr>
          <w:p>
            <w:pPr>
              <w:spacing w:after="0" w:line="195"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(incorporated by reference to Exhibit 4.1 to MannKind’s Current Report on Form 8-K (File No. 000-50865), filed with the SEC on March</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line="195" w:lineRule="exact"/>
              <w:rPr>
                <w:rFonts w:ascii="Times New Roman" w:cs="Times New Roman" w:eastAsia="Times New Roman" w:hAnsi="Times New Roman"/>
                <w:sz w:val="18"/>
                <w:szCs w:val="18"/>
                <w:color w:val="0000FF"/>
                <w:w w:val="96"/>
              </w:rPr>
            </w:pPr>
            <w:hyperlink r:id="rId216">
              <w:r>
                <w:rPr>
                  <w:rFonts w:ascii="Times New Roman" w:cs="Times New Roman" w:eastAsia="Times New Roman" w:hAnsi="Times New Roman"/>
                  <w:sz w:val="18"/>
                  <w:szCs w:val="18"/>
                  <w:color w:val="0000FF"/>
                  <w:w w:val="96"/>
                </w:rPr>
                <w:t>5, 2021).</w:t>
              </w:r>
            </w:hyperlink>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1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4"/>
                <w:szCs w:val="24"/>
                <w:color w:val="auto"/>
              </w:rPr>
            </w:pPr>
          </w:p>
        </w:tc>
        <w:tc>
          <w:tcPr>
            <w:tcW w:w="96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Global Note, representing MannKind Corporation’s 2.50% Convertible Senior Notes due 2026 (included as Exhibit A to the</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4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Indenture filed as Exhibit 4.15) (incorporated by reference to Exhibit 4.2 to MannKind’s Current Report on Form 8-K (File No. 000-</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50865)</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March 5, 2021).</w:t>
              </w:r>
            </w:hyperlink>
          </w:p>
        </w:tc>
        <w:tc>
          <w:tcPr>
            <w:tcW w:w="67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90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Offer Letter, dated March 21, 2023, by and between MannKind Corporation and Lauren M. Sabella (incorporated by reference to Exhibit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44"/>
          </w:tcPr>
          <w:p>
            <w:pPr>
              <w:spacing w:after="0" w:line="195"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MannKind’s Current Report on Form 8-K (File No. 000-50865), filed with the SEC on March 27, 2023).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400" w:type="dxa"/>
            <w:vAlign w:val="bottom"/>
            <w:tcBorders>
              <w:right w:val="single" w:sz="8" w:color="0000EE"/>
            </w:tcBorders>
            <w:gridSpan w:val="17"/>
            <w:shd w:val="clear" w:color="auto" w:fill="0000FF"/>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93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Rules 13a-14(a) and 15d-14(a) of the Securities Exchange Act of 1934, as</w:t>
            </w:r>
          </w:p>
        </w:tc>
        <w:tc>
          <w:tcPr>
            <w:tcW w:w="7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44"/>
          </w:tcPr>
          <w:p>
            <w:pPr>
              <w:spacing w:after="0" w:line="195"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360" w:type="dxa"/>
            <w:vAlign w:val="bottom"/>
            <w:gridSpan w:val="4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1004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Rules 13a-14(a) and 15d-14(a) of the Securities Exchange Act of 1934, as amended.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1000" w:type="dxa"/>
            <w:vAlign w:val="bottom"/>
          </w:tcPr>
          <w:p>
            <w:pPr>
              <w:spacing w:after="0"/>
              <w:rPr>
                <w:sz w:val="24"/>
                <w:szCs w:val="24"/>
                <w:color w:val="auto"/>
              </w:rPr>
            </w:pPr>
          </w:p>
        </w:tc>
        <w:tc>
          <w:tcPr>
            <w:tcW w:w="4760" w:type="dxa"/>
            <w:vAlign w:val="bottom"/>
            <w:gridSpan w:val="18"/>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4"/>
            <w:vMerge w:val="restart"/>
          </w:tcPr>
          <w:p>
            <w:pPr>
              <w:ind w:left="42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Rules 13a-14(b) and 15d-14(b) of the Securities Exchange Act of 1934, as amended</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638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and Section 1350 of Chapter 63 of Title 18 of the United States Code (18 U.S.C. §1350).</w:t>
            </w:r>
          </w:p>
        </w:tc>
        <w:tc>
          <w:tcPr>
            <w:tcW w:w="20" w:type="dxa"/>
            <w:vAlign w:val="bottom"/>
            <w:tcBorders>
              <w:bottom w:val="single" w:sz="8" w:color="0000EE"/>
            </w:tcBorders>
          </w:tcPr>
          <w:p>
            <w:pPr>
              <w:spacing w:after="0"/>
              <w:rPr>
                <w:sz w:val="17"/>
                <w:szCs w:val="17"/>
                <w:color w:val="auto"/>
              </w:rPr>
            </w:pPr>
          </w:p>
        </w:tc>
        <w:tc>
          <w:tcPr>
            <w:tcW w:w="3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Rules 13a-14(b) and 15d-14(b) of the Securities Exchange Act of 1934, as amended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638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and Section 1350 of Chapter 63 of Title 18 of the United States Code (18 U.S.C. §1350).</w:t>
            </w:r>
          </w:p>
        </w:tc>
        <w:tc>
          <w:tcPr>
            <w:tcW w:w="37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Interactive Data Files pursuant to Rule 405 of Regulation S-T.</w:t>
            </w:r>
          </w:p>
        </w:tc>
        <w:tc>
          <w:tcPr>
            <w:tcW w:w="0" w:type="dxa"/>
            <w:vAlign w:val="bottom"/>
          </w:tcPr>
          <w:p>
            <w:pPr>
              <w:spacing w:after="0"/>
              <w:rPr>
                <w:sz w:val="1"/>
                <w:szCs w:val="1"/>
                <w:color w:val="auto"/>
              </w:rPr>
            </w:pPr>
          </w:p>
        </w:tc>
      </w:tr>
      <w:tr>
        <w:trPr>
          <w:trHeight w:val="391"/>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has been formatted in Inline XBRL.</w:t>
            </w:r>
          </w:p>
        </w:tc>
        <w:tc>
          <w:tcPr>
            <w:tcW w:w="0" w:type="dxa"/>
            <w:vAlign w:val="bottom"/>
          </w:tcPr>
          <w:p>
            <w:pPr>
              <w:spacing w:after="0"/>
              <w:rPr>
                <w:sz w:val="1"/>
                <w:szCs w:val="1"/>
                <w:color w:val="auto"/>
              </w:rPr>
            </w:pPr>
          </w:p>
        </w:tc>
      </w:tr>
      <w:tr>
        <w:trPr>
          <w:trHeight w:val="445"/>
        </w:trPr>
        <w:tc>
          <w:tcPr>
            <w:tcW w:w="1000" w:type="dxa"/>
            <w:vAlign w:val="bottom"/>
          </w:tcPr>
          <w:p>
            <w:pPr>
              <w:spacing w:after="0"/>
              <w:rPr>
                <w:sz w:val="24"/>
                <w:szCs w:val="24"/>
                <w:color w:val="auto"/>
              </w:rPr>
            </w:pPr>
          </w:p>
        </w:tc>
        <w:tc>
          <w:tcPr>
            <w:tcW w:w="6540" w:type="dxa"/>
            <w:vAlign w:val="bottom"/>
            <w:gridSpan w:val="3"/>
          </w:tcPr>
          <w:p>
            <w:pPr>
              <w:jc w:val="right"/>
              <w:ind w:right="1733"/>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Dated: May 9, 2023</w:t>
      </w:r>
      <w:r>
        <w:rPr>
          <w:sz w:val="20"/>
          <w:szCs w:val="20"/>
          <w:color w:val="auto"/>
        </w:rPr>
        <w:tab/>
      </w:r>
      <w:r>
        <w:rPr>
          <w:rFonts w:ascii="Times New Roman" w:cs="Times New Roman" w:eastAsia="Times New Roman" w:hAnsi="Times New Roman"/>
          <w:sz w:val="17"/>
          <w:szCs w:val="17"/>
          <w:color w:val="auto"/>
        </w:rPr>
        <w:t>MANNKIND CORPORATION</w:t>
      </w:r>
    </w:p>
    <w:p>
      <w:pPr>
        <w:sectPr>
          <w:pgSz w:w="11900" w:h="16838" w:orient="portrait"/>
          <w:cols w:equalWidth="0" w:num="1">
            <w:col w:w="11200"/>
          </w:cols>
          <w:pgMar w:left="320" w:top="117" w:right="379" w:bottom="1440" w:gutter="0" w:footer="0" w:header="0"/>
        </w:sectPr>
      </w:pPr>
    </w:p>
    <w:p>
      <w:pPr>
        <w:spacing w:after="0" w:line="3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42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31426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(on behalf of the registrant and as the registrant’s Principal Executive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426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31426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 Binder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6120" w:space="180"/>
            <w:col w:w="4900"/>
          </w:cols>
          <w:pgMar w:left="320" w:top="117" w:right="379" w:bottom="1440" w:gutter="0" w:footer="0" w:header="0"/>
          <w:type w:val="continuous"/>
        </w:sect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1" w:name="page72"/>
    <w:bookmarkEnd w:id="7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MannKind Corporation;</w:t>
      </w:r>
    </w:p>
    <w:p>
      <w:pPr>
        <w:spacing w:after="0" w:line="224"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20" w:right="140" w:hanging="510"/>
        <w:spacing w:after="0" w:line="265"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20" w:right="200" w:hanging="510"/>
        <w:spacing w:after="0" w:line="265"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520" w:hanging="510"/>
        <w:spacing w:after="0" w:line="312" w:lineRule="auto"/>
        <w:tabs>
          <w:tab w:leader="none" w:pos="15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20" w:hanging="510"/>
        <w:spacing w:after="0" w:line="265"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00" w:hanging="504"/>
        <w:spacing w:after="0" w:line="312"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1"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20" w:right="540" w:hanging="510"/>
        <w:spacing w:after="0" w:line="281" w:lineRule="auto"/>
        <w:tabs>
          <w:tab w:leader="none" w:pos="15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34290</wp:posOffset>
            </wp:positionV>
            <wp:extent cx="3133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432435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Binder, certify that:</w:t>
      </w:r>
    </w:p>
    <w:p>
      <w:pPr>
        <w:spacing w:after="0" w:line="225"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MannKind Corporation;</w:t>
      </w:r>
    </w:p>
    <w:p>
      <w:pPr>
        <w:spacing w:after="0" w:line="224"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20" w:right="140" w:hanging="510"/>
        <w:spacing w:after="0" w:line="265"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20" w:right="200" w:hanging="510"/>
        <w:spacing w:after="0" w:line="265"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520" w:hanging="510"/>
        <w:spacing w:after="0" w:line="312" w:lineRule="auto"/>
        <w:tabs>
          <w:tab w:leader="none" w:pos="15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20" w:hanging="510"/>
        <w:spacing w:after="0" w:line="265"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00" w:hanging="504"/>
        <w:spacing w:after="0" w:line="312"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1"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20" w:right="540" w:hanging="510"/>
        <w:spacing w:after="0" w:line="281"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34290</wp:posOffset>
            </wp:positionV>
            <wp:extent cx="3133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432435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2023,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4" w:lineRule="exact"/>
        <w:rPr>
          <w:sz w:val="20"/>
          <w:szCs w:val="20"/>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9th day of May, 2023.</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5445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5" w:lineRule="exact"/>
        <w:rPr>
          <w:sz w:val="20"/>
          <w:szCs w:val="20"/>
          <w:color w:val="auto"/>
        </w:rPr>
      </w:pPr>
    </w:p>
    <w:p>
      <w:pPr>
        <w:ind w:left="240" w:right="180" w:hanging="219"/>
        <w:spacing w:after="0" w:line="231" w:lineRule="auto"/>
        <w:tabs>
          <w:tab w:leader="none" w:pos="24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2023,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4"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9th day of May, 2023.</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5445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Steven B. Binder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5" w:lineRule="exact"/>
        <w:rPr>
          <w:sz w:val="20"/>
          <w:szCs w:val="20"/>
          <w:color w:val="auto"/>
        </w:rPr>
      </w:pPr>
    </w:p>
    <w:p>
      <w:pPr>
        <w:ind w:left="240" w:right="180" w:hanging="219"/>
        <w:spacing w:after="0" w:line="231" w:lineRule="auto"/>
        <w:tabs>
          <w:tab w:leader="none" w:pos="2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606"/>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05" Type="http://schemas.openxmlformats.org/officeDocument/2006/relationships/hyperlink" Target="https://www.sec.gov/Archives/edgar/data/899460/000119312516676980/d225552dex31.htm" TargetMode="External"/><Relationship Id="rId206" Type="http://schemas.openxmlformats.org/officeDocument/2006/relationships/hyperlink" Target="https://www.sec.gov/Archives/edgar/data/899460/000119312517066630/d313758dex31.htm" TargetMode="External"/><Relationship Id="rId207" Type="http://schemas.openxmlformats.org/officeDocument/2006/relationships/hyperlink" Target="https://www.sec.gov/Archives/edgar/data/899460/000119312517368329/d511527dex31.htm" TargetMode="External"/><Relationship Id="rId208" Type="http://schemas.openxmlformats.org/officeDocument/2006/relationships/hyperlink" Target="https://www.sec.gov/Archives/edgar/data/899460/000119312520153051/d936164dex31.htm" TargetMode="External"/><Relationship Id="rId209" Type="http://schemas.openxmlformats.org/officeDocument/2006/relationships/hyperlink" Target="https://www.sec.gov/Archives/edgar/data/899460/000119312520153051/d936164dex32.htm" TargetMode="External"/><Relationship Id="rId210" Type="http://schemas.openxmlformats.org/officeDocument/2006/relationships/hyperlink" Target="https://www.sec.gov/Archives/edgar/data/899460/000119312517085519/d305327dex42.htm" TargetMode="External"/><Relationship Id="rId211" Type="http://schemas.openxmlformats.org/officeDocument/2006/relationships/hyperlink" Target="https://www.sec.gov/Archives/edgar/data/899460/000119312513279522/d562665dex993.htm" TargetMode="External"/><Relationship Id="rId212" Type="http://schemas.openxmlformats.org/officeDocument/2006/relationships/hyperlink" Target="https://www.sec.gov/Archives/edgar/data/899460/000119312519215305/d757696dex41.htm" TargetMode="External"/><Relationship Id="rId213" Type="http://schemas.openxmlformats.org/officeDocument/2006/relationships/hyperlink" Target="https://www.sec.gov/Archives/edgar/data/899460/000119312519215305/d757696dex46.htm" TargetMode="External"/><Relationship Id="rId214" Type="http://schemas.openxmlformats.org/officeDocument/2006/relationships/hyperlink" Target="https://www.sec.gov/Archives/edgar/data/0000899460/000119312521130221/d174090dex992.htm" TargetMode="External"/><Relationship Id="rId215" Type="http://schemas.openxmlformats.org/officeDocument/2006/relationships/hyperlink" Target="https://www.sec.gov/Archives/edgar/data/899460/000119312519215305/d757696dex47.htm" TargetMode="External"/><Relationship Id="rId216" Type="http://schemas.openxmlformats.org/officeDocument/2006/relationships/hyperlink" Target="https://www.sec.gov/Archives/edgar/data/899460/000119312521070265/d45565dex41.htm" TargetMode="External"/><Relationship Id="rId217" Type="http://schemas.openxmlformats.org/officeDocument/2006/relationships/hyperlink" Target="https://www.sec.gov/Archives/edgar/data/899460/000119312521070265/d45565dex41.htm#exa" TargetMode="External"/><Relationship Id="rId218" Type="http://schemas.openxmlformats.org/officeDocument/2006/relationships/hyperlink" Target="https://www.sec.gov/Archives/edgar/data/899460/000119312523080473/d49049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2023-05-09T15:51:38Z</dcterms:created>
  <dcterms:modified xsi:type="dcterms:W3CDTF">2023-05-09T15:51:38Z</dcterms:modified>
</cp:coreProperties>
</file>